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70D" w:rsidRPr="00DF77C8" w:rsidRDefault="004974D0">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DF77C8">
        <w:rPr>
          <w:rFonts w:ascii="Times New Roman" w:hAnsi="Times New Roman"/>
          <w:sz w:val="28"/>
          <w:szCs w:val="24"/>
        </w:rPr>
        <w:t xml:space="preserve"> </w:t>
      </w:r>
    </w:p>
    <w:p w:rsidR="008F170D" w:rsidRPr="00DF77C8" w:rsidRDefault="008F170D">
      <w:pPr>
        <w:widowControl w:val="0"/>
        <w:autoSpaceDE w:val="0"/>
        <w:autoSpaceDN w:val="0"/>
        <w:adjustRightInd w:val="0"/>
        <w:spacing w:after="0" w:line="240" w:lineRule="auto"/>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center"/>
        <w:rPr>
          <w:rFonts w:ascii="Times New Roman" w:hAnsi="Times New Roman"/>
          <w:b/>
          <w:bCs/>
          <w:sz w:val="28"/>
          <w:szCs w:val="28"/>
        </w:rPr>
      </w:pPr>
      <w:r w:rsidRPr="00DF77C8">
        <w:rPr>
          <w:rFonts w:ascii="Times New Roman" w:hAnsi="Times New Roman"/>
          <w:b/>
          <w:bCs/>
          <w:sz w:val="28"/>
          <w:szCs w:val="28"/>
        </w:rPr>
        <w:t xml:space="preserve">TEMAS-SUBTEMAS </w:t>
      </w:r>
    </w:p>
    <w:p w:rsidR="008F170D" w:rsidRPr="00DF77C8" w:rsidRDefault="008F170D">
      <w:pPr>
        <w:widowControl w:val="0"/>
        <w:autoSpaceDE w:val="0"/>
        <w:autoSpaceDN w:val="0"/>
        <w:adjustRightInd w:val="0"/>
        <w:spacing w:after="0" w:line="240" w:lineRule="auto"/>
        <w:jc w:val="center"/>
        <w:rPr>
          <w:rFonts w:ascii="Times New Roman" w:hAnsi="Times New Roman"/>
          <w:b/>
          <w:bCs/>
          <w:sz w:val="28"/>
          <w:szCs w:val="28"/>
        </w:rPr>
      </w:pPr>
    </w:p>
    <w:p w:rsidR="008F170D" w:rsidRPr="00DF77C8" w:rsidRDefault="004974D0">
      <w:pPr>
        <w:widowControl w:val="0"/>
        <w:autoSpaceDE w:val="0"/>
        <w:autoSpaceDN w:val="0"/>
        <w:adjustRightInd w:val="0"/>
        <w:spacing w:after="0" w:line="240" w:lineRule="auto"/>
        <w:jc w:val="center"/>
        <w:rPr>
          <w:rFonts w:ascii="Times New Roman" w:hAnsi="Times New Roman"/>
          <w:sz w:val="28"/>
          <w:szCs w:val="28"/>
        </w:rPr>
      </w:pPr>
      <w:r w:rsidRPr="00DF77C8">
        <w:rPr>
          <w:rFonts w:ascii="Times New Roman" w:hAnsi="Times New Roman"/>
          <w:b/>
          <w:bCs/>
          <w:sz w:val="28"/>
          <w:szCs w:val="28"/>
        </w:rPr>
        <w:t xml:space="preserve">Sentencia C-148/24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SALA PENAL DE LA CORTE SUPREMA DE JUSTICIA</w:t>
      </w:r>
      <w:r w:rsidRPr="00DF77C8">
        <w:rPr>
          <w:rFonts w:ascii="Times New Roman" w:hAnsi="Times New Roman"/>
          <w:sz w:val="28"/>
          <w:szCs w:val="28"/>
        </w:rPr>
        <w:t>-Competencia para resolver el recurso de apelación contra decisiones del magistrado del Tribunal Superior de Bogotá cuando ejerce la función de control de garantías respecto de aforados constitucionales</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i/>
          <w:iCs/>
          <w:sz w:val="28"/>
          <w:szCs w:val="28"/>
        </w:rPr>
        <w:t>(...) la Corte declaró la exequibilidad del artículo 32 de la Ley 906 de 2004, condicionada a que se entienda que, mientras el legislador no defina la materia, el recurso de apelación contra las decisiones del magistrado o de la magistrada de la Sala Penal del Tribunal Superior de Bogotá que actúe en sede de control de garantías será conocido por un magistrado o magistrada de la instancia de la Sala Penal de la Corte Suprema de Justicia (sea la Sala de Instrucción, la Sala Especial de Primera Instancia o la Sala de Casación) que la Sala de Casación Penal de la Corte Suprema de Justicia decida, según los criterios que estime pertinentes, magistrado (a) que posteriormente no participará del conocimiento del expediente correspondiente, de acuerdo con lo expuesto en la parte motiva de esta providencia.</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OMISIÓN LEGISLATIVA RELATIVA</w:t>
      </w:r>
      <w:r w:rsidRPr="00DF77C8">
        <w:rPr>
          <w:rFonts w:ascii="Times New Roman" w:hAnsi="Times New Roman"/>
          <w:sz w:val="28"/>
          <w:szCs w:val="28"/>
        </w:rPr>
        <w:t>-Configuración</w:t>
      </w:r>
      <w:r w:rsidRPr="00DF77C8">
        <w:rPr>
          <w:rFonts w:ascii="Times New Roman" w:hAnsi="Times New Roman"/>
          <w:b/>
          <w:bCs/>
          <w:sz w:val="28"/>
          <w:szCs w:val="28"/>
        </w:rPr>
        <w:t>/OMISIÓN LEGISLATIVA RELATIVA</w:t>
      </w:r>
      <w:r w:rsidRPr="00DF77C8">
        <w:rPr>
          <w:rFonts w:ascii="Times New Roman" w:hAnsi="Times New Roman"/>
          <w:sz w:val="28"/>
          <w:szCs w:val="28"/>
        </w:rPr>
        <w:t>-Existencia conlleva a sentencia integradora</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i/>
          <w:iCs/>
          <w:sz w:val="28"/>
          <w:szCs w:val="28"/>
        </w:rPr>
        <w:t>La Corte declaró la existencia de una omisión legislativa relativa respecto del artículo 32 de la Ley 906 de 2004, al no existir una regulación expresa sobre la autoridad judicial que debe conocer de los recursos de apelación contra las decisiones del magistrado o de la magistrada de la Sala Penal del Tribunal Superior de Bogotá cuando actúa con funciones de control de garantías respecto de los aforados constitucionales del numeral 5° del artículo 235 de la Constitución, dado que desconoce el derecho a la igualdad (artículo 13), al debido proceso (artículo 29) y al acceso a la administración de justicia (artículo 229).</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DEMANDA DE INCONSTITUCIONALIDAD POR OMISION LEGISLATIVA RELATIVA</w:t>
      </w:r>
      <w:r w:rsidRPr="00DF77C8">
        <w:rPr>
          <w:rFonts w:ascii="Times New Roman" w:hAnsi="Times New Roman"/>
          <w:sz w:val="28"/>
          <w:szCs w:val="28"/>
        </w:rPr>
        <w:t xml:space="preserve">-Exigencias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SUBROGACION</w:t>
      </w:r>
      <w:r w:rsidRPr="00DF77C8">
        <w:rPr>
          <w:rFonts w:ascii="Times New Roman" w:hAnsi="Times New Roman"/>
          <w:sz w:val="28"/>
          <w:szCs w:val="28"/>
        </w:rPr>
        <w:t>-Concepto</w:t>
      </w:r>
      <w:r w:rsidRPr="00DF77C8">
        <w:rPr>
          <w:rFonts w:ascii="Times New Roman" w:hAnsi="Times New Roman"/>
          <w:b/>
          <w:bCs/>
          <w:sz w:val="28"/>
          <w:szCs w:val="28"/>
        </w:rPr>
        <w:t>/SUBROGACION</w:t>
      </w:r>
      <w:r w:rsidRPr="00DF77C8">
        <w:rPr>
          <w:rFonts w:ascii="Times New Roman" w:hAnsi="Times New Roman"/>
          <w:sz w:val="28"/>
          <w:szCs w:val="28"/>
        </w:rPr>
        <w:t xml:space="preserve">-Efectos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CONTROL DE CONSTITUCIONALIDAD DE NORMA SUSTITUIDA, SUBROGADA O DEROGADA</w:t>
      </w:r>
      <w:r w:rsidRPr="00DF77C8">
        <w:rPr>
          <w:rFonts w:ascii="Times New Roman" w:hAnsi="Times New Roman"/>
          <w:sz w:val="28"/>
          <w:szCs w:val="28"/>
        </w:rPr>
        <w:t xml:space="preserve">-Criterios para verificación de producción de efectos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INTEGRACION DE UNIDAD NORMATIVA</w:t>
      </w:r>
      <w:r w:rsidRPr="00DF77C8">
        <w:rPr>
          <w:rFonts w:ascii="Times New Roman" w:hAnsi="Times New Roman"/>
          <w:sz w:val="28"/>
          <w:szCs w:val="28"/>
        </w:rPr>
        <w:t xml:space="preserve">-Eventos en que procede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INTEGRACION DE UNIDAD NORMATIVA</w:t>
      </w:r>
      <w:r w:rsidRPr="00DF77C8">
        <w:rPr>
          <w:rFonts w:ascii="Times New Roman" w:hAnsi="Times New Roman"/>
          <w:sz w:val="28"/>
          <w:szCs w:val="28"/>
        </w:rPr>
        <w:t xml:space="preserve">-Improcedencia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LIBERTAD DE CONFIGURACION LEGISLATIVA EN MATERIA PENAL</w:t>
      </w:r>
      <w:r w:rsidRPr="00DF77C8">
        <w:rPr>
          <w:rFonts w:ascii="Times New Roman" w:hAnsi="Times New Roman"/>
          <w:sz w:val="28"/>
          <w:szCs w:val="28"/>
        </w:rPr>
        <w:t>-Contenido y alcance</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i/>
          <w:iCs/>
          <w:sz w:val="28"/>
          <w:szCs w:val="28"/>
        </w:rPr>
        <w:t>(...) el legislador en ejercicio de su amplia potestad para regular recursos y medios de defensa, en particular, en materia penal, justifique de manera expresa y clara las exclusiones o trato diferenciado introducido en dicho procedimiento para garantizar postulados constitucionales como la justicia y la igualdad, lo cual, permitirá analizar la razonabilidad y proporcionalidad de la medida y constatar que en ejercicio de la actividad legislativa no se incurrió en una actuación arbitraria contraria a la cláusula del Estado Social de Derecho.</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PRINCIPIO DE LA DOBLE INSTANCIA</w:t>
      </w:r>
      <w:r w:rsidRPr="00DF77C8">
        <w:rPr>
          <w:rFonts w:ascii="Times New Roman" w:hAnsi="Times New Roman"/>
          <w:sz w:val="28"/>
          <w:szCs w:val="28"/>
        </w:rPr>
        <w:t xml:space="preserve">-Garantía constitucional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LIBERTAD DE CONFIGURACION LEGISLATIVA EN EL PRINCIPIO DE DOBLE INSTANCIA</w:t>
      </w:r>
      <w:r w:rsidRPr="00DF77C8">
        <w:rPr>
          <w:rFonts w:ascii="Times New Roman" w:hAnsi="Times New Roman"/>
          <w:sz w:val="28"/>
          <w:szCs w:val="28"/>
        </w:rPr>
        <w:t>-Límites</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i/>
          <w:iCs/>
          <w:sz w:val="28"/>
          <w:szCs w:val="28"/>
        </w:rPr>
        <w:t>(...) esta garantía no tiene un carácter absoluto pues el legislador puede introducir excepciones a la misma, por ejemplo, a través de procesos de única instancia o limitando su ejercicio en algunos procesos. No obstante, debe garantizar en todos los casos el derecho de defensa o suficientes oportunidades de controversia, que aseguren un adecuado derecho de defensa, según la naturaleza del caso.</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LIBERTAD DE CONFIGURACION LEGISLATIVA EN EL PRINCIPIO DE DOBLE INSTANCIA</w:t>
      </w:r>
      <w:r w:rsidRPr="00DF77C8">
        <w:rPr>
          <w:rFonts w:ascii="Times New Roman" w:hAnsi="Times New Roman"/>
          <w:sz w:val="28"/>
          <w:szCs w:val="28"/>
        </w:rPr>
        <w:t xml:space="preserve">-Criterios que debe respetar el legislador al establecer excepciones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ACCESO A LA ADMINISTRACION DE JUSTICIA</w:t>
      </w:r>
      <w:r w:rsidRPr="00DF77C8">
        <w:rPr>
          <w:rFonts w:ascii="Times New Roman" w:hAnsi="Times New Roman"/>
          <w:sz w:val="28"/>
          <w:szCs w:val="28"/>
        </w:rPr>
        <w:t xml:space="preserve">-Derecho fundamental que se materializa a través del establecimiento legal de recursos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DERECHO DE ACCESO A LA ADMINISTRACIÓN DE JUSTICIA</w:t>
      </w:r>
      <w:r w:rsidRPr="00DF77C8">
        <w:rPr>
          <w:rFonts w:ascii="Times New Roman" w:hAnsi="Times New Roman"/>
          <w:sz w:val="28"/>
          <w:szCs w:val="28"/>
        </w:rPr>
        <w:t xml:space="preserve">-Derecho de contenido múltiple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JUEZ DE CONTROL DE GARANTIAS</w:t>
      </w:r>
      <w:r w:rsidRPr="00DF77C8">
        <w:rPr>
          <w:rFonts w:ascii="Times New Roman" w:hAnsi="Times New Roman"/>
          <w:sz w:val="28"/>
          <w:szCs w:val="28"/>
        </w:rPr>
        <w:t>-Funciones</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i/>
          <w:iCs/>
          <w:sz w:val="28"/>
          <w:szCs w:val="28"/>
        </w:rPr>
        <w:t>(...) le corresponde al juez que realice la función de control de garantías: (i) ejercer control sobre la aplicación del principio de oportunidad; (ii) realizar un control posterior respecto a la facultad excepcional que tiene la Fiscalía para realizar capturas, a más tardar dentro de las 36 horas siguientes; (iii) ejercer un control posterior sobre las medidas relacionadas con registros, allanamientos, incautaciones e interceptaciones de comunicaciones, a más tardar dentro de las 36 horas siguientes; (iv) realizar un control previo sobre las medidas adicionales que requiera adoptar el ente acusatorio que impliquen afectación de derechos fundamentales.</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JUEZ DE CONTROL DE GARANTIAS</w:t>
      </w:r>
      <w:r w:rsidRPr="00DF77C8">
        <w:rPr>
          <w:rFonts w:ascii="Times New Roman" w:hAnsi="Times New Roman"/>
          <w:sz w:val="28"/>
          <w:szCs w:val="28"/>
        </w:rPr>
        <w:t xml:space="preserve">-Responde al principio de necesidad efectiva de protección judicial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SISTEMA PENAL ACUSATORIO COLOMBIANO</w:t>
      </w:r>
      <w:r w:rsidRPr="00DF77C8">
        <w:rPr>
          <w:rFonts w:ascii="Times New Roman" w:hAnsi="Times New Roman"/>
          <w:sz w:val="28"/>
          <w:szCs w:val="28"/>
        </w:rPr>
        <w:t xml:space="preserve">-Características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RECURSO DE APELACION EN PROCESO PENAL</w:t>
      </w:r>
      <w:r w:rsidRPr="00DF77C8">
        <w:rPr>
          <w:rFonts w:ascii="Times New Roman" w:hAnsi="Times New Roman"/>
          <w:sz w:val="28"/>
          <w:szCs w:val="28"/>
        </w:rPr>
        <w:t xml:space="preserve">-Alcance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RECURSO DE APELACION</w:t>
      </w:r>
      <w:r w:rsidRPr="00DF77C8">
        <w:rPr>
          <w:rFonts w:ascii="Times New Roman" w:hAnsi="Times New Roman"/>
          <w:sz w:val="28"/>
          <w:szCs w:val="28"/>
        </w:rPr>
        <w:t xml:space="preserve">-Finalidad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OMISIÓN LEGISLATIVA RELATIVA</w:t>
      </w:r>
      <w:r w:rsidRPr="00DF77C8">
        <w:rPr>
          <w:rFonts w:ascii="Times New Roman" w:hAnsi="Times New Roman"/>
          <w:sz w:val="28"/>
          <w:szCs w:val="28"/>
        </w:rPr>
        <w:t xml:space="preserve">-Elementos que la configuran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4974D0">
      <w:pPr>
        <w:widowControl w:val="0"/>
        <w:autoSpaceDE w:val="0"/>
        <w:autoSpaceDN w:val="0"/>
        <w:adjustRightInd w:val="0"/>
        <w:spacing w:after="0" w:line="240" w:lineRule="auto"/>
        <w:jc w:val="both"/>
        <w:rPr>
          <w:rFonts w:ascii="Times New Roman" w:hAnsi="Times New Roman"/>
          <w:sz w:val="28"/>
          <w:szCs w:val="28"/>
        </w:rPr>
      </w:pPr>
      <w:r w:rsidRPr="00DF77C8">
        <w:rPr>
          <w:rFonts w:ascii="Times New Roman" w:hAnsi="Times New Roman"/>
          <w:b/>
          <w:bCs/>
          <w:sz w:val="28"/>
          <w:szCs w:val="28"/>
        </w:rPr>
        <w:t>OMISIÓN LEGISLATIVA RELATIVA EN MATERIA PENAL</w:t>
      </w:r>
      <w:r w:rsidRPr="00DF77C8">
        <w:rPr>
          <w:rFonts w:ascii="Times New Roman" w:hAnsi="Times New Roman"/>
          <w:sz w:val="28"/>
          <w:szCs w:val="28"/>
        </w:rPr>
        <w:t xml:space="preserve">-Alcance </w:t>
      </w:r>
    </w:p>
    <w:p w:rsidR="008F170D" w:rsidRPr="00DF77C8" w:rsidRDefault="008F170D">
      <w:pPr>
        <w:widowControl w:val="0"/>
        <w:autoSpaceDE w:val="0"/>
        <w:autoSpaceDN w:val="0"/>
        <w:adjustRightInd w:val="0"/>
        <w:spacing w:after="0" w:line="240" w:lineRule="auto"/>
        <w:jc w:val="both"/>
        <w:rPr>
          <w:rFonts w:ascii="Times New Roman" w:hAnsi="Times New Roman"/>
          <w:sz w:val="28"/>
          <w:szCs w:val="28"/>
        </w:rPr>
      </w:pPr>
    </w:p>
    <w:p w:rsidR="008F170D" w:rsidRPr="00DF77C8" w:rsidRDefault="00DF77C8">
      <w:pPr>
        <w:widowControl w:val="0"/>
        <w:autoSpaceDE w:val="0"/>
        <w:autoSpaceDN w:val="0"/>
        <w:adjustRightInd w:val="0"/>
        <w:spacing w:after="0" w:line="240" w:lineRule="auto"/>
        <w:jc w:val="both"/>
        <w:rPr>
          <w:rFonts w:ascii="Times New Roman" w:hAnsi="Times New Roman"/>
          <w:sz w:val="28"/>
        </w:rPr>
      </w:pPr>
      <w:r w:rsidRPr="00DF77C8">
        <w:rPr>
          <w:rFonts w:ascii="Times New Roman" w:hAnsi="Times New Roman"/>
          <w:sz w:val="28"/>
          <w:szCs w:val="28"/>
        </w:rPr>
        <w:pict>
          <v:rect id="_x0000_i1025" style="width:0;height:1.5pt" o:hralign="center" o:hrstd="t" o:hr="t" fillcolor="#a0a0a0" stroked="f"/>
        </w:pict>
      </w:r>
    </w:p>
    <w:p w:rsidR="00801F94" w:rsidRPr="00DF77C8" w:rsidRDefault="00DF77C8" w:rsidP="000B7D08">
      <w:pPr>
        <w:pStyle w:val="Ttulo1"/>
        <w:tabs>
          <w:tab w:val="clear" w:pos="709"/>
        </w:tabs>
        <w:ind w:left="0" w:firstLine="0"/>
        <w:rPr>
          <w:sz w:val="28"/>
          <w:szCs w:val="28"/>
        </w:rPr>
      </w:pPr>
      <w:r w:rsidRPr="00DF77C8">
        <w:rPr>
          <w:sz w:val="28"/>
          <w:szCs w:val="28"/>
        </w:rPr>
        <w:t>REPÚBLICA DE COLOMBIA</w:t>
      </w:r>
    </w:p>
    <w:p w:rsidR="00801F94" w:rsidRPr="00DF77C8" w:rsidRDefault="00DF77C8" w:rsidP="000B7D08">
      <w:pPr>
        <w:ind w:left="567"/>
        <w:jc w:val="center"/>
        <w:rPr>
          <w:rFonts w:ascii="Times New Roman" w:hAnsi="Times New Roman"/>
          <w:b/>
          <w:sz w:val="28"/>
          <w:szCs w:val="28"/>
        </w:rPr>
      </w:pPr>
      <w:r w:rsidRPr="00DF77C8">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style="width:60pt;height:60pt;visibility:visible;mso-wrap-style:square">
            <v:imagedata r:id="rId7" o:title=""/>
          </v:shape>
        </w:pict>
      </w:r>
    </w:p>
    <w:p w:rsidR="00801F94" w:rsidRPr="00DF77C8" w:rsidRDefault="00DF77C8" w:rsidP="000B7D08">
      <w:pPr>
        <w:pStyle w:val="Ttulo1"/>
        <w:tabs>
          <w:tab w:val="clear" w:pos="709"/>
        </w:tabs>
        <w:ind w:left="0" w:firstLine="0"/>
        <w:rPr>
          <w:sz w:val="28"/>
          <w:szCs w:val="28"/>
        </w:rPr>
      </w:pPr>
      <w:r w:rsidRPr="00DF77C8">
        <w:rPr>
          <w:sz w:val="28"/>
          <w:szCs w:val="28"/>
        </w:rPr>
        <w:t>CORTE CONSTITUCIONAL</w:t>
      </w:r>
    </w:p>
    <w:p w:rsidR="00801F94" w:rsidRPr="00DF77C8" w:rsidRDefault="00DF77C8" w:rsidP="000B7D08">
      <w:pPr>
        <w:pStyle w:val="Ttulo1"/>
        <w:ind w:left="1417" w:firstLine="0"/>
        <w:rPr>
          <w:sz w:val="28"/>
          <w:szCs w:val="28"/>
        </w:rPr>
      </w:pPr>
    </w:p>
    <w:p w:rsidR="00801F94" w:rsidRPr="00DF77C8" w:rsidRDefault="00DF77C8" w:rsidP="008A4B21">
      <w:pPr>
        <w:pStyle w:val="Ttulo1"/>
        <w:ind w:left="1417" w:firstLine="0"/>
        <w:rPr>
          <w:sz w:val="28"/>
          <w:szCs w:val="28"/>
        </w:rPr>
      </w:pPr>
      <w:r w:rsidRPr="00DF77C8">
        <w:rPr>
          <w:sz w:val="28"/>
          <w:szCs w:val="28"/>
        </w:rPr>
        <w:t>SENTENCIA C-</w:t>
      </w:r>
      <w:r w:rsidRPr="00DF77C8">
        <w:rPr>
          <w:sz w:val="28"/>
          <w:szCs w:val="28"/>
        </w:rPr>
        <w:t xml:space="preserve">148 </w:t>
      </w:r>
      <w:r w:rsidRPr="00DF77C8">
        <w:rPr>
          <w:sz w:val="28"/>
          <w:szCs w:val="28"/>
        </w:rPr>
        <w:t xml:space="preserve">DE </w:t>
      </w:r>
      <w:r w:rsidRPr="00DF77C8">
        <w:rPr>
          <w:sz w:val="28"/>
          <w:szCs w:val="28"/>
        </w:rPr>
        <w:t>2024</w:t>
      </w:r>
      <w:r w:rsidRPr="00DF77C8">
        <w:rPr>
          <w:sz w:val="28"/>
          <w:szCs w:val="28"/>
        </w:rPr>
        <w:br/>
      </w:r>
    </w:p>
    <w:p w:rsidR="00801F94" w:rsidRPr="00DF77C8" w:rsidRDefault="00DF77C8" w:rsidP="008A4B21">
      <w:pPr>
        <w:ind w:left="4394" w:right="51"/>
        <w:rPr>
          <w:rFonts w:ascii="Times New Roman" w:hAnsi="Times New Roman"/>
          <w:sz w:val="28"/>
          <w:szCs w:val="28"/>
        </w:rPr>
      </w:pPr>
      <w:r w:rsidRPr="00DF77C8">
        <w:rPr>
          <w:rFonts w:ascii="Times New Roman" w:hAnsi="Times New Roman"/>
          <w:b/>
          <w:sz w:val="28"/>
          <w:szCs w:val="28"/>
        </w:rPr>
        <w:t>Ref.:</w:t>
      </w:r>
      <w:r w:rsidRPr="00DF77C8">
        <w:rPr>
          <w:rFonts w:ascii="Times New Roman" w:hAnsi="Times New Roman"/>
          <w:sz w:val="28"/>
          <w:szCs w:val="28"/>
        </w:rPr>
        <w:t xml:space="preserve"> </w:t>
      </w:r>
      <w:r w:rsidRPr="00DF77C8">
        <w:rPr>
          <w:rFonts w:ascii="Times New Roman" w:hAnsi="Times New Roman"/>
          <w:sz w:val="28"/>
          <w:szCs w:val="28"/>
        </w:rPr>
        <w:t>E</w:t>
      </w:r>
      <w:r w:rsidRPr="00DF77C8">
        <w:rPr>
          <w:rFonts w:ascii="Times New Roman" w:hAnsi="Times New Roman"/>
          <w:sz w:val="28"/>
          <w:szCs w:val="28"/>
        </w:rPr>
        <w:t>xpediente D-15458</w:t>
      </w:r>
    </w:p>
    <w:p w:rsidR="00801F94" w:rsidRPr="00DF77C8" w:rsidRDefault="00DF77C8" w:rsidP="008A4B21">
      <w:pPr>
        <w:tabs>
          <w:tab w:val="left" w:pos="3960"/>
        </w:tabs>
        <w:ind w:left="4394" w:right="51"/>
        <w:rPr>
          <w:rFonts w:ascii="Times New Roman" w:hAnsi="Times New Roman"/>
          <w:sz w:val="28"/>
          <w:szCs w:val="28"/>
        </w:rPr>
      </w:pPr>
    </w:p>
    <w:p w:rsidR="00801F94" w:rsidRPr="00DF77C8" w:rsidRDefault="00DF77C8" w:rsidP="008A4B21">
      <w:pPr>
        <w:tabs>
          <w:tab w:val="left" w:pos="3960"/>
        </w:tabs>
        <w:ind w:left="4394" w:right="51"/>
        <w:jc w:val="both"/>
        <w:rPr>
          <w:rFonts w:ascii="Times New Roman" w:hAnsi="Times New Roman"/>
          <w:sz w:val="28"/>
          <w:szCs w:val="28"/>
        </w:rPr>
      </w:pPr>
      <w:r w:rsidRPr="00DF77C8">
        <w:rPr>
          <w:rFonts w:ascii="Times New Roman" w:hAnsi="Times New Roman"/>
          <w:sz w:val="28"/>
          <w:szCs w:val="28"/>
        </w:rPr>
        <w:t xml:space="preserve">Demanda de inconstitucionalidad contra los artículos 32 y 39, parágrafo primero, de la Ley 906 de 2004.  </w:t>
      </w:r>
    </w:p>
    <w:p w:rsidR="00801F94" w:rsidRPr="00DF77C8" w:rsidRDefault="00DF77C8" w:rsidP="008A4B21">
      <w:pPr>
        <w:tabs>
          <w:tab w:val="left" w:pos="3960"/>
        </w:tabs>
        <w:ind w:left="4394" w:right="51"/>
        <w:jc w:val="both"/>
        <w:rPr>
          <w:rFonts w:ascii="Times New Roman" w:hAnsi="Times New Roman"/>
          <w:sz w:val="28"/>
          <w:szCs w:val="28"/>
        </w:rPr>
      </w:pPr>
    </w:p>
    <w:p w:rsidR="00801F94" w:rsidRPr="00DF77C8" w:rsidRDefault="00DF77C8" w:rsidP="008A4B21">
      <w:pPr>
        <w:tabs>
          <w:tab w:val="left" w:pos="3960"/>
        </w:tabs>
        <w:ind w:left="4394" w:right="51"/>
        <w:jc w:val="both"/>
        <w:rPr>
          <w:rFonts w:ascii="Times New Roman" w:hAnsi="Times New Roman"/>
          <w:sz w:val="28"/>
          <w:szCs w:val="28"/>
        </w:rPr>
      </w:pPr>
      <w:r w:rsidRPr="00DF77C8">
        <w:rPr>
          <w:rFonts w:ascii="Times New Roman" w:hAnsi="Times New Roman"/>
          <w:sz w:val="28"/>
          <w:szCs w:val="28"/>
        </w:rPr>
        <w:t>Demandante: Simón Rojas Cossio</w:t>
      </w:r>
    </w:p>
    <w:p w:rsidR="00801F94" w:rsidRPr="00DF77C8" w:rsidRDefault="00DF77C8" w:rsidP="008A4B21">
      <w:pPr>
        <w:tabs>
          <w:tab w:val="left" w:pos="2520"/>
        </w:tabs>
        <w:ind w:left="4394" w:right="51"/>
        <w:rPr>
          <w:rFonts w:ascii="Times New Roman" w:hAnsi="Times New Roman"/>
          <w:sz w:val="28"/>
          <w:szCs w:val="28"/>
        </w:rPr>
      </w:pPr>
    </w:p>
    <w:p w:rsidR="00801F94" w:rsidRPr="00DF77C8" w:rsidRDefault="00DF77C8" w:rsidP="008A4B21">
      <w:pPr>
        <w:tabs>
          <w:tab w:val="left" w:pos="2520"/>
        </w:tabs>
        <w:ind w:left="4394" w:right="51"/>
        <w:rPr>
          <w:rFonts w:ascii="Times New Roman" w:hAnsi="Times New Roman"/>
          <w:sz w:val="28"/>
          <w:szCs w:val="28"/>
        </w:rPr>
      </w:pPr>
      <w:r w:rsidRPr="00DF77C8">
        <w:rPr>
          <w:rFonts w:ascii="Times New Roman" w:hAnsi="Times New Roman"/>
          <w:sz w:val="28"/>
          <w:szCs w:val="28"/>
        </w:rPr>
        <w:t>Magistrada Sustanciadora:</w:t>
      </w:r>
    </w:p>
    <w:p w:rsidR="00801F94" w:rsidRPr="00DF77C8" w:rsidRDefault="00DF77C8" w:rsidP="008A4B21">
      <w:pPr>
        <w:tabs>
          <w:tab w:val="left" w:pos="2520"/>
        </w:tabs>
        <w:ind w:left="4394" w:right="51"/>
        <w:rPr>
          <w:rFonts w:ascii="Times New Roman" w:hAnsi="Times New Roman"/>
          <w:sz w:val="28"/>
          <w:szCs w:val="28"/>
        </w:rPr>
      </w:pPr>
      <w:r w:rsidRPr="00DF77C8">
        <w:rPr>
          <w:rFonts w:ascii="Times New Roman" w:hAnsi="Times New Roman"/>
          <w:sz w:val="28"/>
          <w:szCs w:val="28"/>
        </w:rPr>
        <w:t>CRISTINA PARDO SCHLESINGER</w:t>
      </w:r>
    </w:p>
    <w:p w:rsidR="00801F94" w:rsidRPr="00DF77C8" w:rsidRDefault="00DF77C8" w:rsidP="008A4B21">
      <w:pPr>
        <w:ind w:left="708"/>
        <w:jc w:val="center"/>
        <w:rPr>
          <w:rFonts w:ascii="Times New Roman" w:hAnsi="Times New Roman"/>
          <w:sz w:val="28"/>
          <w:szCs w:val="28"/>
        </w:rPr>
      </w:pPr>
    </w:p>
    <w:p w:rsidR="000B7D08" w:rsidRPr="00DF77C8" w:rsidRDefault="00DF77C8" w:rsidP="008A4B21">
      <w:pPr>
        <w:ind w:left="708"/>
        <w:jc w:val="center"/>
        <w:rPr>
          <w:rFonts w:ascii="Times New Roman" w:hAnsi="Times New Roman"/>
          <w:sz w:val="28"/>
          <w:szCs w:val="28"/>
        </w:rPr>
      </w:pPr>
    </w:p>
    <w:p w:rsidR="00801F94" w:rsidRPr="00DF77C8" w:rsidRDefault="00DF77C8" w:rsidP="008A4B21">
      <w:pPr>
        <w:rPr>
          <w:rFonts w:ascii="Times New Roman" w:hAnsi="Times New Roman"/>
          <w:sz w:val="28"/>
          <w:szCs w:val="28"/>
        </w:rPr>
      </w:pPr>
      <w:r w:rsidRPr="00DF77C8">
        <w:rPr>
          <w:rFonts w:ascii="Times New Roman" w:hAnsi="Times New Roman"/>
          <w:sz w:val="28"/>
          <w:szCs w:val="28"/>
        </w:rPr>
        <w:t xml:space="preserve">Bogotá, D.C., </w:t>
      </w:r>
      <w:r w:rsidRPr="00DF77C8">
        <w:rPr>
          <w:rFonts w:ascii="Times New Roman" w:hAnsi="Times New Roman"/>
          <w:sz w:val="28"/>
          <w:szCs w:val="28"/>
        </w:rPr>
        <w:t>dos</w:t>
      </w:r>
      <w:r w:rsidRPr="00DF77C8">
        <w:rPr>
          <w:rFonts w:ascii="Times New Roman" w:hAnsi="Times New Roman"/>
          <w:sz w:val="28"/>
          <w:szCs w:val="28"/>
        </w:rPr>
        <w:t xml:space="preserve"> (</w:t>
      </w:r>
      <w:r w:rsidRPr="00DF77C8">
        <w:rPr>
          <w:rFonts w:ascii="Times New Roman" w:hAnsi="Times New Roman"/>
          <w:sz w:val="28"/>
          <w:szCs w:val="28"/>
        </w:rPr>
        <w:t>2</w:t>
      </w:r>
      <w:r w:rsidRPr="00DF77C8">
        <w:rPr>
          <w:rFonts w:ascii="Times New Roman" w:hAnsi="Times New Roman"/>
          <w:sz w:val="28"/>
          <w:szCs w:val="28"/>
        </w:rPr>
        <w:t xml:space="preserve">) de </w:t>
      </w:r>
      <w:r w:rsidRPr="00DF77C8">
        <w:rPr>
          <w:rFonts w:ascii="Times New Roman" w:hAnsi="Times New Roman"/>
          <w:sz w:val="28"/>
          <w:szCs w:val="28"/>
        </w:rPr>
        <w:t>mayo</w:t>
      </w:r>
      <w:r w:rsidRPr="00DF77C8">
        <w:rPr>
          <w:rFonts w:ascii="Times New Roman" w:hAnsi="Times New Roman"/>
          <w:sz w:val="28"/>
          <w:szCs w:val="28"/>
        </w:rPr>
        <w:t xml:space="preserve"> de dos mil veinticuatro (2024)</w:t>
      </w:r>
    </w:p>
    <w:p w:rsidR="00801F94" w:rsidRPr="00DF77C8" w:rsidRDefault="00DF77C8" w:rsidP="008A4B21">
      <w:pPr>
        <w:rPr>
          <w:rFonts w:ascii="Times New Roman" w:hAnsi="Times New Roman"/>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sz w:val="28"/>
          <w:szCs w:val="28"/>
        </w:rPr>
        <w:t xml:space="preserve">La Sala Plena de la Corte Constitucional, en ejercicio de sus atribuciones constitucionales y en cumplimiento de los requisitos y trámites establecidos en el Decreto 2067 de 1991, ha proferido la siguiente </w:t>
      </w:r>
    </w:p>
    <w:p w:rsidR="00801F94" w:rsidRPr="00DF77C8" w:rsidRDefault="00DF77C8" w:rsidP="008A4B21">
      <w:pPr>
        <w:jc w:val="both"/>
        <w:rPr>
          <w:rFonts w:ascii="Times New Roman" w:hAnsi="Times New Roman"/>
          <w:sz w:val="28"/>
          <w:szCs w:val="28"/>
        </w:rPr>
      </w:pPr>
    </w:p>
    <w:p w:rsidR="00801F94" w:rsidRPr="00DF77C8" w:rsidRDefault="00DF77C8" w:rsidP="008A4B21">
      <w:pPr>
        <w:jc w:val="center"/>
        <w:rPr>
          <w:rFonts w:ascii="Times New Roman" w:hAnsi="Times New Roman"/>
          <w:b/>
          <w:sz w:val="28"/>
          <w:szCs w:val="28"/>
        </w:rPr>
      </w:pPr>
      <w:r w:rsidRPr="00DF77C8">
        <w:rPr>
          <w:rFonts w:ascii="Times New Roman" w:hAnsi="Times New Roman"/>
          <w:b/>
          <w:sz w:val="28"/>
          <w:szCs w:val="28"/>
        </w:rPr>
        <w:t>SENTENCIA</w:t>
      </w:r>
    </w:p>
    <w:p w:rsidR="00F07306" w:rsidRPr="00DF77C8" w:rsidRDefault="00DF77C8" w:rsidP="008A4B21">
      <w:pPr>
        <w:rPr>
          <w:rFonts w:ascii="Times New Roman" w:hAnsi="Times New Roman"/>
          <w:b/>
          <w:sz w:val="28"/>
          <w:szCs w:val="28"/>
        </w:rPr>
      </w:pPr>
    </w:p>
    <w:p w:rsidR="00B2353E" w:rsidRPr="00DF77C8" w:rsidRDefault="00DF77C8" w:rsidP="008A4B21">
      <w:pPr>
        <w:rPr>
          <w:rFonts w:ascii="Times New Roman" w:hAnsi="Times New Roman"/>
          <w:b/>
          <w:sz w:val="28"/>
          <w:szCs w:val="28"/>
        </w:rPr>
      </w:pPr>
      <w:r w:rsidRPr="00DF77C8">
        <w:rPr>
          <w:rFonts w:ascii="Times New Roman" w:hAnsi="Times New Roman"/>
          <w:b/>
          <w:sz w:val="28"/>
          <w:szCs w:val="28"/>
        </w:rPr>
        <w:t>Síntesis de la decisión</w:t>
      </w:r>
    </w:p>
    <w:p w:rsidR="00B2353E" w:rsidRPr="00DF77C8" w:rsidRDefault="00DF77C8" w:rsidP="008A4B21">
      <w:pPr>
        <w:jc w:val="both"/>
        <w:rPr>
          <w:rFonts w:ascii="Times New Roman" w:hAnsi="Times New Roman"/>
          <w:sz w:val="28"/>
          <w:szCs w:val="28"/>
        </w:rPr>
      </w:pPr>
    </w:p>
    <w:p w:rsidR="00B2353E" w:rsidRPr="00DF77C8" w:rsidRDefault="00DF77C8" w:rsidP="008A4B21">
      <w:pPr>
        <w:jc w:val="both"/>
        <w:rPr>
          <w:rFonts w:ascii="Times New Roman" w:hAnsi="Times New Roman"/>
          <w:sz w:val="28"/>
          <w:szCs w:val="28"/>
        </w:rPr>
      </w:pPr>
      <w:r w:rsidRPr="00DF77C8">
        <w:rPr>
          <w:rFonts w:ascii="Times New Roman" w:hAnsi="Times New Roman"/>
          <w:i/>
          <w:sz w:val="28"/>
          <w:szCs w:val="28"/>
        </w:rPr>
        <w:t>Demanda de inconstitucionalidad</w:t>
      </w:r>
      <w:r w:rsidRPr="00DF77C8">
        <w:rPr>
          <w:rFonts w:ascii="Times New Roman" w:hAnsi="Times New Roman"/>
          <w:sz w:val="28"/>
          <w:szCs w:val="28"/>
        </w:rPr>
        <w:t xml:space="preserve">. </w:t>
      </w:r>
      <w:r w:rsidRPr="00DF77C8">
        <w:rPr>
          <w:rFonts w:ascii="Times New Roman" w:hAnsi="Times New Roman"/>
          <w:sz w:val="28"/>
          <w:szCs w:val="28"/>
        </w:rPr>
        <w:t>La Corte Constitucional admitió una demanda contra el artículo 32 y parágrafo primero del artículo 39 de la Ley 906 de 2004, en la que se planteó como único cargo la omisión legislativa relativa con</w:t>
      </w:r>
      <w:r w:rsidRPr="00DF77C8">
        <w:rPr>
          <w:rFonts w:ascii="Times New Roman" w:hAnsi="Times New Roman"/>
          <w:sz w:val="28"/>
          <w:szCs w:val="28"/>
        </w:rPr>
        <w:t xml:space="preserve"> fundamento en que, a pesar de que el legislador estableció el recurso ordinario de apelación respecto de las providencias adoptadas por los jueces con funciones de control de garantías, en el caso en el que estas son proferidas por un magistrado de la Sal</w:t>
      </w:r>
      <w:r w:rsidRPr="00DF77C8">
        <w:rPr>
          <w:rFonts w:ascii="Times New Roman" w:hAnsi="Times New Roman"/>
          <w:sz w:val="28"/>
          <w:szCs w:val="28"/>
        </w:rPr>
        <w:t>a Penal del Tribunal Superior de Bogotá, no existe la posibilidad de materializar esta garantía, porque el legislador no atribuyó la competencia para resolverlo a la autoridad judicial que funja como su superior funcional. Lo anterior, explicó el demandant</w:t>
      </w:r>
      <w:r w:rsidRPr="00DF77C8">
        <w:rPr>
          <w:rFonts w:ascii="Times New Roman" w:hAnsi="Times New Roman"/>
          <w:sz w:val="28"/>
          <w:szCs w:val="28"/>
        </w:rPr>
        <w:t>e, constituye una vulneración de los derechos fundamentales a la igualdad, al debido proceso, al acceso a la administración de justicia y a la protección judicial.</w:t>
      </w:r>
    </w:p>
    <w:p w:rsidR="00B2353E" w:rsidRPr="00DF77C8" w:rsidRDefault="00DF77C8" w:rsidP="008A4B21">
      <w:pPr>
        <w:jc w:val="both"/>
        <w:rPr>
          <w:rFonts w:ascii="Times New Roman" w:hAnsi="Times New Roman"/>
          <w:sz w:val="28"/>
          <w:szCs w:val="28"/>
        </w:rPr>
      </w:pPr>
    </w:p>
    <w:p w:rsidR="000E55A1" w:rsidRPr="00DF77C8" w:rsidRDefault="00DF77C8" w:rsidP="008A4B21">
      <w:pPr>
        <w:jc w:val="both"/>
        <w:rPr>
          <w:rFonts w:ascii="Times New Roman" w:hAnsi="Times New Roman"/>
          <w:sz w:val="28"/>
          <w:szCs w:val="28"/>
        </w:rPr>
      </w:pPr>
      <w:r w:rsidRPr="00DF77C8">
        <w:rPr>
          <w:rFonts w:ascii="Times New Roman" w:hAnsi="Times New Roman"/>
          <w:i/>
          <w:sz w:val="28"/>
          <w:szCs w:val="28"/>
        </w:rPr>
        <w:t>Cuestiones previas y consideraciones</w:t>
      </w:r>
      <w:r w:rsidRPr="00DF77C8">
        <w:rPr>
          <w:rFonts w:ascii="Times New Roman" w:hAnsi="Times New Roman"/>
          <w:sz w:val="28"/>
          <w:szCs w:val="28"/>
        </w:rPr>
        <w:t xml:space="preserve">. </w:t>
      </w:r>
      <w:r w:rsidRPr="00DF77C8">
        <w:rPr>
          <w:rFonts w:ascii="Times New Roman" w:hAnsi="Times New Roman"/>
          <w:sz w:val="28"/>
          <w:szCs w:val="28"/>
        </w:rPr>
        <w:t>Luego de analizada la demanda, esta Corporación encon</w:t>
      </w:r>
      <w:r w:rsidRPr="00DF77C8">
        <w:rPr>
          <w:rFonts w:ascii="Times New Roman" w:hAnsi="Times New Roman"/>
          <w:sz w:val="28"/>
          <w:szCs w:val="28"/>
        </w:rPr>
        <w:t>tró acreditados los requisitos exigidos para el planteamiento del cargo y procedió a analizarlo. Para ello, primero se ocupó de resolver como cuestiones previas: (i) la aptitud de la demanda; (ii) la vigencia de la norma demandada y (iii) la solicitud de l</w:t>
      </w:r>
      <w:r w:rsidRPr="00DF77C8">
        <w:rPr>
          <w:rFonts w:ascii="Times New Roman" w:hAnsi="Times New Roman"/>
          <w:sz w:val="28"/>
          <w:szCs w:val="28"/>
        </w:rPr>
        <w:t>a integración de la unidad normativa. A continuación, reiteró la jurisprudencia constitucional en torno a la libertad de configuración legislativa en materia penal, en particular, lo relacionado con la regulación de la doble instancia y cómo este principio</w:t>
      </w:r>
      <w:r w:rsidRPr="00DF77C8">
        <w:rPr>
          <w:rFonts w:ascii="Times New Roman" w:hAnsi="Times New Roman"/>
          <w:sz w:val="28"/>
          <w:szCs w:val="28"/>
        </w:rPr>
        <w:t xml:space="preserve"> o garantía se encuentra estrechamente relacionado con los derechos fundamentales al debido proceso y al acceso a la administración de justicia. Asimismo, se refirió a las funciones constitucionales del juez de control de garantías y a los elementos necesa</w:t>
      </w:r>
      <w:r w:rsidRPr="00DF77C8">
        <w:rPr>
          <w:rFonts w:ascii="Times New Roman" w:hAnsi="Times New Roman"/>
          <w:sz w:val="28"/>
          <w:szCs w:val="28"/>
        </w:rPr>
        <w:t>rios para verificar la configuración de la omisión legislativa relativa.</w:t>
      </w:r>
    </w:p>
    <w:p w:rsidR="000E55A1" w:rsidRPr="00DF77C8" w:rsidRDefault="00DF77C8" w:rsidP="008A4B21">
      <w:pPr>
        <w:jc w:val="both"/>
        <w:rPr>
          <w:rFonts w:ascii="Times New Roman" w:hAnsi="Times New Roman"/>
          <w:sz w:val="28"/>
          <w:szCs w:val="28"/>
        </w:rPr>
      </w:pPr>
    </w:p>
    <w:p w:rsidR="00B2353E" w:rsidRPr="00DF77C8" w:rsidRDefault="00DF77C8" w:rsidP="008A4B21">
      <w:pPr>
        <w:jc w:val="both"/>
        <w:rPr>
          <w:rFonts w:ascii="Times New Roman" w:hAnsi="Times New Roman"/>
          <w:sz w:val="28"/>
          <w:szCs w:val="28"/>
        </w:rPr>
      </w:pPr>
      <w:r w:rsidRPr="00DF77C8">
        <w:rPr>
          <w:rFonts w:ascii="Times New Roman" w:hAnsi="Times New Roman"/>
          <w:sz w:val="28"/>
          <w:szCs w:val="28"/>
        </w:rPr>
        <w:t xml:space="preserve">Después </w:t>
      </w:r>
      <w:r w:rsidRPr="00DF77C8">
        <w:rPr>
          <w:rFonts w:ascii="Times New Roman" w:hAnsi="Times New Roman"/>
          <w:sz w:val="28"/>
          <w:szCs w:val="28"/>
        </w:rPr>
        <w:t xml:space="preserve">de </w:t>
      </w:r>
      <w:r w:rsidRPr="00DF77C8">
        <w:rPr>
          <w:rFonts w:ascii="Times New Roman" w:hAnsi="Times New Roman"/>
          <w:sz w:val="28"/>
          <w:szCs w:val="28"/>
        </w:rPr>
        <w:t>estudiar</w:t>
      </w:r>
      <w:r w:rsidRPr="00DF77C8">
        <w:rPr>
          <w:rFonts w:ascii="Times New Roman" w:hAnsi="Times New Roman"/>
          <w:sz w:val="28"/>
          <w:szCs w:val="28"/>
        </w:rPr>
        <w:t xml:space="preserve"> los elementos señalados en la jurisprudencia constitucional respecto al cargo de omisión legislativa planteado, la Corte constató que la ausencia de regulación re</w:t>
      </w:r>
      <w:r w:rsidRPr="00DF77C8">
        <w:rPr>
          <w:rFonts w:ascii="Times New Roman" w:hAnsi="Times New Roman"/>
          <w:sz w:val="28"/>
          <w:szCs w:val="28"/>
        </w:rPr>
        <w:t>specto de la autoridad que debe conocer del recurso de apelación contra las decisiones proferidas por el(la) magistrado(a) del Tribunal Superior de Bogotá en sede de control de garantías, desconoce en efecto, los derechos invocados por el demandante.</w:t>
      </w:r>
    </w:p>
    <w:p w:rsidR="000E55A1" w:rsidRPr="00DF77C8" w:rsidRDefault="00DF77C8" w:rsidP="008A4B21">
      <w:pPr>
        <w:jc w:val="both"/>
        <w:rPr>
          <w:rFonts w:ascii="Times New Roman" w:hAnsi="Times New Roman"/>
          <w:sz w:val="28"/>
          <w:szCs w:val="28"/>
        </w:rPr>
      </w:pPr>
    </w:p>
    <w:p w:rsidR="00B972BC" w:rsidRPr="00DF77C8" w:rsidRDefault="00DF77C8" w:rsidP="008A4B21">
      <w:pPr>
        <w:jc w:val="both"/>
        <w:rPr>
          <w:rFonts w:ascii="Times New Roman" w:hAnsi="Times New Roman"/>
          <w:sz w:val="28"/>
          <w:szCs w:val="28"/>
        </w:rPr>
      </w:pPr>
      <w:r w:rsidRPr="00DF77C8">
        <w:rPr>
          <w:rFonts w:ascii="Times New Roman" w:hAnsi="Times New Roman"/>
          <w:i/>
          <w:sz w:val="28"/>
          <w:szCs w:val="28"/>
        </w:rPr>
        <w:t>Caso</w:t>
      </w:r>
      <w:r w:rsidRPr="00DF77C8">
        <w:rPr>
          <w:rFonts w:ascii="Times New Roman" w:hAnsi="Times New Roman"/>
          <w:i/>
          <w:sz w:val="28"/>
          <w:szCs w:val="28"/>
        </w:rPr>
        <w:t xml:space="preserve"> concreto.</w:t>
      </w:r>
      <w:r w:rsidRPr="00DF77C8">
        <w:rPr>
          <w:rFonts w:ascii="Times New Roman" w:hAnsi="Times New Roman"/>
          <w:sz w:val="28"/>
          <w:szCs w:val="28"/>
        </w:rPr>
        <w:t xml:space="preserve"> </w:t>
      </w:r>
      <w:r w:rsidRPr="00DF77C8">
        <w:rPr>
          <w:rFonts w:ascii="Times New Roman" w:hAnsi="Times New Roman"/>
          <w:sz w:val="28"/>
          <w:szCs w:val="28"/>
        </w:rPr>
        <w:t>La Sala concluyó que, en el asunto analizado, el legislador estableció el recurso de apelación en los términos anotados en el Código de Procedimiento Penal sin introducir excepción alguna para su ejercicio relacionada con la calidad del sujeto i</w:t>
      </w:r>
      <w:r w:rsidRPr="00DF77C8">
        <w:rPr>
          <w:rFonts w:ascii="Times New Roman" w:hAnsi="Times New Roman"/>
          <w:sz w:val="28"/>
          <w:szCs w:val="28"/>
        </w:rPr>
        <w:t>ndiciado o investigado, como los aforados constitucionales del artículo 235, numeral 5º, superior. Y advirtió que en materia penal las excepciones a la doble instancia deben consagrarse de manera expresa como también que esta garantía no puede interpretars</w:t>
      </w:r>
      <w:r w:rsidRPr="00DF77C8">
        <w:rPr>
          <w:rFonts w:ascii="Times New Roman" w:hAnsi="Times New Roman"/>
          <w:sz w:val="28"/>
          <w:szCs w:val="28"/>
        </w:rPr>
        <w:t>e de manera restrictiva.</w:t>
      </w:r>
    </w:p>
    <w:p w:rsidR="00B972BC" w:rsidRPr="00DF77C8" w:rsidRDefault="00DF77C8" w:rsidP="008A4B21">
      <w:pPr>
        <w:jc w:val="both"/>
        <w:rPr>
          <w:rFonts w:ascii="Times New Roman" w:hAnsi="Times New Roman"/>
          <w:sz w:val="28"/>
          <w:szCs w:val="28"/>
        </w:rPr>
      </w:pPr>
    </w:p>
    <w:p w:rsidR="00B972BC" w:rsidRPr="00DF77C8" w:rsidRDefault="00DF77C8" w:rsidP="008A4B21">
      <w:pPr>
        <w:jc w:val="both"/>
        <w:rPr>
          <w:rFonts w:ascii="Times New Roman" w:hAnsi="Times New Roman"/>
          <w:sz w:val="28"/>
          <w:szCs w:val="28"/>
        </w:rPr>
      </w:pPr>
      <w:r w:rsidRPr="00DF77C8">
        <w:rPr>
          <w:rFonts w:ascii="Times New Roman" w:hAnsi="Times New Roman"/>
          <w:sz w:val="28"/>
          <w:szCs w:val="28"/>
        </w:rPr>
        <w:t xml:space="preserve">Igualmente, esta Corporación </w:t>
      </w:r>
      <w:r w:rsidRPr="00DF77C8">
        <w:rPr>
          <w:rFonts w:ascii="Times New Roman" w:hAnsi="Times New Roman"/>
          <w:sz w:val="28"/>
          <w:szCs w:val="28"/>
        </w:rPr>
        <w:t>confirmó</w:t>
      </w:r>
      <w:r w:rsidRPr="00DF77C8">
        <w:rPr>
          <w:rFonts w:ascii="Times New Roman" w:hAnsi="Times New Roman"/>
          <w:sz w:val="28"/>
          <w:szCs w:val="28"/>
        </w:rPr>
        <w:t xml:space="preserve">, tal como lo afirmaron el demandante y algunos intervinientes, que las normas procesales que se aplican en la fase de investigación son las mismas que se aplican a todos los sujetos </w:t>
      </w:r>
      <w:r w:rsidRPr="00DF77C8">
        <w:rPr>
          <w:rFonts w:ascii="Times New Roman" w:hAnsi="Times New Roman"/>
          <w:sz w:val="28"/>
          <w:szCs w:val="28"/>
        </w:rPr>
        <w:t>procesales, sin que en esta etapa sea relevante estar amparado por la figura del fuero constitucional.</w:t>
      </w:r>
    </w:p>
    <w:p w:rsidR="00B972BC" w:rsidRPr="00DF77C8" w:rsidRDefault="00DF77C8" w:rsidP="008A4B21">
      <w:pPr>
        <w:jc w:val="both"/>
        <w:rPr>
          <w:rFonts w:ascii="Times New Roman" w:hAnsi="Times New Roman"/>
          <w:sz w:val="28"/>
          <w:szCs w:val="28"/>
        </w:rPr>
      </w:pPr>
    </w:p>
    <w:p w:rsidR="00B2353E" w:rsidRPr="00DF77C8" w:rsidRDefault="00DF77C8" w:rsidP="008A4B21">
      <w:pPr>
        <w:jc w:val="both"/>
        <w:rPr>
          <w:rFonts w:ascii="Times New Roman" w:hAnsi="Times New Roman"/>
          <w:sz w:val="28"/>
          <w:szCs w:val="28"/>
        </w:rPr>
      </w:pPr>
      <w:r w:rsidRPr="00DF77C8">
        <w:rPr>
          <w:rFonts w:ascii="Times New Roman" w:hAnsi="Times New Roman"/>
          <w:sz w:val="28"/>
          <w:szCs w:val="28"/>
        </w:rPr>
        <w:t>En ese marco, la Sala evidenció que el obstáculo que enfrentan las personas cuyo juez natural es la Corte Suprema de Justicia, es que si bien estas tien</w:t>
      </w:r>
      <w:r w:rsidRPr="00DF77C8">
        <w:rPr>
          <w:rFonts w:ascii="Times New Roman" w:hAnsi="Times New Roman"/>
          <w:sz w:val="28"/>
          <w:szCs w:val="28"/>
        </w:rPr>
        <w:t>en a su disposición el recurso de apelación al igual que las personas que no están amparadas por esa prerrogativa, no pueden materializarlo, porque no se le asignó la competencia de resolverlo a la autoridad judicial que tiene la calidad de superior del ma</w:t>
      </w:r>
      <w:r w:rsidRPr="00DF77C8">
        <w:rPr>
          <w:rFonts w:ascii="Times New Roman" w:hAnsi="Times New Roman"/>
          <w:sz w:val="28"/>
          <w:szCs w:val="28"/>
        </w:rPr>
        <w:t>gistrado o la magistrada de la Sala Penal del Tribunal Superior de Bogotá, esto es, la Corte Suprema de Justicia, Sala Penal.</w:t>
      </w:r>
    </w:p>
    <w:p w:rsidR="00B972BC" w:rsidRPr="00DF77C8" w:rsidRDefault="00DF77C8" w:rsidP="008A4B21">
      <w:pPr>
        <w:jc w:val="both"/>
        <w:rPr>
          <w:rFonts w:ascii="Times New Roman" w:hAnsi="Times New Roman"/>
          <w:sz w:val="28"/>
          <w:szCs w:val="28"/>
        </w:rPr>
      </w:pPr>
    </w:p>
    <w:p w:rsidR="007D4ED4" w:rsidRPr="00DF77C8" w:rsidRDefault="00DF77C8" w:rsidP="008A4B21">
      <w:pPr>
        <w:jc w:val="both"/>
        <w:rPr>
          <w:rFonts w:ascii="Times New Roman" w:hAnsi="Times New Roman"/>
          <w:sz w:val="28"/>
          <w:szCs w:val="28"/>
        </w:rPr>
      </w:pPr>
      <w:r w:rsidRPr="00DF77C8">
        <w:rPr>
          <w:rFonts w:ascii="Times New Roman" w:hAnsi="Times New Roman"/>
          <w:sz w:val="28"/>
          <w:szCs w:val="28"/>
        </w:rPr>
        <w:t>Razón por la cual, la Corte encontró una ausencia de regulación respecto de un recurso judicial que (i) excluye la posibilidad de</w:t>
      </w:r>
      <w:r w:rsidRPr="00DF77C8">
        <w:rPr>
          <w:rFonts w:ascii="Times New Roman" w:hAnsi="Times New Roman"/>
          <w:sz w:val="28"/>
          <w:szCs w:val="28"/>
        </w:rPr>
        <w:t xml:space="preserve"> acceder a su materialización a un grupo de personas que tienen fuero constitucional y; (ii) fue consagrado en términos generales para todo ciudadano en la etapa de investigación, bajo un mismo cuerpo normativo y sistema procesal penal; sin que pueda </w:t>
      </w:r>
      <w:r w:rsidRPr="00DF77C8">
        <w:rPr>
          <w:rFonts w:ascii="Times New Roman" w:hAnsi="Times New Roman"/>
          <w:sz w:val="28"/>
          <w:szCs w:val="28"/>
        </w:rPr>
        <w:t>verif</w:t>
      </w:r>
      <w:r w:rsidRPr="00DF77C8">
        <w:rPr>
          <w:rFonts w:ascii="Times New Roman" w:hAnsi="Times New Roman"/>
          <w:sz w:val="28"/>
          <w:szCs w:val="28"/>
        </w:rPr>
        <w:t>icarse</w:t>
      </w:r>
      <w:r w:rsidRPr="00DF77C8">
        <w:rPr>
          <w:rFonts w:ascii="Times New Roman" w:hAnsi="Times New Roman"/>
          <w:sz w:val="28"/>
          <w:szCs w:val="28"/>
        </w:rPr>
        <w:t xml:space="preserve"> en el ordenamiento jurídico justificación alguna que explique dicho tratamiento diferenciado. Ya que, ante el silencio del Congreso, solo existen inferencias a partir del contenido omitido.</w:t>
      </w:r>
    </w:p>
    <w:p w:rsidR="007D4ED4" w:rsidRPr="00DF77C8" w:rsidRDefault="00DF77C8" w:rsidP="008A4B21">
      <w:pPr>
        <w:jc w:val="both"/>
        <w:rPr>
          <w:rFonts w:ascii="Times New Roman" w:hAnsi="Times New Roman"/>
          <w:sz w:val="28"/>
          <w:szCs w:val="28"/>
        </w:rPr>
      </w:pPr>
    </w:p>
    <w:p w:rsidR="00B2353E" w:rsidRPr="00DF77C8" w:rsidRDefault="00DF77C8" w:rsidP="008A4B21">
      <w:pPr>
        <w:jc w:val="both"/>
        <w:rPr>
          <w:rFonts w:ascii="Times New Roman" w:hAnsi="Times New Roman"/>
          <w:sz w:val="28"/>
          <w:szCs w:val="28"/>
        </w:rPr>
      </w:pPr>
      <w:r w:rsidRPr="00DF77C8">
        <w:rPr>
          <w:rFonts w:ascii="Times New Roman" w:hAnsi="Times New Roman"/>
          <w:sz w:val="28"/>
          <w:szCs w:val="28"/>
        </w:rPr>
        <w:t>En igual sentido, la Corte advirtió que en materia penal l</w:t>
      </w:r>
      <w:r w:rsidRPr="00DF77C8">
        <w:rPr>
          <w:rFonts w:ascii="Times New Roman" w:hAnsi="Times New Roman"/>
          <w:sz w:val="28"/>
          <w:szCs w:val="28"/>
        </w:rPr>
        <w:t>as medidas adoptadas por el legislador, en especial, las que impliquen exclusiones respecto al ejercicio de un recurso, deben tener un criterio claro y consistente que las respalden. De lo contrario, constituyen una medida arbitraria, incompatible con un E</w:t>
      </w:r>
      <w:r w:rsidRPr="00DF77C8">
        <w:rPr>
          <w:rFonts w:ascii="Times New Roman" w:hAnsi="Times New Roman"/>
          <w:sz w:val="28"/>
          <w:szCs w:val="28"/>
        </w:rPr>
        <w:t>stado Social de Derecho.</w:t>
      </w:r>
    </w:p>
    <w:p w:rsidR="007D4ED4" w:rsidRPr="00DF77C8" w:rsidRDefault="00DF77C8" w:rsidP="008A4B21">
      <w:pPr>
        <w:jc w:val="both"/>
        <w:rPr>
          <w:rFonts w:ascii="Times New Roman" w:hAnsi="Times New Roman"/>
          <w:sz w:val="28"/>
          <w:szCs w:val="28"/>
        </w:rPr>
      </w:pPr>
    </w:p>
    <w:p w:rsidR="00B2353E" w:rsidRPr="00DF77C8" w:rsidRDefault="00DF77C8" w:rsidP="008A4B21">
      <w:pPr>
        <w:jc w:val="both"/>
        <w:rPr>
          <w:rFonts w:ascii="Times New Roman" w:hAnsi="Times New Roman"/>
          <w:sz w:val="28"/>
          <w:szCs w:val="28"/>
        </w:rPr>
      </w:pPr>
      <w:r w:rsidRPr="00DF77C8">
        <w:rPr>
          <w:rFonts w:ascii="Times New Roman" w:hAnsi="Times New Roman"/>
          <w:sz w:val="28"/>
          <w:szCs w:val="28"/>
        </w:rPr>
        <w:t xml:space="preserve">En definitiva, concluyó la Sala que no puede encontrarse ninguna razón objetiva que dé cuenta de dicho tratamiento diferenciado y, por tanto, constituye un trato discriminatorio, pues estos ciudadanos no podrán ejercer su derecho </w:t>
      </w:r>
      <w:r w:rsidRPr="00DF77C8">
        <w:rPr>
          <w:rFonts w:ascii="Times New Roman" w:hAnsi="Times New Roman"/>
          <w:sz w:val="28"/>
          <w:szCs w:val="28"/>
        </w:rPr>
        <w:t>a la defensa respecto de las decisiones adoptadas por el magistrado o magistrada del Tribunal Superior de Bogotá, las cuales, como se ha visto, tienen la entidad de afectar o restringir derechos fundamentales de los investigados relacionados con la liberta</w:t>
      </w:r>
      <w:r w:rsidRPr="00DF77C8">
        <w:rPr>
          <w:rFonts w:ascii="Times New Roman" w:hAnsi="Times New Roman"/>
          <w:sz w:val="28"/>
          <w:szCs w:val="28"/>
        </w:rPr>
        <w:t>d, la intimidad y el debido proceso, y también podrían afectar garantías fundamentales de otros sujetos procesales como las víctimas.</w:t>
      </w:r>
    </w:p>
    <w:p w:rsidR="00B210A4" w:rsidRPr="00DF77C8" w:rsidRDefault="00DF77C8" w:rsidP="008A4B21">
      <w:pPr>
        <w:jc w:val="both"/>
        <w:rPr>
          <w:rFonts w:ascii="Times New Roman" w:hAnsi="Times New Roman"/>
          <w:sz w:val="28"/>
          <w:szCs w:val="28"/>
        </w:rPr>
      </w:pPr>
    </w:p>
    <w:p w:rsidR="00D16DDB" w:rsidRPr="00DF77C8" w:rsidRDefault="00DF77C8" w:rsidP="008A4B21">
      <w:pPr>
        <w:jc w:val="both"/>
        <w:rPr>
          <w:rFonts w:ascii="Times New Roman" w:hAnsi="Times New Roman"/>
          <w:sz w:val="28"/>
          <w:szCs w:val="28"/>
        </w:rPr>
      </w:pPr>
      <w:r w:rsidRPr="00DF77C8">
        <w:rPr>
          <w:rFonts w:ascii="Times New Roman" w:hAnsi="Times New Roman"/>
          <w:i/>
          <w:sz w:val="28"/>
          <w:szCs w:val="28"/>
        </w:rPr>
        <w:t>Decisión.</w:t>
      </w:r>
      <w:r w:rsidRPr="00DF77C8">
        <w:rPr>
          <w:rFonts w:ascii="Times New Roman" w:hAnsi="Times New Roman"/>
          <w:sz w:val="28"/>
          <w:szCs w:val="28"/>
        </w:rPr>
        <w:t xml:space="preserve"> </w:t>
      </w:r>
      <w:r w:rsidRPr="00DF77C8">
        <w:rPr>
          <w:rFonts w:ascii="Times New Roman" w:hAnsi="Times New Roman"/>
          <w:sz w:val="28"/>
          <w:szCs w:val="28"/>
        </w:rPr>
        <w:t>Por lo expuesto, declaró la existencia de una omisión legislativa relativa respecto del artículo 32 de la Ley 9</w:t>
      </w:r>
      <w:r w:rsidRPr="00DF77C8">
        <w:rPr>
          <w:rFonts w:ascii="Times New Roman" w:hAnsi="Times New Roman"/>
          <w:sz w:val="28"/>
          <w:szCs w:val="28"/>
        </w:rPr>
        <w:t>06 de 2004, al no existir una regulación expresa sobre la autoridad judicial que debe conocer de los recursos de apelación contra las decisiones del magistrado o de la magistrada de la Sala Penal del Tribunal Superior de Bogotá cuando actúa con funciones d</w:t>
      </w:r>
      <w:r w:rsidRPr="00DF77C8">
        <w:rPr>
          <w:rFonts w:ascii="Times New Roman" w:hAnsi="Times New Roman"/>
          <w:sz w:val="28"/>
          <w:szCs w:val="28"/>
        </w:rPr>
        <w:t>e control de garantías respecto de los aforados constitucionales del numeral 5° del artículo 235 de la Constitución, dado que desconoce el derecho a la igualdad (artículo 13), al debido proceso (artículo 29) y al acceso a la administración de justicia (art</w:t>
      </w:r>
      <w:r w:rsidRPr="00DF77C8">
        <w:rPr>
          <w:rFonts w:ascii="Times New Roman" w:hAnsi="Times New Roman"/>
          <w:sz w:val="28"/>
          <w:szCs w:val="28"/>
        </w:rPr>
        <w:t>ículo 229).</w:t>
      </w:r>
    </w:p>
    <w:p w:rsidR="00D16DDB" w:rsidRPr="00DF77C8" w:rsidRDefault="00DF77C8" w:rsidP="008A4B21">
      <w:pPr>
        <w:jc w:val="both"/>
        <w:rPr>
          <w:rFonts w:ascii="Times New Roman" w:hAnsi="Times New Roman"/>
          <w:sz w:val="28"/>
          <w:szCs w:val="28"/>
        </w:rPr>
      </w:pPr>
    </w:p>
    <w:p w:rsidR="00996863" w:rsidRPr="00DF77C8" w:rsidRDefault="00DF77C8" w:rsidP="008A4B21">
      <w:pPr>
        <w:jc w:val="both"/>
        <w:rPr>
          <w:rFonts w:ascii="Times New Roman" w:hAnsi="Times New Roman"/>
          <w:sz w:val="28"/>
          <w:szCs w:val="28"/>
        </w:rPr>
      </w:pPr>
      <w:r w:rsidRPr="00DF77C8">
        <w:rPr>
          <w:rFonts w:ascii="Times New Roman" w:hAnsi="Times New Roman"/>
          <w:sz w:val="28"/>
          <w:szCs w:val="28"/>
        </w:rPr>
        <w:t>Así las cosas, la Corte declaró la exequibilidad del artículo 32 de la Ley 906 de 2004, condicionada a que se entienda que, mientras el legislador no defina la materia, el recurso de apelación contra las decisiones del magistrado o de la magis</w:t>
      </w:r>
      <w:r w:rsidRPr="00DF77C8">
        <w:rPr>
          <w:rFonts w:ascii="Times New Roman" w:hAnsi="Times New Roman"/>
          <w:sz w:val="28"/>
          <w:szCs w:val="28"/>
        </w:rPr>
        <w:t xml:space="preserve">trada de la Sala Penal del Tribunal Superior de Bogotá que actúe en sede de control de garantías será conocido por un magistrado o magistrada de la instancia de la Sala Penal de la Corte Suprema de Justicia (sea la Sala de Instrucción, la Sala Especial de </w:t>
      </w:r>
      <w:r w:rsidRPr="00DF77C8">
        <w:rPr>
          <w:rFonts w:ascii="Times New Roman" w:hAnsi="Times New Roman"/>
          <w:sz w:val="28"/>
          <w:szCs w:val="28"/>
        </w:rPr>
        <w:t>Primera Instancia o la Sala de Casación) que la Sala de Casación Penal de la Corte</w:t>
      </w:r>
      <w:r w:rsidRPr="00DF77C8">
        <w:rPr>
          <w:rFonts w:ascii="Times New Roman" w:hAnsi="Times New Roman"/>
          <w:sz w:val="28"/>
          <w:szCs w:val="28"/>
        </w:rPr>
        <w:t xml:space="preserve"> Suprema de Justicia decida, según los criterios que estime pertinentes, magistrado (a) que posteriormente no participará del conocimiento del expediente correspondiente, de </w:t>
      </w:r>
      <w:r w:rsidRPr="00DF77C8">
        <w:rPr>
          <w:rFonts w:ascii="Times New Roman" w:hAnsi="Times New Roman"/>
          <w:sz w:val="28"/>
          <w:szCs w:val="28"/>
        </w:rPr>
        <w:t>acuerdo con lo expuesto en la parte motiva de esta providencia.</w:t>
      </w:r>
    </w:p>
    <w:p w:rsidR="00996863" w:rsidRPr="00DF77C8" w:rsidRDefault="00DF77C8" w:rsidP="008A4B21">
      <w:pPr>
        <w:jc w:val="both"/>
        <w:rPr>
          <w:rFonts w:ascii="Times New Roman" w:hAnsi="Times New Roman"/>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sz w:val="28"/>
          <w:szCs w:val="28"/>
        </w:rPr>
        <w:t xml:space="preserve">En los procesos que a la fecha de notificación de esta decisión se encuentren en trámite y en los cuales se hayan adoptado providencias dictadas por un magistrado o magistrada de la Sala </w:t>
      </w:r>
      <w:r w:rsidRPr="00DF77C8">
        <w:rPr>
          <w:rFonts w:ascii="Times New Roman" w:hAnsi="Times New Roman"/>
          <w:sz w:val="28"/>
          <w:szCs w:val="28"/>
        </w:rPr>
        <w:t>Penal del Tribunal Superior de Bogotá actuando como Juez de control de garantías, podrá interponerse el recurso de apelación.</w:t>
      </w:r>
    </w:p>
    <w:p w:rsidR="00D16DDB" w:rsidRPr="00DF77C8" w:rsidRDefault="00DF77C8" w:rsidP="008A4B21">
      <w:pPr>
        <w:jc w:val="both"/>
        <w:rPr>
          <w:rFonts w:ascii="Times New Roman" w:hAnsi="Times New Roman"/>
          <w:b/>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I. ANTECEDENTES</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ejercicio de la acción pública de inconstitucionalidad, el ciudadano Simón Rojas Cossio demandó la constituci</w:t>
      </w:r>
      <w:r w:rsidRPr="00DF77C8">
        <w:rPr>
          <w:rFonts w:ascii="Times New Roman" w:hAnsi="Times New Roman"/>
          <w:color w:val="000000"/>
          <w:sz w:val="28"/>
          <w:szCs w:val="28"/>
        </w:rPr>
        <w:t xml:space="preserve">onalidad del artículo 32 y del parágrafo 1°, del artículo 39 de la Ley 906 de 2004 “Por la cual se expide el Código de Procedimiento Penal”.  </w:t>
      </w:r>
      <w:r w:rsidRPr="00DF77C8">
        <w:rPr>
          <w:rFonts w:ascii="Times New Roman" w:hAnsi="Times New Roman"/>
          <w:color w:val="000000"/>
          <w:sz w:val="28"/>
          <w:szCs w:val="28"/>
        </w:rPr>
        <w:t>Desde su punto de vista</w:t>
      </w:r>
      <w:r w:rsidRPr="00DF77C8">
        <w:rPr>
          <w:rFonts w:ascii="Times New Roman" w:hAnsi="Times New Roman"/>
          <w:color w:val="000000"/>
          <w:sz w:val="28"/>
          <w:szCs w:val="28"/>
        </w:rPr>
        <w:t>, dicha</w:t>
      </w:r>
      <w:r w:rsidRPr="00DF77C8">
        <w:rPr>
          <w:rFonts w:ascii="Times New Roman" w:hAnsi="Times New Roman"/>
          <w:color w:val="000000"/>
          <w:sz w:val="28"/>
          <w:szCs w:val="28"/>
        </w:rPr>
        <w:t>s</w:t>
      </w:r>
      <w:r w:rsidRPr="00DF77C8">
        <w:rPr>
          <w:rFonts w:ascii="Times New Roman" w:hAnsi="Times New Roman"/>
          <w:color w:val="000000"/>
          <w:sz w:val="28"/>
          <w:szCs w:val="28"/>
        </w:rPr>
        <w:t xml:space="preserve"> disposici</w:t>
      </w:r>
      <w:r w:rsidRPr="00DF77C8">
        <w:rPr>
          <w:rFonts w:ascii="Times New Roman" w:hAnsi="Times New Roman"/>
          <w:color w:val="000000"/>
          <w:sz w:val="28"/>
          <w:szCs w:val="28"/>
        </w:rPr>
        <w:t xml:space="preserve">ones </w:t>
      </w:r>
      <w:r w:rsidRPr="00DF77C8">
        <w:rPr>
          <w:rFonts w:ascii="Times New Roman" w:hAnsi="Times New Roman"/>
          <w:color w:val="000000"/>
          <w:sz w:val="28"/>
          <w:szCs w:val="28"/>
        </w:rPr>
        <w:t>vulnera</w:t>
      </w:r>
      <w:r w:rsidRPr="00DF77C8">
        <w:rPr>
          <w:rFonts w:ascii="Times New Roman" w:hAnsi="Times New Roman"/>
          <w:color w:val="000000"/>
          <w:sz w:val="28"/>
          <w:szCs w:val="28"/>
        </w:rPr>
        <w:t>n</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los artículos 13, 29, 229 de la Constitución Política y el </w:t>
      </w:r>
      <w:r w:rsidRPr="00DF77C8">
        <w:rPr>
          <w:rFonts w:ascii="Times New Roman" w:hAnsi="Times New Roman"/>
          <w:color w:val="000000"/>
          <w:sz w:val="28"/>
          <w:szCs w:val="28"/>
        </w:rPr>
        <w:t>artículo 25 (numerales 1° y 2°) de la Convención Americana sobre Derechos Humanos.</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Mediante auto del 7 de septiembre de 2023, la magistrada sustanciadora inadmitió la demanda al no hallar acreditados la totalidad de los requisitos señalados en el artículo 2° del Decreto 2067 de 1991. En particular, por el incumplimiento del requisito de </w:t>
      </w:r>
      <w:r w:rsidRPr="00DF77C8">
        <w:rPr>
          <w:rFonts w:ascii="Times New Roman" w:hAnsi="Times New Roman"/>
          <w:color w:val="000000"/>
          <w:sz w:val="28"/>
          <w:szCs w:val="28"/>
        </w:rPr>
        <w:t xml:space="preserve">certeza. Esto, porque el artículo 39 parcialmente demandado establece la función de control de garantías, pero no regula lo atinente a la competencia en materia de apelación o </w:t>
      </w:r>
      <w:r w:rsidRPr="00DF77C8">
        <w:rPr>
          <w:rFonts w:ascii="Times New Roman" w:hAnsi="Times New Roman"/>
          <w:color w:val="000000"/>
          <w:sz w:val="28"/>
          <w:szCs w:val="28"/>
        </w:rPr>
        <w:t xml:space="preserve">a </w:t>
      </w:r>
      <w:r w:rsidRPr="00DF77C8">
        <w:rPr>
          <w:rFonts w:ascii="Times New Roman" w:hAnsi="Times New Roman"/>
          <w:color w:val="000000"/>
          <w:sz w:val="28"/>
          <w:szCs w:val="28"/>
        </w:rPr>
        <w:t xml:space="preserve">los asuntos atribuidos a la Corte Suprema de Justicia </w:t>
      </w:r>
      <w:r w:rsidRPr="00DF77C8">
        <w:rPr>
          <w:rFonts w:ascii="Times New Roman" w:hAnsi="Times New Roman"/>
          <w:color w:val="000000"/>
          <w:sz w:val="28"/>
          <w:szCs w:val="28"/>
        </w:rPr>
        <w:t>de donde pu</w:t>
      </w:r>
      <w:r w:rsidRPr="00DF77C8">
        <w:rPr>
          <w:rFonts w:ascii="Times New Roman" w:hAnsi="Times New Roman"/>
          <w:color w:val="000000"/>
          <w:sz w:val="28"/>
          <w:szCs w:val="28"/>
        </w:rPr>
        <w:t>eda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derivarse</w:t>
      </w:r>
      <w:r w:rsidRPr="00DF77C8">
        <w:rPr>
          <w:rFonts w:ascii="Times New Roman" w:hAnsi="Times New Roman"/>
          <w:color w:val="000000"/>
          <w:sz w:val="28"/>
          <w:szCs w:val="28"/>
        </w:rPr>
        <w:t xml:space="preserve"> la omisión </w:t>
      </w:r>
      <w:r w:rsidRPr="00DF77C8">
        <w:rPr>
          <w:rFonts w:ascii="Times New Roman" w:hAnsi="Times New Roman"/>
          <w:color w:val="000000"/>
          <w:sz w:val="28"/>
          <w:szCs w:val="28"/>
        </w:rPr>
        <w:t xml:space="preserve">legislativa </w:t>
      </w:r>
      <w:r w:rsidRPr="00DF77C8">
        <w:rPr>
          <w:rFonts w:ascii="Times New Roman" w:hAnsi="Times New Roman"/>
          <w:color w:val="000000"/>
          <w:sz w:val="28"/>
          <w:szCs w:val="28"/>
        </w:rPr>
        <w:t>planteada. Sumado a que</w:t>
      </w:r>
      <w:r w:rsidRPr="00DF77C8">
        <w:rPr>
          <w:rFonts w:ascii="Times New Roman" w:hAnsi="Times New Roman"/>
          <w:color w:val="000000"/>
          <w:sz w:val="28"/>
          <w:szCs w:val="28"/>
        </w:rPr>
        <w:t>, explicó,</w:t>
      </w:r>
      <w:r w:rsidRPr="00DF77C8">
        <w:rPr>
          <w:rFonts w:ascii="Times New Roman" w:hAnsi="Times New Roman"/>
          <w:color w:val="000000"/>
          <w:sz w:val="28"/>
          <w:szCs w:val="28"/>
        </w:rPr>
        <w:t xml:space="preserve"> el actor no satisfizo la carga argumentativa adicional exigida cuando se formula un cargo por omisión legislativa relativa. </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142"/>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El 13 de septiembre de 2023, el demandante corrigió la demanda</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M</w:t>
      </w:r>
      <w:r w:rsidRPr="00DF77C8">
        <w:rPr>
          <w:rFonts w:ascii="Times New Roman" w:hAnsi="Times New Roman"/>
          <w:color w:val="000000"/>
          <w:sz w:val="28"/>
          <w:szCs w:val="28"/>
        </w:rPr>
        <w:t>ediante</w:t>
      </w:r>
      <w:r w:rsidRPr="00DF77C8">
        <w:rPr>
          <w:rFonts w:ascii="Times New Roman" w:hAnsi="Times New Roman"/>
          <w:color w:val="000000"/>
          <w:sz w:val="28"/>
          <w:szCs w:val="28"/>
        </w:rPr>
        <w:t xml:space="preserve"> auto del 27 de septiembre de ese mismo año, la magistrada sustanciadora encontró que el ciudadano había logrado subsanar </w:t>
      </w:r>
      <w:r w:rsidRPr="00DF77C8">
        <w:rPr>
          <w:rFonts w:ascii="Times New Roman" w:hAnsi="Times New Roman"/>
          <w:i/>
          <w:color w:val="000000"/>
          <w:sz w:val="28"/>
          <w:szCs w:val="28"/>
        </w:rPr>
        <w:t>prima facie</w:t>
      </w:r>
      <w:r w:rsidRPr="00DF77C8">
        <w:rPr>
          <w:rFonts w:ascii="Times New Roman" w:hAnsi="Times New Roman"/>
          <w:color w:val="000000"/>
          <w:sz w:val="28"/>
          <w:szCs w:val="28"/>
        </w:rPr>
        <w:t xml:space="preserve"> el yerro identificado, por cuanto (i) precisó el objeto sobre el cual recae su reproche respecto de la omisión legislativa</w:t>
      </w:r>
      <w:r w:rsidRPr="00DF77C8">
        <w:rPr>
          <w:rFonts w:ascii="Times New Roman" w:hAnsi="Times New Roman"/>
          <w:color w:val="000000"/>
          <w:sz w:val="28"/>
          <w:szCs w:val="28"/>
        </w:rPr>
        <w:t xml:space="preserve"> relativa alegada, en el sentido de que esta se deriva no solo del parágrafo 1° del artículo 39 de la Ley 906 de 2004, sino del artículo 32 de esa misma ley, que establece los asuntos que son de conocimiento de la Corte Suprema de Justicia, en materia pena</w:t>
      </w:r>
      <w:r w:rsidRPr="00DF77C8">
        <w:rPr>
          <w:rFonts w:ascii="Times New Roman" w:hAnsi="Times New Roman"/>
          <w:color w:val="000000"/>
          <w:sz w:val="28"/>
          <w:szCs w:val="28"/>
        </w:rPr>
        <w:t xml:space="preserve">l; y (ii) allegó al despacho sustanciador providencias expedidas por el órgano de cierre de la jurisdicción ordinaria penal en las que puede evidenciarse, inicialmente, la postura de dicha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en el sentido de que los autos que decide el magistrado</w:t>
      </w:r>
      <w:r w:rsidRPr="00DF77C8">
        <w:rPr>
          <w:rFonts w:ascii="Times New Roman" w:hAnsi="Times New Roman"/>
          <w:color w:val="000000"/>
          <w:sz w:val="28"/>
          <w:szCs w:val="28"/>
        </w:rPr>
        <w:t xml:space="preserve">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sede de control de garantías, no son susceptibles de ser controvertidas a través del recurso de apelación</w:t>
      </w:r>
      <w:r w:rsidRPr="00DF77C8">
        <w:rPr>
          <w:rFonts w:ascii="Times New Roman" w:hAnsi="Times New Roman"/>
          <w:color w:val="000000"/>
          <w:sz w:val="28"/>
          <w:szCs w:val="28"/>
          <w:vertAlign w:val="superscript"/>
        </w:rPr>
        <w:footnoteReference w:id="1"/>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tabs>
          <w:tab w:val="left" w:pos="142"/>
          <w:tab w:val="left" w:pos="426"/>
        </w:tabs>
        <w:jc w:val="both"/>
        <w:rPr>
          <w:rFonts w:ascii="Times New Roman" w:hAnsi="Times New Roman"/>
          <w:color w:val="000000"/>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b/>
          <w:sz w:val="28"/>
          <w:szCs w:val="28"/>
        </w:rPr>
        <w:t>II. NORMA DEMANDADA</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El texto de la norma demandada, es el siguiente:</w:t>
      </w:r>
    </w:p>
    <w:p w:rsidR="00801F94" w:rsidRPr="00DF77C8" w:rsidRDefault="00DF77C8" w:rsidP="008A4B21">
      <w:pPr>
        <w:jc w:val="both"/>
        <w:rPr>
          <w:rFonts w:ascii="Times New Roman" w:hAnsi="Times New Roman"/>
          <w:sz w:val="28"/>
          <w:szCs w:val="28"/>
        </w:rPr>
      </w:pP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“LEY 906 DE 2004</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(agosto 31)</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Diario Oficial No. 45.658 del 1 de septiembre de 2004</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Por la cual se expide el Código de Procedimiento Penal</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El Congreso de Colombia</w:t>
      </w:r>
    </w:p>
    <w:p w:rsidR="00801F94" w:rsidRPr="00DF77C8" w:rsidRDefault="00DF77C8" w:rsidP="008A4B21">
      <w:pPr>
        <w:ind w:left="567" w:right="335"/>
        <w:jc w:val="center"/>
        <w:rPr>
          <w:rFonts w:ascii="Times New Roman" w:hAnsi="Times New Roman"/>
          <w:sz w:val="28"/>
          <w:szCs w:val="28"/>
        </w:rPr>
      </w:pP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DECRETA:</w:t>
      </w:r>
    </w:p>
    <w:p w:rsidR="00801F94" w:rsidRPr="00DF77C8" w:rsidRDefault="00DF77C8" w:rsidP="008A4B21">
      <w:pPr>
        <w:ind w:left="567" w:right="335"/>
        <w:jc w:val="center"/>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ARTÍCULO 32. DE LA CORTE SUPREMA DE JUSTICIA. (…) La Sala de Casación Penal de la Corte</w:t>
      </w:r>
      <w:r w:rsidRPr="00DF77C8">
        <w:rPr>
          <w:rFonts w:ascii="Times New Roman" w:hAnsi="Times New Roman"/>
          <w:sz w:val="28"/>
          <w:szCs w:val="28"/>
        </w:rPr>
        <w:t xml:space="preserve"> Suprema de Justicia conoce:</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1. De la casación.</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 xml:space="preserve">2. De la acción de revisión cuando la sentencia o la preclusión ejecutoriadas hayan sido proferidas en única o segunda instancia por esta </w:t>
      </w:r>
      <w:r w:rsidRPr="00DF77C8">
        <w:rPr>
          <w:rFonts w:ascii="Times New Roman" w:hAnsi="Times New Roman"/>
          <w:sz w:val="28"/>
          <w:szCs w:val="28"/>
        </w:rPr>
        <w:t>Corporación</w:t>
      </w:r>
      <w:r w:rsidRPr="00DF77C8">
        <w:rPr>
          <w:rFonts w:ascii="Times New Roman" w:hAnsi="Times New Roman"/>
          <w:sz w:val="28"/>
          <w:szCs w:val="28"/>
        </w:rPr>
        <w:t xml:space="preserve"> o por los </w:t>
      </w:r>
      <w:r w:rsidRPr="00DF77C8">
        <w:rPr>
          <w:rFonts w:ascii="Times New Roman" w:hAnsi="Times New Roman"/>
          <w:sz w:val="28"/>
          <w:szCs w:val="28"/>
        </w:rPr>
        <w:t>Tribunal</w:t>
      </w:r>
      <w:r w:rsidRPr="00DF77C8">
        <w:rPr>
          <w:rFonts w:ascii="Times New Roman" w:hAnsi="Times New Roman"/>
          <w:sz w:val="28"/>
          <w:szCs w:val="28"/>
        </w:rPr>
        <w:t>es.</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 xml:space="preserve">3. De la definición de competencia cuando se trate de aforados constitucionales y legales, o de </w:t>
      </w:r>
      <w:r w:rsidRPr="00DF77C8">
        <w:rPr>
          <w:rFonts w:ascii="Times New Roman" w:hAnsi="Times New Roman"/>
          <w:sz w:val="28"/>
          <w:szCs w:val="28"/>
        </w:rPr>
        <w:t>Tribunal</w:t>
      </w:r>
      <w:r w:rsidRPr="00DF77C8">
        <w:rPr>
          <w:rFonts w:ascii="Times New Roman" w:hAnsi="Times New Roman"/>
          <w:sz w:val="28"/>
          <w:szCs w:val="28"/>
        </w:rPr>
        <w:t>es, o de juzgados de diferentes distritos.</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4. Del juzgamiento de los funcionarios a que se refieren los artículos 174 y 235 numeral 2 de la Constitució</w:t>
      </w:r>
      <w:r w:rsidRPr="00DF77C8">
        <w:rPr>
          <w:rFonts w:ascii="Times New Roman" w:hAnsi="Times New Roman"/>
          <w:sz w:val="28"/>
          <w:szCs w:val="28"/>
        </w:rPr>
        <w:t>n Política.</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5. Del juzgamiento de los funcionarios a que se refiere el artículo 235 numeral 4 de la Constitución Política.</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6. De la investigación y juzgamiento de los Senadores y Representantes a la Cámara.</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 xml:space="preserve">7. De las solicitudes de cambio de radicación </w:t>
      </w:r>
      <w:r w:rsidRPr="00DF77C8">
        <w:rPr>
          <w:rFonts w:ascii="Times New Roman" w:hAnsi="Times New Roman"/>
          <w:sz w:val="28"/>
          <w:szCs w:val="28"/>
        </w:rPr>
        <w:t>de procesos penales de un distrito judicial a otro durante el juzgamiento.</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 xml:space="preserve">8. Del juzgamiento del viceprocurador, vicefiscal, magistrados de los consejos seccionales de la judicatura, del </w:t>
      </w:r>
      <w:r w:rsidRPr="00DF77C8">
        <w:rPr>
          <w:rFonts w:ascii="Times New Roman" w:hAnsi="Times New Roman"/>
          <w:sz w:val="28"/>
          <w:szCs w:val="28"/>
        </w:rPr>
        <w:t>Tribunal</w:t>
      </w:r>
      <w:r w:rsidRPr="00DF77C8">
        <w:rPr>
          <w:rFonts w:ascii="Times New Roman" w:hAnsi="Times New Roman"/>
          <w:sz w:val="28"/>
          <w:szCs w:val="28"/>
        </w:rPr>
        <w:t xml:space="preserve"> Superior Militar, del Consejo Nacional Electoral, fiscales</w:t>
      </w:r>
      <w:r w:rsidRPr="00DF77C8">
        <w:rPr>
          <w:rFonts w:ascii="Times New Roman" w:hAnsi="Times New Roman"/>
          <w:sz w:val="28"/>
          <w:szCs w:val="28"/>
        </w:rPr>
        <w:t xml:space="preserve"> delegados ante la Corte Suprema de Justicia y </w:t>
      </w:r>
      <w:r w:rsidRPr="00DF77C8">
        <w:rPr>
          <w:rFonts w:ascii="Times New Roman" w:hAnsi="Times New Roman"/>
          <w:sz w:val="28"/>
          <w:szCs w:val="28"/>
        </w:rPr>
        <w:t>Tribunal</w:t>
      </w:r>
      <w:r w:rsidRPr="00DF77C8">
        <w:rPr>
          <w:rFonts w:ascii="Times New Roman" w:hAnsi="Times New Roman"/>
          <w:sz w:val="28"/>
          <w:szCs w:val="28"/>
        </w:rPr>
        <w:t>es, Procuradores Delegados, Procuradores Judiciales II, Registrador Nacional del Estado Civil, Director Nacional de Fiscalía y Directores Seccionales de Fiscalía.</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PARÁGRAFO. Cuando los funcionari</w:t>
      </w:r>
      <w:r w:rsidRPr="00DF77C8">
        <w:rPr>
          <w:rFonts w:ascii="Times New Roman" w:hAnsi="Times New Roman"/>
          <w:sz w:val="28"/>
          <w:szCs w:val="28"/>
        </w:rPr>
        <w:t>os a los que se refieren los numerales 5, 6 y 8 y 9 anteriores hubieren cesado en el ejercicio de sus cargos, el fuero solo se mantendrá para los delitos que tengan relación con las funciones desempeñadas.</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ARTÍCULO 39. DE LA FUNCIÓN DE CONTROL DE GAR</w:t>
      </w:r>
      <w:r w:rsidRPr="00DF77C8">
        <w:rPr>
          <w:rFonts w:ascii="Times New Roman" w:hAnsi="Times New Roman"/>
          <w:sz w:val="28"/>
          <w:szCs w:val="28"/>
        </w:rPr>
        <w:t>ANTÍAS. &lt;Artículo modificado por el artículo 48 de la Ley 1453 de 2011. El nuevo texto es el siguiente:&gt; La función de control de garantías será ejercida por cualquier juez penal municipal. El juez que ejerza el control de garantías quedará impedido para e</w:t>
      </w:r>
      <w:r w:rsidRPr="00DF77C8">
        <w:rPr>
          <w:rFonts w:ascii="Times New Roman" w:hAnsi="Times New Roman"/>
          <w:sz w:val="28"/>
          <w:szCs w:val="28"/>
        </w:rPr>
        <w:t>jercer la función del conocimiento del mismo caso en su fondo.</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rPr>
        <w:t>Cuando el acto sobre el cual deba ejercerse la función de control de garantías corresponda a un asunto que por competencia esté asignado a juez penal municipal, o concurra causal de impediment</w:t>
      </w:r>
      <w:r w:rsidRPr="00DF77C8">
        <w:rPr>
          <w:rFonts w:ascii="Times New Roman" w:hAnsi="Times New Roman"/>
          <w:sz w:val="28"/>
          <w:szCs w:val="28"/>
        </w:rPr>
        <w:t>o y sólo exista un funcionario de dicha especialidad en el respectivo municipio, la función de control de garantías deberá ejercerla otro juez municipal del mismo lugar sin importar su especialidad o, a falta de este, el del municipio más próximo.</w:t>
      </w:r>
    </w:p>
    <w:p w:rsidR="00801F94" w:rsidRPr="00DF77C8" w:rsidRDefault="00DF77C8" w:rsidP="008A4B21">
      <w:pPr>
        <w:ind w:left="567" w:right="335"/>
        <w:jc w:val="both"/>
        <w:rPr>
          <w:rFonts w:ascii="Times New Roman" w:hAnsi="Times New Roman"/>
          <w:sz w:val="28"/>
          <w:szCs w:val="28"/>
        </w:rPr>
      </w:pPr>
    </w:p>
    <w:p w:rsidR="00801F94" w:rsidRPr="00DF77C8" w:rsidRDefault="00DF77C8" w:rsidP="008A4B21">
      <w:pPr>
        <w:ind w:left="567" w:right="335"/>
        <w:jc w:val="both"/>
        <w:rPr>
          <w:rFonts w:ascii="Times New Roman" w:hAnsi="Times New Roman"/>
          <w:sz w:val="28"/>
          <w:szCs w:val="28"/>
        </w:rPr>
      </w:pPr>
      <w:r w:rsidRPr="00DF77C8">
        <w:rPr>
          <w:rFonts w:ascii="Times New Roman" w:hAnsi="Times New Roman"/>
          <w:sz w:val="28"/>
          <w:szCs w:val="28"/>
          <w:u w:val="single"/>
        </w:rPr>
        <w:t>PARÁGRA</w:t>
      </w:r>
      <w:r w:rsidRPr="00DF77C8">
        <w:rPr>
          <w:rFonts w:ascii="Times New Roman" w:hAnsi="Times New Roman"/>
          <w:sz w:val="28"/>
          <w:szCs w:val="28"/>
          <w:u w:val="single"/>
        </w:rPr>
        <w:t xml:space="preserve">FO 1o. En los casos que conozca la Corte Suprema de Justicia, la función de Juez de Control de Garantías será ejercida por un Magistrado de la Sala Penal del </w:t>
      </w:r>
      <w:r w:rsidRPr="00DF77C8">
        <w:rPr>
          <w:rFonts w:ascii="Times New Roman" w:hAnsi="Times New Roman"/>
          <w:sz w:val="28"/>
          <w:szCs w:val="28"/>
          <w:u w:val="single"/>
        </w:rPr>
        <w:t>Tribunal</w:t>
      </w:r>
      <w:r w:rsidRPr="00DF77C8">
        <w:rPr>
          <w:rFonts w:ascii="Times New Roman" w:hAnsi="Times New Roman"/>
          <w:sz w:val="28"/>
          <w:szCs w:val="28"/>
          <w:u w:val="single"/>
        </w:rPr>
        <w:t xml:space="preserve"> Superior de Bogotá </w:t>
      </w:r>
      <w:r w:rsidRPr="00DF77C8">
        <w:rPr>
          <w:rFonts w:ascii="Times New Roman" w:hAnsi="Times New Roman"/>
          <w:sz w:val="28"/>
          <w:szCs w:val="28"/>
        </w:rPr>
        <w:t>(…)”.</w:t>
      </w:r>
    </w:p>
    <w:p w:rsidR="00801F94" w:rsidRPr="00DF77C8" w:rsidRDefault="00DF77C8" w:rsidP="008A4B21">
      <w:pPr>
        <w:ind w:left="567" w:right="476"/>
        <w:jc w:val="both"/>
        <w:rPr>
          <w:rFonts w:ascii="Times New Roman" w:hAnsi="Times New Roman"/>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III. LA DEMANDA</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demandante formuló un único cargo de </w:t>
      </w:r>
      <w:r w:rsidRPr="00DF77C8">
        <w:rPr>
          <w:rFonts w:ascii="Times New Roman" w:hAnsi="Times New Roman"/>
          <w:color w:val="000000"/>
          <w:sz w:val="28"/>
          <w:szCs w:val="28"/>
        </w:rPr>
        <w:t>inconstitucionalidad, esto es, que el Congreso incurrió en una omisión legislativa relativa que desconoce los artículos 13, 29, 229</w:t>
      </w:r>
      <w:r w:rsidRPr="00DF77C8">
        <w:rPr>
          <w:rFonts w:ascii="Times New Roman" w:hAnsi="Times New Roman"/>
          <w:color w:val="000000"/>
          <w:sz w:val="28"/>
          <w:szCs w:val="28"/>
        </w:rPr>
        <w:t xml:space="preserve"> superiores</w:t>
      </w:r>
      <w:r w:rsidRPr="00DF77C8">
        <w:rPr>
          <w:rFonts w:ascii="Times New Roman" w:hAnsi="Times New Roman"/>
          <w:color w:val="000000"/>
          <w:sz w:val="28"/>
          <w:szCs w:val="28"/>
        </w:rPr>
        <w:t xml:space="preserve"> y el artículo 25 (numerales 1° y 2°) de la Convención Americana sobre Derechos Humanos. </w:t>
      </w:r>
    </w:p>
    <w:p w:rsidR="00801F94" w:rsidRPr="00DF77C8" w:rsidRDefault="00DF77C8" w:rsidP="008A4B21">
      <w:pPr>
        <w:tabs>
          <w:tab w:val="left" w:pos="284"/>
        </w:tabs>
        <w:jc w:val="both"/>
        <w:rPr>
          <w:rFonts w:ascii="Times New Roman" w:hAnsi="Times New Roman"/>
          <w:sz w:val="28"/>
          <w:szCs w:val="28"/>
        </w:rPr>
      </w:pPr>
    </w:p>
    <w:p w:rsidR="00801F94" w:rsidRPr="00DF77C8" w:rsidRDefault="00DF77C8" w:rsidP="008A4B21">
      <w:pPr>
        <w:tabs>
          <w:tab w:val="left" w:pos="284"/>
        </w:tabs>
        <w:jc w:val="both"/>
        <w:rPr>
          <w:rFonts w:ascii="Times New Roman" w:hAnsi="Times New Roman"/>
          <w:i/>
          <w:sz w:val="28"/>
          <w:szCs w:val="28"/>
        </w:rPr>
      </w:pPr>
      <w:r w:rsidRPr="00DF77C8">
        <w:rPr>
          <w:rFonts w:ascii="Times New Roman" w:hAnsi="Times New Roman"/>
          <w:i/>
          <w:sz w:val="28"/>
          <w:szCs w:val="28"/>
        </w:rPr>
        <w:t xml:space="preserve">Ausencia de cosa </w:t>
      </w:r>
      <w:r w:rsidRPr="00DF77C8">
        <w:rPr>
          <w:rFonts w:ascii="Times New Roman" w:hAnsi="Times New Roman"/>
          <w:i/>
          <w:sz w:val="28"/>
          <w:szCs w:val="28"/>
        </w:rPr>
        <w:t>juzgada constitucional</w:t>
      </w:r>
    </w:p>
    <w:p w:rsidR="00801F94" w:rsidRPr="00DF77C8" w:rsidRDefault="00DF77C8" w:rsidP="008A4B21">
      <w:pPr>
        <w:tabs>
          <w:tab w:val="left" w:pos="284"/>
        </w:tabs>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Como cuestión preliminar el demandante sostuvo que</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a pesar de que la Corte Constitucional ya estudió la norma acusada, el cargo por omisión legislativa relativa que ahora formula es distinto “a las razones de resolución en la sente</w:t>
      </w:r>
      <w:r w:rsidRPr="00DF77C8">
        <w:rPr>
          <w:rFonts w:ascii="Times New Roman" w:hAnsi="Times New Roman"/>
          <w:color w:val="000000"/>
          <w:sz w:val="28"/>
          <w:szCs w:val="28"/>
        </w:rPr>
        <w:t xml:space="preserve">ncia C-591 de 2005” </w:t>
      </w:r>
      <w:r w:rsidRPr="00DF77C8">
        <w:rPr>
          <w:rFonts w:ascii="Times New Roman" w:hAnsi="Times New Roman"/>
          <w:color w:val="000000"/>
          <w:sz w:val="28"/>
          <w:szCs w:val="28"/>
          <w:vertAlign w:val="superscript"/>
        </w:rPr>
        <w:footnoteReference w:id="2"/>
      </w:r>
      <w:r w:rsidRPr="00DF77C8">
        <w:rPr>
          <w:rFonts w:ascii="Times New Roman" w:hAnsi="Times New Roman"/>
          <w:color w:val="000000"/>
          <w:sz w:val="28"/>
          <w:szCs w:val="28"/>
        </w:rPr>
        <w:t>. Recordó que el problema jurídico abordado en esa oportunidad se circunscribió a establecer si “…el legislador vulneró la Constitución al haber establecido que la función de juez de control de garantías en los procesos penales que ade</w:t>
      </w:r>
      <w:r w:rsidRPr="00DF77C8">
        <w:rPr>
          <w:rFonts w:ascii="Times New Roman" w:hAnsi="Times New Roman"/>
          <w:color w:val="000000"/>
          <w:sz w:val="28"/>
          <w:szCs w:val="28"/>
        </w:rPr>
        <w:t xml:space="preserve">lante la Corte Suprema de Justicia la cumple un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Respecto a lo cual, expuso, esta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decidió expedir una sentencia de exequibilidad condicionada, en los siguientes términos:</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pBdr>
          <w:top w:val="nil"/>
          <w:left w:val="nil"/>
          <w:bottom w:val="nil"/>
          <w:right w:val="nil"/>
          <w:between w:val="nil"/>
        </w:pBdr>
        <w:tabs>
          <w:tab w:val="left" w:pos="284"/>
        </w:tabs>
        <w:ind w:left="567"/>
        <w:jc w:val="both"/>
        <w:rPr>
          <w:rFonts w:ascii="Times New Roman" w:hAnsi="Times New Roman"/>
          <w:color w:val="000000"/>
          <w:sz w:val="28"/>
          <w:szCs w:val="28"/>
        </w:rPr>
      </w:pPr>
      <w:r w:rsidRPr="00DF77C8">
        <w:rPr>
          <w:rFonts w:ascii="Times New Roman" w:hAnsi="Times New Roman"/>
          <w:color w:val="000000"/>
          <w:sz w:val="28"/>
          <w:szCs w:val="28"/>
        </w:rPr>
        <w:t xml:space="preserve">“En este </w:t>
      </w:r>
      <w:r w:rsidRPr="00DF77C8">
        <w:rPr>
          <w:rFonts w:ascii="Times New Roman" w:hAnsi="Times New Roman"/>
          <w:color w:val="000000"/>
          <w:sz w:val="28"/>
          <w:szCs w:val="28"/>
        </w:rPr>
        <w:t>orden de ideas, la Corte declarará exequible el parágrafo primero del artículo 39 de la Ley 906 de 2004, por el cargo analizado, en el entendido que se refiere a los casos previstos en el numeral 4 del artículo 235 de la Constitución”</w:t>
      </w:r>
      <w:r w:rsidRPr="00DF77C8">
        <w:rPr>
          <w:rFonts w:ascii="Times New Roman" w:hAnsi="Times New Roman"/>
          <w:color w:val="000000"/>
          <w:sz w:val="28"/>
          <w:szCs w:val="28"/>
          <w:vertAlign w:val="superscript"/>
        </w:rPr>
        <w:footnoteReference w:id="3"/>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Sin embargo</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explicó el demandante</w:t>
      </w:r>
      <w:r w:rsidRPr="00DF77C8">
        <w:rPr>
          <w:rFonts w:ascii="Times New Roman" w:hAnsi="Times New Roman"/>
          <w:color w:val="000000"/>
          <w:sz w:val="28"/>
          <w:szCs w:val="28"/>
        </w:rPr>
        <w:t xml:space="preserve"> que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el reproche que ahora formula</w:t>
      </w:r>
      <w:r w:rsidRPr="00DF77C8">
        <w:rPr>
          <w:rFonts w:ascii="Times New Roman" w:hAnsi="Times New Roman"/>
          <w:color w:val="000000"/>
          <w:sz w:val="28"/>
          <w:szCs w:val="28"/>
        </w:rPr>
        <w:t>ba</w:t>
      </w:r>
      <w:r w:rsidRPr="00DF77C8">
        <w:rPr>
          <w:rFonts w:ascii="Times New Roman" w:hAnsi="Times New Roman"/>
          <w:color w:val="000000"/>
          <w:sz w:val="28"/>
          <w:szCs w:val="28"/>
        </w:rPr>
        <w:t xml:space="preserve"> se fundamenta</w:t>
      </w:r>
      <w:r w:rsidRPr="00DF77C8">
        <w:rPr>
          <w:rFonts w:ascii="Times New Roman" w:hAnsi="Times New Roman"/>
          <w:color w:val="000000"/>
          <w:sz w:val="28"/>
          <w:szCs w:val="28"/>
        </w:rPr>
        <w:t>ba</w:t>
      </w:r>
      <w:r w:rsidRPr="00DF77C8">
        <w:rPr>
          <w:rFonts w:ascii="Times New Roman" w:hAnsi="Times New Roman"/>
          <w:color w:val="000000"/>
          <w:sz w:val="28"/>
          <w:szCs w:val="28"/>
        </w:rPr>
        <w:t xml:space="preserve"> en que el legislador incurrió en una omisión legislativa relativa</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porque el parágrafo 1° del artículo 39 de la Ley 906 de 2004 consagra la función de control de garantías en cabeza</w:t>
      </w:r>
      <w:r w:rsidRPr="00DF77C8">
        <w:rPr>
          <w:rFonts w:ascii="Times New Roman" w:hAnsi="Times New Roman"/>
          <w:color w:val="000000"/>
          <w:sz w:val="28"/>
          <w:szCs w:val="28"/>
        </w:rPr>
        <w:t xml:space="preserve"> de un magistrado de la Sala </w:t>
      </w:r>
      <w:r w:rsidRPr="00DF77C8">
        <w:rPr>
          <w:rFonts w:ascii="Times New Roman" w:hAnsi="Times New Roman"/>
          <w:color w:val="000000"/>
          <w:sz w:val="28"/>
          <w:szCs w:val="28"/>
        </w:rPr>
        <w:t>P</w:t>
      </w:r>
      <w:r w:rsidRPr="00DF77C8">
        <w:rPr>
          <w:rFonts w:ascii="Times New Roman" w:hAnsi="Times New Roman"/>
          <w:color w:val="000000"/>
          <w:sz w:val="28"/>
          <w:szCs w:val="28"/>
        </w:rPr>
        <w:t xml:space="preserve">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los casos que conozca la Corte Suprema de Justicia, pero no estableció qui</w:t>
      </w:r>
      <w:r w:rsidRPr="00DF77C8">
        <w:rPr>
          <w:rFonts w:ascii="Times New Roman" w:hAnsi="Times New Roman"/>
          <w:color w:val="000000"/>
          <w:sz w:val="28"/>
          <w:szCs w:val="28"/>
        </w:rPr>
        <w:t>é</w:t>
      </w:r>
      <w:r w:rsidRPr="00DF77C8">
        <w:rPr>
          <w:rFonts w:ascii="Times New Roman" w:hAnsi="Times New Roman"/>
          <w:color w:val="000000"/>
          <w:sz w:val="28"/>
          <w:szCs w:val="28"/>
        </w:rPr>
        <w:t xml:space="preserve">n asumiría el conocimiento del recurso de apelación contra los autos proferidos por dicho funcionario judicial </w:t>
      </w:r>
      <w:r w:rsidRPr="00DF77C8">
        <w:rPr>
          <w:rFonts w:ascii="Times New Roman" w:hAnsi="Times New Roman"/>
          <w:color w:val="000000"/>
          <w:sz w:val="28"/>
          <w:szCs w:val="28"/>
        </w:rPr>
        <w:t xml:space="preserve">en ejercicio de dicha función. </w:t>
      </w:r>
    </w:p>
    <w:p w:rsidR="00801F94" w:rsidRPr="00DF77C8" w:rsidRDefault="00DF77C8" w:rsidP="008A4B21">
      <w:pPr>
        <w:pBdr>
          <w:top w:val="nil"/>
          <w:left w:val="nil"/>
          <w:bottom w:val="nil"/>
          <w:right w:val="nil"/>
          <w:between w:val="nil"/>
        </w:pBdr>
        <w:tabs>
          <w:tab w:val="left" w:pos="284"/>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Luego</w:t>
      </w:r>
      <w:r w:rsidRPr="00DF77C8">
        <w:rPr>
          <w:rFonts w:ascii="Times New Roman" w:hAnsi="Times New Roman"/>
          <w:color w:val="000000"/>
          <w:sz w:val="28"/>
          <w:szCs w:val="28"/>
        </w:rPr>
        <w:t>, explicó que tal omisión atenta contra las garantías fundamentales que se enuncian a continuación:</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jc w:val="both"/>
        <w:rPr>
          <w:rFonts w:ascii="Times New Roman" w:hAnsi="Times New Roman"/>
          <w:i/>
          <w:sz w:val="28"/>
          <w:szCs w:val="28"/>
        </w:rPr>
      </w:pPr>
      <w:r w:rsidRPr="00DF77C8">
        <w:rPr>
          <w:rFonts w:ascii="Times New Roman" w:hAnsi="Times New Roman"/>
          <w:i/>
          <w:sz w:val="28"/>
          <w:szCs w:val="28"/>
        </w:rPr>
        <w:t>Derecho fundamental a la igualdad (artículo 13 superior)</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0"/>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Acerca del desconocimiento de esta garantía fundamental sostuvo que las personas cuyos procesos penales son conocidos por los magistrados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como jueces de control de garantías no cuentan con la posibilidad procesal de ejercer </w:t>
      </w:r>
      <w:r w:rsidRPr="00DF77C8">
        <w:rPr>
          <w:rFonts w:ascii="Times New Roman" w:hAnsi="Times New Roman"/>
          <w:color w:val="000000"/>
          <w:sz w:val="28"/>
          <w:szCs w:val="28"/>
        </w:rPr>
        <w:t>plenamente sus derechos</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porque no pueden apelar las decisiones que estos adopten ante un juez de segunda instancia plenamente identificado por el legislador. </w:t>
      </w:r>
      <w:r w:rsidRPr="00DF77C8">
        <w:rPr>
          <w:rFonts w:ascii="Times New Roman" w:hAnsi="Times New Roman"/>
          <w:color w:val="000000"/>
          <w:sz w:val="28"/>
          <w:szCs w:val="28"/>
        </w:rPr>
        <w:t>E</w:t>
      </w:r>
      <w:r w:rsidRPr="00DF77C8">
        <w:rPr>
          <w:rFonts w:ascii="Times New Roman" w:hAnsi="Times New Roman"/>
          <w:color w:val="000000"/>
          <w:sz w:val="28"/>
          <w:szCs w:val="28"/>
        </w:rPr>
        <w:t>n cont</w:t>
      </w:r>
      <w:r w:rsidRPr="00DF77C8">
        <w:rPr>
          <w:rFonts w:ascii="Times New Roman" w:hAnsi="Times New Roman"/>
          <w:color w:val="000000"/>
          <w:sz w:val="28"/>
          <w:szCs w:val="28"/>
        </w:rPr>
        <w:t>raposición,</w:t>
      </w:r>
      <w:r w:rsidRPr="00DF77C8">
        <w:rPr>
          <w:rFonts w:ascii="Times New Roman" w:hAnsi="Times New Roman"/>
          <w:color w:val="000000"/>
          <w:sz w:val="28"/>
          <w:szCs w:val="28"/>
        </w:rPr>
        <w:t xml:space="preserve"> con quienes a la luz de las mismas consideraciones legales y de protección sí </w:t>
      </w:r>
      <w:r w:rsidRPr="00DF77C8">
        <w:rPr>
          <w:rFonts w:ascii="Times New Roman" w:hAnsi="Times New Roman"/>
          <w:color w:val="000000"/>
          <w:sz w:val="28"/>
          <w:szCs w:val="28"/>
        </w:rPr>
        <w:t>pueden ejercer dicho recurso, porque la norma consagra expresamente que las decisiones adoptadas por los jueces penales municipales, en ejercicio de la función de conocimiento o de control de garantías, son apelables ante el respectivo juez penal del circu</w:t>
      </w:r>
      <w:r w:rsidRPr="00DF77C8">
        <w:rPr>
          <w:rFonts w:ascii="Times New Roman" w:hAnsi="Times New Roman"/>
          <w:color w:val="000000"/>
          <w:sz w:val="28"/>
          <w:szCs w:val="28"/>
        </w:rPr>
        <w:t>ito</w:t>
      </w:r>
      <w:r w:rsidRPr="00DF77C8">
        <w:rPr>
          <w:rFonts w:ascii="Times New Roman" w:hAnsi="Times New Roman"/>
          <w:color w:val="000000"/>
          <w:sz w:val="28"/>
          <w:szCs w:val="28"/>
          <w:vertAlign w:val="superscript"/>
        </w:rPr>
        <w:footnoteReference w:id="4"/>
      </w:r>
      <w:r w:rsidRPr="00DF77C8">
        <w:rPr>
          <w:rFonts w:ascii="Times New Roman" w:hAnsi="Times New Roman"/>
          <w:color w:val="000000"/>
          <w:sz w:val="28"/>
          <w:szCs w:val="28"/>
        </w:rPr>
        <w:t xml:space="preserve">.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142"/>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lo anterior, concluyó, el legislador creó una situación de desigualdad negativa injustificada porque no le otorgó competencia a algún juez, magistrado o cuerpo colegiado, para conocer de los recursos de apelación presentados contra los autos em</w:t>
      </w:r>
      <w:r w:rsidRPr="00DF77C8">
        <w:rPr>
          <w:rFonts w:ascii="Times New Roman" w:hAnsi="Times New Roman"/>
          <w:color w:val="000000"/>
          <w:sz w:val="28"/>
          <w:szCs w:val="28"/>
        </w:rPr>
        <w:t xml:space="preserve">itidos por el magistrado con función de control de garantías.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jc w:val="both"/>
        <w:rPr>
          <w:rFonts w:ascii="Times New Roman" w:hAnsi="Times New Roman"/>
          <w:i/>
          <w:sz w:val="28"/>
          <w:szCs w:val="28"/>
        </w:rPr>
      </w:pPr>
      <w:r w:rsidRPr="00DF77C8">
        <w:rPr>
          <w:rFonts w:ascii="Times New Roman" w:hAnsi="Times New Roman"/>
          <w:i/>
          <w:sz w:val="28"/>
          <w:szCs w:val="28"/>
        </w:rPr>
        <w:t>Derecho al debido proceso (artículo 29 de la Carta)</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Con relación a la garantía del debido proceso, indicó</w:t>
      </w:r>
      <w:r w:rsidRPr="00DF77C8">
        <w:rPr>
          <w:rFonts w:ascii="Times New Roman" w:hAnsi="Times New Roman"/>
          <w:color w:val="000000"/>
          <w:sz w:val="28"/>
          <w:szCs w:val="28"/>
        </w:rPr>
        <w:t xml:space="preserve"> que la omisión del legislador al no determinar el juez ante quien la persona investigada puede ejercer actos de defensa en segunda instancia cuando la decisión sea adoptada por un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vulnera los co</w:t>
      </w:r>
      <w:r w:rsidRPr="00DF77C8">
        <w:rPr>
          <w:rFonts w:ascii="Times New Roman" w:hAnsi="Times New Roman"/>
          <w:color w:val="000000"/>
          <w:sz w:val="28"/>
          <w:szCs w:val="28"/>
        </w:rPr>
        <w:t>ntenidos del derecho a la defensa y a la doble instancia. Destacó que el legislador reconoció la importancia de que haya un juez determinado para conocer los reproches contra estos autos, por ejemplo, al consagrar en el artículo 20 del Código de Procedimie</w:t>
      </w:r>
      <w:r w:rsidRPr="00DF77C8">
        <w:rPr>
          <w:rFonts w:ascii="Times New Roman" w:hAnsi="Times New Roman"/>
          <w:color w:val="000000"/>
          <w:sz w:val="28"/>
          <w:szCs w:val="28"/>
        </w:rPr>
        <w:t xml:space="preserve">nto Penal (en adelante CPP) que las sentencias y los autos que se refieran a la libertad del imputado, afecten la práctica de pruebas o tengan efectos patrimoniales, son apelables, salvo las excepciones de ley.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ese mismo sentido enfatizó que el artícu</w:t>
      </w:r>
      <w:r w:rsidRPr="00DF77C8">
        <w:rPr>
          <w:rFonts w:ascii="Times New Roman" w:hAnsi="Times New Roman"/>
          <w:color w:val="000000"/>
          <w:sz w:val="28"/>
          <w:szCs w:val="28"/>
        </w:rPr>
        <w:t>lo 177 del CPP precisó cuáles son las decisiones susceptibles del recurso de apelación en el efecto devolutivo, que están relacionadas con las que adopta un juez con función de control de garantías porque involucran afectaciones a derechos fundamentales</w:t>
      </w:r>
      <w:r w:rsidRPr="00DF77C8">
        <w:rPr>
          <w:rFonts w:ascii="Times New Roman" w:hAnsi="Times New Roman"/>
          <w:color w:val="000000"/>
          <w:sz w:val="28"/>
          <w:szCs w:val="28"/>
          <w:vertAlign w:val="superscript"/>
        </w:rPr>
        <w:footnoteReference w:id="5"/>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A pesar de lo dicho,</w:t>
      </w:r>
      <w:r w:rsidRPr="00DF77C8">
        <w:rPr>
          <w:rFonts w:ascii="Times New Roman" w:hAnsi="Times New Roman"/>
          <w:color w:val="000000"/>
          <w:sz w:val="28"/>
          <w:szCs w:val="28"/>
        </w:rPr>
        <w:t xml:space="preserve"> como el legislador no estableció quien conocería del recurso de apelación contra </w:t>
      </w:r>
      <w:r w:rsidRPr="00DF77C8">
        <w:rPr>
          <w:rFonts w:ascii="Times New Roman" w:hAnsi="Times New Roman"/>
          <w:color w:val="000000"/>
          <w:sz w:val="28"/>
          <w:szCs w:val="28"/>
        </w:rPr>
        <w:t>las</w:t>
      </w:r>
      <w:r w:rsidRPr="00DF77C8">
        <w:rPr>
          <w:rFonts w:ascii="Times New Roman" w:hAnsi="Times New Roman"/>
          <w:color w:val="000000"/>
          <w:sz w:val="28"/>
          <w:szCs w:val="28"/>
        </w:rPr>
        <w:t xml:space="preserve"> determinaciones </w:t>
      </w:r>
      <w:r w:rsidRPr="00DF77C8">
        <w:rPr>
          <w:rFonts w:ascii="Times New Roman" w:hAnsi="Times New Roman"/>
          <w:color w:val="000000"/>
          <w:sz w:val="28"/>
          <w:szCs w:val="28"/>
        </w:rPr>
        <w:t>que adopte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un</w:t>
      </w:r>
      <w:r w:rsidRPr="00DF77C8">
        <w:rPr>
          <w:rFonts w:ascii="Times New Roman" w:hAnsi="Times New Roman"/>
          <w:color w:val="000000"/>
          <w:sz w:val="28"/>
          <w:szCs w:val="28"/>
        </w:rPr>
        <w:t xml:space="preserve">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w:t>
      </w:r>
      <w:r w:rsidRPr="00DF77C8">
        <w:rPr>
          <w:rFonts w:ascii="Times New Roman" w:hAnsi="Times New Roman"/>
          <w:color w:val="000000"/>
          <w:sz w:val="28"/>
          <w:szCs w:val="28"/>
        </w:rPr>
        <w:t>cuando</w:t>
      </w:r>
      <w:r w:rsidRPr="00DF77C8">
        <w:rPr>
          <w:rFonts w:ascii="Times New Roman" w:hAnsi="Times New Roman"/>
          <w:color w:val="000000"/>
          <w:sz w:val="28"/>
          <w:szCs w:val="28"/>
        </w:rPr>
        <w:t xml:space="preserve"> ejerza </w:t>
      </w:r>
      <w:r w:rsidRPr="00DF77C8">
        <w:rPr>
          <w:rFonts w:ascii="Times New Roman" w:hAnsi="Times New Roman"/>
          <w:color w:val="000000"/>
          <w:sz w:val="28"/>
          <w:szCs w:val="28"/>
        </w:rPr>
        <w:t>la</w:t>
      </w:r>
      <w:r w:rsidRPr="00DF77C8">
        <w:rPr>
          <w:rFonts w:ascii="Times New Roman" w:hAnsi="Times New Roman"/>
          <w:color w:val="000000"/>
          <w:sz w:val="28"/>
          <w:szCs w:val="28"/>
        </w:rPr>
        <w:t xml:space="preserve"> función</w:t>
      </w:r>
      <w:r w:rsidRPr="00DF77C8">
        <w:rPr>
          <w:rFonts w:ascii="Times New Roman" w:hAnsi="Times New Roman"/>
          <w:color w:val="000000"/>
          <w:sz w:val="28"/>
          <w:szCs w:val="28"/>
        </w:rPr>
        <w:t xml:space="preserve"> de control de garantías</w:t>
      </w:r>
      <w:r w:rsidRPr="00DF77C8">
        <w:rPr>
          <w:rFonts w:ascii="Times New Roman" w:hAnsi="Times New Roman"/>
          <w:color w:val="000000"/>
          <w:sz w:val="28"/>
          <w:szCs w:val="28"/>
        </w:rPr>
        <w:t>, es imposib</w:t>
      </w:r>
      <w:r w:rsidRPr="00DF77C8">
        <w:rPr>
          <w:rFonts w:ascii="Times New Roman" w:hAnsi="Times New Roman"/>
          <w:color w:val="000000"/>
          <w:sz w:val="28"/>
          <w:szCs w:val="28"/>
        </w:rPr>
        <w:t>le materializar el derecho a apelar reconocido por la norma, lo cual afecta el derecho fundamental a la defensa y a la doble instancia</w:t>
      </w:r>
      <w:r w:rsidRPr="00DF77C8">
        <w:rPr>
          <w:rFonts w:ascii="Times New Roman" w:hAnsi="Times New Roman"/>
          <w:color w:val="000000"/>
          <w:sz w:val="28"/>
          <w:szCs w:val="28"/>
        </w:rPr>
        <w:t xml:space="preserve"> de los aforados constitucionales del artículo 235, numeral 5°, de la Constitución</w:t>
      </w:r>
      <w:r w:rsidRPr="00DF77C8">
        <w:rPr>
          <w:rFonts w:ascii="Times New Roman" w:hAnsi="Times New Roman"/>
          <w:color w:val="000000"/>
          <w:sz w:val="28"/>
          <w:szCs w:val="28"/>
        </w:rPr>
        <w:t xml:space="preserve">.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Al respecto, citó la Sentencia C-337</w:t>
      </w:r>
      <w:r w:rsidRPr="00DF77C8">
        <w:rPr>
          <w:rFonts w:ascii="Times New Roman" w:hAnsi="Times New Roman"/>
          <w:color w:val="000000"/>
          <w:sz w:val="28"/>
          <w:szCs w:val="28"/>
        </w:rPr>
        <w:t xml:space="preserve"> de 2016 para ilustrar que el alcance dado a la libertad de configuración legislativa para establecer excepciones o restricciones en las distintas ramas del derecho en ningún caso puede entenderse como una potestad de anular derechos. A su vez, destacó que</w:t>
      </w:r>
      <w:r w:rsidRPr="00DF77C8">
        <w:rPr>
          <w:rFonts w:ascii="Times New Roman" w:hAnsi="Times New Roman"/>
          <w:color w:val="000000"/>
          <w:sz w:val="28"/>
          <w:szCs w:val="28"/>
        </w:rPr>
        <w:t xml:space="preserve"> en esa providencia la Corte hizo referencia a la importancia del principio-derecho a la doble instancia.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Argumentó que la omisión legislativa relativa alegada no es proporcional ni razonable desde el punto de vista constitucional y que por racionalidad </w:t>
      </w:r>
      <w:r w:rsidRPr="00DF77C8">
        <w:rPr>
          <w:rFonts w:ascii="Times New Roman" w:hAnsi="Times New Roman"/>
          <w:color w:val="000000"/>
          <w:sz w:val="28"/>
          <w:szCs w:val="28"/>
        </w:rPr>
        <w:t xml:space="preserve">legislativa “tanto en los procesos en los que el Juez de Control de garantías es un Juez Penal Municipal, como en los procesos en los que dicha función es ejercida por un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w:t>
      </w:r>
      <w:r w:rsidRPr="00DF77C8">
        <w:rPr>
          <w:rFonts w:ascii="Times New Roman" w:hAnsi="Times New Roman"/>
          <w:color w:val="000000"/>
          <w:sz w:val="28"/>
          <w:szCs w:val="28"/>
          <w:vertAlign w:val="superscript"/>
        </w:rPr>
        <w:footnoteReference w:id="6"/>
      </w:r>
      <w:r w:rsidRPr="00DF77C8">
        <w:rPr>
          <w:rFonts w:ascii="Times New Roman" w:hAnsi="Times New Roman"/>
          <w:color w:val="000000"/>
          <w:sz w:val="28"/>
          <w:szCs w:val="28"/>
        </w:rPr>
        <w:t xml:space="preserve">      debe garantizarse </w:t>
      </w:r>
      <w:r w:rsidRPr="00DF77C8">
        <w:rPr>
          <w:rFonts w:ascii="Times New Roman" w:hAnsi="Times New Roman"/>
          <w:color w:val="000000"/>
          <w:sz w:val="28"/>
          <w:szCs w:val="28"/>
        </w:rPr>
        <w:t>“el derecho a apelar ante un juez previamente determinado, pues los dos procesos hacen parte de la misma estructura procesal, y su esquema procesal es el Sistema Penal Acusatorio, introducido por el Acto Legislativo 03 de 2002 y desarrollado por la Ley 906</w:t>
      </w:r>
      <w:r w:rsidRPr="00DF77C8">
        <w:rPr>
          <w:rFonts w:ascii="Times New Roman" w:hAnsi="Times New Roman"/>
          <w:color w:val="000000"/>
          <w:sz w:val="28"/>
          <w:szCs w:val="28"/>
        </w:rPr>
        <w:t xml:space="preserve"> de 2004”</w:t>
      </w:r>
      <w:r w:rsidRPr="00DF77C8">
        <w:rPr>
          <w:rFonts w:ascii="Times New Roman" w:hAnsi="Times New Roman"/>
          <w:color w:val="000000"/>
          <w:sz w:val="28"/>
          <w:szCs w:val="28"/>
          <w:vertAlign w:val="superscript"/>
        </w:rPr>
        <w:footnoteReference w:id="7"/>
      </w:r>
      <w:r w:rsidRPr="00DF77C8">
        <w:rPr>
          <w:rFonts w:ascii="Times New Roman" w:hAnsi="Times New Roman"/>
          <w:color w:val="000000"/>
          <w:sz w:val="28"/>
          <w:szCs w:val="28"/>
        </w:rPr>
        <w:t xml:space="preserve">.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Reconoció que los anteriores procesos, si bien se diferencian por el tipo de sujeto imputado, lo cierto es que tienen sustento en los mismos principios, deben surtir las mismas etapas y operan bajo las mismas reglas. Sumado a que, en ambos ca</w:t>
      </w:r>
      <w:r w:rsidRPr="00DF77C8">
        <w:rPr>
          <w:rFonts w:ascii="Times New Roman" w:hAnsi="Times New Roman"/>
          <w:color w:val="000000"/>
          <w:sz w:val="28"/>
          <w:szCs w:val="28"/>
        </w:rPr>
        <w:t>sos, la Fiscalía es quien ejerce la acción penal mediante la investigación y acusación de las personas vinculadas al proceso. Por tanto, la distinción que realizó el Congreso al no hacer mención explícita del órgano de segunda instancia que conocería de la</w:t>
      </w:r>
      <w:r w:rsidRPr="00DF77C8">
        <w:rPr>
          <w:rFonts w:ascii="Times New Roman" w:hAnsi="Times New Roman"/>
          <w:color w:val="000000"/>
          <w:sz w:val="28"/>
          <w:szCs w:val="28"/>
        </w:rPr>
        <w:t xml:space="preserve">s decisiones adoptadas por los magistrados que actúan como jueces con función de control de garantías es odiosa.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Precisó</w:t>
      </w:r>
      <w:r w:rsidRPr="00DF77C8">
        <w:rPr>
          <w:rFonts w:ascii="Times New Roman" w:hAnsi="Times New Roman"/>
          <w:color w:val="000000"/>
          <w:sz w:val="28"/>
          <w:szCs w:val="28"/>
        </w:rPr>
        <w:t xml:space="preserve"> que la anterior argumentación no conlleva la negación de que existen procesos con dimensiones distintas que operan bajo normas específicas. Pero como en los procesos en los que un juez penal municipal o un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ejerce</w:t>
      </w:r>
      <w:r w:rsidRPr="00DF77C8">
        <w:rPr>
          <w:rFonts w:ascii="Times New Roman" w:hAnsi="Times New Roman"/>
          <w:color w:val="000000"/>
          <w:sz w:val="28"/>
          <w:szCs w:val="28"/>
        </w:rPr>
        <w:t xml:space="preserve">n función de control de garantías ambos asumen estructuralmente el mismo papel, no existe una razón suficiente que </w:t>
      </w:r>
      <w:r w:rsidRPr="00DF77C8">
        <w:rPr>
          <w:rFonts w:ascii="Times New Roman" w:hAnsi="Times New Roman"/>
          <w:color w:val="000000"/>
          <w:sz w:val="28"/>
          <w:szCs w:val="28"/>
        </w:rPr>
        <w:t>legitime</w:t>
      </w:r>
      <w:r w:rsidRPr="00DF77C8">
        <w:rPr>
          <w:rFonts w:ascii="Times New Roman" w:hAnsi="Times New Roman"/>
          <w:color w:val="000000"/>
          <w:sz w:val="28"/>
          <w:szCs w:val="28"/>
        </w:rPr>
        <w:t xml:space="preserve"> la exclusión</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por omisión legislativa</w:t>
      </w:r>
      <w:r w:rsidRPr="00DF77C8">
        <w:rPr>
          <w:rFonts w:ascii="Times New Roman" w:hAnsi="Times New Roman"/>
          <w:color w:val="000000"/>
          <w:sz w:val="28"/>
          <w:szCs w:val="28"/>
        </w:rPr>
        <w:t xml:space="preserve"> relativa,</w:t>
      </w:r>
      <w:r w:rsidRPr="00DF77C8">
        <w:rPr>
          <w:rFonts w:ascii="Times New Roman" w:hAnsi="Times New Roman"/>
          <w:color w:val="000000"/>
          <w:sz w:val="28"/>
          <w:szCs w:val="28"/>
        </w:rPr>
        <w:t xml:space="preserve"> de la doble instancia.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Destacó que la vulneración alegada es aún más evidente cuan</w:t>
      </w:r>
      <w:r w:rsidRPr="00DF77C8">
        <w:rPr>
          <w:rFonts w:ascii="Times New Roman" w:hAnsi="Times New Roman"/>
          <w:color w:val="000000"/>
          <w:sz w:val="28"/>
          <w:szCs w:val="28"/>
        </w:rPr>
        <w:t>do se observan en conjunto las funciones constitucionales atribuidas a la Corte Suprema de Justicia en el artículo 235, en particular en el numeral 5°, que aborda los eventos donde opera la función de control de garantías, “toda vez que a este grupo de cas</w:t>
      </w:r>
      <w:r w:rsidRPr="00DF77C8">
        <w:rPr>
          <w:rFonts w:ascii="Times New Roman" w:hAnsi="Times New Roman"/>
          <w:color w:val="000000"/>
          <w:sz w:val="28"/>
          <w:szCs w:val="28"/>
        </w:rPr>
        <w:t>os si le es aplicable (sic) cabalmente los preceptos del Acto Legislativo 03 de 2002 desarrollado por la Ley 906 de 2004, incluyendo, claro está, la posibilidad de interponer recursos contra las providencias, sin más exclusiones, excepciones, limites, rest</w:t>
      </w:r>
      <w:r w:rsidRPr="00DF77C8">
        <w:rPr>
          <w:rFonts w:ascii="Times New Roman" w:hAnsi="Times New Roman"/>
          <w:color w:val="000000"/>
          <w:sz w:val="28"/>
          <w:szCs w:val="28"/>
        </w:rPr>
        <w:t>ricciones y salvedades que las que establece la propia Ley para todas las personas inmersas en un proceso penal”</w:t>
      </w:r>
      <w:r w:rsidRPr="00DF77C8">
        <w:rPr>
          <w:rFonts w:ascii="Times New Roman" w:hAnsi="Times New Roman"/>
          <w:color w:val="000000"/>
          <w:sz w:val="28"/>
          <w:szCs w:val="28"/>
          <w:vertAlign w:val="superscript"/>
        </w:rPr>
        <w:footnoteReference w:id="8"/>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Es decir, que a juicio del ciudadano es claro que respecto al contenido del numeral 5° del artículo 235 del texto superior procede la figura</w:t>
      </w:r>
      <w:r w:rsidRPr="00DF77C8">
        <w:rPr>
          <w:rFonts w:ascii="Times New Roman" w:hAnsi="Times New Roman"/>
          <w:color w:val="000000"/>
          <w:sz w:val="28"/>
          <w:szCs w:val="28"/>
        </w:rPr>
        <w:t xml:space="preserve"> de la función de control de garantías (en este caso en cabeza de un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lo cual conlleva naturalmente el derecho a apelar sus decisiones y a que se precise el órgano que decidirá en segunda instanci</w:t>
      </w:r>
      <w:r w:rsidRPr="00DF77C8">
        <w:rPr>
          <w:rFonts w:ascii="Times New Roman" w:hAnsi="Times New Roman"/>
          <w:color w:val="000000"/>
          <w:sz w:val="28"/>
          <w:szCs w:val="28"/>
        </w:rPr>
        <w:t xml:space="preserve">a dicho recurso.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0"/>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Adicionalmente, sostuvo que la anterior omisión impacta a otro grupo de destinatarios de la acción penal a la que se viene haciendo referencia, que carecerá de la posibilidad de que el recurso de apelación sea conocido por la Corte Suprema de Justicia. En </w:t>
      </w:r>
      <w:r w:rsidRPr="00DF77C8">
        <w:rPr>
          <w:rFonts w:ascii="Times New Roman" w:hAnsi="Times New Roman"/>
          <w:color w:val="000000"/>
          <w:sz w:val="28"/>
          <w:szCs w:val="28"/>
        </w:rPr>
        <w:t xml:space="preserve">particular, resaltó lo dispuesto en el numeral 8° del artículo 32 de la Ley 906 de 2004, cuyas personas investigadas tampoco pueden hacer efectivo su derecho a interponer el recurso de apelación contra las decisiones adoptadas por 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como juez de </w:t>
      </w:r>
      <w:r w:rsidRPr="00DF77C8">
        <w:rPr>
          <w:rFonts w:ascii="Times New Roman" w:hAnsi="Times New Roman"/>
          <w:color w:val="000000"/>
          <w:sz w:val="28"/>
          <w:szCs w:val="28"/>
        </w:rPr>
        <w:t>control de garantías. Estos son:</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r w:rsidRPr="00DF77C8">
        <w:rPr>
          <w:rFonts w:ascii="Times New Roman" w:hAnsi="Times New Roman"/>
          <w:color w:val="000000"/>
          <w:sz w:val="28"/>
          <w:szCs w:val="28"/>
        </w:rPr>
        <w:t>“ARTÍCULO 32. DE LA CORTE SUPREMA DE JUSTICIA (…) La Sala de Casación Penal de la Corte Suprema de Justicia conoce:</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ind w:left="708"/>
        <w:jc w:val="both"/>
        <w:rPr>
          <w:rFonts w:ascii="Times New Roman" w:hAnsi="Times New Roman"/>
          <w:sz w:val="28"/>
          <w:szCs w:val="28"/>
        </w:rPr>
      </w:pPr>
      <w:r w:rsidRPr="00DF77C8">
        <w:rPr>
          <w:rFonts w:ascii="Times New Roman" w:hAnsi="Times New Roman"/>
          <w:sz w:val="28"/>
          <w:szCs w:val="28"/>
        </w:rPr>
        <w:t>Del juzgamiento del viceprocurador, vicefiscal, magistrados de los consejos seccionales de la judicatura,</w:t>
      </w:r>
      <w:r w:rsidRPr="00DF77C8">
        <w:rPr>
          <w:rFonts w:ascii="Times New Roman" w:hAnsi="Times New Roman"/>
          <w:sz w:val="28"/>
          <w:szCs w:val="28"/>
        </w:rPr>
        <w:t xml:space="preserve"> del </w:t>
      </w:r>
      <w:r w:rsidRPr="00DF77C8">
        <w:rPr>
          <w:rFonts w:ascii="Times New Roman" w:hAnsi="Times New Roman"/>
          <w:sz w:val="28"/>
          <w:szCs w:val="28"/>
        </w:rPr>
        <w:t>Tribunal</w:t>
      </w:r>
      <w:r w:rsidRPr="00DF77C8">
        <w:rPr>
          <w:rFonts w:ascii="Times New Roman" w:hAnsi="Times New Roman"/>
          <w:sz w:val="28"/>
          <w:szCs w:val="28"/>
        </w:rPr>
        <w:t xml:space="preserve"> Superior Militar, del Consejo Nacional Electoral, fiscales delegados ante la Corte Suprema de Justicia y </w:t>
      </w:r>
      <w:r w:rsidRPr="00DF77C8">
        <w:rPr>
          <w:rFonts w:ascii="Times New Roman" w:hAnsi="Times New Roman"/>
          <w:sz w:val="28"/>
          <w:szCs w:val="28"/>
        </w:rPr>
        <w:t>Tribunal</w:t>
      </w:r>
      <w:r w:rsidRPr="00DF77C8">
        <w:rPr>
          <w:rFonts w:ascii="Times New Roman" w:hAnsi="Times New Roman"/>
          <w:sz w:val="28"/>
          <w:szCs w:val="28"/>
        </w:rPr>
        <w:t xml:space="preserve">es, Procuradores Delegados, Procuradores Judiciales II, Registrador Nacional del Estado Civil, Director Nacional de Fiscalía y Directores Seccionales de </w:t>
      </w:r>
      <w:r w:rsidRPr="00DF77C8">
        <w:rPr>
          <w:rFonts w:ascii="Times New Roman" w:hAnsi="Times New Roman"/>
          <w:sz w:val="28"/>
          <w:szCs w:val="28"/>
        </w:rPr>
        <w:t>Fiscalía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definitiva, considera que el legislador omitió un elemento esencial para el ejercicio pleno del derecho fundamental al debido proceso, </w:t>
      </w:r>
      <w:r w:rsidRPr="00DF77C8">
        <w:rPr>
          <w:rFonts w:ascii="Times New Roman" w:hAnsi="Times New Roman"/>
          <w:color w:val="000000"/>
          <w:sz w:val="28"/>
          <w:szCs w:val="28"/>
        </w:rPr>
        <w:t>a la</w:t>
      </w:r>
      <w:r w:rsidRPr="00DF77C8">
        <w:rPr>
          <w:rFonts w:ascii="Times New Roman" w:hAnsi="Times New Roman"/>
          <w:color w:val="000000"/>
          <w:sz w:val="28"/>
          <w:szCs w:val="28"/>
        </w:rPr>
        <w:t xml:space="preserve"> defensa y a la doble instancia.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jc w:val="both"/>
        <w:rPr>
          <w:rFonts w:ascii="Times New Roman" w:hAnsi="Times New Roman"/>
          <w:i/>
          <w:sz w:val="28"/>
          <w:szCs w:val="28"/>
        </w:rPr>
      </w:pPr>
      <w:r w:rsidRPr="00DF77C8">
        <w:rPr>
          <w:rFonts w:ascii="Times New Roman" w:hAnsi="Times New Roman"/>
          <w:i/>
          <w:sz w:val="28"/>
          <w:szCs w:val="28"/>
        </w:rPr>
        <w:t>Derecho a</w:t>
      </w:r>
      <w:r w:rsidRPr="00DF77C8">
        <w:rPr>
          <w:rFonts w:ascii="Times New Roman" w:hAnsi="Times New Roman"/>
          <w:i/>
          <w:sz w:val="28"/>
          <w:szCs w:val="28"/>
        </w:rPr>
        <w:t>l acceso a</w:t>
      </w:r>
      <w:r w:rsidRPr="00DF77C8">
        <w:rPr>
          <w:rFonts w:ascii="Times New Roman" w:hAnsi="Times New Roman"/>
          <w:i/>
          <w:sz w:val="28"/>
          <w:szCs w:val="28"/>
        </w:rPr>
        <w:t xml:space="preserve"> la administración de justicia- tutela judicial efectiva (ar</w:t>
      </w:r>
      <w:r w:rsidRPr="00DF77C8">
        <w:rPr>
          <w:rFonts w:ascii="Times New Roman" w:hAnsi="Times New Roman"/>
          <w:i/>
          <w:sz w:val="28"/>
          <w:szCs w:val="28"/>
        </w:rPr>
        <w:t>tículo 229 de la Constitución Política).</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demandante sostuvo que la vulneración de este derecho fundamental se concreta en que, si las decisiones adoptadas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no cuentan con un superior fun</w:t>
      </w:r>
      <w:r w:rsidRPr="00DF77C8">
        <w:rPr>
          <w:rFonts w:ascii="Times New Roman" w:hAnsi="Times New Roman"/>
          <w:color w:val="000000"/>
          <w:sz w:val="28"/>
          <w:szCs w:val="28"/>
        </w:rPr>
        <w:t xml:space="preserve">cional designado por el legislador que pueda reconsiderar las decisiones por vía de la apelación, las personas afectadas con dichas decisiones quedan en grave desprotección y desamparo por la justicia. </w:t>
      </w:r>
    </w:p>
    <w:p w:rsidR="00801F94" w:rsidRPr="00DF77C8" w:rsidRDefault="00DF77C8" w:rsidP="008A4B21">
      <w:pPr>
        <w:tabs>
          <w:tab w:val="left" w:pos="284"/>
        </w:tabs>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 su vez, el actor puso de presente la Sentencia C-792 de 2014, en la que se abordó la relación entre el derecho a la impugnación y la garantía de la doble instancia. Sobre esta última, explicó, no solo está circunscrita a la etapa de juicio, sino que se p</w:t>
      </w:r>
      <w:r w:rsidRPr="00DF77C8">
        <w:rPr>
          <w:rFonts w:ascii="Times New Roman" w:hAnsi="Times New Roman"/>
          <w:color w:val="000000"/>
          <w:sz w:val="28"/>
          <w:szCs w:val="28"/>
        </w:rPr>
        <w:t xml:space="preserve">redica respecto del proceso penal como tal que incluye la fase de investigación y, por tanto, abarca las decisiones del juez de control de garantías.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De igual manera, la omisión legislativa alegada por el demandante</w:t>
      </w:r>
      <w:r w:rsidRPr="00DF77C8">
        <w:rPr>
          <w:rFonts w:ascii="Times New Roman" w:hAnsi="Times New Roman"/>
          <w:color w:val="000000"/>
          <w:sz w:val="28"/>
          <w:szCs w:val="28"/>
        </w:rPr>
        <w:t xml:space="preserve">, a su juicio, </w:t>
      </w:r>
      <w:r w:rsidRPr="00DF77C8">
        <w:rPr>
          <w:rFonts w:ascii="Times New Roman" w:hAnsi="Times New Roman"/>
          <w:color w:val="000000"/>
          <w:sz w:val="28"/>
          <w:szCs w:val="28"/>
        </w:rPr>
        <w:t xml:space="preserve">impediría que se cumpla </w:t>
      </w:r>
      <w:r w:rsidRPr="00DF77C8">
        <w:rPr>
          <w:rFonts w:ascii="Times New Roman" w:hAnsi="Times New Roman"/>
          <w:color w:val="000000"/>
          <w:sz w:val="28"/>
          <w:szCs w:val="28"/>
        </w:rPr>
        <w:t>otro fin de la doble instancia como lo es la corrección, no solo de los fallos judiciales, sino en general de las decisiones que deben adoptarse con una recta y acertada justicia, en condiciones de igualdad. Finalidad que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de igual manera, quedaría frustra</w:t>
      </w:r>
      <w:r w:rsidRPr="00DF77C8">
        <w:rPr>
          <w:rFonts w:ascii="Times New Roman" w:hAnsi="Times New Roman"/>
          <w:color w:val="000000"/>
          <w:sz w:val="28"/>
          <w:szCs w:val="28"/>
        </w:rPr>
        <w:t>da ante la inexistencia de una regulación legal sobre quién es la autoridad competente para revisar dichas providencias adoptadas en la fase del proceso donde interviene el juez con función de control de garantías.</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actor sostuvo que, aunque se alegara </w:t>
      </w:r>
      <w:r w:rsidRPr="00DF77C8">
        <w:rPr>
          <w:rFonts w:ascii="Times New Roman" w:hAnsi="Times New Roman"/>
          <w:color w:val="000000"/>
          <w:sz w:val="28"/>
          <w:szCs w:val="28"/>
        </w:rPr>
        <w:t>que existen mecanismos extraordinarios alternativos al recurso de apelación, en la Sentencia C-792 de 2014</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también se expuso, por ejemplo, que la acción de tutela contra providencia judicial no es el mecanismo óptimo para reemplazar un recurso ordinario c</w:t>
      </w:r>
      <w:r w:rsidRPr="00DF77C8">
        <w:rPr>
          <w:rFonts w:ascii="Times New Roman" w:hAnsi="Times New Roman"/>
          <w:color w:val="000000"/>
          <w:sz w:val="28"/>
          <w:szCs w:val="28"/>
        </w:rPr>
        <w:t xml:space="preserve">omo el de la apelación.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Agregó que, como alternativa a dicho vacío jurídico, podría pensarse que el recurso de apelación contra los autos expedidos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que ejerce la función de control de g</w:t>
      </w:r>
      <w:r w:rsidRPr="00DF77C8">
        <w:rPr>
          <w:rFonts w:ascii="Times New Roman" w:hAnsi="Times New Roman"/>
          <w:color w:val="000000"/>
          <w:sz w:val="28"/>
          <w:szCs w:val="28"/>
        </w:rPr>
        <w:t xml:space="preserve">arantías debe ser conocido por algún juez, magistrado o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judicial. </w:t>
      </w:r>
      <w:r w:rsidRPr="00DF77C8">
        <w:rPr>
          <w:rFonts w:ascii="Times New Roman" w:hAnsi="Times New Roman"/>
          <w:color w:val="000000"/>
          <w:sz w:val="28"/>
          <w:szCs w:val="28"/>
        </w:rPr>
        <w:t>Sin embargo, esta interpretación resultaría equivocada porque se estaría desconociendo lo dispuesto en el artículo 121 superior, ya que, si el legislador no estableció expresam</w:t>
      </w:r>
      <w:r w:rsidRPr="00DF77C8">
        <w:rPr>
          <w:rFonts w:ascii="Times New Roman" w:hAnsi="Times New Roman"/>
          <w:color w:val="000000"/>
          <w:sz w:val="28"/>
          <w:szCs w:val="28"/>
        </w:rPr>
        <w:t xml:space="preserve">ente dicha competencia, ninguna autoridad puede asumirla de </w:t>
      </w:r>
      <w:r w:rsidRPr="00DF77C8">
        <w:rPr>
          <w:rFonts w:ascii="Times New Roman" w:hAnsi="Times New Roman"/>
          <w:i/>
          <w:iCs/>
          <w:color w:val="000000"/>
          <w:sz w:val="28"/>
          <w:szCs w:val="28"/>
        </w:rPr>
        <w:t>facto</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Más concretamente</w:t>
      </w:r>
      <w:r w:rsidRPr="00DF77C8">
        <w:rPr>
          <w:rFonts w:ascii="Times New Roman" w:hAnsi="Times New Roman"/>
          <w:color w:val="000000"/>
          <w:sz w:val="28"/>
          <w:szCs w:val="28"/>
        </w:rPr>
        <w:t>, se estaría desconociendo lo dispuesto en preceptos constitucionales como el artículo 6° (por extralimitación de funciones) y 122 (no puede existir empleo público que no t</w:t>
      </w:r>
      <w:r w:rsidRPr="00DF77C8">
        <w:rPr>
          <w:rFonts w:ascii="Times New Roman" w:hAnsi="Times New Roman"/>
          <w:color w:val="000000"/>
          <w:sz w:val="28"/>
          <w:szCs w:val="28"/>
        </w:rPr>
        <w:t xml:space="preserve">enga funciones detalladas en la ley o en el reglamento).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Advirtió el accionante que tampoco podría comprenderse que la Corte Suprema de Justicia se encuentra habilitada para avocar el conocimiento de este recurso, en virtud de lo dispuesto en el numeral 2° del artículo 235 de la Carta: “2. Conocer del derecho de</w:t>
      </w:r>
      <w:r w:rsidRPr="00DF77C8">
        <w:rPr>
          <w:rFonts w:ascii="Times New Roman" w:hAnsi="Times New Roman"/>
          <w:color w:val="000000"/>
          <w:sz w:val="28"/>
          <w:szCs w:val="28"/>
        </w:rPr>
        <w:t xml:space="preserve"> impugnación y del recurso de apelación en materia penal, conforme lo determine la ley”. Puesto que esta disposición no hace alusión a las providencias proferidas por la autoridad judicial con función de control de garantías. Sumado a que dicha norma super</w:t>
      </w:r>
      <w:r w:rsidRPr="00DF77C8">
        <w:rPr>
          <w:rFonts w:ascii="Times New Roman" w:hAnsi="Times New Roman"/>
          <w:color w:val="000000"/>
          <w:sz w:val="28"/>
          <w:szCs w:val="28"/>
        </w:rPr>
        <w:t xml:space="preserve">ior establece la necesidad de desarrollo legal. </w:t>
      </w:r>
    </w:p>
    <w:p w:rsidR="00801F94" w:rsidRPr="00DF77C8" w:rsidRDefault="00DF77C8" w:rsidP="008A4B21">
      <w:pPr>
        <w:tabs>
          <w:tab w:val="left" w:pos="284"/>
        </w:tabs>
        <w:ind w:left="360"/>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0"/>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anterior interpretación, al parecer del actor, es compleja. Esto se evidencia de la respuesta que le otorgó 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Sala Penal, el 9 de mayo de 2023, a la petición que presentó ante este cuerpo colegiado y en la que indagó sobre la autoridad que en la actualidad estaba avocando el conocimiento de los recursos de apelación interpuestos contra los aut</w:t>
      </w:r>
      <w:r w:rsidRPr="00DF77C8">
        <w:rPr>
          <w:rFonts w:ascii="Times New Roman" w:hAnsi="Times New Roman"/>
          <w:color w:val="000000"/>
          <w:sz w:val="28"/>
          <w:szCs w:val="28"/>
        </w:rPr>
        <w:t xml:space="preserve">os proferidos por los magistrados de este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como jueces con función de control de garantías y con base en qué norma (s) se asignaba dicha competencia.</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Respecto a la anterior solicitud, 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respondió que:</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pBdr>
          <w:top w:val="nil"/>
          <w:left w:val="nil"/>
          <w:bottom w:val="nil"/>
          <w:right w:val="nil"/>
          <w:between w:val="nil"/>
        </w:pBdr>
        <w:tabs>
          <w:tab w:val="left" w:pos="284"/>
        </w:tabs>
        <w:ind w:left="567"/>
        <w:jc w:val="both"/>
        <w:rPr>
          <w:rFonts w:ascii="Times New Roman" w:hAnsi="Times New Roman"/>
          <w:color w:val="000000"/>
          <w:sz w:val="28"/>
          <w:szCs w:val="28"/>
        </w:rPr>
      </w:pPr>
      <w:r w:rsidRPr="00DF77C8">
        <w:rPr>
          <w:rFonts w:ascii="Times New Roman" w:hAnsi="Times New Roman"/>
          <w:color w:val="000000"/>
          <w:sz w:val="28"/>
          <w:szCs w:val="28"/>
        </w:rPr>
        <w:t xml:space="preserve">“cuando algún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ejerza funciones como Juez de Control de Garantías, y la decisión que adopte sea susceptible de Recurso de Apelación, el superior Jerárquico para conocer de la alzada de es la H. Corte Suprema</w:t>
      </w:r>
      <w:r w:rsidRPr="00DF77C8">
        <w:rPr>
          <w:rFonts w:ascii="Times New Roman" w:hAnsi="Times New Roman"/>
          <w:color w:val="000000"/>
          <w:sz w:val="28"/>
          <w:szCs w:val="28"/>
        </w:rPr>
        <w:t xml:space="preserve"> de Justicia, conforme la jerarquía que ostenta la Rama Judicial, artículos 31 y 32- ley 906 de 2004”</w:t>
      </w:r>
      <w:r w:rsidRPr="00DF77C8">
        <w:rPr>
          <w:rFonts w:ascii="Times New Roman" w:hAnsi="Times New Roman"/>
          <w:color w:val="000000"/>
          <w:sz w:val="28"/>
          <w:szCs w:val="28"/>
          <w:vertAlign w:val="superscript"/>
        </w:rPr>
        <w:footnoteReference w:id="9"/>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No obstante, el demandante advirtió que la Corte Suprema de Justicia, Sala de Casación Penal, difería de la anterior postura, lo cual sustentó en los </w:t>
      </w:r>
      <w:r w:rsidRPr="00DF77C8">
        <w:rPr>
          <w:rFonts w:ascii="Times New Roman" w:hAnsi="Times New Roman"/>
          <w:color w:val="000000"/>
          <w:sz w:val="28"/>
          <w:szCs w:val="28"/>
        </w:rPr>
        <w:t>siguientes términos:</w:t>
      </w:r>
    </w:p>
    <w:p w:rsidR="00801F94" w:rsidRPr="00DF77C8" w:rsidRDefault="00DF77C8" w:rsidP="008A4B21">
      <w:pPr>
        <w:pBdr>
          <w:top w:val="nil"/>
          <w:left w:val="nil"/>
          <w:bottom w:val="nil"/>
          <w:right w:val="nil"/>
          <w:between w:val="nil"/>
        </w:pBdr>
        <w:tabs>
          <w:tab w:val="left" w:pos="284"/>
          <w:tab w:val="left" w:pos="426"/>
        </w:tabs>
        <w:jc w:val="both"/>
        <w:rPr>
          <w:rFonts w:ascii="Times New Roman" w:hAnsi="Times New Roman"/>
          <w:color w:val="000000"/>
          <w:sz w:val="28"/>
          <w:szCs w:val="28"/>
        </w:rPr>
      </w:pPr>
    </w:p>
    <w:p w:rsidR="00801F94" w:rsidRPr="00DF77C8" w:rsidRDefault="00DF77C8" w:rsidP="008A4B21">
      <w:pPr>
        <w:pBdr>
          <w:top w:val="nil"/>
          <w:left w:val="nil"/>
          <w:bottom w:val="nil"/>
          <w:right w:val="nil"/>
          <w:between w:val="nil"/>
        </w:pBdr>
        <w:tabs>
          <w:tab w:val="left" w:pos="284"/>
        </w:tabs>
        <w:ind w:left="567"/>
        <w:jc w:val="both"/>
        <w:rPr>
          <w:rFonts w:ascii="Times New Roman" w:hAnsi="Times New Roman"/>
          <w:color w:val="000000"/>
          <w:sz w:val="28"/>
          <w:szCs w:val="28"/>
        </w:rPr>
      </w:pPr>
      <w:r w:rsidRPr="00DF77C8">
        <w:rPr>
          <w:rFonts w:ascii="Times New Roman" w:hAnsi="Times New Roman"/>
          <w:color w:val="000000"/>
          <w:sz w:val="28"/>
          <w:szCs w:val="28"/>
        </w:rPr>
        <w:t>“Sin embargo, la postura Jurisprudencial de la Corte Suprema de Justicia sala de Casación Penal difiere rotundamente con respecto a ese pensamiento, dado que su postura, reiterada en múltiples pronunciamientos (CSJ AP, 27 de junio de 2007, Rad. 27488; AP12</w:t>
      </w:r>
      <w:r w:rsidRPr="00DF77C8">
        <w:rPr>
          <w:rFonts w:ascii="Times New Roman" w:hAnsi="Times New Roman"/>
          <w:color w:val="000000"/>
          <w:sz w:val="28"/>
          <w:szCs w:val="28"/>
        </w:rPr>
        <w:t>84-2015 del 11 de marzo de 2015 Rad. 45293; AP3307-2017 del 24 de mayo de 2017 Rad. 50217; AP7397-2017, del 1 de noviembre de 2017 Rad. 51102; AP4702-2018 del 31 de octubre de 2018 Rad. 54051; AP3780-2019 del 6 de septiembre de 2019 Rad. 55965), desde el i</w:t>
      </w:r>
      <w:r w:rsidRPr="00DF77C8">
        <w:rPr>
          <w:rFonts w:ascii="Times New Roman" w:hAnsi="Times New Roman"/>
          <w:color w:val="000000"/>
          <w:sz w:val="28"/>
          <w:szCs w:val="28"/>
        </w:rPr>
        <w:t xml:space="preserve">nicio de la implementación del sistema penal acusatorio, ha sido la de declarar improcedente el recurso de Apelación con respecto a los Autos emitidos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desempeña función de control de garantías toda v</w:t>
      </w:r>
      <w:r w:rsidRPr="00DF77C8">
        <w:rPr>
          <w:rFonts w:ascii="Times New Roman" w:hAnsi="Times New Roman"/>
          <w:color w:val="000000"/>
          <w:sz w:val="28"/>
          <w:szCs w:val="28"/>
        </w:rPr>
        <w:t>ez que la Ley no ha asignado competencia para avocar conocimiento sobre esos recursos”</w:t>
      </w:r>
      <w:r w:rsidRPr="00DF77C8">
        <w:rPr>
          <w:rFonts w:ascii="Times New Roman" w:hAnsi="Times New Roman"/>
          <w:color w:val="000000"/>
          <w:sz w:val="28"/>
          <w:szCs w:val="28"/>
          <w:vertAlign w:val="superscript"/>
        </w:rPr>
        <w:footnoteReference w:id="10"/>
      </w:r>
      <w:r w:rsidRPr="00DF77C8">
        <w:rPr>
          <w:rFonts w:ascii="Times New Roman" w:hAnsi="Times New Roman"/>
          <w:color w:val="000000"/>
          <w:sz w:val="28"/>
          <w:szCs w:val="28"/>
        </w:rPr>
        <w:t xml:space="preserve">. </w:t>
      </w:r>
    </w:p>
    <w:p w:rsidR="00801F94" w:rsidRPr="00DF77C8" w:rsidRDefault="00DF77C8" w:rsidP="008A4B21">
      <w:pPr>
        <w:tabs>
          <w:tab w:val="left" w:pos="284"/>
        </w:tabs>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Por último, concluyó que tampoco podría entenderse que el pleno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es la autoridad competente para conocer del recurso de apelación cont</w:t>
      </w:r>
      <w:r w:rsidRPr="00DF77C8">
        <w:rPr>
          <w:rFonts w:ascii="Times New Roman" w:hAnsi="Times New Roman"/>
          <w:color w:val="000000"/>
          <w:sz w:val="28"/>
          <w:szCs w:val="28"/>
        </w:rPr>
        <w:t xml:space="preserve">ra las decisiones proferidas en ejercicio de la función de control de garantías por uno de sus magistrados de la Sala Penal, porque los artículos 33 y 34 de la Ley 906 de 2004 fijaron expresamente la competencia de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 de Distrito Jud</w:t>
      </w:r>
      <w:r w:rsidRPr="00DF77C8">
        <w:rPr>
          <w:rFonts w:ascii="Times New Roman" w:hAnsi="Times New Roman"/>
          <w:color w:val="000000"/>
          <w:sz w:val="28"/>
          <w:szCs w:val="28"/>
        </w:rPr>
        <w:t xml:space="preserve">icial. Y en estas disposiciones no se hace mención respecto al conocimiento que deben asumir de dicho recurso frente a los autos proferidos en sede de control de garantías por uno de sus miembros. Y menos puede interpretarse que el competente será un juez </w:t>
      </w:r>
      <w:r w:rsidRPr="00DF77C8">
        <w:rPr>
          <w:rFonts w:ascii="Times New Roman" w:hAnsi="Times New Roman"/>
          <w:color w:val="000000"/>
          <w:sz w:val="28"/>
          <w:szCs w:val="28"/>
        </w:rPr>
        <w:t xml:space="preserve">penal del circuito en virtud de la competencia funcional, porque esta autoridad debe conocer por expreso mandato legal del recurso de apelación interpuesto contra los autos proferidos por los jueces penales municipales.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jc w:val="both"/>
        <w:rPr>
          <w:rFonts w:ascii="Times New Roman" w:hAnsi="Times New Roman"/>
          <w:i/>
          <w:sz w:val="28"/>
          <w:szCs w:val="28"/>
        </w:rPr>
      </w:pPr>
      <w:r w:rsidRPr="00DF77C8">
        <w:rPr>
          <w:rFonts w:ascii="Times New Roman" w:hAnsi="Times New Roman"/>
          <w:i/>
          <w:sz w:val="28"/>
          <w:szCs w:val="28"/>
        </w:rPr>
        <w:t xml:space="preserve">Protección judicial (Artículo 25 de la Convención Americana </w:t>
      </w:r>
      <w:r w:rsidRPr="00DF77C8">
        <w:rPr>
          <w:rFonts w:ascii="Times New Roman" w:hAnsi="Times New Roman"/>
          <w:i/>
          <w:sz w:val="28"/>
          <w:szCs w:val="28"/>
        </w:rPr>
        <w:t>sobre</w:t>
      </w:r>
      <w:r w:rsidRPr="00DF77C8">
        <w:rPr>
          <w:rFonts w:ascii="Times New Roman" w:hAnsi="Times New Roman"/>
          <w:i/>
          <w:sz w:val="28"/>
          <w:szCs w:val="28"/>
        </w:rPr>
        <w:t xml:space="preserve"> Derechos Humanos)</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tabs>
          <w:tab w:val="left" w:pos="284"/>
        </w:tabs>
        <w:jc w:val="both"/>
        <w:rPr>
          <w:rFonts w:ascii="Times New Roman" w:hAnsi="Times New Roman"/>
          <w:color w:val="000000"/>
          <w:sz w:val="28"/>
          <w:szCs w:val="28"/>
        </w:rPr>
      </w:pPr>
      <w:r w:rsidRPr="00DF77C8">
        <w:rPr>
          <w:rFonts w:ascii="Times New Roman" w:hAnsi="Times New Roman"/>
          <w:color w:val="000000"/>
          <w:sz w:val="28"/>
          <w:szCs w:val="28"/>
        </w:rPr>
        <w:t>El actor expuso que la omisión legislativa relativa vulnera la Convención</w:t>
      </w:r>
      <w:r w:rsidRPr="00DF77C8">
        <w:rPr>
          <w:rFonts w:ascii="Times New Roman" w:hAnsi="Times New Roman"/>
          <w:color w:val="000000"/>
          <w:sz w:val="28"/>
          <w:szCs w:val="28"/>
        </w:rPr>
        <w:t xml:space="preserve"> </w:t>
      </w:r>
      <w:r w:rsidRPr="00DF77C8">
        <w:rPr>
          <w:rFonts w:ascii="Times New Roman" w:hAnsi="Times New Roman"/>
          <w:iCs/>
          <w:sz w:val="28"/>
          <w:szCs w:val="28"/>
        </w:rPr>
        <w:t>Americana sobre Derechos Humanos</w:t>
      </w:r>
      <w:r w:rsidRPr="00DF77C8">
        <w:rPr>
          <w:rFonts w:ascii="Times New Roman" w:hAnsi="Times New Roman"/>
          <w:iCs/>
          <w:color w:val="000000"/>
          <w:sz w:val="28"/>
          <w:szCs w:val="28"/>
        </w:rPr>
        <w:t xml:space="preserve"> </w:t>
      </w:r>
      <w:r w:rsidRPr="00DF77C8">
        <w:rPr>
          <w:rFonts w:ascii="Times New Roman" w:hAnsi="Times New Roman"/>
          <w:color w:val="000000"/>
          <w:sz w:val="28"/>
          <w:szCs w:val="28"/>
        </w:rPr>
        <w:t>porque, aunque el legislador consagró formalmente el recurso de apelación contra los autos que expida el magistrado con función de control de garantías (por tratarse de decisiones que afectan derechos fundamentales), dicho mecanismo consiste en una mera de</w:t>
      </w:r>
      <w:r w:rsidRPr="00DF77C8">
        <w:rPr>
          <w:rFonts w:ascii="Times New Roman" w:hAnsi="Times New Roman"/>
          <w:color w:val="000000"/>
          <w:sz w:val="28"/>
          <w:szCs w:val="28"/>
        </w:rPr>
        <w:t xml:space="preserve">claración formal porque materialmente no puede ser invocado. En esa medida, </w:t>
      </w:r>
      <w:r w:rsidRPr="00DF77C8">
        <w:rPr>
          <w:rFonts w:ascii="Times New Roman" w:hAnsi="Times New Roman"/>
          <w:color w:val="000000"/>
          <w:sz w:val="28"/>
          <w:szCs w:val="28"/>
        </w:rPr>
        <w:t xml:space="preserve">el recurso no es adecuado ni efectivo ante la ausencia de regulación normativa sobre la autoridad que tiene competencia para resolverlo. </w:t>
      </w:r>
    </w:p>
    <w:p w:rsidR="00801F94" w:rsidRPr="00DF77C8" w:rsidRDefault="00DF77C8" w:rsidP="008A4B21">
      <w:pPr>
        <w:pBdr>
          <w:top w:val="nil"/>
          <w:left w:val="nil"/>
          <w:bottom w:val="nil"/>
          <w:right w:val="nil"/>
          <w:between w:val="nil"/>
        </w:pBdr>
        <w:tabs>
          <w:tab w:val="left" w:pos="284"/>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Asimismo, indicó que no puede entenders</w:t>
      </w:r>
      <w:r w:rsidRPr="00DF77C8">
        <w:rPr>
          <w:rFonts w:ascii="Times New Roman" w:hAnsi="Times New Roman"/>
          <w:color w:val="000000"/>
          <w:sz w:val="28"/>
          <w:szCs w:val="28"/>
        </w:rPr>
        <w:t xml:space="preserve">e que, en estos eventos, la acción de tutela sea el único mecanismo efectivo para la realización del derecho de acceso a la justicia del investigado, sumado a que se presentaría una limitante respecto a la acreditación del presupuesto de subsidiariedad. </w:t>
      </w:r>
    </w:p>
    <w:p w:rsidR="00801F94" w:rsidRPr="00DF77C8" w:rsidRDefault="00DF77C8" w:rsidP="008A4B21">
      <w:pPr>
        <w:rPr>
          <w:rFonts w:ascii="Times New Roman" w:hAnsi="Times New Roman"/>
          <w:sz w:val="28"/>
          <w:szCs w:val="28"/>
        </w:rPr>
      </w:pPr>
    </w:p>
    <w:p w:rsidR="00801F94" w:rsidRPr="00DF77C8" w:rsidRDefault="00DF77C8" w:rsidP="008A4B21">
      <w:pPr>
        <w:rPr>
          <w:rFonts w:ascii="Times New Roman" w:hAnsi="Times New Roman"/>
          <w:i/>
          <w:sz w:val="28"/>
          <w:szCs w:val="28"/>
        </w:rPr>
      </w:pPr>
      <w:r w:rsidRPr="00DF77C8">
        <w:rPr>
          <w:rFonts w:ascii="Times New Roman" w:hAnsi="Times New Roman"/>
          <w:i/>
          <w:sz w:val="28"/>
          <w:szCs w:val="28"/>
        </w:rPr>
        <w:t>Corrección de la demanda</w:t>
      </w:r>
    </w:p>
    <w:p w:rsidR="00801F94" w:rsidRPr="00DF77C8" w:rsidRDefault="00DF77C8" w:rsidP="008A4B21">
      <w:pPr>
        <w:rPr>
          <w:rFonts w:ascii="Times New Roman" w:hAnsi="Times New Roman"/>
          <w:i/>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virtud de lo solicitado por la magistrada sustanciadora en el auto que inadmitió la demanda, el actor indicó que en efecto el parágrafo 1°, del artículo 39 de la Ley 906 de 2004 no regula lo concerniente al recurso de apelación</w:t>
      </w:r>
      <w:r w:rsidRPr="00DF77C8">
        <w:rPr>
          <w:rFonts w:ascii="Times New Roman" w:hAnsi="Times New Roman"/>
          <w:color w:val="000000"/>
          <w:sz w:val="28"/>
          <w:szCs w:val="28"/>
        </w:rPr>
        <w:t xml:space="preserve"> ni la adscripción de competencia en materia de apelación en cabeza de la Corte Suprema de Justicia, sino a la función de control de garantías</w:t>
      </w:r>
      <w:r w:rsidRPr="00DF77C8">
        <w:rPr>
          <w:rFonts w:ascii="Times New Roman" w:hAnsi="Times New Roman"/>
          <w:color w:val="000000"/>
          <w:sz w:val="28"/>
          <w:szCs w:val="28"/>
        </w:rPr>
        <w:t xml:space="preserve"> en sí misma considerada</w:t>
      </w:r>
      <w:r w:rsidRPr="00DF77C8">
        <w:rPr>
          <w:rFonts w:ascii="Times New Roman" w:hAnsi="Times New Roman"/>
          <w:color w:val="000000"/>
          <w:sz w:val="28"/>
          <w:szCs w:val="28"/>
        </w:rPr>
        <w:t xml:space="preserve">. Por lo cual, procedió a acusar de manera adicional el artículo 32 del CPP, norma que </w:t>
      </w:r>
      <w:r w:rsidRPr="00DF77C8">
        <w:rPr>
          <w:rFonts w:ascii="Times New Roman" w:hAnsi="Times New Roman"/>
          <w:color w:val="000000"/>
          <w:sz w:val="28"/>
          <w:szCs w:val="28"/>
        </w:rPr>
        <w:t>establece los asuntos que son de conocimiento de la Sala Penal de la Corte Suprema de Justicia.</w:t>
      </w:r>
    </w:p>
    <w:p w:rsidR="00801F94" w:rsidRPr="00DF77C8" w:rsidRDefault="00DF77C8" w:rsidP="008A4B21">
      <w:pPr>
        <w:pBdr>
          <w:top w:val="nil"/>
          <w:left w:val="nil"/>
          <w:bottom w:val="nil"/>
          <w:right w:val="nil"/>
          <w:between w:val="nil"/>
        </w:pBdr>
        <w:tabs>
          <w:tab w:val="left" w:pos="284"/>
          <w:tab w:val="left" w:pos="426"/>
          <w:tab w:val="left" w:pos="709"/>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 su juicio, del anterior contexto normativo surge la omisión legislativa relativa alegada, pues si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del Distrito Judicial de Bogotá no ejerciera la función de control de garantías no habría necesidad de establecer que corresponde a la Sala Penal de la Corte Suprema de Justicia (en su calidad de superior funcional al interior de la jurisdicción </w:t>
      </w:r>
      <w:r w:rsidRPr="00DF77C8">
        <w:rPr>
          <w:rFonts w:ascii="Times New Roman" w:hAnsi="Times New Roman"/>
          <w:color w:val="000000"/>
          <w:sz w:val="28"/>
          <w:szCs w:val="28"/>
        </w:rPr>
        <w:t>ordinaria), asumir el conocimiento del recurso de apelación contra las providencias que este funcionario profiere.</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Ahora bien, sobre la omisión legislativa relativa planteada, sostuvo que el artículo 32 de la Ley 906 de 2004 fue modificado por el artículo</w:t>
      </w:r>
      <w:r w:rsidRPr="00DF77C8">
        <w:rPr>
          <w:rFonts w:ascii="Times New Roman" w:hAnsi="Times New Roman"/>
          <w:color w:val="000000"/>
          <w:sz w:val="28"/>
          <w:szCs w:val="28"/>
        </w:rPr>
        <w:t xml:space="preserve"> 12 de la Ley 2098 de 20</w:t>
      </w:r>
      <w:r w:rsidRPr="00DF77C8">
        <w:rPr>
          <w:rFonts w:ascii="Times New Roman" w:hAnsi="Times New Roman"/>
          <w:color w:val="000000"/>
          <w:sz w:val="28"/>
          <w:szCs w:val="28"/>
        </w:rPr>
        <w:t>21</w:t>
      </w:r>
      <w:r w:rsidRPr="00DF77C8">
        <w:rPr>
          <w:rFonts w:ascii="Times New Roman" w:hAnsi="Times New Roman"/>
          <w:color w:val="000000"/>
          <w:sz w:val="28"/>
          <w:szCs w:val="28"/>
        </w:rPr>
        <w:t xml:space="preserve">, que eliminó el numeral 3° original de dicha normativa que establecía la función de conocer de “los recursos de apelación contra los autos y sentencias que profieran en primera instancia los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superiores”.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No obstante,</w:t>
      </w:r>
      <w:r w:rsidRPr="00DF77C8">
        <w:rPr>
          <w:rFonts w:ascii="Times New Roman" w:hAnsi="Times New Roman"/>
          <w:color w:val="000000"/>
          <w:sz w:val="28"/>
          <w:szCs w:val="28"/>
        </w:rPr>
        <w:t xml:space="preserve"> advirtió que la Sala Penal de la Corte Suprema de Justicia, a través de recientes pronunciamientos, fundamentó su competencia para conocer del recurso contra autos y sentencias proferidos en primera instancia por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 en el numeral 3°</w:t>
      </w:r>
      <w:r w:rsidRPr="00DF77C8">
        <w:rPr>
          <w:rFonts w:ascii="Times New Roman" w:hAnsi="Times New Roman"/>
          <w:color w:val="000000"/>
          <w:sz w:val="28"/>
          <w:szCs w:val="28"/>
        </w:rPr>
        <w:t xml:space="preserve"> del artículo 32 del CPP, afirmación que en concepto del ciudadano es confusa porque dicho numeral en la actualidad hace alusión a “la definición de competencia cuando se trate de aforados constitucionales y legales, o de </w:t>
      </w:r>
      <w:r w:rsidRPr="00DF77C8">
        <w:rPr>
          <w:rFonts w:ascii="Times New Roman" w:hAnsi="Times New Roman"/>
          <w:color w:val="000000"/>
          <w:sz w:val="28"/>
          <w:szCs w:val="28"/>
        </w:rPr>
        <w:t>Tribunal</w:t>
      </w:r>
      <w:r w:rsidRPr="00DF77C8">
        <w:rPr>
          <w:rFonts w:ascii="Times New Roman" w:hAnsi="Times New Roman"/>
          <w:color w:val="000000"/>
          <w:sz w:val="28"/>
          <w:szCs w:val="28"/>
        </w:rPr>
        <w:t>es, o de juzgados de difer</w:t>
      </w:r>
      <w:r w:rsidRPr="00DF77C8">
        <w:rPr>
          <w:rFonts w:ascii="Times New Roman" w:hAnsi="Times New Roman"/>
          <w:color w:val="000000"/>
          <w:sz w:val="28"/>
          <w:szCs w:val="28"/>
        </w:rPr>
        <w:t xml:space="preserve">entes distritos”.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Para el demandante</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si el numeral 3° del artículo 32 original de la Ley 906 de 2004 se encuentra vigente la omisión legislativa se predicaría de este aparte normativo específico. En caso contrario dicha omisión se alegaría respecto de l</w:t>
      </w:r>
      <w:r w:rsidRPr="00DF77C8">
        <w:rPr>
          <w:rFonts w:ascii="Times New Roman" w:hAnsi="Times New Roman"/>
          <w:color w:val="000000"/>
          <w:sz w:val="28"/>
          <w:szCs w:val="28"/>
        </w:rPr>
        <w:t xml:space="preserve">a totalidad del artículo 32 del CPP, al no contemplar ningún literal específico respecto del conocimiento del recurso de apelación de dicha autoridad ni como juez de conocimiento ni como juez de control de garantías.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 w:val="left" w:pos="709"/>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Asimismo, el demandante citó las providencias expedidas por el órgano de cierre de la jurisdicción ordinaria en materia penal con posterioridad a la expedición del Acto Legislativo 01 de 2018, en las que puede observarse su postura acerca de que los autos </w:t>
      </w:r>
      <w:r w:rsidRPr="00DF77C8">
        <w:rPr>
          <w:rFonts w:ascii="Times New Roman" w:hAnsi="Times New Roman"/>
          <w:color w:val="000000"/>
          <w:sz w:val="28"/>
          <w:szCs w:val="28"/>
        </w:rPr>
        <w:t xml:space="preserve">expedidos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no son apelables.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último, el actor sostuvo que para evitar que al interior de la Corte Suprema de Justicia confluyan las funciones de control de garantías y la función de conocimiento, lo pr</w:t>
      </w:r>
      <w:r w:rsidRPr="00DF77C8">
        <w:rPr>
          <w:rFonts w:ascii="Times New Roman" w:hAnsi="Times New Roman"/>
          <w:color w:val="000000"/>
          <w:sz w:val="28"/>
          <w:szCs w:val="28"/>
        </w:rPr>
        <w:t xml:space="preserve">ocedente sería separar dichas funciones dentro de la misma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con el fin de garantizar los derechos de los procesados y al mismo tiempo observar lo dispuesto en el numeral 1° del artículo 250 de la Constitución que consagra: “(…) El juez que ejerz</w:t>
      </w:r>
      <w:r w:rsidRPr="00DF77C8">
        <w:rPr>
          <w:rFonts w:ascii="Times New Roman" w:hAnsi="Times New Roman"/>
          <w:color w:val="000000"/>
          <w:sz w:val="28"/>
          <w:szCs w:val="28"/>
        </w:rPr>
        <w:t>a las funciones de control de garantías, no podrá ser, en ningún caso, el juez de conocimiento, en aquellos asuntos en que haya ejercido esta función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w:t>
      </w:r>
      <w:r w:rsidRPr="00DF77C8">
        <w:rPr>
          <w:rFonts w:ascii="Times New Roman" w:hAnsi="Times New Roman"/>
          <w:color w:val="000000"/>
          <w:sz w:val="28"/>
          <w:szCs w:val="28"/>
        </w:rPr>
        <w:t>anterior remedio</w:t>
      </w:r>
      <w:r w:rsidRPr="00DF77C8">
        <w:rPr>
          <w:rFonts w:ascii="Times New Roman" w:hAnsi="Times New Roman"/>
          <w:color w:val="000000"/>
          <w:sz w:val="28"/>
          <w:szCs w:val="28"/>
        </w:rPr>
        <w:t xml:space="preserve">, a juicio del actor, sería </w:t>
      </w:r>
      <w:r w:rsidRPr="00DF77C8">
        <w:rPr>
          <w:rFonts w:ascii="Times New Roman" w:hAnsi="Times New Roman"/>
          <w:color w:val="000000"/>
          <w:sz w:val="28"/>
          <w:szCs w:val="28"/>
        </w:rPr>
        <w:t xml:space="preserve"> plenamente aplicable no solo a los procesos que se </w:t>
      </w:r>
      <w:r w:rsidRPr="00DF77C8">
        <w:rPr>
          <w:rFonts w:ascii="Times New Roman" w:hAnsi="Times New Roman"/>
          <w:color w:val="000000"/>
          <w:sz w:val="28"/>
          <w:szCs w:val="28"/>
        </w:rPr>
        <w:t>siguen a la luz de lo dispuesto en la Ley 906 de 2004, sino también a cualquiera de los otros sistemas procesales penales con tendencia acusatoria que existen en Colombia, en los cuales también se consagra la figura del magistrado de control de garantías p</w:t>
      </w:r>
      <w:r w:rsidRPr="00DF77C8">
        <w:rPr>
          <w:rFonts w:ascii="Times New Roman" w:hAnsi="Times New Roman"/>
          <w:color w:val="000000"/>
          <w:sz w:val="28"/>
          <w:szCs w:val="28"/>
        </w:rPr>
        <w:t xml:space="preserve">erteneciente a un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como es el caso de la Ley 975 de 2005</w:t>
      </w:r>
      <w:r w:rsidRPr="00DF77C8">
        <w:rPr>
          <w:rFonts w:ascii="Times New Roman" w:hAnsi="Times New Roman"/>
          <w:color w:val="000000"/>
          <w:sz w:val="28"/>
          <w:szCs w:val="28"/>
          <w:vertAlign w:val="superscript"/>
        </w:rPr>
        <w:footnoteReference w:id="11"/>
      </w:r>
      <w:r w:rsidRPr="00DF77C8">
        <w:rPr>
          <w:rFonts w:ascii="Times New Roman" w:hAnsi="Times New Roman"/>
          <w:color w:val="000000"/>
          <w:sz w:val="28"/>
          <w:szCs w:val="28"/>
        </w:rPr>
        <w:t xml:space="preserve">, cuya función de control de garantías es ejercida por un magistrado con función de control de garantías de las Salas de Justicia y Paz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del Distrito Judicial y la Ley 1407 de 2010</w:t>
      </w:r>
      <w:r w:rsidRPr="00DF77C8">
        <w:rPr>
          <w:rFonts w:ascii="Times New Roman" w:hAnsi="Times New Roman"/>
          <w:color w:val="000000"/>
          <w:sz w:val="28"/>
          <w:szCs w:val="28"/>
          <w:vertAlign w:val="superscript"/>
        </w:rPr>
        <w:footnoteReference w:id="12"/>
      </w:r>
      <w:r w:rsidRPr="00DF77C8">
        <w:rPr>
          <w:rFonts w:ascii="Times New Roman" w:hAnsi="Times New Roman"/>
          <w:color w:val="000000"/>
          <w:sz w:val="28"/>
          <w:szCs w:val="28"/>
        </w:rPr>
        <w:t xml:space="preserve">, cuya función de control de garantías es ejercida por un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Militar. Por lo cual, en ambos casos los recursos de apelación deben ser resueltos por su superior funcional, e</w:t>
      </w:r>
      <w:r w:rsidRPr="00DF77C8">
        <w:rPr>
          <w:rFonts w:ascii="Times New Roman" w:hAnsi="Times New Roman"/>
          <w:color w:val="000000"/>
          <w:sz w:val="28"/>
          <w:szCs w:val="28"/>
        </w:rPr>
        <w:t>sto es, la Corte Suprema de Justicia.</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284"/>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Por todo lo expuesto, solicitó que la norma </w:t>
      </w:r>
      <w:r w:rsidRPr="00DF77C8">
        <w:rPr>
          <w:rFonts w:ascii="Times New Roman" w:hAnsi="Times New Roman"/>
          <w:color w:val="000000"/>
          <w:sz w:val="28"/>
          <w:szCs w:val="28"/>
        </w:rPr>
        <w:t xml:space="preserve">demandada por omisión legislativa relativa sea declarada exequible de manera condicionada, en el sentido de que “el recurso de apelación interpuesto contra los autos proferidos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ejerz</w:t>
      </w:r>
      <w:r w:rsidRPr="00DF77C8">
        <w:rPr>
          <w:rFonts w:ascii="Times New Roman" w:hAnsi="Times New Roman"/>
          <w:color w:val="000000"/>
          <w:sz w:val="28"/>
          <w:szCs w:val="28"/>
        </w:rPr>
        <w:t xml:space="preserve">a la función de Juez de Control de Garantías será de conocimiento de la Corte Suprema de Justicia como superior funcional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w:t>
      </w:r>
      <w:r w:rsidRPr="00DF77C8">
        <w:rPr>
          <w:rFonts w:ascii="Times New Roman" w:hAnsi="Times New Roman"/>
          <w:color w:val="000000"/>
          <w:sz w:val="28"/>
          <w:szCs w:val="28"/>
          <w:vertAlign w:val="superscript"/>
        </w:rPr>
        <w:footnoteReference w:id="13"/>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tabs>
          <w:tab w:val="left" w:pos="284"/>
        </w:tabs>
        <w:jc w:val="both"/>
        <w:rPr>
          <w:rFonts w:ascii="Times New Roman" w:hAnsi="Times New Roman"/>
          <w:color w:val="000000"/>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b/>
          <w:sz w:val="28"/>
          <w:szCs w:val="28"/>
        </w:rPr>
        <w:t>IV. INTERVENCIONES</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El 9 de noviembre de 2023, v</w:t>
      </w:r>
      <w:r w:rsidRPr="00DF77C8">
        <w:rPr>
          <w:rFonts w:ascii="Times New Roman" w:hAnsi="Times New Roman"/>
          <w:color w:val="000000"/>
          <w:sz w:val="28"/>
          <w:szCs w:val="28"/>
        </w:rPr>
        <w:t>encido el término de fijación en lista</w:t>
      </w:r>
      <w:r w:rsidRPr="00DF77C8">
        <w:rPr>
          <w:rStyle w:val="Refdenotaalpie"/>
          <w:rFonts w:ascii="Times New Roman" w:hAnsi="Times New Roman"/>
          <w:color w:val="000000"/>
          <w:sz w:val="28"/>
          <w:szCs w:val="28"/>
        </w:rPr>
        <w:footnoteReference w:id="14"/>
      </w:r>
      <w:r w:rsidRPr="00DF77C8">
        <w:rPr>
          <w:rFonts w:ascii="Times New Roman" w:hAnsi="Times New Roman"/>
          <w:color w:val="000000"/>
          <w:sz w:val="28"/>
          <w:szCs w:val="28"/>
        </w:rPr>
        <w:t xml:space="preserve">, en cumplimiento de lo </w:t>
      </w:r>
      <w:r w:rsidRPr="00DF77C8">
        <w:rPr>
          <w:rFonts w:ascii="Times New Roman" w:hAnsi="Times New Roman"/>
          <w:color w:val="000000"/>
          <w:sz w:val="28"/>
          <w:szCs w:val="28"/>
        </w:rPr>
        <w:t>ordenado en el auto admisorio del veintisiete (27) de septiembre de dos mil veintitrés (2023)</w:t>
      </w:r>
      <w:r w:rsidRPr="00DF77C8">
        <w:rPr>
          <w:rFonts w:ascii="Times New Roman" w:hAnsi="Times New Roman"/>
          <w:color w:val="000000"/>
          <w:sz w:val="28"/>
          <w:szCs w:val="28"/>
          <w:vertAlign w:val="superscript"/>
        </w:rPr>
        <w:footnoteReference w:id="15"/>
      </w:r>
      <w:r w:rsidRPr="00DF77C8">
        <w:rPr>
          <w:rFonts w:ascii="Times New Roman" w:hAnsi="Times New Roman"/>
          <w:color w:val="000000"/>
          <w:sz w:val="28"/>
          <w:szCs w:val="28"/>
        </w:rPr>
        <w:t xml:space="preserve">, a través de la Secretaría General de esta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se recibieron las siguientes intervenciones:</w:t>
      </w:r>
    </w:p>
    <w:p w:rsidR="00801F94" w:rsidRPr="00DF77C8" w:rsidRDefault="00DF77C8" w:rsidP="008A4B21">
      <w:pPr>
        <w:jc w:val="both"/>
        <w:rPr>
          <w:rFonts w:ascii="Times New Roman" w:hAnsi="Times New Roman"/>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b/>
          <w:sz w:val="28"/>
          <w:szCs w:val="28"/>
        </w:rPr>
        <w:t>Ministerio de Justicia y del Derecho</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9 de noviembre de </w:t>
      </w:r>
      <w:r w:rsidRPr="00DF77C8">
        <w:rPr>
          <w:rFonts w:ascii="Times New Roman" w:hAnsi="Times New Roman"/>
          <w:color w:val="000000"/>
          <w:sz w:val="28"/>
          <w:szCs w:val="28"/>
        </w:rPr>
        <w:t>2023, el Ministerio de Justicia y del Derecho, a través del director de la Dirección de Desarrollo del Derecho y del Ordenamiento Jurídico de esa misma cartera, intervino en este proceso de constitucionalidad para solicitar la exequibilidad condicionada de</w:t>
      </w:r>
      <w:r w:rsidRPr="00DF77C8">
        <w:rPr>
          <w:rFonts w:ascii="Times New Roman" w:hAnsi="Times New Roman"/>
          <w:color w:val="000000"/>
          <w:sz w:val="28"/>
          <w:szCs w:val="28"/>
        </w:rPr>
        <w:t>l numeral 3° original del artículo 32 de la Ley 906 de 2004, o del artículo 32 de la misma normativa en su integridad</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y la inhibición para pronunciarse de fondo respecto del parágrafo 1° del artículo 39 de la Ley 906 de 2004.</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Acerca de la duda planteada </w:t>
      </w:r>
      <w:r w:rsidRPr="00DF77C8">
        <w:rPr>
          <w:rFonts w:ascii="Times New Roman" w:hAnsi="Times New Roman"/>
          <w:color w:val="000000"/>
          <w:sz w:val="28"/>
          <w:szCs w:val="28"/>
        </w:rPr>
        <w:t>por el demandante sobre la vigencia del numeral 3° original del artículo 32 de la Ley 906 de 2004</w:t>
      </w:r>
      <w:r w:rsidRPr="00DF77C8">
        <w:rPr>
          <w:rFonts w:ascii="Times New Roman" w:hAnsi="Times New Roman"/>
          <w:color w:val="000000"/>
          <w:sz w:val="28"/>
          <w:szCs w:val="28"/>
          <w:vertAlign w:val="superscript"/>
        </w:rPr>
        <w:footnoteReference w:id="16"/>
      </w:r>
      <w:r w:rsidRPr="00DF77C8">
        <w:rPr>
          <w:rFonts w:ascii="Times New Roman" w:hAnsi="Times New Roman"/>
          <w:color w:val="000000"/>
          <w:sz w:val="28"/>
          <w:szCs w:val="28"/>
        </w:rPr>
        <w:t>, el ministerio expuso la importancia de analizarla para determinar si la omisión legislativa se predicaría de ese aparte normativo en concreto o del contenid</w:t>
      </w:r>
      <w:r w:rsidRPr="00DF77C8">
        <w:rPr>
          <w:rFonts w:ascii="Times New Roman" w:hAnsi="Times New Roman"/>
          <w:color w:val="000000"/>
          <w:sz w:val="28"/>
          <w:szCs w:val="28"/>
        </w:rPr>
        <w:t>o del artículo 32 en su totalidad que, luego de la reforma introducida por el artículo 12 de la Ley 2098 de 2021, no contempla el numeral 3° original</w:t>
      </w:r>
      <w:r w:rsidRPr="00DF77C8">
        <w:rPr>
          <w:rFonts w:ascii="Times New Roman" w:hAnsi="Times New Roman"/>
          <w:color w:val="000000"/>
          <w:sz w:val="28"/>
          <w:szCs w:val="28"/>
          <w:vertAlign w:val="superscript"/>
        </w:rPr>
        <w:footnoteReference w:id="17"/>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ese sentido, advirtió que revisados los antecedentes legislativos del Proyecto de Ley 401 de 2021, </w:t>
      </w:r>
      <w:r w:rsidRPr="00DF77C8">
        <w:rPr>
          <w:rFonts w:ascii="Times New Roman" w:hAnsi="Times New Roman"/>
          <w:color w:val="000000"/>
          <w:sz w:val="28"/>
          <w:szCs w:val="28"/>
        </w:rPr>
        <w:t>radicado en el Senado, la intención del Congreso no fue eliminar el numeral 3° original del artículo 32 de la Ley 906 de 2004, sino que, como</w:t>
      </w:r>
      <w:r w:rsidRPr="00DF77C8">
        <w:rPr>
          <w:rFonts w:ascii="Times New Roman" w:hAnsi="Times New Roman"/>
          <w:color w:val="000000"/>
          <w:sz w:val="28"/>
          <w:szCs w:val="28"/>
        </w:rPr>
        <w:t xml:space="preserve"> el legislador</w:t>
      </w:r>
      <w:r w:rsidRPr="00DF77C8">
        <w:rPr>
          <w:rFonts w:ascii="Times New Roman" w:hAnsi="Times New Roman"/>
          <w:color w:val="000000"/>
          <w:sz w:val="28"/>
          <w:szCs w:val="28"/>
        </w:rPr>
        <w:t xml:space="preserve"> entendió que el mismo había sido declarado inexequible en su totalidad, decidió omitir la transcripción del mismo y tan solo adicionó los numerales relacionados con la prisión perpetua revisable, reenumerando los ordinales en el texto final del artículo 1</w:t>
      </w:r>
      <w:r w:rsidRPr="00DF77C8">
        <w:rPr>
          <w:rFonts w:ascii="Times New Roman" w:hAnsi="Times New Roman"/>
          <w:color w:val="000000"/>
          <w:sz w:val="28"/>
          <w:szCs w:val="28"/>
        </w:rPr>
        <w:t xml:space="preserve">2 de la Ley 2098 de 2021.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No obstante, afirmó que se trataba de una lectura errada de lo dispuesto en la Sentencia C-792 de 2014, respecto de dicho numeral, el cual no fue declarado inconstitucional en su totalidad sino solamente en lo que omitía, esto es, no contemplar la posibili</w:t>
      </w:r>
      <w:r w:rsidRPr="00DF77C8">
        <w:rPr>
          <w:rFonts w:ascii="Times New Roman" w:hAnsi="Times New Roman"/>
          <w:color w:val="000000"/>
          <w:sz w:val="28"/>
          <w:szCs w:val="28"/>
        </w:rPr>
        <w:t xml:space="preserve">dad de impugnar todas las sentencias condenatorias. Por lo demás, advirtió, dejó vigente el contenido positivo del mismo.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Al respecto, manifestó que la Corte Suprema de Justicia está aplicando lo dispuesto en el numeral 3° original del artículo 32 del C</w:t>
      </w:r>
      <w:r w:rsidRPr="00DF77C8">
        <w:rPr>
          <w:rFonts w:ascii="Times New Roman" w:hAnsi="Times New Roman"/>
          <w:color w:val="000000"/>
          <w:sz w:val="28"/>
          <w:szCs w:val="28"/>
        </w:rPr>
        <w:t xml:space="preserve">ódigo de Procedimiento Penal para conocer de la apelación contra las sentencias condenatorias en materia penal proferidas por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w:t>
      </w:r>
      <w:r w:rsidRPr="00DF77C8">
        <w:rPr>
          <w:rFonts w:ascii="Times New Roman" w:hAnsi="Times New Roman"/>
          <w:color w:val="000000"/>
          <w:sz w:val="28"/>
          <w:szCs w:val="28"/>
          <w:vertAlign w:val="superscript"/>
        </w:rPr>
        <w:footnoteReference w:id="18"/>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 partir de lo expuesto, manifestó que preliminarmente sí podría entenderse que el numeral 3° origin</w:t>
      </w:r>
      <w:r w:rsidRPr="00DF77C8">
        <w:rPr>
          <w:rFonts w:ascii="Times New Roman" w:hAnsi="Times New Roman"/>
          <w:color w:val="000000"/>
          <w:sz w:val="28"/>
          <w:szCs w:val="28"/>
        </w:rPr>
        <w:t>al del artículo 32 de la Ley 906 de 2004 se encuentra vigente.</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relación con la omisión legislativa relativa alegada, el ministerio sostuvo que a su juicio se encuentran acreditados los elementos exigidos por la jurisprudencia para su configuración. Par</w:t>
      </w:r>
      <w:r w:rsidRPr="00DF77C8">
        <w:rPr>
          <w:rFonts w:ascii="Times New Roman" w:hAnsi="Times New Roman"/>
          <w:color w:val="000000"/>
          <w:sz w:val="28"/>
          <w:szCs w:val="28"/>
        </w:rPr>
        <w:t>a ello, hizo alusión en primer lugar a la naturaleza del juez de control de garantías como juez constitucional en tanto “es el garante de los derechos fundamentales de todas las partes involucradas en la causa (…)”</w:t>
      </w:r>
      <w:r w:rsidRPr="00DF77C8">
        <w:rPr>
          <w:rFonts w:ascii="Times New Roman" w:hAnsi="Times New Roman"/>
          <w:color w:val="000000"/>
          <w:sz w:val="28"/>
          <w:szCs w:val="28"/>
          <w:vertAlign w:val="superscript"/>
        </w:rPr>
        <w:footnoteReference w:id="19"/>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Luego hizo referencia a la garantía d</w:t>
      </w:r>
      <w:r w:rsidRPr="00DF77C8">
        <w:rPr>
          <w:rFonts w:ascii="Times New Roman" w:hAnsi="Times New Roman"/>
          <w:color w:val="000000"/>
          <w:sz w:val="28"/>
          <w:szCs w:val="28"/>
        </w:rPr>
        <w:t>e la doble instancia y el derecho a impugnar. Acerca del principio de la doble instancia, puntualizó que, si bien este no tiene carácter absoluto ya que en virtud del artículo 31 superior el legislador puede establecer excepciones al mismo, esta facultad n</w:t>
      </w:r>
      <w:r w:rsidRPr="00DF77C8">
        <w:rPr>
          <w:rFonts w:ascii="Times New Roman" w:hAnsi="Times New Roman"/>
          <w:color w:val="000000"/>
          <w:sz w:val="28"/>
          <w:szCs w:val="28"/>
        </w:rPr>
        <w:t xml:space="preserve">o puede ejercerse de manera arbitraria. Esto, explicó el representante del ministerio, </w:t>
      </w:r>
      <w:r w:rsidRPr="00DF77C8">
        <w:rPr>
          <w:rFonts w:ascii="Times New Roman" w:hAnsi="Times New Roman"/>
          <w:color w:val="000000"/>
          <w:sz w:val="28"/>
          <w:szCs w:val="28"/>
        </w:rPr>
        <w:t>porque,</w:t>
      </w:r>
      <w:r w:rsidRPr="00DF77C8">
        <w:rPr>
          <w:rFonts w:ascii="Times New Roman" w:hAnsi="Times New Roman"/>
          <w:color w:val="000000"/>
          <w:sz w:val="28"/>
          <w:szCs w:val="28"/>
        </w:rPr>
        <w:t xml:space="preserve"> aunque en los términos del artículo 150 de la Constitución Política el legislador goza de un amplio margen de configuración, en el ejercicio de esta atribución n</w:t>
      </w:r>
      <w:r w:rsidRPr="00DF77C8">
        <w:rPr>
          <w:rFonts w:ascii="Times New Roman" w:hAnsi="Times New Roman"/>
          <w:color w:val="000000"/>
          <w:sz w:val="28"/>
          <w:szCs w:val="28"/>
        </w:rPr>
        <w:t>o puede cercenar derechos fundamentales como el debido proceso y a la defensa. Por tanto, expuso, las limitaciones que se impongan no pueden ser injustificadas, sino que deben responder a criterios de razonabilidad, necesidad y proporcionalidad</w:t>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Recordó entonces </w:t>
      </w:r>
      <w:r w:rsidRPr="00DF77C8">
        <w:rPr>
          <w:rFonts w:ascii="Times New Roman" w:hAnsi="Times New Roman"/>
          <w:color w:val="000000"/>
          <w:sz w:val="28"/>
          <w:szCs w:val="28"/>
        </w:rPr>
        <w:t xml:space="preserve">algunos criterios establecidos por esta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en la Sentencia C-103 de 2005, al momento de aplicar la excepción al principio de la doble instancia:</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pBdr>
          <w:top w:val="nil"/>
          <w:left w:val="nil"/>
          <w:bottom w:val="nil"/>
          <w:right w:val="nil"/>
          <w:between w:val="nil"/>
        </w:pBdr>
        <w:tabs>
          <w:tab w:val="left" w:pos="426"/>
        </w:tabs>
        <w:ind w:left="720"/>
        <w:jc w:val="both"/>
        <w:rPr>
          <w:rFonts w:ascii="Times New Roman" w:hAnsi="Times New Roman"/>
          <w:color w:val="000000"/>
          <w:sz w:val="28"/>
          <w:szCs w:val="28"/>
        </w:rPr>
      </w:pPr>
      <w:r w:rsidRPr="00DF77C8">
        <w:rPr>
          <w:rFonts w:ascii="Times New Roman" w:hAnsi="Times New Roman"/>
          <w:color w:val="000000"/>
          <w:sz w:val="28"/>
          <w:szCs w:val="28"/>
        </w:rPr>
        <w:t>“(i) la exclusión de la doble instancia debe ser excepcional; (ii) deben existir otr</w:t>
      </w:r>
      <w:r w:rsidRPr="00DF77C8">
        <w:rPr>
          <w:rFonts w:ascii="Times New Roman" w:hAnsi="Times New Roman"/>
          <w:color w:val="000000"/>
          <w:sz w:val="28"/>
          <w:szCs w:val="28"/>
        </w:rPr>
        <w:t>os recursos, acciones u oportunidades procesales que garanticen adecuadamente el derecho de defensa y el derecho de acceso a la administración de justicia de quienes se ven afectados por lo actuado o por lo decidido en procesos de única instancia; (iii) la</w:t>
      </w:r>
      <w:r w:rsidRPr="00DF77C8">
        <w:rPr>
          <w:rFonts w:ascii="Times New Roman" w:hAnsi="Times New Roman"/>
          <w:color w:val="000000"/>
          <w:sz w:val="28"/>
          <w:szCs w:val="28"/>
        </w:rPr>
        <w:t xml:space="preserve"> exclusión de la doble instancia debe propender por el logro de una finalidad constitucionalmente legítima; y, (iv) la exclusión no puede dar lugar a discriminación”. </w:t>
      </w:r>
    </w:p>
    <w:p w:rsidR="00801F94" w:rsidRPr="00DF77C8" w:rsidRDefault="00DF77C8" w:rsidP="008A4B21">
      <w:pPr>
        <w:pBdr>
          <w:top w:val="nil"/>
          <w:left w:val="nil"/>
          <w:bottom w:val="nil"/>
          <w:right w:val="nil"/>
          <w:between w:val="nil"/>
        </w:pBdr>
        <w:tabs>
          <w:tab w:val="left" w:pos="426"/>
        </w:tabs>
        <w:ind w:left="720"/>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Con base en lo expuesto concluyó que, al existir una mayor afectación potencial de los </w:t>
      </w:r>
      <w:r w:rsidRPr="00DF77C8">
        <w:rPr>
          <w:rFonts w:ascii="Times New Roman" w:hAnsi="Times New Roman"/>
          <w:color w:val="000000"/>
          <w:sz w:val="28"/>
          <w:szCs w:val="28"/>
        </w:rPr>
        <w:t>derechos fundamentales del procesado, este debe contar con un recurso idóneo con el fin de: (i) materializar el derecho a la defensa y al debido proceso; (ii) permitir que la decisión adoptada sea revisada por otro funcionario de la misma naturaleza y de m</w:t>
      </w:r>
      <w:r w:rsidRPr="00DF77C8">
        <w:rPr>
          <w:rFonts w:ascii="Times New Roman" w:hAnsi="Times New Roman"/>
          <w:color w:val="000000"/>
          <w:sz w:val="28"/>
          <w:szCs w:val="28"/>
        </w:rPr>
        <w:t>ás alta jerarquía y; (iii) evitar la configuración de errores judiciales.</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Enfatizó el interviniente que no resultaba razonable que se afectaran derechos fundamentales de los procesados bajo el argumento de que el legislador tiene la potestad de aplicar excepciones al principio de la doble instancia, pues esta facultad no es abso</w:t>
      </w:r>
      <w:r w:rsidRPr="00DF77C8">
        <w:rPr>
          <w:rFonts w:ascii="Times New Roman" w:hAnsi="Times New Roman"/>
          <w:color w:val="000000"/>
          <w:sz w:val="28"/>
          <w:szCs w:val="28"/>
        </w:rPr>
        <w:t xml:space="preserve">luta y siempre debe encontrarse en armonía con otras garantías fundamentales.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Aún más refirió </w:t>
      </w:r>
      <w:r w:rsidRPr="00DF77C8">
        <w:rPr>
          <w:rFonts w:ascii="Times New Roman" w:hAnsi="Times New Roman"/>
          <w:color w:val="000000"/>
          <w:sz w:val="28"/>
          <w:szCs w:val="28"/>
        </w:rPr>
        <w:t xml:space="preserve">que, </w:t>
      </w:r>
      <w:r w:rsidRPr="00DF77C8">
        <w:rPr>
          <w:rFonts w:ascii="Times New Roman" w:hAnsi="Times New Roman"/>
          <w:color w:val="000000"/>
          <w:sz w:val="28"/>
          <w:szCs w:val="28"/>
        </w:rPr>
        <w:t>a la luz del artículo 177 del Código de Procedimiento Penal</w:t>
      </w:r>
      <w:r w:rsidRPr="00DF77C8">
        <w:rPr>
          <w:rFonts w:ascii="Times New Roman" w:hAnsi="Times New Roman"/>
          <w:color w:val="000000"/>
          <w:sz w:val="28"/>
          <w:szCs w:val="28"/>
          <w:vertAlign w:val="superscript"/>
        </w:rPr>
        <w:footnoteReference w:id="20"/>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pueden evidenciarse las decisiones que no pueden ser apeladas por las personas cuyos procesos penales son conocidos por los magistrados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como jueces de control de garantías y que cobran firmeza al no ser susceptibles de revi</w:t>
      </w:r>
      <w:r w:rsidRPr="00DF77C8">
        <w:rPr>
          <w:rFonts w:ascii="Times New Roman" w:hAnsi="Times New Roman"/>
          <w:color w:val="000000"/>
          <w:sz w:val="28"/>
          <w:szCs w:val="28"/>
        </w:rPr>
        <w:t xml:space="preserve">sión por una autoridad de mayor </w:t>
      </w:r>
      <w:r w:rsidRPr="00DF77C8">
        <w:rPr>
          <w:rFonts w:ascii="Times New Roman" w:hAnsi="Times New Roman"/>
          <w:color w:val="000000"/>
          <w:sz w:val="28"/>
          <w:szCs w:val="28"/>
        </w:rPr>
        <w:t xml:space="preserve">jerarquía. Estas providencias, advirtió, no abordan cuestiones de mero trámite, sino que comprometen la protección de garantías superiores como la libertad y la defensa.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 En cuanto al trato diferenciado, advirtió que a l</w:t>
      </w:r>
      <w:r w:rsidRPr="00DF77C8">
        <w:rPr>
          <w:rFonts w:ascii="Times New Roman" w:hAnsi="Times New Roman"/>
          <w:color w:val="000000"/>
          <w:sz w:val="28"/>
          <w:szCs w:val="28"/>
        </w:rPr>
        <w:t>a luz de lo dispuesto en el numeral 1° del artículo 36 y el numeral 5° del artículo 37 del Código de Procedimiento Penal</w:t>
      </w:r>
      <w:r w:rsidRPr="00DF77C8">
        <w:rPr>
          <w:rFonts w:ascii="Times New Roman" w:hAnsi="Times New Roman"/>
          <w:color w:val="000000"/>
          <w:sz w:val="28"/>
          <w:szCs w:val="28"/>
          <w:vertAlign w:val="superscript"/>
        </w:rPr>
        <w:footnoteReference w:id="21"/>
      </w:r>
      <w:r w:rsidRPr="00DF77C8">
        <w:rPr>
          <w:rFonts w:ascii="Times New Roman" w:hAnsi="Times New Roman"/>
          <w:color w:val="000000"/>
          <w:sz w:val="28"/>
          <w:szCs w:val="28"/>
        </w:rPr>
        <w:t xml:space="preserve"> no hay duda acerca de que un </w:t>
      </w:r>
      <w:r w:rsidRPr="00DF77C8">
        <w:rPr>
          <w:rFonts w:ascii="Times New Roman" w:hAnsi="Times New Roman"/>
          <w:color w:val="000000"/>
          <w:sz w:val="28"/>
          <w:szCs w:val="28"/>
        </w:rPr>
        <w:t>imputado</w:t>
      </w:r>
      <w:r w:rsidRPr="00DF77C8">
        <w:rPr>
          <w:rFonts w:ascii="Times New Roman" w:hAnsi="Times New Roman"/>
          <w:color w:val="000000"/>
          <w:sz w:val="28"/>
          <w:szCs w:val="28"/>
        </w:rPr>
        <w:t xml:space="preserve"> no aforado cuenta con un mecanismo idóneo para recurrir las decisiones adoptadas en sede de cont</w:t>
      </w:r>
      <w:r w:rsidRPr="00DF77C8">
        <w:rPr>
          <w:rFonts w:ascii="Times New Roman" w:hAnsi="Times New Roman"/>
          <w:color w:val="000000"/>
          <w:sz w:val="28"/>
          <w:szCs w:val="28"/>
        </w:rPr>
        <w:t xml:space="preserve">rol de garantías ante un superior funcional. En contraste, esto no sucede con las personas cuyo juez de control de garantías es un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pues el legislador omitió determinar cuál es la autoridad competente para conocer</w:t>
      </w:r>
      <w:r w:rsidRPr="00DF77C8">
        <w:rPr>
          <w:rFonts w:ascii="Times New Roman" w:hAnsi="Times New Roman"/>
          <w:color w:val="000000"/>
          <w:sz w:val="28"/>
          <w:szCs w:val="28"/>
        </w:rPr>
        <w:t xml:space="preserve"> de los recursos de apelación que se interpongan contra los autos que profiera dicha autoridad judicial en sede de control de garantías.</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ese orden</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advirtió que aunque dentro del mismo sistema penal acusatorio sí se contempló la posibilidad de apelar los autos proferidos por el juez de control de garantías de las personas no aforadas y se identificó a la autoridad competente para conocer de dicha ape</w:t>
      </w:r>
      <w:r w:rsidRPr="00DF77C8">
        <w:rPr>
          <w:rFonts w:ascii="Times New Roman" w:hAnsi="Times New Roman"/>
          <w:color w:val="000000"/>
          <w:sz w:val="28"/>
          <w:szCs w:val="28"/>
        </w:rPr>
        <w:t xml:space="preserve">lación, no ocurrió lo mismo respecto a las personas aforadas que se rigen por el mismo sistema penal acusatorio, lo cual implica una discriminación injustificada para este último grupo.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S</w:t>
      </w:r>
      <w:r w:rsidRPr="00DF77C8">
        <w:rPr>
          <w:rFonts w:ascii="Times New Roman" w:hAnsi="Times New Roman"/>
          <w:color w:val="000000"/>
          <w:sz w:val="28"/>
          <w:szCs w:val="28"/>
        </w:rPr>
        <w:t>eñaló</w:t>
      </w:r>
      <w:r w:rsidRPr="00DF77C8">
        <w:rPr>
          <w:rFonts w:ascii="Times New Roman" w:hAnsi="Times New Roman"/>
          <w:color w:val="000000"/>
          <w:sz w:val="28"/>
          <w:szCs w:val="28"/>
        </w:rPr>
        <w:t xml:space="preserve"> que</w:t>
      </w:r>
      <w:r w:rsidRPr="00DF77C8">
        <w:rPr>
          <w:rFonts w:ascii="Times New Roman" w:hAnsi="Times New Roman"/>
          <w:color w:val="000000"/>
          <w:sz w:val="28"/>
          <w:szCs w:val="28"/>
        </w:rPr>
        <w:t xml:space="preserve">, en la medida en que la función del juez de control de garantías es proteger los derechos constitucionales del </w:t>
      </w:r>
      <w:r w:rsidRPr="00DF77C8">
        <w:rPr>
          <w:rFonts w:ascii="Times New Roman" w:hAnsi="Times New Roman"/>
          <w:color w:val="000000"/>
          <w:sz w:val="28"/>
          <w:szCs w:val="28"/>
        </w:rPr>
        <w:t>indiciado o procesado</w:t>
      </w:r>
      <w:r w:rsidRPr="00DF77C8">
        <w:rPr>
          <w:rFonts w:ascii="Times New Roman" w:hAnsi="Times New Roman"/>
          <w:color w:val="000000"/>
          <w:sz w:val="28"/>
          <w:szCs w:val="28"/>
        </w:rPr>
        <w:t>, entre ellos los derechos a la libertad y al debido proceso</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no existe razón alguna de carácter constitucional para exclui</w:t>
      </w:r>
      <w:r w:rsidRPr="00DF77C8">
        <w:rPr>
          <w:rFonts w:ascii="Times New Roman" w:hAnsi="Times New Roman"/>
          <w:color w:val="000000"/>
          <w:sz w:val="28"/>
          <w:szCs w:val="28"/>
        </w:rPr>
        <w:t>r a las personas aforadas que se rigen por el sistema penal acusatorio</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del derecho de apelar la decisión de su juez de control de garantías. Si bien, expuso, antes estas personas estaban sometidas a un proceso penal de única instancia, esa situación varió</w:t>
      </w:r>
      <w:r w:rsidRPr="00DF77C8">
        <w:rPr>
          <w:rFonts w:ascii="Times New Roman" w:hAnsi="Times New Roman"/>
          <w:color w:val="000000"/>
          <w:sz w:val="28"/>
          <w:szCs w:val="28"/>
        </w:rPr>
        <w:t xml:space="preserve"> a partir del momento en el cual se hizo efectiva la sentencia C-792 de 2014 que se consolidó con el Acto Legislativo 01 de 2018, en el sentido de que su proceso penal no es de única instancia, sino que la sentencia condenatoria es susceptible de apelación</w:t>
      </w:r>
      <w:r w:rsidRPr="00DF77C8">
        <w:rPr>
          <w:rFonts w:ascii="Times New Roman" w:hAnsi="Times New Roman"/>
          <w:color w:val="000000"/>
          <w:sz w:val="28"/>
          <w:szCs w:val="28"/>
        </w:rPr>
        <w:t xml:space="preserve"> y la primera condena es susceptible de impugnación.</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Con base en lo anterior, dijo, no procede el argumento </w:t>
      </w:r>
      <w:r w:rsidRPr="00DF77C8">
        <w:rPr>
          <w:rFonts w:ascii="Times New Roman" w:hAnsi="Times New Roman"/>
          <w:color w:val="000000"/>
          <w:sz w:val="28"/>
          <w:szCs w:val="28"/>
        </w:rPr>
        <w:t xml:space="preserve">según el cual, </w:t>
      </w:r>
      <w:r w:rsidRPr="00DF77C8">
        <w:rPr>
          <w:rFonts w:ascii="Times New Roman" w:hAnsi="Times New Roman"/>
          <w:color w:val="000000"/>
          <w:sz w:val="28"/>
          <w:szCs w:val="28"/>
        </w:rPr>
        <w:t>como los fallos condenatorios de las personas aforadas son de única instancia, en consecuencia</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las decisiones en sede de control de</w:t>
      </w:r>
      <w:r w:rsidRPr="00DF77C8">
        <w:rPr>
          <w:rFonts w:ascii="Times New Roman" w:hAnsi="Times New Roman"/>
          <w:color w:val="000000"/>
          <w:sz w:val="28"/>
          <w:szCs w:val="28"/>
        </w:rPr>
        <w:t xml:space="preserve"> garantías pueden ser de única instancia.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todo lo anterior</w:t>
      </w:r>
      <w:r w:rsidRPr="00DF77C8">
        <w:rPr>
          <w:rFonts w:ascii="Times New Roman" w:hAnsi="Times New Roman"/>
          <w:color w:val="000000"/>
          <w:sz w:val="28"/>
          <w:szCs w:val="28"/>
        </w:rPr>
        <w:t>, expuso que no hay razones para discriminar a quienes tienen la calidad de aforados en relación con las demás personas que se rigen por el mismo sistema penal acusatorio, respecto a la posibi</w:t>
      </w:r>
      <w:r w:rsidRPr="00DF77C8">
        <w:rPr>
          <w:rFonts w:ascii="Times New Roman" w:hAnsi="Times New Roman"/>
          <w:color w:val="000000"/>
          <w:sz w:val="28"/>
          <w:szCs w:val="28"/>
        </w:rPr>
        <w:t xml:space="preserve">lidad de ejercer un recurso que permite corregir errores en la primera decisión sobre garantías constitucionales, como la legalización de la captura y la de imposición de medida de aseguramiento. </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pBdr>
          <w:top w:val="nil"/>
          <w:left w:val="nil"/>
          <w:bottom w:val="nil"/>
          <w:right w:val="nil"/>
          <w:between w:val="nil"/>
        </w:pBdr>
        <w:tabs>
          <w:tab w:val="left" w:pos="284"/>
        </w:tabs>
        <w:jc w:val="both"/>
        <w:rPr>
          <w:rFonts w:ascii="Times New Roman" w:hAnsi="Times New Roman"/>
          <w:color w:val="000000"/>
          <w:sz w:val="28"/>
          <w:szCs w:val="28"/>
        </w:rPr>
      </w:pPr>
      <w:r w:rsidRPr="00DF77C8">
        <w:rPr>
          <w:rFonts w:ascii="Times New Roman" w:hAnsi="Times New Roman"/>
          <w:b/>
          <w:color w:val="000000"/>
          <w:sz w:val="28"/>
          <w:szCs w:val="28"/>
        </w:rPr>
        <w:t xml:space="preserve">Instituto Colombiano de Derecho Procesal (ICDP) </w:t>
      </w:r>
    </w:p>
    <w:p w:rsidR="00801F94" w:rsidRPr="00DF77C8" w:rsidRDefault="00DF77C8" w:rsidP="008A4B21">
      <w:pPr>
        <w:pBdr>
          <w:top w:val="nil"/>
          <w:left w:val="nil"/>
          <w:bottom w:val="nil"/>
          <w:right w:val="nil"/>
          <w:between w:val="nil"/>
        </w:pBdr>
        <w:ind w:left="284"/>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El Instituto Colombiano de Derecho Procesal (ICDP), a través de uno de sus miembros, Mauricio Pava Lugo, intervino para solicitar la exequibilidad condicionada de las disposiciones demandadas bajo el entendido de que el legislador debe separar, dentro de l</w:t>
      </w:r>
      <w:r w:rsidRPr="00DF77C8">
        <w:rPr>
          <w:rFonts w:ascii="Times New Roman" w:hAnsi="Times New Roman"/>
          <w:color w:val="000000"/>
          <w:sz w:val="28"/>
          <w:szCs w:val="28"/>
        </w:rPr>
        <w:t xml:space="preserve">a misma Corte Suprema de Justicia, las funciones de investigación y juzgamiento que permitan resolver los recursos de apelación en sede de control de garantías en todos los supuestos de competencia contemplados en el artículo 32 de la Ley 906 de 2004. </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Para iniciar, el ICDP hizo referencia a la función de control de garantías que cumplen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 de distrito judicial en Colombia en virtud de lo dispuesto en el Acto Legislativo 01 de 2018. En particular, resaltó las atribuciones concernie</w:t>
      </w:r>
      <w:r w:rsidRPr="00DF77C8">
        <w:rPr>
          <w:rFonts w:ascii="Times New Roman" w:hAnsi="Times New Roman"/>
          <w:color w:val="000000"/>
          <w:sz w:val="28"/>
          <w:szCs w:val="28"/>
        </w:rPr>
        <w:t>ntes al control de legalidad que deben ejercer en el proceso penal</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como las actuaciones investigativas que adelanta la Fiscalía General de la Nación y otros actores del sistema (acceso a información reservada, ejecución de allanamientos, entre otras); las</w:t>
      </w:r>
      <w:r w:rsidRPr="00DF77C8">
        <w:rPr>
          <w:rFonts w:ascii="Times New Roman" w:hAnsi="Times New Roman"/>
          <w:color w:val="000000"/>
          <w:sz w:val="28"/>
          <w:szCs w:val="28"/>
        </w:rPr>
        <w:t xml:space="preserve"> diligencias preliminares de legalización de captura; la formulación de imputación y la audiencia de solicitud de medida de aseguramiento cuando se trate de una persona aforada, siempre y cuando el régimen procesal aplicable corresponda a la Ley 906 de 200</w:t>
      </w:r>
      <w:r w:rsidRPr="00DF77C8">
        <w:rPr>
          <w:rFonts w:ascii="Times New Roman" w:hAnsi="Times New Roman"/>
          <w:color w:val="000000"/>
          <w:sz w:val="28"/>
          <w:szCs w:val="28"/>
        </w:rPr>
        <w:t xml:space="preserve">4.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este contexto resaltó que, si los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superiores de distrito judicial identifican la vulneración de los derechos fundamentales de los procesados, tienen la facultad de intervenir y tomar medidas para garantizar su protección.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concreto, </w:t>
      </w:r>
      <w:r w:rsidRPr="00DF77C8">
        <w:rPr>
          <w:rFonts w:ascii="Times New Roman" w:hAnsi="Times New Roman"/>
          <w:color w:val="000000"/>
          <w:sz w:val="28"/>
          <w:szCs w:val="28"/>
        </w:rPr>
        <w:t xml:space="preserve">en relación con el planteamiento de la demanda, manifestó que la interpretación jurisprudencial de la Corte Suprema de Justicia es que las decisiones tomadas por los magistrados de los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cuando ejercen funciones en sede de control de garantías no </w:t>
      </w:r>
      <w:r w:rsidRPr="00DF77C8">
        <w:rPr>
          <w:rFonts w:ascii="Times New Roman" w:hAnsi="Times New Roman"/>
          <w:color w:val="000000"/>
          <w:sz w:val="28"/>
          <w:szCs w:val="28"/>
        </w:rPr>
        <w:t xml:space="preserve">son apelables. Argumento que es reforzado con la postura de esa misma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cuando sostiene que no existe fundamento legal ni constitucional que contemple el recurso de apelación frente a los autos expedidos por los magistrados de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cuando act</w:t>
      </w:r>
      <w:r w:rsidRPr="00DF77C8">
        <w:rPr>
          <w:rFonts w:ascii="Times New Roman" w:hAnsi="Times New Roman"/>
          <w:color w:val="000000"/>
          <w:sz w:val="28"/>
          <w:szCs w:val="28"/>
        </w:rPr>
        <w:t xml:space="preserve">úan como jueces con función de control de garantías.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ese mismo sentido, señaló el interviniente que el Acto Legislativo 01 de 2018 tampoco contempla de manera expresa la posibilidad de interponer el recurso de apelación contra dichas decisiones. Por t</w:t>
      </w:r>
      <w:r w:rsidRPr="00DF77C8">
        <w:rPr>
          <w:rFonts w:ascii="Times New Roman" w:hAnsi="Times New Roman"/>
          <w:color w:val="000000"/>
          <w:sz w:val="28"/>
          <w:szCs w:val="28"/>
        </w:rPr>
        <w:t xml:space="preserve">anto, afirmó que esta restricción podría entenderse como una excepción al principio de la doble instancia.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No obstante, a su juicio, la anterior interpretación transgrede el principio de igualdad porque desconoce la doble instancia respecto de las personas que tienen la calidad de aforados, lo cual además constituye una vulneración al debido proceso, pues a la </w:t>
      </w:r>
      <w:r w:rsidRPr="00DF77C8">
        <w:rPr>
          <w:rFonts w:ascii="Times New Roman" w:hAnsi="Times New Roman"/>
          <w:color w:val="000000"/>
          <w:sz w:val="28"/>
          <w:szCs w:val="28"/>
        </w:rPr>
        <w:t>luz de lo dispuesto en la Sentencia C-792 de 2014, la doble instancia persigue la corrección del fallo judicial, sin que la anterior conclusión signifique que la implementación de dicha garantía deba realizarse de manera inmediata, sin considerar su impact</w:t>
      </w:r>
      <w:r w:rsidRPr="00DF77C8">
        <w:rPr>
          <w:rFonts w:ascii="Times New Roman" w:hAnsi="Times New Roman"/>
          <w:color w:val="000000"/>
          <w:sz w:val="28"/>
          <w:szCs w:val="28"/>
        </w:rPr>
        <w:t xml:space="preserve">o en el sistema de administración de justicia penal en el país.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Acerca de la omisión legislativa relativa, manifestó que la misma podría entenderse configurada en relación con la apelación de las decisiones de los magistrados de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w:t>
      </w:r>
      <w:r w:rsidRPr="00DF77C8">
        <w:rPr>
          <w:rFonts w:ascii="Times New Roman" w:hAnsi="Times New Roman"/>
          <w:color w:val="000000"/>
          <w:sz w:val="28"/>
          <w:szCs w:val="28"/>
        </w:rPr>
        <w:t xml:space="preserve"> cuando actúan en sede de control de garantías, lo cual desconocería la garantía del principio de legalidad y de la doble instancia. </w:t>
      </w:r>
    </w:p>
    <w:p w:rsidR="00801F94" w:rsidRPr="00DF77C8" w:rsidRDefault="00DF77C8" w:rsidP="008A4B21">
      <w:pPr>
        <w:rPr>
          <w:rFonts w:ascii="Times New Roman" w:hAnsi="Times New Roman"/>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Academia Colombiana de Jurisprudencia</w:t>
      </w:r>
    </w:p>
    <w:p w:rsidR="00801F94" w:rsidRPr="00DF77C8" w:rsidRDefault="00DF77C8" w:rsidP="008A4B21">
      <w:pPr>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La Academia Colombiana de Jurisprudencia, a través del académico ponente Jason Ale</w:t>
      </w:r>
      <w:r w:rsidRPr="00DF77C8">
        <w:rPr>
          <w:rFonts w:ascii="Times New Roman" w:hAnsi="Times New Roman"/>
          <w:color w:val="000000"/>
          <w:sz w:val="28"/>
          <w:szCs w:val="28"/>
        </w:rPr>
        <w:t>xander Andrade Castro, presentó concepto en el proceso de la referencia, mediante el cual solicitó la declaratoria de exequibilidad condicionada del parágrafo 1° del artículo 39 de la Ley 906 de 2004, bajo el entendido de que el recurso de apelación interp</w:t>
      </w:r>
      <w:r w:rsidRPr="00DF77C8">
        <w:rPr>
          <w:rFonts w:ascii="Times New Roman" w:hAnsi="Times New Roman"/>
          <w:color w:val="000000"/>
          <w:sz w:val="28"/>
          <w:szCs w:val="28"/>
        </w:rPr>
        <w:t xml:space="preserve">uesto contra los autos proferidos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ejerza la función de juez de control de garantías, siempre será de conocimiento de la Corte Suprema de Justicia en su calidad de superior funcional. </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Específicamente sobre el cargo de omisión legislativa relativa</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el interviniente planteó, en primer lugar, que el numeral 3° del artículo 32 original, atribuye la competencia a la Corte Suprema de Justicia para conocer “de los recursos de apelación contra </w:t>
      </w:r>
      <w:r w:rsidRPr="00DF77C8">
        <w:rPr>
          <w:rFonts w:ascii="Times New Roman" w:hAnsi="Times New Roman"/>
          <w:color w:val="000000"/>
          <w:sz w:val="28"/>
          <w:szCs w:val="28"/>
        </w:rPr>
        <w:t xml:space="preserve">los autos y sentencias que profieran en primera instancia los </w:t>
      </w:r>
      <w:r w:rsidRPr="00DF77C8">
        <w:rPr>
          <w:rFonts w:ascii="Times New Roman" w:hAnsi="Times New Roman"/>
          <w:color w:val="000000"/>
          <w:sz w:val="28"/>
          <w:szCs w:val="28"/>
        </w:rPr>
        <w:t>Tribunal</w:t>
      </w:r>
      <w:r w:rsidRPr="00DF77C8">
        <w:rPr>
          <w:rFonts w:ascii="Times New Roman" w:hAnsi="Times New Roman"/>
          <w:color w:val="000000"/>
          <w:sz w:val="28"/>
          <w:szCs w:val="28"/>
        </w:rPr>
        <w:t>es superiores”. No obstante, indicó</w:t>
      </w:r>
      <w:r w:rsidRPr="00DF77C8">
        <w:rPr>
          <w:rFonts w:ascii="Times New Roman" w:hAnsi="Times New Roman"/>
          <w:color w:val="000000"/>
          <w:sz w:val="28"/>
          <w:szCs w:val="28"/>
        </w:rPr>
        <w:t xml:space="preserve"> que</w:t>
      </w:r>
      <w:r w:rsidRPr="00DF77C8">
        <w:rPr>
          <w:rFonts w:ascii="Times New Roman" w:hAnsi="Times New Roman"/>
          <w:color w:val="000000"/>
          <w:sz w:val="28"/>
          <w:szCs w:val="28"/>
        </w:rPr>
        <w:t xml:space="preserve"> esta disposición fue modificada por el artículo 12 de la Ley 2098 de 2021, cuya motivación principal fue reglamentar la prisión perpetua revisable</w:t>
      </w:r>
      <w:r w:rsidRPr="00DF77C8">
        <w:rPr>
          <w:rFonts w:ascii="Times New Roman" w:hAnsi="Times New Roman"/>
          <w:color w:val="000000"/>
          <w:sz w:val="28"/>
          <w:szCs w:val="28"/>
        </w:rPr>
        <w:t xml:space="preserve"> (institución que fue declarada inexequible mediante Sentencia C-155 de 2022) en cuya reforma, ante una ostensible desatención del legislador</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se suprimió el contenido del numeral 3° original. Por lo cual, la regulación vigente no establece de manera expre</w:t>
      </w:r>
      <w:r w:rsidRPr="00DF77C8">
        <w:rPr>
          <w:rFonts w:ascii="Times New Roman" w:hAnsi="Times New Roman"/>
          <w:color w:val="000000"/>
          <w:sz w:val="28"/>
          <w:szCs w:val="28"/>
        </w:rPr>
        <w:t xml:space="preserve">sa si la Corte Suprema de Justicia está facultada para resolver los recursos de apelación contra las providencias que dicten en primera instancia los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superiores.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En virtud de lo expuesto, la Academia Colombiana de Jurisprudencia considera que,</w:t>
      </w:r>
      <w:r w:rsidRPr="00DF77C8">
        <w:rPr>
          <w:rFonts w:ascii="Times New Roman" w:hAnsi="Times New Roman"/>
          <w:color w:val="000000"/>
          <w:sz w:val="28"/>
          <w:szCs w:val="28"/>
        </w:rPr>
        <w:t xml:space="preserve"> ante la duda planteada por el demandante sobre la vigencia de este numeral, no hay motivo de duda acerca de que la misma se encuentra vigente porque la inexequibilidad únicamente cobijó los numerales 9°, 10° y 11 de la reforma introducida por la Ley 2098 </w:t>
      </w:r>
      <w:r w:rsidRPr="00DF77C8">
        <w:rPr>
          <w:rFonts w:ascii="Times New Roman" w:hAnsi="Times New Roman"/>
          <w:color w:val="000000"/>
          <w:sz w:val="28"/>
          <w:szCs w:val="28"/>
        </w:rPr>
        <w:t xml:space="preserve">de 2021. Y que con base en el numeral 3° original del artículo 32 del Código de Procedimiento Penal el alto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tendría competencia para resolver los recursos de apelación no solo cuando actúa como juez de conocimiento sino también como juez de contro</w:t>
      </w:r>
      <w:r w:rsidRPr="00DF77C8">
        <w:rPr>
          <w:rFonts w:ascii="Times New Roman" w:hAnsi="Times New Roman"/>
          <w:color w:val="000000"/>
          <w:sz w:val="28"/>
          <w:szCs w:val="28"/>
        </w:rPr>
        <w:t xml:space="preserve">l de garantías.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Asimismo expuso que</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en efecto</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existe una omisión legislativa relativa porque los artículos 32 y 39 del CPP objeto de reproche no establecen cuál es el funcionario competente para conocer de los recursos de apelación que se interpongan c</w:t>
      </w:r>
      <w:r w:rsidRPr="00DF77C8">
        <w:rPr>
          <w:rFonts w:ascii="Times New Roman" w:hAnsi="Times New Roman"/>
          <w:color w:val="000000"/>
          <w:sz w:val="28"/>
          <w:szCs w:val="28"/>
        </w:rPr>
        <w:t xml:space="preserve">ontra los autos expedidos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que ejerza la función de control de garantías en los procesos adelantados contra aforados, cuyo juzgamiento está adscrito a la Sala Especial de Primera Instancia de la Corte Suprem</w:t>
      </w:r>
      <w:r w:rsidRPr="00DF77C8">
        <w:rPr>
          <w:rFonts w:ascii="Times New Roman" w:hAnsi="Times New Roman"/>
          <w:color w:val="000000"/>
          <w:sz w:val="28"/>
          <w:szCs w:val="28"/>
        </w:rPr>
        <w:t xml:space="preserve">a de Justicia. Lo anterior, indicó, constituye una vulneración a las garantías superiores de igualdad y de acceso a la administración de justicia.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Respecto al cargo planteado por el demandante sostuvo que es evidente que no existe una disposición que exp</w:t>
      </w:r>
      <w:r w:rsidRPr="00DF77C8">
        <w:rPr>
          <w:rFonts w:ascii="Times New Roman" w:hAnsi="Times New Roman"/>
          <w:color w:val="000000"/>
          <w:sz w:val="28"/>
          <w:szCs w:val="28"/>
        </w:rPr>
        <w:t xml:space="preserve">resamente le atribuya competencia a la Corte Suprema de Justicia para resolver los recursos de apelación contra los autos expedidos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que ejerza la función de control de garantías en los procesos adelantados </w:t>
      </w:r>
      <w:r w:rsidRPr="00DF77C8">
        <w:rPr>
          <w:rFonts w:ascii="Times New Roman" w:hAnsi="Times New Roman"/>
          <w:color w:val="000000"/>
          <w:sz w:val="28"/>
          <w:szCs w:val="28"/>
        </w:rPr>
        <w:t xml:space="preserve">contra aforados.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Sin embargo, indicó que no puede llegarse a la conclusión de que las personas no aforadas cuentan con la prerrogativa de instaurar el recurso de apelación mientras que los que ostentan fuero constitucional no. En este sentido, recordó qu</w:t>
      </w:r>
      <w:r w:rsidRPr="00DF77C8">
        <w:rPr>
          <w:rFonts w:ascii="Times New Roman" w:hAnsi="Times New Roman"/>
          <w:color w:val="000000"/>
          <w:sz w:val="28"/>
          <w:szCs w:val="28"/>
        </w:rPr>
        <w:t>e la institución procesal del fuero tiene como finalidad esencial garantizar la imparcialidad, la autonomía y la independencia y no existe una justificación objetiva, seria y razonable que autorice otorgar un tratamiento discriminatorio respecto a los proc</w:t>
      </w:r>
      <w:r w:rsidRPr="00DF77C8">
        <w:rPr>
          <w:rFonts w:ascii="Times New Roman" w:hAnsi="Times New Roman"/>
          <w:color w:val="000000"/>
          <w:sz w:val="28"/>
          <w:szCs w:val="28"/>
        </w:rPr>
        <w:t>esados aforados.</w:t>
      </w:r>
      <w:r w:rsidRPr="00DF77C8">
        <w:rPr>
          <w:rFonts w:ascii="Times New Roman" w:hAnsi="Times New Roman"/>
          <w:color w:val="000000"/>
          <w:sz w:val="28"/>
          <w:szCs w:val="28"/>
        </w:rPr>
        <w:t xml:space="preserve"> Más aún</w:t>
      </w:r>
      <w:r w:rsidRPr="00DF77C8">
        <w:rPr>
          <w:rFonts w:ascii="Times New Roman" w:hAnsi="Times New Roman"/>
          <w:color w:val="000000"/>
          <w:sz w:val="28"/>
          <w:szCs w:val="28"/>
        </w:rPr>
        <w:t>, cuando el artículo 20 del Código de Procedimiento Penal al referirse al principio de la doble instancia establece que serán susceptibles del recurso de apelación las decisiones relacionadas con la libertad del imputado o que tenga</w:t>
      </w:r>
      <w:r w:rsidRPr="00DF77C8">
        <w:rPr>
          <w:rFonts w:ascii="Times New Roman" w:hAnsi="Times New Roman"/>
          <w:color w:val="000000"/>
          <w:sz w:val="28"/>
          <w:szCs w:val="28"/>
        </w:rPr>
        <w:t>n efectos patrimoniales</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como la imposición de medida de aseguramiento </w:t>
      </w:r>
      <w:r w:rsidRPr="00DF77C8">
        <w:rPr>
          <w:rFonts w:ascii="Times New Roman" w:hAnsi="Times New Roman"/>
          <w:color w:val="000000"/>
          <w:sz w:val="28"/>
          <w:szCs w:val="28"/>
        </w:rPr>
        <w:t>o medidas</w:t>
      </w:r>
      <w:r w:rsidRPr="00DF77C8">
        <w:rPr>
          <w:rFonts w:ascii="Times New Roman" w:hAnsi="Times New Roman"/>
          <w:color w:val="000000"/>
          <w:sz w:val="28"/>
          <w:szCs w:val="28"/>
        </w:rPr>
        <w:t xml:space="preserve"> cautelares reales -como el embargo o secuestro- cuya competencia esta asignada al servidor judicial que cumpla la función de control de garantías.</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Por tanto, expuso que la omisión legislativa relativa introduce un obstáculo de </w:t>
      </w:r>
      <w:r w:rsidRPr="00DF77C8">
        <w:rPr>
          <w:rFonts w:ascii="Times New Roman" w:hAnsi="Times New Roman"/>
          <w:i/>
          <w:color w:val="000000"/>
          <w:sz w:val="28"/>
          <w:szCs w:val="28"/>
        </w:rPr>
        <w:t xml:space="preserve">facto </w:t>
      </w:r>
      <w:r w:rsidRPr="00DF77C8">
        <w:rPr>
          <w:rFonts w:ascii="Times New Roman" w:hAnsi="Times New Roman"/>
          <w:color w:val="000000"/>
          <w:sz w:val="28"/>
          <w:szCs w:val="28"/>
        </w:rPr>
        <w:t>que cercena el derecho a contar con idéntica oportunidad de ingresar a los estrados judiciales para que un juez de superior jerarquía corrija los posibles yerros de forma</w:t>
      </w:r>
      <w:r w:rsidRPr="00DF77C8">
        <w:rPr>
          <w:rFonts w:ascii="Times New Roman" w:hAnsi="Times New Roman"/>
          <w:color w:val="000000"/>
          <w:sz w:val="28"/>
          <w:szCs w:val="28"/>
        </w:rPr>
        <w:t xml:space="preserve"> y materiales de la decisión adoptada por el </w:t>
      </w:r>
      <w:r w:rsidRPr="00DF77C8">
        <w:rPr>
          <w:rFonts w:ascii="Times New Roman" w:hAnsi="Times New Roman"/>
          <w:i/>
          <w:color w:val="000000"/>
          <w:sz w:val="28"/>
          <w:szCs w:val="28"/>
        </w:rPr>
        <w:t xml:space="preserve">a quo. </w:t>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Igualmente, la omisión legislativa relativa planteada desconoce los derechos al debido proceso, a la doble instancia y a la defensa. En particular, el interviniente planteó que dicha omisión desconoce </w:t>
      </w:r>
      <w:r w:rsidRPr="00DF77C8">
        <w:rPr>
          <w:rFonts w:ascii="Times New Roman" w:hAnsi="Times New Roman"/>
          <w:color w:val="000000"/>
          <w:sz w:val="28"/>
          <w:szCs w:val="28"/>
        </w:rPr>
        <w:t xml:space="preserve">el principio de legalidad y la garantía del juez natural debido a la ausencia de norma expresa que establezca el funcionario judicial que tiene la facultad expresa de resolver los recursos de apelación contra las decisiones adoptadas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actúa como juez con función de control de garantías en los procesos penales adelantados contra personas aforadas.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último, también enfatizó que esta falta de regulación normativa afecta la garantía de la doble instan</w:t>
      </w:r>
      <w:r w:rsidRPr="00DF77C8">
        <w:rPr>
          <w:rFonts w:ascii="Times New Roman" w:hAnsi="Times New Roman"/>
          <w:color w:val="000000"/>
          <w:sz w:val="28"/>
          <w:szCs w:val="28"/>
        </w:rPr>
        <w:t xml:space="preserve">cia y de defensa, sobre todo, ante interpretaciones que sugieren que dichas providencias no son susceptibles del recurso de apelación o que siendo procedente el recurso no se definió el funcionario competente para conocerlo. </w:t>
      </w:r>
    </w:p>
    <w:p w:rsidR="00801F94" w:rsidRPr="00DF77C8" w:rsidRDefault="00DF77C8" w:rsidP="008A4B21">
      <w:pPr>
        <w:jc w:val="both"/>
        <w:rPr>
          <w:rFonts w:ascii="Times New Roman" w:hAnsi="Times New Roman"/>
          <w:b/>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Universidad de Medellín</w:t>
      </w:r>
    </w:p>
    <w:p w:rsidR="00801F94" w:rsidRPr="00DF77C8" w:rsidRDefault="00DF77C8" w:rsidP="008A4B21">
      <w:pPr>
        <w:jc w:val="both"/>
        <w:rPr>
          <w:rFonts w:ascii="Times New Roman" w:hAnsi="Times New Roman"/>
          <w:b/>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La Universidad de Medellín, a través del Observatorio de Derecho Constitucional, solicitó la expedición de una sentencia aditiva para superar el déficit de protección observado en las normas acusadas. Esto, hasta que el Congreso de la República regule lo a</w:t>
      </w:r>
      <w:r w:rsidRPr="00DF77C8">
        <w:rPr>
          <w:rFonts w:ascii="Times New Roman" w:hAnsi="Times New Roman"/>
          <w:color w:val="000000"/>
          <w:sz w:val="28"/>
          <w:szCs w:val="28"/>
        </w:rPr>
        <w:t xml:space="preserve">tinente al trámite de elección de los magistrados competentes para resolver el recurso de apelación contra las decisiones expedidas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actúa como juez de control de garantías.</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Destacó</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dentro de las ca</w:t>
      </w:r>
      <w:r w:rsidRPr="00DF77C8">
        <w:rPr>
          <w:rFonts w:ascii="Times New Roman" w:hAnsi="Times New Roman"/>
          <w:color w:val="000000"/>
          <w:sz w:val="28"/>
          <w:szCs w:val="28"/>
        </w:rPr>
        <w:t xml:space="preserve">racterísticas básicas del sistema penal acusatorio colombiano, de un lado, la figura del juez de control de garantías como garante de los derechos fundamentales de los implicados dentro de la acción penal y, en esa medida, la relevancia que tiene su labor </w:t>
      </w:r>
      <w:r w:rsidRPr="00DF77C8">
        <w:rPr>
          <w:rFonts w:ascii="Times New Roman" w:hAnsi="Times New Roman"/>
          <w:color w:val="000000"/>
          <w:sz w:val="28"/>
          <w:szCs w:val="28"/>
        </w:rPr>
        <w:t>dada la posibilidad que tienen de afectar la esfera individual de los derechos de los imputados. De otro lado, hizo alusión a la garantía de la doble instancia aplicable a toda clase de decisiones judiciales dentro del marco de la persecución penal. Dada s</w:t>
      </w:r>
      <w:r w:rsidRPr="00DF77C8">
        <w:rPr>
          <w:rFonts w:ascii="Times New Roman" w:hAnsi="Times New Roman"/>
          <w:color w:val="000000"/>
          <w:sz w:val="28"/>
          <w:szCs w:val="28"/>
        </w:rPr>
        <w:t xml:space="preserve">u relevancia, explicó que las excepciones a este principio deben encontrarse establecidas en la ley penal de manera clara y que dicha garantía no puede interpretarse de manera restrictiva.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Ahora bien, destacó que los procesos de los que conoce la Corte S</w:t>
      </w:r>
      <w:r w:rsidRPr="00DF77C8">
        <w:rPr>
          <w:rFonts w:ascii="Times New Roman" w:hAnsi="Times New Roman"/>
          <w:color w:val="000000"/>
          <w:sz w:val="28"/>
          <w:szCs w:val="28"/>
        </w:rPr>
        <w:t xml:space="preserve">uprema de Justicia tienen dos particularidades: (i) la función de juez de control de garantías es ejercida por un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y (ii) </w:t>
      </w:r>
      <w:r w:rsidRPr="00DF77C8">
        <w:rPr>
          <w:rFonts w:ascii="Times New Roman" w:hAnsi="Times New Roman"/>
          <w:color w:val="000000"/>
          <w:sz w:val="28"/>
          <w:szCs w:val="28"/>
        </w:rPr>
        <w:t>las decisiones que allí se expiden no son susceptibles del recurso de apelación, con lo cual se vulnera el principio de la doble instancia propio del sistema penal acusatorio. Esto, porque la Ley 906 de 2004 no contempló quién sería el superior funcional y</w:t>
      </w:r>
      <w:r w:rsidRPr="00DF77C8">
        <w:rPr>
          <w:rFonts w:ascii="Times New Roman" w:hAnsi="Times New Roman"/>
          <w:color w:val="000000"/>
          <w:sz w:val="28"/>
          <w:szCs w:val="28"/>
        </w:rPr>
        <w:t xml:space="preserve"> jerárquico para conocer de dicho recurso, cuando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esté ejerciendo la función de control de garantías.</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ese orden de ideas, sostuvo que como en la actualidad nos encontramos frente a un proceso penal con tendencia acusatoria, la omisión señalada en precedencia vulnera el principio de la doble instancia.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Con respecto a esa garantía, sostuvo que si bien e</w:t>
      </w:r>
      <w:r w:rsidRPr="00DF77C8">
        <w:rPr>
          <w:rFonts w:ascii="Times New Roman" w:hAnsi="Times New Roman"/>
          <w:color w:val="000000"/>
          <w:sz w:val="28"/>
          <w:szCs w:val="28"/>
        </w:rPr>
        <w:t>n el ordenamiento jurídico y procesal interno colombiano la misma no tiene un carácter absoluto, pues el constituyente admitió que el legislador puede imponer límites al mismo, lo cierto es que en el proceso penal la doble instancia tiene un carácter de fu</w:t>
      </w:r>
      <w:r w:rsidRPr="00DF77C8">
        <w:rPr>
          <w:rFonts w:ascii="Times New Roman" w:hAnsi="Times New Roman"/>
          <w:color w:val="000000"/>
          <w:sz w:val="28"/>
          <w:szCs w:val="28"/>
        </w:rPr>
        <w:t xml:space="preserve">ndamental, de acuerdo con lo expuesto en la Sentencia C-792 de 2014 y los artículos 14.5 del Pacto Internacional de Derechos Civiles y Políticos y 8.2 h de la Convención Americana sobre Derechos </w:t>
      </w:r>
      <w:r w:rsidRPr="00DF77C8">
        <w:rPr>
          <w:rFonts w:ascii="Times New Roman" w:hAnsi="Times New Roman"/>
          <w:color w:val="000000"/>
          <w:sz w:val="28"/>
          <w:szCs w:val="28"/>
        </w:rPr>
        <w:t xml:space="preserve">Humanos.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esa medida, el hecho de que las personas afor</w:t>
      </w:r>
      <w:r w:rsidRPr="00DF77C8">
        <w:rPr>
          <w:rFonts w:ascii="Times New Roman" w:hAnsi="Times New Roman"/>
          <w:color w:val="000000"/>
          <w:sz w:val="28"/>
          <w:szCs w:val="28"/>
        </w:rPr>
        <w:t>adas no cuenten con un recurso que les permita cuestionar aspectos fácticos, probatorios y jurídicos en las providencias que expida el juez de control de garantías vulnera el derecho a la defensa del investigado que se ve afectado por la decisión adoptada.</w:t>
      </w:r>
      <w:r w:rsidRPr="00DF77C8">
        <w:rPr>
          <w:rFonts w:ascii="Times New Roman" w:hAnsi="Times New Roman"/>
          <w:color w:val="000000"/>
          <w:sz w:val="28"/>
          <w:szCs w:val="28"/>
        </w:rPr>
        <w:t xml:space="preserve"> En esa medida, adujo, aunque el sujeto investigado está sometido a un trámite especial por sus calidades, dicho trámite debe someterse a iguales garantías y derechos que los que rigen frente a personas que no ostentan dicha calidad. Por lo cual, resulta i</w:t>
      </w:r>
      <w:r w:rsidRPr="00DF77C8">
        <w:rPr>
          <w:rFonts w:ascii="Times New Roman" w:hAnsi="Times New Roman"/>
          <w:color w:val="000000"/>
          <w:sz w:val="28"/>
          <w:szCs w:val="28"/>
        </w:rPr>
        <w:t>nadmisible que los procesados con fuero no cuenten con la garantía de la segunda instancia.</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De igual manera, refirió que con dicha omisión legislativa también se desconoce el derecho a la igualdad de las personas aforadas porque no pueden acceder al recur</w:t>
      </w:r>
      <w:r w:rsidRPr="00DF77C8">
        <w:rPr>
          <w:rFonts w:ascii="Times New Roman" w:hAnsi="Times New Roman"/>
          <w:color w:val="000000"/>
          <w:sz w:val="28"/>
          <w:szCs w:val="28"/>
        </w:rPr>
        <w:t xml:space="preserve">so de apelación que sí se encuentra a disposición de la totalidad de los demás procesados que no tienen esta calidad, por lo cual se vulnera la garantía de la doble instancia y de la doble conformidad y, en consecuencia, </w:t>
      </w:r>
      <w:r w:rsidRPr="00DF77C8">
        <w:rPr>
          <w:rFonts w:ascii="Times New Roman" w:hAnsi="Times New Roman"/>
          <w:color w:val="000000"/>
          <w:sz w:val="28"/>
          <w:szCs w:val="28"/>
        </w:rPr>
        <w:t>de</w:t>
      </w:r>
      <w:r w:rsidRPr="00DF77C8">
        <w:rPr>
          <w:rFonts w:ascii="Times New Roman" w:hAnsi="Times New Roman"/>
          <w:color w:val="000000"/>
          <w:sz w:val="28"/>
          <w:szCs w:val="28"/>
        </w:rPr>
        <w:t xml:space="preserve">l debido proceso.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 Por último, </w:t>
      </w:r>
      <w:r w:rsidRPr="00DF77C8">
        <w:rPr>
          <w:rFonts w:ascii="Times New Roman" w:hAnsi="Times New Roman"/>
          <w:color w:val="000000"/>
          <w:sz w:val="28"/>
          <w:szCs w:val="28"/>
        </w:rPr>
        <w:t>a juicio de la universidad interviniente, aunque en Colombia los recursos de apelación son decididos por el superior jerárquico del servidor judicial que profiere la decisión, en este caso no es posible que conozca del mismo la Corte Suprema de Justicia po</w:t>
      </w:r>
      <w:r w:rsidRPr="00DF77C8">
        <w:rPr>
          <w:rFonts w:ascii="Times New Roman" w:hAnsi="Times New Roman"/>
          <w:color w:val="000000"/>
          <w:sz w:val="28"/>
          <w:szCs w:val="28"/>
        </w:rPr>
        <w:t>rque conllevaría la estructuración del impedimento contemplado en el artículo 56, numeral 13, del Código de Procedimiento Penal</w:t>
      </w:r>
      <w:r w:rsidRPr="00DF77C8">
        <w:rPr>
          <w:rFonts w:ascii="Times New Roman" w:hAnsi="Times New Roman"/>
          <w:color w:val="000000"/>
          <w:sz w:val="28"/>
          <w:szCs w:val="28"/>
          <w:vertAlign w:val="superscript"/>
        </w:rPr>
        <w:footnoteReference w:id="22"/>
      </w:r>
      <w:r w:rsidRPr="00DF77C8">
        <w:rPr>
          <w:rFonts w:ascii="Times New Roman" w:hAnsi="Times New Roman"/>
          <w:color w:val="000000"/>
          <w:sz w:val="28"/>
          <w:szCs w:val="28"/>
        </w:rPr>
        <w:t xml:space="preserve">. No obstante, </w:t>
      </w:r>
      <w:r w:rsidRPr="00DF77C8">
        <w:rPr>
          <w:rFonts w:ascii="Times New Roman" w:hAnsi="Times New Roman"/>
          <w:color w:val="000000"/>
          <w:sz w:val="28"/>
          <w:szCs w:val="28"/>
        </w:rPr>
        <w:t xml:space="preserve">planteó que </w:t>
      </w:r>
      <w:r w:rsidRPr="00DF77C8">
        <w:rPr>
          <w:rFonts w:ascii="Times New Roman" w:hAnsi="Times New Roman"/>
          <w:color w:val="000000"/>
          <w:sz w:val="28"/>
          <w:szCs w:val="28"/>
        </w:rPr>
        <w:t xml:space="preserve">podría establecerse un procedimiento al interior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para aquellos evento</w:t>
      </w:r>
      <w:r w:rsidRPr="00DF77C8">
        <w:rPr>
          <w:rFonts w:ascii="Times New Roman" w:hAnsi="Times New Roman"/>
          <w:color w:val="000000"/>
          <w:sz w:val="28"/>
          <w:szCs w:val="28"/>
        </w:rPr>
        <w:t xml:space="preserve">s en los que se requiera una segunda instancia sobre la función de control de garantías, señalando cuáles magistrados deberán conocer del recurso, teniendo en cuenta que ellos no podrán participar de la decisión que se adopte en primera instancia. </w:t>
      </w:r>
    </w:p>
    <w:p w:rsidR="00801F94" w:rsidRPr="00DF77C8" w:rsidRDefault="00DF77C8" w:rsidP="008A4B21">
      <w:pPr>
        <w:jc w:val="both"/>
        <w:rPr>
          <w:rFonts w:ascii="Times New Roman" w:hAnsi="Times New Roman"/>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 xml:space="preserve">Universidad de Cartagena </w:t>
      </w:r>
    </w:p>
    <w:p w:rsidR="00801F94" w:rsidRPr="00DF77C8" w:rsidRDefault="00DF77C8" w:rsidP="008A4B21">
      <w:pPr>
        <w:jc w:val="both"/>
        <w:rPr>
          <w:rFonts w:ascii="Times New Roman" w:hAnsi="Times New Roman"/>
          <w:b/>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Universidad de Cartagena solicitó que la Corte Constitucional expida una sentencia aditiva en el sentido de que el recurso de apelación interpuesto contra los autos proferidos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w:t>
      </w:r>
      <w:r w:rsidRPr="00DF77C8">
        <w:rPr>
          <w:rFonts w:ascii="Times New Roman" w:hAnsi="Times New Roman"/>
          <w:color w:val="000000"/>
          <w:sz w:val="28"/>
          <w:szCs w:val="28"/>
        </w:rPr>
        <w:t>perior de Bogotá, cuando ejerza la función de control de garantías, siempre será de conocimiento de la Corte Suprema de Justicia en calidad de superior funcional.</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 juicio de la universidad interviniente existe un problema procesal en la Ley 906 de 2004, que afecta de manera objetiva el trato igualitario de los ciudadanos aforados respecto de los no aforados. No obstante, a su parecer, dicha dificultad no se deriva </w:t>
      </w:r>
      <w:r w:rsidRPr="00DF77C8">
        <w:rPr>
          <w:rFonts w:ascii="Times New Roman" w:hAnsi="Times New Roman"/>
          <w:color w:val="000000"/>
          <w:sz w:val="28"/>
          <w:szCs w:val="28"/>
        </w:rPr>
        <w:t xml:space="preserve">del parágrafo primero del artículo 39 del Código de Procedimiento Penal demandado, sino de todo el estatuto procesal que no estableció el recurso de apelación contra las decisiones del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ejer</w:t>
      </w:r>
      <w:r w:rsidRPr="00DF77C8">
        <w:rPr>
          <w:rFonts w:ascii="Times New Roman" w:hAnsi="Times New Roman"/>
          <w:color w:val="000000"/>
          <w:sz w:val="28"/>
          <w:szCs w:val="28"/>
        </w:rPr>
        <w:t xml:space="preserve">ce la función de control de garantías, lo cual según explicó, constituye la postura actual, aunque no pacífica, de la Corte Suprema de Justicia.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este contexto, solicitó la integración normativa del artículo 36 numeral 1° de la Ley 906 de 2004 al análi</w:t>
      </w:r>
      <w:r w:rsidRPr="00DF77C8">
        <w:rPr>
          <w:rFonts w:ascii="Times New Roman" w:hAnsi="Times New Roman"/>
          <w:color w:val="000000"/>
          <w:sz w:val="28"/>
          <w:szCs w:val="28"/>
        </w:rPr>
        <w:t xml:space="preserve">sis de constitucionalidad por el cargo de omisión legislativa relativa propuesto, porque es la única norma dentro del estatuto procesal penal que se refiere al recurso de apelación contra los autos proferidos contra los jueces penales municipales o cuando </w:t>
      </w:r>
      <w:r w:rsidRPr="00DF77C8">
        <w:rPr>
          <w:rFonts w:ascii="Times New Roman" w:hAnsi="Times New Roman"/>
          <w:color w:val="000000"/>
          <w:sz w:val="28"/>
          <w:szCs w:val="28"/>
        </w:rPr>
        <w:t xml:space="preserve">ejerzan la función de control de garantías.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Y aseguró que existe un verdadero problema constitucional que afecta la garantía del debido proceso y de la doble instancia de los procesados aforados de que trata el artículo 235, numeral 4° de la Constitución</w:t>
      </w:r>
      <w:r w:rsidRPr="00DF77C8">
        <w:rPr>
          <w:rFonts w:ascii="Times New Roman" w:hAnsi="Times New Roman"/>
          <w:color w:val="000000"/>
          <w:sz w:val="28"/>
          <w:szCs w:val="28"/>
        </w:rPr>
        <w:t>, porque no tienen la posibilidad de que las decisiones adoptadas por el juez con función de control de garantías en su caso sean revisadas por un superior. Ello, explicó, en razón a que en nuestro sistema jurídico no se ha justificado de forma clara por</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q</w:t>
      </w:r>
      <w:r w:rsidRPr="00DF77C8">
        <w:rPr>
          <w:rFonts w:ascii="Times New Roman" w:hAnsi="Times New Roman"/>
          <w:color w:val="000000"/>
          <w:sz w:val="28"/>
          <w:szCs w:val="28"/>
        </w:rPr>
        <w:t>u</w:t>
      </w:r>
      <w:r w:rsidRPr="00DF77C8">
        <w:rPr>
          <w:rFonts w:ascii="Times New Roman" w:hAnsi="Times New Roman"/>
          <w:color w:val="000000"/>
          <w:sz w:val="28"/>
          <w:szCs w:val="28"/>
        </w:rPr>
        <w:t>é</w:t>
      </w:r>
      <w:r w:rsidRPr="00DF77C8">
        <w:rPr>
          <w:rFonts w:ascii="Times New Roman" w:hAnsi="Times New Roman"/>
          <w:color w:val="000000"/>
          <w:sz w:val="28"/>
          <w:szCs w:val="28"/>
        </w:rPr>
        <w:t xml:space="preserve"> no se estableció de manera taxativa el juez competente para conocer de dicho recurso en segunda instancia.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Lo anterior, </w:t>
      </w:r>
      <w:r w:rsidRPr="00DF77C8">
        <w:rPr>
          <w:rFonts w:ascii="Times New Roman" w:hAnsi="Times New Roman"/>
          <w:color w:val="000000"/>
          <w:sz w:val="28"/>
          <w:szCs w:val="28"/>
        </w:rPr>
        <w:t>considera</w:t>
      </w:r>
      <w:r w:rsidRPr="00DF77C8">
        <w:rPr>
          <w:rFonts w:ascii="Times New Roman" w:hAnsi="Times New Roman"/>
          <w:color w:val="000000"/>
          <w:sz w:val="28"/>
          <w:szCs w:val="28"/>
        </w:rPr>
        <w:t>, constituye una vulneración del derecho al debido proceso por la omisión en la que incurrió el legislador respecto a defi</w:t>
      </w:r>
      <w:r w:rsidRPr="00DF77C8">
        <w:rPr>
          <w:rFonts w:ascii="Times New Roman" w:hAnsi="Times New Roman"/>
          <w:color w:val="000000"/>
          <w:sz w:val="28"/>
          <w:szCs w:val="28"/>
        </w:rPr>
        <w:t xml:space="preserve">nir la autoridad competente para asumir el conocimiento del recurso de apelación frente a las decisiones adoptadas por el juez de control de garantías de los aforados, lo cual sí definió de manera expresa respecto de los procesados no aforados. </w:t>
      </w:r>
      <w:r w:rsidRPr="00DF77C8">
        <w:rPr>
          <w:rFonts w:ascii="Times New Roman" w:hAnsi="Times New Roman"/>
          <w:color w:val="000000"/>
          <w:sz w:val="28"/>
          <w:szCs w:val="28"/>
        </w:rPr>
        <w:t>Sobre tod</w:t>
      </w:r>
      <w:r w:rsidRPr="00DF77C8">
        <w:rPr>
          <w:rFonts w:ascii="Times New Roman" w:hAnsi="Times New Roman"/>
          <w:color w:val="000000"/>
          <w:sz w:val="28"/>
          <w:szCs w:val="28"/>
        </w:rPr>
        <w:t>o, cuando dichas providencias guardan relación con la libertad del imputado o acusado</w:t>
      </w:r>
      <w:r w:rsidRPr="00DF77C8">
        <w:rPr>
          <w:rFonts w:ascii="Times New Roman" w:hAnsi="Times New Roman"/>
          <w:color w:val="000000"/>
          <w:sz w:val="28"/>
          <w:szCs w:val="28"/>
        </w:rPr>
        <w:t xml:space="preserve"> y que</w:t>
      </w:r>
      <w:r w:rsidRPr="00DF77C8">
        <w:rPr>
          <w:rFonts w:ascii="Times New Roman" w:hAnsi="Times New Roman"/>
          <w:color w:val="000000"/>
          <w:sz w:val="28"/>
          <w:szCs w:val="28"/>
        </w:rPr>
        <w:t xml:space="preserve"> de acuerdo con lo dispuesto en el artículo 20 del Código de Procedimiento Penal, son susceptibles de ser apeladas.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De igual manera, concluyó que la anterior situación afecta el derecho de acceso a la administración de justicia de las personas que gozan de fuero constitucional, pues no cuentan con las herramientas y mecanismos legales para la protección de sus derechos </w:t>
      </w:r>
      <w:r w:rsidRPr="00DF77C8">
        <w:rPr>
          <w:rFonts w:ascii="Times New Roman" w:hAnsi="Times New Roman"/>
          <w:color w:val="000000"/>
          <w:sz w:val="28"/>
          <w:szCs w:val="28"/>
        </w:rPr>
        <w:t xml:space="preserve">en sede de control de garantías, generando un trato discriminatorio ante la ley y el sistema de justicia. </w:t>
      </w:r>
    </w:p>
    <w:p w:rsidR="00801F94" w:rsidRPr="00DF77C8" w:rsidRDefault="00DF77C8" w:rsidP="008A4B21">
      <w:pPr>
        <w:jc w:val="both"/>
        <w:rPr>
          <w:rFonts w:ascii="Times New Roman" w:hAnsi="Times New Roman"/>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Universidad Pontificia Bolivariana</w:t>
      </w:r>
    </w:p>
    <w:p w:rsidR="00801F94" w:rsidRPr="00DF77C8" w:rsidRDefault="00DF77C8" w:rsidP="008A4B21">
      <w:pPr>
        <w:jc w:val="both"/>
        <w:rPr>
          <w:rFonts w:ascii="Times New Roman" w:hAnsi="Times New Roman"/>
          <w:b/>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La Universidad Pontificia Bolivariana, a través de la Clínica Jurídica de la Escuela de Derecho y Ciencias Polít</w:t>
      </w:r>
      <w:r w:rsidRPr="00DF77C8">
        <w:rPr>
          <w:rFonts w:ascii="Times New Roman" w:hAnsi="Times New Roman"/>
          <w:color w:val="000000"/>
          <w:sz w:val="28"/>
          <w:szCs w:val="28"/>
        </w:rPr>
        <w:t xml:space="preserve">icas, solicitó la declaratoria de inexequibilidad con efectos diferidos del artículo 32 de la Ley 906 de 2004 y la exhortación al Congreso de la República para que, en un término prudencial, regule de forma estructural y completa el régimen aplicable a la </w:t>
      </w:r>
      <w:r w:rsidRPr="00DF77C8">
        <w:rPr>
          <w:rFonts w:ascii="Times New Roman" w:hAnsi="Times New Roman"/>
          <w:color w:val="000000"/>
          <w:sz w:val="28"/>
          <w:szCs w:val="28"/>
        </w:rPr>
        <w:t xml:space="preserve">apelación de los autos expedidos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con función de control de garantías.</w:t>
      </w:r>
    </w:p>
    <w:p w:rsidR="00801F94" w:rsidRPr="00DF77C8" w:rsidRDefault="00DF77C8" w:rsidP="008A4B21">
      <w:pPr>
        <w:pBdr>
          <w:top w:val="nil"/>
          <w:left w:val="nil"/>
          <w:bottom w:val="nil"/>
          <w:right w:val="nil"/>
          <w:between w:val="nil"/>
        </w:pBdr>
        <w:tabs>
          <w:tab w:val="left" w:pos="426"/>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w:t>
      </w:r>
      <w:r w:rsidRPr="00DF77C8">
        <w:rPr>
          <w:rFonts w:ascii="Times New Roman" w:hAnsi="Times New Roman"/>
          <w:color w:val="000000"/>
          <w:sz w:val="28"/>
          <w:szCs w:val="28"/>
        </w:rPr>
        <w:t>U</w:t>
      </w:r>
      <w:r w:rsidRPr="00DF77C8">
        <w:rPr>
          <w:rFonts w:ascii="Times New Roman" w:hAnsi="Times New Roman"/>
          <w:color w:val="000000"/>
          <w:sz w:val="28"/>
          <w:szCs w:val="28"/>
        </w:rPr>
        <w:t>niversidad interviniente sostiene que el artículo 32 de la Ley 906 de 2004 incurre en una omisión legislativa rela</w:t>
      </w:r>
      <w:r w:rsidRPr="00DF77C8">
        <w:rPr>
          <w:rFonts w:ascii="Times New Roman" w:hAnsi="Times New Roman"/>
          <w:color w:val="000000"/>
          <w:sz w:val="28"/>
          <w:szCs w:val="28"/>
        </w:rPr>
        <w:t xml:space="preserve">tiva inconstitucional por no prever un régimen procesal que permita ejercer el derecho de apelación respecto de las decisiones que adopte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ejerce funciones de juez de control de garantías frente a quienes</w:t>
      </w:r>
      <w:r w:rsidRPr="00DF77C8">
        <w:rPr>
          <w:rFonts w:ascii="Times New Roman" w:hAnsi="Times New Roman"/>
          <w:color w:val="000000"/>
          <w:sz w:val="28"/>
          <w:szCs w:val="28"/>
        </w:rPr>
        <w:t xml:space="preserve"> tienen fuero constitucional.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Para iniciar, advirtió que la censura planteada no se refiere, en estricto sentido, a la interpretación de la Sala de Casación Penal de la Corte Suprema de Justicia sobre los artículos 32 y 39 (parcial) de la Ley 906 de </w:t>
      </w:r>
      <w:r w:rsidRPr="00DF77C8">
        <w:rPr>
          <w:rFonts w:ascii="Times New Roman" w:hAnsi="Times New Roman"/>
          <w:color w:val="000000"/>
          <w:sz w:val="28"/>
          <w:szCs w:val="28"/>
        </w:rPr>
        <w:t>2004, sino a la omisión en la que incurrió el Congreso que objetivamente se infiere de la lectura de las normas demandadas.</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ese sentido, considera que la jurisprudencia del órgano de cierre de la jurisdicción ordinaria guarda consonancia con lo dispues</w:t>
      </w:r>
      <w:r w:rsidRPr="00DF77C8">
        <w:rPr>
          <w:rFonts w:ascii="Times New Roman" w:hAnsi="Times New Roman"/>
          <w:color w:val="000000"/>
          <w:sz w:val="28"/>
          <w:szCs w:val="28"/>
        </w:rPr>
        <w:t xml:space="preserve">to en el ordenamiento jurídico, pues en efecto no hay norma que le adscriba la competencia de conocer el recurso de apelación contra las decisiones que profiera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de Bogotá, en sede de control de garantías. Y como esta misma </w:t>
      </w:r>
      <w:r w:rsidRPr="00DF77C8">
        <w:rPr>
          <w:rFonts w:ascii="Times New Roman" w:hAnsi="Times New Roman"/>
          <w:color w:val="000000"/>
          <w:sz w:val="28"/>
          <w:szCs w:val="28"/>
        </w:rPr>
        <w:t>Corpor</w:t>
      </w:r>
      <w:r w:rsidRPr="00DF77C8">
        <w:rPr>
          <w:rFonts w:ascii="Times New Roman" w:hAnsi="Times New Roman"/>
          <w:color w:val="000000"/>
          <w:sz w:val="28"/>
          <w:szCs w:val="28"/>
        </w:rPr>
        <w:t>ación</w:t>
      </w:r>
      <w:r w:rsidRPr="00DF77C8">
        <w:rPr>
          <w:rFonts w:ascii="Times New Roman" w:hAnsi="Times New Roman"/>
          <w:color w:val="000000"/>
          <w:sz w:val="28"/>
          <w:szCs w:val="28"/>
        </w:rPr>
        <w:t xml:space="preserve"> lo explica, según el interviniente, aunque los artículos 20 y 176 del Código de Procedimiento Penal contemplan la doble instancia y regulan la apelación, estas mismas disposiciones también establecen que el legislador puede prever excepciones, entre </w:t>
      </w:r>
      <w:r w:rsidRPr="00DF77C8">
        <w:rPr>
          <w:rFonts w:ascii="Times New Roman" w:hAnsi="Times New Roman"/>
          <w:color w:val="000000"/>
          <w:sz w:val="28"/>
          <w:szCs w:val="28"/>
        </w:rPr>
        <w:t xml:space="preserve">las que se encontrarían, por razones lógicas, los procesos de única instancia adelantados contra los aforados legales o constitucionales.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En segundo lugar, considera que la modificación introducida por el artículo 12 de la Ley 2098 de 2021 al artículo 32</w:t>
      </w:r>
      <w:r w:rsidRPr="00DF77C8">
        <w:rPr>
          <w:rFonts w:ascii="Times New Roman" w:hAnsi="Times New Roman"/>
          <w:color w:val="000000"/>
          <w:sz w:val="28"/>
          <w:szCs w:val="28"/>
        </w:rPr>
        <w:t xml:space="preserve"> de la Ley 906 de 2004 pone a los aforados en una situación de desprotección constitucionalmente reprochable</w:t>
      </w:r>
      <w:r w:rsidRPr="00DF77C8">
        <w:rPr>
          <w:rFonts w:ascii="Times New Roman" w:hAnsi="Times New Roman"/>
          <w:color w:val="000000"/>
          <w:sz w:val="28"/>
          <w:szCs w:val="28"/>
        </w:rPr>
        <w:t>, p</w:t>
      </w:r>
      <w:r w:rsidRPr="00DF77C8">
        <w:rPr>
          <w:rFonts w:ascii="Times New Roman" w:hAnsi="Times New Roman"/>
          <w:color w:val="000000"/>
          <w:sz w:val="28"/>
          <w:szCs w:val="28"/>
        </w:rPr>
        <w:t>ues es incompatible con los artículos 13, 29, 229, 234 parágrafo y 235 numeral 2° de la Constitución, al incurrir en una omisión legislativa rela</w:t>
      </w:r>
      <w:r w:rsidRPr="00DF77C8">
        <w:rPr>
          <w:rFonts w:ascii="Times New Roman" w:hAnsi="Times New Roman"/>
          <w:color w:val="000000"/>
          <w:sz w:val="28"/>
          <w:szCs w:val="28"/>
        </w:rPr>
        <w:t xml:space="preserve">tiva.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 xml:space="preserve">Respecto a los elementos estructurales para que se configure dicha omisión señaló que los mismos se encuentran acreditados en el caso concreto, por cuanto: </w:t>
      </w:r>
      <w:r w:rsidRPr="00DF77C8">
        <w:rPr>
          <w:rFonts w:ascii="Times New Roman" w:hAnsi="Times New Roman"/>
          <w:b/>
          <w:color w:val="000000"/>
          <w:sz w:val="28"/>
          <w:szCs w:val="28"/>
        </w:rPr>
        <w:t>(i)</w:t>
      </w:r>
      <w:r w:rsidRPr="00DF77C8">
        <w:rPr>
          <w:rFonts w:ascii="Times New Roman" w:hAnsi="Times New Roman"/>
          <w:color w:val="000000"/>
          <w:sz w:val="28"/>
          <w:szCs w:val="28"/>
        </w:rPr>
        <w:t xml:space="preserve"> El artículo 32 de la Ley 906 de 2004 excluye a los aforados legales y constitucionales d</w:t>
      </w:r>
      <w:r w:rsidRPr="00DF77C8">
        <w:rPr>
          <w:rFonts w:ascii="Times New Roman" w:hAnsi="Times New Roman"/>
          <w:color w:val="000000"/>
          <w:sz w:val="28"/>
          <w:szCs w:val="28"/>
        </w:rPr>
        <w:t xml:space="preserve">e la posibilidad de apelar los autos a que hace referencia el parágrafo del artículo 39 de la Ley 906 de 2004; a diferencia de lo que ocurre respecto de los no aforados que sí pueden impugnar las decisiones adoptadas por los jueces de control de garantías </w:t>
      </w:r>
      <w:r w:rsidRPr="00DF77C8">
        <w:rPr>
          <w:rFonts w:ascii="Times New Roman" w:hAnsi="Times New Roman"/>
          <w:color w:val="000000"/>
          <w:sz w:val="28"/>
          <w:szCs w:val="28"/>
        </w:rPr>
        <w:t xml:space="preserve">en los casos previstos para el efecto.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Acerca del deber específico impuesto directamente al legislador sobre el ingrediente omitido, expuso que: </w:t>
      </w:r>
      <w:r w:rsidRPr="00DF77C8">
        <w:rPr>
          <w:rFonts w:ascii="Times New Roman" w:hAnsi="Times New Roman"/>
          <w:b/>
          <w:color w:val="000000"/>
          <w:sz w:val="28"/>
          <w:szCs w:val="28"/>
        </w:rPr>
        <w:t xml:space="preserve">(ii) </w:t>
      </w:r>
      <w:r w:rsidRPr="00DF77C8">
        <w:rPr>
          <w:rFonts w:ascii="Times New Roman" w:hAnsi="Times New Roman"/>
          <w:color w:val="000000"/>
          <w:sz w:val="28"/>
          <w:szCs w:val="28"/>
        </w:rPr>
        <w:t>el artículo 13 de la Constitución Política impone al Legislador un deber específico de abstención relati</w:t>
      </w:r>
      <w:r w:rsidRPr="00DF77C8">
        <w:rPr>
          <w:rFonts w:ascii="Times New Roman" w:hAnsi="Times New Roman"/>
          <w:color w:val="000000"/>
          <w:sz w:val="28"/>
          <w:szCs w:val="28"/>
        </w:rPr>
        <w:t>vo a no establecer consecuencias jurídicas diferenciadas en razón de la calidad del sujeto penalmente procesado; los artículos 29 y 229 de la Constitución Política imponen al Legislador un deber específico de garantizar el debido proceso y el acceso a la a</w:t>
      </w:r>
      <w:r w:rsidRPr="00DF77C8">
        <w:rPr>
          <w:rFonts w:ascii="Times New Roman" w:hAnsi="Times New Roman"/>
          <w:color w:val="000000"/>
          <w:sz w:val="28"/>
          <w:szCs w:val="28"/>
        </w:rPr>
        <w:t>dministración de justicia en condiciones igualitarias para todos los ciudadanos; el artículo 234 (parágrafo) y 235 (numeral 2) de la Constitución Política imponen al Legislador el deber específico de regular la competencia de la Corte Suprema de Justicia p</w:t>
      </w:r>
      <w:r w:rsidRPr="00DF77C8">
        <w:rPr>
          <w:rFonts w:ascii="Times New Roman" w:hAnsi="Times New Roman"/>
          <w:color w:val="000000"/>
          <w:sz w:val="28"/>
          <w:szCs w:val="28"/>
        </w:rPr>
        <w:t>ara “2. Conocer del derecho de impugnación y del recurso de apelación en materia penal, conforme lo determine la ley”.</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Asimismo, consideró que la exclusión del contenido omitido carece de razón suficiente porque: </w:t>
      </w:r>
      <w:r w:rsidRPr="00DF77C8">
        <w:rPr>
          <w:rFonts w:ascii="Times New Roman" w:hAnsi="Times New Roman"/>
          <w:b/>
          <w:color w:val="000000"/>
          <w:sz w:val="28"/>
          <w:szCs w:val="28"/>
        </w:rPr>
        <w:t xml:space="preserve">(iii) </w:t>
      </w:r>
      <w:r w:rsidRPr="00DF77C8">
        <w:rPr>
          <w:rFonts w:ascii="Times New Roman" w:hAnsi="Times New Roman"/>
          <w:color w:val="000000"/>
          <w:sz w:val="28"/>
          <w:szCs w:val="28"/>
        </w:rPr>
        <w:t>no existe</w:t>
      </w:r>
      <w:r w:rsidRPr="00DF77C8">
        <w:rPr>
          <w:rFonts w:ascii="Times New Roman" w:hAnsi="Times New Roman"/>
          <w:b/>
          <w:color w:val="000000"/>
          <w:sz w:val="28"/>
          <w:szCs w:val="28"/>
        </w:rPr>
        <w:t xml:space="preserve"> </w:t>
      </w:r>
      <w:r w:rsidRPr="00DF77C8">
        <w:rPr>
          <w:rFonts w:ascii="Times New Roman" w:hAnsi="Times New Roman"/>
          <w:color w:val="000000"/>
          <w:sz w:val="28"/>
          <w:szCs w:val="28"/>
        </w:rPr>
        <w:t>ninguna razón para limit</w:t>
      </w:r>
      <w:r w:rsidRPr="00DF77C8">
        <w:rPr>
          <w:rFonts w:ascii="Times New Roman" w:hAnsi="Times New Roman"/>
          <w:color w:val="000000"/>
          <w:sz w:val="28"/>
          <w:szCs w:val="28"/>
        </w:rPr>
        <w:t xml:space="preserve">ar la posibilidad de que los aforados constitucionales y legales puedan apelar las decisiones adoptadas por la Sala Unitaria de Control de Garantías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Y que esa omisión </w:t>
      </w:r>
      <w:r w:rsidRPr="00DF77C8">
        <w:rPr>
          <w:rFonts w:ascii="Times New Roman" w:hAnsi="Times New Roman"/>
          <w:b/>
          <w:color w:val="000000"/>
          <w:sz w:val="28"/>
          <w:szCs w:val="28"/>
        </w:rPr>
        <w:t xml:space="preserve">(iv) </w:t>
      </w:r>
      <w:r w:rsidRPr="00DF77C8">
        <w:rPr>
          <w:rFonts w:ascii="Times New Roman" w:hAnsi="Times New Roman"/>
          <w:color w:val="000000"/>
          <w:sz w:val="28"/>
          <w:szCs w:val="28"/>
        </w:rPr>
        <w:t xml:space="preserve">genera una desigualdad negativa inaceptable cuando </w:t>
      </w:r>
      <w:r w:rsidRPr="00DF77C8">
        <w:rPr>
          <w:rFonts w:ascii="Times New Roman" w:hAnsi="Times New Roman"/>
          <w:color w:val="000000"/>
          <w:sz w:val="28"/>
          <w:szCs w:val="28"/>
        </w:rPr>
        <w:t xml:space="preserve">se compara a los aforados legales y constitucionales con los sujetos no aforados, lo cual afecta de manera irrazonable y desproporcionada sus derechos a la igualdad y </w:t>
      </w:r>
      <w:r w:rsidRPr="00DF77C8">
        <w:rPr>
          <w:rFonts w:ascii="Times New Roman" w:hAnsi="Times New Roman"/>
          <w:color w:val="000000"/>
          <w:sz w:val="28"/>
          <w:szCs w:val="28"/>
        </w:rPr>
        <w:t xml:space="preserve">al </w:t>
      </w:r>
      <w:r w:rsidRPr="00DF77C8">
        <w:rPr>
          <w:rFonts w:ascii="Times New Roman" w:hAnsi="Times New Roman"/>
          <w:color w:val="000000"/>
          <w:sz w:val="28"/>
          <w:szCs w:val="28"/>
        </w:rPr>
        <w:t>debido proceso.</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Sobre el remedio constitucional apropiado, sustentó que las decisione</w:t>
      </w:r>
      <w:r w:rsidRPr="00DF77C8">
        <w:rPr>
          <w:rFonts w:ascii="Times New Roman" w:hAnsi="Times New Roman"/>
          <w:color w:val="000000"/>
          <w:sz w:val="28"/>
          <w:szCs w:val="28"/>
        </w:rPr>
        <w:t xml:space="preserve">s adoptadas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sede de control de garantías van mucho más allá de las medidas de aseguramiento, de acuerdo con lo dispuesto en los artículos 20 y 176 de la Ley 906 de 2004. En esa medida, la omisión alegada constituye un elemento estructural del pr</w:t>
      </w:r>
      <w:r w:rsidRPr="00DF77C8">
        <w:rPr>
          <w:rFonts w:ascii="Times New Roman" w:hAnsi="Times New Roman"/>
          <w:color w:val="000000"/>
          <w:sz w:val="28"/>
          <w:szCs w:val="28"/>
        </w:rPr>
        <w:t xml:space="preserve">oceso aplicable a las personas con fuero.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426"/>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tanto, a su parecer, la subsanación de la omisión legislativa relativa implica un rediseño de la composición y competencia de la Corte Suprema de Justicia, con el fin de evitar que los casos penales más impor</w:t>
      </w:r>
      <w:r w:rsidRPr="00DF77C8">
        <w:rPr>
          <w:rFonts w:ascii="Times New Roman" w:hAnsi="Times New Roman"/>
          <w:color w:val="000000"/>
          <w:sz w:val="28"/>
          <w:szCs w:val="28"/>
        </w:rPr>
        <w:t xml:space="preserve">tantes del país, relativos a aforados legales y constitucionales, sean decididos por conjueces, como consecuencia de que el alto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ejerza como juez de segunda instancia en sede de control de garantías, lo cual, implicaría que deben declararse impedi</w:t>
      </w:r>
      <w:r w:rsidRPr="00DF77C8">
        <w:rPr>
          <w:rFonts w:ascii="Times New Roman" w:hAnsi="Times New Roman"/>
          <w:color w:val="000000"/>
          <w:sz w:val="28"/>
          <w:szCs w:val="28"/>
        </w:rPr>
        <w:t>dos para conocer de fondo el asunto. En ese escenario, sostuvo que debe declararse la inexequibilidad con efectos diferidos y exhortar al Congreso para que regule de manera estructural el esquema del proceso penal, la competencia de los órganos jurisdiccio</w:t>
      </w:r>
      <w:r w:rsidRPr="00DF77C8">
        <w:rPr>
          <w:rFonts w:ascii="Times New Roman" w:hAnsi="Times New Roman"/>
          <w:color w:val="000000"/>
          <w:sz w:val="28"/>
          <w:szCs w:val="28"/>
        </w:rPr>
        <w:t xml:space="preserve">nales y el alcance de los recursos que pueden ejercerse. </w:t>
      </w:r>
    </w:p>
    <w:p w:rsidR="006F4B2C" w:rsidRPr="00DF77C8" w:rsidRDefault="00DF77C8" w:rsidP="008A4B21">
      <w:pPr>
        <w:jc w:val="both"/>
        <w:rPr>
          <w:rFonts w:ascii="Times New Roman" w:hAnsi="Times New Roman"/>
          <w:b/>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Intervenciones ciudadanas</w:t>
      </w:r>
    </w:p>
    <w:p w:rsidR="00801F94" w:rsidRPr="00DF77C8" w:rsidRDefault="00DF77C8" w:rsidP="008A4B21">
      <w:pPr>
        <w:jc w:val="both"/>
        <w:rPr>
          <w:rFonts w:ascii="Times New Roman" w:hAnsi="Times New Roman"/>
          <w:b/>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Natalia Alexandra Insuasty Daza, representante legal de la Fundación Jurídica Proyecto Inocencia.</w:t>
      </w:r>
    </w:p>
    <w:p w:rsidR="00801F94" w:rsidRPr="00DF77C8" w:rsidRDefault="00DF77C8" w:rsidP="008A4B21">
      <w:pPr>
        <w:jc w:val="both"/>
        <w:rPr>
          <w:rFonts w:ascii="Times New Roman" w:hAnsi="Times New Roman"/>
          <w:b/>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La ciudadana intervino en el presente proceso de constitucionalidad para solicitarle a la Corte la declaratoria de exequibilidad condicionada de las normas demandadas, en el sentido de que la Sala de Casación Penal de la Corte Suprema de Justicia, de maner</w:t>
      </w:r>
      <w:r w:rsidRPr="00DF77C8">
        <w:rPr>
          <w:rFonts w:ascii="Times New Roman" w:hAnsi="Times New Roman"/>
          <w:color w:val="000000"/>
          <w:sz w:val="28"/>
          <w:szCs w:val="28"/>
        </w:rPr>
        <w:t>a unitaria, pueda decidir en segunda instancia el recurso de apelación en sede de función de control de garantías y que, cuando le corresponda conocer del asunto, el magistrado que así actuó pueda declararse impedido sin desestructurar la integración de la</w:t>
      </w:r>
      <w:r w:rsidRPr="00DF77C8">
        <w:rPr>
          <w:rFonts w:ascii="Times New Roman" w:hAnsi="Times New Roman"/>
          <w:color w:val="000000"/>
          <w:sz w:val="28"/>
          <w:szCs w:val="28"/>
        </w:rPr>
        <w:t xml:space="preserve"> Sala Penal de ese alto </w:t>
      </w:r>
      <w:r w:rsidRPr="00DF77C8">
        <w:rPr>
          <w:rFonts w:ascii="Times New Roman" w:hAnsi="Times New Roman"/>
          <w:color w:val="000000"/>
          <w:sz w:val="28"/>
          <w:szCs w:val="28"/>
        </w:rPr>
        <w:t>Tribunal</w:t>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tabs>
          <w:tab w:val="left" w:pos="567"/>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Sostuvo que, aunque la Corte Suprema de Justicia considera una excepción al principio de la doble instancia la imposibilidad de conocer del recurso de apelación en segunda instancia, lo cierto es que si el legislador pret</w:t>
      </w:r>
      <w:r w:rsidRPr="00DF77C8">
        <w:rPr>
          <w:rFonts w:ascii="Times New Roman" w:hAnsi="Times New Roman"/>
          <w:color w:val="000000"/>
          <w:sz w:val="28"/>
          <w:szCs w:val="28"/>
        </w:rPr>
        <w:t>endía limitar su ejercicio debió hacerlo de manera expresa. Evento que no sería procedente ante lo prescrito en el artículo 20 del Código de Procedimiento Penal</w:t>
      </w:r>
      <w:r w:rsidRPr="00DF77C8">
        <w:rPr>
          <w:rFonts w:ascii="Times New Roman" w:hAnsi="Times New Roman"/>
          <w:color w:val="000000"/>
          <w:sz w:val="28"/>
          <w:szCs w:val="28"/>
          <w:vertAlign w:val="superscript"/>
        </w:rPr>
        <w:footnoteReference w:id="23"/>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A su juicio, no existe ninguna razón para que el juez de control de garantías de los aforados no tenga un superior que pueda revisar la decisión, pues en el ordenamiento jurídico no es posible constatar las razones para que opere dicha restricción. Esto es</w:t>
      </w:r>
      <w:r w:rsidRPr="00DF77C8">
        <w:rPr>
          <w:rFonts w:ascii="Times New Roman" w:hAnsi="Times New Roman"/>
          <w:color w:val="000000"/>
          <w:sz w:val="28"/>
          <w:szCs w:val="28"/>
        </w:rPr>
        <w:t xml:space="preserve">, no existen argumentos para obviar en la legislación una situación tan relevante como lo es la apelación de las decisiones del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sede de control de garantías, cuya competencia para el juzgamiento recae en la Cor</w:t>
      </w:r>
      <w:r w:rsidRPr="00DF77C8">
        <w:rPr>
          <w:rFonts w:ascii="Times New Roman" w:hAnsi="Times New Roman"/>
          <w:color w:val="000000"/>
          <w:sz w:val="28"/>
          <w:szCs w:val="28"/>
        </w:rPr>
        <w:t>te Suprema de Justicia.</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Lo anterior, explicó, genera desigualdad de trato entre los ciudadanos a quienes sí se les garantiza el principio de la doble instancia en la función de control de garantías respecto a las personas con fuero, quienes no pueden ejer</w:t>
      </w:r>
      <w:r w:rsidRPr="00DF77C8">
        <w:rPr>
          <w:rFonts w:ascii="Times New Roman" w:hAnsi="Times New Roman"/>
          <w:color w:val="000000"/>
          <w:sz w:val="28"/>
          <w:szCs w:val="28"/>
        </w:rPr>
        <w:t>cer este derecho, sin que se evidencie una justificación razonable para que opere dicha exclusión.</w:t>
      </w:r>
    </w:p>
    <w:p w:rsidR="00DF1E4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Juan Esteban Henao Espinal</w:t>
      </w:r>
    </w:p>
    <w:p w:rsidR="00801F94" w:rsidRPr="00DF77C8" w:rsidRDefault="00DF77C8" w:rsidP="008A4B21">
      <w:pPr>
        <w:jc w:val="both"/>
        <w:rPr>
          <w:rFonts w:ascii="Times New Roman" w:hAnsi="Times New Roman"/>
          <w:b/>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 xml:space="preserve">El ciudadano Juan Esteban Henao Espinal solicitó la exequibilidad condicionada de las normas demandadas en el sentido de que la Corte Suprema de Justicia debe resolver los recursos de apelación contra los autos de apelación proferidos por el magistrado de </w:t>
      </w:r>
      <w:r w:rsidRPr="00DF77C8">
        <w:rPr>
          <w:rFonts w:ascii="Times New Roman" w:hAnsi="Times New Roman"/>
          <w:color w:val="000000"/>
          <w:sz w:val="28"/>
          <w:szCs w:val="28"/>
        </w:rPr>
        <w:t xml:space="preserve">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ejerza la función de juez de control de garantías, pero tomando las medidas necesarias para que no se configure impedimento de los funcionarios que lo deciden.</w:t>
      </w:r>
    </w:p>
    <w:p w:rsidR="00801F94" w:rsidRPr="00DF77C8" w:rsidRDefault="00DF77C8" w:rsidP="008A4B21">
      <w:pPr>
        <w:pBdr>
          <w:top w:val="nil"/>
          <w:left w:val="nil"/>
          <w:bottom w:val="nil"/>
          <w:right w:val="nil"/>
          <w:between w:val="nil"/>
        </w:pBdr>
        <w:tabs>
          <w:tab w:val="left" w:pos="567"/>
        </w:tabs>
        <w:jc w:val="both"/>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En primer lugar, el ciudadano solicitó que se integren normativamente al presente juicio de constitucionalidad las Leyes 975 de 2005 (proceso penal especial de justicia y paz) y 1407 de 2010 (proceso penal especial militar), bajo los mismos argumentos expu</w:t>
      </w:r>
      <w:r w:rsidRPr="00DF77C8">
        <w:rPr>
          <w:rFonts w:ascii="Times New Roman" w:hAnsi="Times New Roman"/>
          <w:color w:val="000000"/>
          <w:sz w:val="28"/>
          <w:szCs w:val="28"/>
        </w:rPr>
        <w:t xml:space="preserve">estos en la demanda, teniendo en cuenta que en estos dos sistemas penales con tendencia acusatoria también se consagra la figura del magistrado de control de garantías perteneciente a un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esto, con el fin de garantizar el derecho a la igu</w:t>
      </w:r>
      <w:r w:rsidRPr="00DF77C8">
        <w:rPr>
          <w:rFonts w:ascii="Times New Roman" w:hAnsi="Times New Roman"/>
          <w:color w:val="000000"/>
          <w:sz w:val="28"/>
          <w:szCs w:val="28"/>
        </w:rPr>
        <w:t>aldad.</w:t>
      </w:r>
    </w:p>
    <w:p w:rsidR="00801F94" w:rsidRPr="00DF77C8" w:rsidRDefault="00DF77C8" w:rsidP="008A4B21">
      <w:pPr>
        <w:pBdr>
          <w:top w:val="nil"/>
          <w:left w:val="nil"/>
          <w:bottom w:val="nil"/>
          <w:right w:val="nil"/>
          <w:between w:val="nil"/>
        </w:pBdr>
        <w:ind w:left="720"/>
        <w:rPr>
          <w:rFonts w:ascii="Times New Roman" w:hAnsi="Times New Roman"/>
          <w:b/>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b/>
          <w:color w:val="000000"/>
          <w:sz w:val="28"/>
          <w:szCs w:val="28"/>
        </w:rPr>
      </w:pPr>
      <w:r w:rsidRPr="00DF77C8">
        <w:rPr>
          <w:rFonts w:ascii="Times New Roman" w:hAnsi="Times New Roman"/>
          <w:color w:val="000000"/>
          <w:sz w:val="28"/>
          <w:szCs w:val="28"/>
        </w:rPr>
        <w:t>En segundo lugar, sobre la omisión legislativa relativa alegada, expuso que no existe razón suficiente que ampare el hecho de que los aforados constitucionales a los que se refiere el artículo 235</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numeral 5° de la Constitución y los aforados legal</w:t>
      </w:r>
      <w:r w:rsidRPr="00DF77C8">
        <w:rPr>
          <w:rFonts w:ascii="Times New Roman" w:hAnsi="Times New Roman"/>
          <w:color w:val="000000"/>
          <w:sz w:val="28"/>
          <w:szCs w:val="28"/>
        </w:rPr>
        <w:t>es en los términos del artículo 32</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numeral 8° de la Ley 906 de 2004</w:t>
      </w:r>
      <w:r w:rsidRPr="00DF77C8">
        <w:rPr>
          <w:rFonts w:ascii="Times New Roman" w:hAnsi="Times New Roman"/>
          <w:color w:val="000000"/>
          <w:sz w:val="28"/>
          <w:szCs w:val="28"/>
          <w:vertAlign w:val="superscript"/>
        </w:rPr>
        <w:footnoteReference w:id="24"/>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no puedan apelar las decisiones que afectan sus derechos fundamentales en sede de control de garantías y deban atenerse a lo decidido en única instancia. Puesto que esta situación const</w:t>
      </w:r>
      <w:r w:rsidRPr="00DF77C8">
        <w:rPr>
          <w:rFonts w:ascii="Times New Roman" w:hAnsi="Times New Roman"/>
          <w:color w:val="000000"/>
          <w:sz w:val="28"/>
          <w:szCs w:val="28"/>
        </w:rPr>
        <w:t xml:space="preserve">ituye una violación de los preceptos constitucionales y convencionales señalados por el demandante. </w:t>
      </w:r>
    </w:p>
    <w:p w:rsidR="00801F94" w:rsidRPr="00DF77C8" w:rsidRDefault="00DF77C8" w:rsidP="008A4B21">
      <w:pPr>
        <w:jc w:val="both"/>
        <w:rPr>
          <w:rFonts w:ascii="Times New Roman" w:hAnsi="Times New Roman"/>
          <w:b/>
          <w:sz w:val="28"/>
          <w:szCs w:val="28"/>
        </w:rPr>
      </w:pPr>
    </w:p>
    <w:p w:rsidR="00801F94" w:rsidRPr="00DF77C8" w:rsidRDefault="00DF77C8" w:rsidP="008A4B21">
      <w:pPr>
        <w:jc w:val="both"/>
        <w:rPr>
          <w:rFonts w:ascii="Times New Roman" w:hAnsi="Times New Roman"/>
          <w:sz w:val="28"/>
          <w:szCs w:val="28"/>
        </w:rPr>
      </w:pPr>
      <w:r w:rsidRPr="00DF77C8">
        <w:rPr>
          <w:rFonts w:ascii="Times New Roman" w:hAnsi="Times New Roman"/>
          <w:b/>
          <w:sz w:val="28"/>
          <w:szCs w:val="28"/>
        </w:rPr>
        <w:t>V. CONCEPTO DEL VICEPROCURADOR GENERAL DE LA NACIÓN</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bookmarkStart w:id="2" w:name="_heading=h.gjdgxs" w:colFirst="0" w:colLast="0"/>
      <w:bookmarkEnd w:id="2"/>
      <w:r w:rsidRPr="00DF77C8">
        <w:rPr>
          <w:rFonts w:ascii="Times New Roman" w:hAnsi="Times New Roman"/>
          <w:color w:val="000000"/>
          <w:sz w:val="28"/>
          <w:szCs w:val="28"/>
        </w:rPr>
        <w:t>El Ministerio Público le solicitó a la Corte Constitucional declarar la exequibilidad de los artículos 32 y 39 parágrafo 1 de la Ley 906 de 2004, bajo el entendido de que, mientras el Congreso de la República adopta una regulación integral sobre la materia</w:t>
      </w:r>
      <w:r w:rsidRPr="00DF77C8">
        <w:rPr>
          <w:rFonts w:ascii="Times New Roman" w:hAnsi="Times New Roman"/>
          <w:color w:val="000000"/>
          <w:sz w:val="28"/>
          <w:szCs w:val="28"/>
        </w:rPr>
        <w:t xml:space="preserve">, en contra de las decisiones de control de garantías proferidas por el magistrado competente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los procesos de aforados</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procede el recurso de súplica ante los demás miembros de la Sala Penal de dicha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judicial.</w:t>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tabs>
          <w:tab w:val="left" w:pos="567"/>
        </w:tabs>
        <w:jc w:val="both"/>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Sobre el cargo formulado por el actor, la Procuraduría General de la Nación consideró que, en este caso, se encuentran configurados los presupuestos establecidos en la jurisprudencia constitucional para su </w:t>
      </w:r>
      <w:r w:rsidRPr="00DF77C8">
        <w:rPr>
          <w:rFonts w:ascii="Times New Roman" w:hAnsi="Times New Roman"/>
          <w:color w:val="000000"/>
          <w:sz w:val="28"/>
          <w:szCs w:val="28"/>
        </w:rPr>
        <w:t>estructuración</w:t>
      </w:r>
      <w:r w:rsidRPr="00DF77C8">
        <w:rPr>
          <w:rFonts w:ascii="Times New Roman" w:hAnsi="Times New Roman"/>
          <w:color w:val="000000"/>
          <w:sz w:val="28"/>
          <w:szCs w:val="28"/>
        </w:rPr>
        <w:t>.</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primer lugar, relató que el reproche constitucional se predica sobre los artículos 32 y 39 parágrafo primero de la Ley 906 de 2004, es decir, contra normas positivas que, al regular la competencia para conocer de las diligencias de control de garantías </w:t>
      </w:r>
      <w:r w:rsidRPr="00DF77C8">
        <w:rPr>
          <w:rFonts w:ascii="Times New Roman" w:hAnsi="Times New Roman"/>
          <w:color w:val="000000"/>
          <w:sz w:val="28"/>
          <w:szCs w:val="28"/>
        </w:rPr>
        <w:t xml:space="preserve">en los procesos penales contra aforados, omiten referirse a la autoridad competente para resolver la impugnación de las decisiones que sobre la materia adopte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Sobre el particular, indicó que </w:t>
      </w:r>
      <w:r w:rsidRPr="00DF77C8">
        <w:rPr>
          <w:rFonts w:ascii="Times New Roman" w:hAnsi="Times New Roman"/>
          <w:color w:val="000000"/>
          <w:sz w:val="28"/>
          <w:szCs w:val="28"/>
        </w:rPr>
        <w:t xml:space="preserve">la Corte Suprema de Justicia ha reconocido que “ni legal ni constitucionalmente se encuentra previsto el recurso de apelación frente a los autos adoptados por los Magistrados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único juez con Función de Contr</w:t>
      </w:r>
      <w:r w:rsidRPr="00DF77C8">
        <w:rPr>
          <w:rFonts w:ascii="Times New Roman" w:hAnsi="Times New Roman"/>
          <w:color w:val="000000"/>
          <w:sz w:val="28"/>
          <w:szCs w:val="28"/>
        </w:rPr>
        <w:t>ol de Garantías legitimado para conocer estos asuntos en los casos de aforados”</w:t>
      </w:r>
      <w:r w:rsidRPr="00DF77C8">
        <w:rPr>
          <w:rFonts w:ascii="Times New Roman" w:hAnsi="Times New Roman"/>
          <w:color w:val="000000"/>
          <w:sz w:val="28"/>
          <w:szCs w:val="28"/>
          <w:vertAlign w:val="superscript"/>
        </w:rPr>
        <w:footnoteReference w:id="25"/>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segundo lugar, sostuvo que el artículo 25 de la Convención Americana sobre Derechos Humanos, en concordancia con lo dispuesto en los artículos 29, 93, 229 de la Constitu</w:t>
      </w:r>
      <w:r w:rsidRPr="00DF77C8">
        <w:rPr>
          <w:rFonts w:ascii="Times New Roman" w:hAnsi="Times New Roman"/>
          <w:color w:val="000000"/>
          <w:sz w:val="28"/>
          <w:szCs w:val="28"/>
        </w:rPr>
        <w:t>ción, establece la protección de los derechos al debido proceso y de acceso a la administración de Justicia por medio del mandato al Estado colombiano de conceder a toda persona “un recurso sencillo y rápido o cualquier otro recurso efectivo ante los juece</w:t>
      </w:r>
      <w:r w:rsidRPr="00DF77C8">
        <w:rPr>
          <w:rFonts w:ascii="Times New Roman" w:hAnsi="Times New Roman"/>
          <w:color w:val="000000"/>
          <w:sz w:val="28"/>
          <w:szCs w:val="28"/>
        </w:rPr>
        <w:t xml:space="preserve">s o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competentes, que la ampare contra actos que violen sus derechos fundamentales”.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 la luz de lo anterior, la vista fiscal recordó que la función de control de garantías tiene por fin la protección de los derechos fundamentales que puedan verse afectados con ocasión del desarrollo de una causa penal, entre ellos, la libertad personal, l</w:t>
      </w:r>
      <w:r w:rsidRPr="00DF77C8">
        <w:rPr>
          <w:rFonts w:ascii="Times New Roman" w:hAnsi="Times New Roman"/>
          <w:color w:val="000000"/>
          <w:sz w:val="28"/>
          <w:szCs w:val="28"/>
        </w:rPr>
        <w:t>a intimidad o la propiedad. Por ello, en virtud del artículo 25 de la Convención Americana sobre Derechos Humanos, las decisiones que adopte el funcionario competente deben contar con un recurso que permita amparar las garantías que puedan llegar a ser vul</w:t>
      </w:r>
      <w:r w:rsidRPr="00DF77C8">
        <w:rPr>
          <w:rFonts w:ascii="Times New Roman" w:hAnsi="Times New Roman"/>
          <w:color w:val="000000"/>
          <w:sz w:val="28"/>
          <w:szCs w:val="28"/>
        </w:rPr>
        <w:t xml:space="preserve">neradas ante las decisiones adoptadas en sede de control de garantías relacionadas con medidas de aseguramiento, allanamientos, incautaciones, interceptación de comunicaciones, etc.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tercer lugar, sostuvo el ente de control que, a su parecer, la determ</w:t>
      </w:r>
      <w:r w:rsidRPr="00DF77C8">
        <w:rPr>
          <w:rFonts w:ascii="Times New Roman" w:hAnsi="Times New Roman"/>
          <w:color w:val="000000"/>
          <w:sz w:val="28"/>
          <w:szCs w:val="28"/>
        </w:rPr>
        <w:t xml:space="preserve">inación legislativa para no asignar a la Corte Suprema de Justicia el conocimiento del recurso de apelación de las decisiones proferidas en materia de control de garantías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los procesos seguidos contra af</w:t>
      </w:r>
      <w:r w:rsidRPr="00DF77C8">
        <w:rPr>
          <w:rFonts w:ascii="Times New Roman" w:hAnsi="Times New Roman"/>
          <w:color w:val="000000"/>
          <w:sz w:val="28"/>
          <w:szCs w:val="28"/>
        </w:rPr>
        <w:t xml:space="preserve">orados se fundamentó en el cumplimiento de los artículos 237 (sic) numerales 5°, 6° y 7°; y 250, inciso 2° del numeral 1° de la Constitución Política.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Al respecto, considera que es plausible que, en cumplimiento del numeral 1° del artículo 250 de la Cart</w:t>
      </w:r>
      <w:r w:rsidRPr="00DF77C8">
        <w:rPr>
          <w:rFonts w:ascii="Times New Roman" w:hAnsi="Times New Roman"/>
          <w:color w:val="000000"/>
          <w:sz w:val="28"/>
          <w:szCs w:val="28"/>
        </w:rPr>
        <w:t>a Política</w:t>
      </w:r>
      <w:r w:rsidRPr="00DF77C8">
        <w:rPr>
          <w:rFonts w:ascii="Times New Roman" w:hAnsi="Times New Roman"/>
          <w:color w:val="000000"/>
          <w:sz w:val="28"/>
          <w:szCs w:val="28"/>
          <w:vertAlign w:val="superscript"/>
        </w:rPr>
        <w:footnoteReference w:id="26"/>
      </w:r>
      <w:r w:rsidRPr="00DF77C8">
        <w:rPr>
          <w:rFonts w:ascii="Times New Roman" w:hAnsi="Times New Roman"/>
          <w:color w:val="000000"/>
          <w:sz w:val="28"/>
          <w:szCs w:val="28"/>
        </w:rPr>
        <w:t>, el legislador no hubiese dispuesto que la Corte Suprema de Justicia conozca en segunda instancia las decisiones adoptadas por el juez de control de garantías en los casos de los aforados, en razón a que esa entidad será la encargada de su juzg</w:t>
      </w:r>
      <w:r w:rsidRPr="00DF77C8">
        <w:rPr>
          <w:rFonts w:ascii="Times New Roman" w:hAnsi="Times New Roman"/>
          <w:color w:val="000000"/>
          <w:sz w:val="28"/>
          <w:szCs w:val="28"/>
        </w:rPr>
        <w:t>amiento (artículo 235 superior, numerales 5°, 6° y 7°)</w:t>
      </w:r>
      <w:r w:rsidRPr="00DF77C8">
        <w:rPr>
          <w:rFonts w:ascii="Times New Roman" w:hAnsi="Times New Roman"/>
          <w:color w:val="000000"/>
          <w:sz w:val="28"/>
          <w:szCs w:val="28"/>
          <w:vertAlign w:val="superscript"/>
        </w:rPr>
        <w:footnoteReference w:id="27"/>
      </w:r>
      <w:r w:rsidRPr="00DF77C8">
        <w:rPr>
          <w:rFonts w:ascii="Times New Roman" w:hAnsi="Times New Roman"/>
          <w:color w:val="000000"/>
          <w:sz w:val="28"/>
          <w:szCs w:val="28"/>
        </w:rPr>
        <w:t xml:space="preserve">.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No obstante, para la Procuraduría resulta desproporcionado que el Congreso de la República no hubiera incluido otro instrumento de impugnación para cuestionar las decisiones proferidas en materia d</w:t>
      </w:r>
      <w:r w:rsidRPr="00DF77C8">
        <w:rPr>
          <w:rFonts w:ascii="Times New Roman" w:hAnsi="Times New Roman"/>
          <w:color w:val="000000"/>
          <w:sz w:val="28"/>
          <w:szCs w:val="28"/>
        </w:rPr>
        <w:t xml:space="preserve">e control de garantías por el magistrado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en virtud de lo dispuesto en el artículo 25 de la Convención Americana sobre Derechos Humanos.</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Sumado a que el ordenamiento jurídico colombiano contempla entre sus herramientas jurí</w:t>
      </w:r>
      <w:r w:rsidRPr="00DF77C8">
        <w:rPr>
          <w:rFonts w:ascii="Times New Roman" w:hAnsi="Times New Roman"/>
          <w:color w:val="000000"/>
          <w:sz w:val="28"/>
          <w:szCs w:val="28"/>
        </w:rPr>
        <w:t xml:space="preserve">dicas para el logro de dicho fin el recurso de súplica, el cual es procedente contra las decisiones que no son susceptibles del recurso de apelación proferidas individualmente por los magistrados de los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es. A juicio del Ministerio Público, este se </w:t>
      </w:r>
      <w:r w:rsidRPr="00DF77C8">
        <w:rPr>
          <w:rFonts w:ascii="Times New Roman" w:hAnsi="Times New Roman"/>
          <w:color w:val="000000"/>
          <w:sz w:val="28"/>
          <w:szCs w:val="28"/>
        </w:rPr>
        <w:t>trataría de un recurso sencillo, ágil y efectivo para controvertir las providencias expedidas en esa instancia.</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Adicionalmente, explicó que las autoridades que ejercen función de control de garantías son jueces constitucionales que no se encuentran sujeto</w:t>
      </w:r>
      <w:r w:rsidRPr="00DF77C8">
        <w:rPr>
          <w:rFonts w:ascii="Times New Roman" w:hAnsi="Times New Roman"/>
          <w:color w:val="000000"/>
          <w:sz w:val="28"/>
          <w:szCs w:val="28"/>
        </w:rPr>
        <w:t>s a la distribución orgánica y jerárquica de la jurisdicción ordinaria, por lo que no es necesario que la Corte Suprema de Justicia resuelva el instrumento impugnatorio contra la referida determinación.</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lo expuesto, manifestó que no existe una razón s</w:t>
      </w:r>
      <w:r w:rsidRPr="00DF77C8">
        <w:rPr>
          <w:rFonts w:ascii="Times New Roman" w:hAnsi="Times New Roman"/>
          <w:color w:val="000000"/>
          <w:sz w:val="28"/>
          <w:szCs w:val="28"/>
        </w:rPr>
        <w:t xml:space="preserve">uficiente para que el Congreso de la República omitiera ordenar un mecanismo que permitiera cuestionar las decisiones adoptadas por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actúa como juez de control de garantías.</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En cuarto lu</w:t>
      </w:r>
      <w:r w:rsidRPr="00DF77C8">
        <w:rPr>
          <w:rFonts w:ascii="Times New Roman" w:hAnsi="Times New Roman"/>
          <w:color w:val="000000"/>
          <w:sz w:val="28"/>
          <w:szCs w:val="28"/>
        </w:rPr>
        <w:t>gar, observó la Procuraduría que la omisión legislativa relativa examinada genera una desigualdad negativa que afecta a las personas aforadas que se enfrentan a un proceso penal en comparación con los individuos que son juzgados conforme al procedimiento o</w:t>
      </w:r>
      <w:r w:rsidRPr="00DF77C8">
        <w:rPr>
          <w:rFonts w:ascii="Times New Roman" w:hAnsi="Times New Roman"/>
          <w:color w:val="000000"/>
          <w:sz w:val="28"/>
          <w:szCs w:val="28"/>
        </w:rPr>
        <w:t xml:space="preserve">rdinario, quienes a la luz de los artículos 36 numeral 1° y 39 de la Ley 906 de 2004 sí cuentan con la facultad de impugnar las decisiones ante los jueces penales del circuito. </w:t>
      </w:r>
    </w:p>
    <w:p w:rsidR="00801F94" w:rsidRPr="00DF77C8" w:rsidRDefault="00DF77C8" w:rsidP="008A4B21">
      <w:pPr>
        <w:pBdr>
          <w:top w:val="nil"/>
          <w:left w:val="nil"/>
          <w:bottom w:val="nil"/>
          <w:right w:val="nil"/>
          <w:between w:val="nil"/>
        </w:pBdr>
        <w:ind w:left="720"/>
        <w:rPr>
          <w:rFonts w:ascii="Times New Roman" w:hAnsi="Times New Roman"/>
          <w:color w:val="000000"/>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Por lo anterior, el Ministerio Público solicitó la declaratoria de exequibilidad condicionada de los artículos demandados, con el fin de asegurar la primacía e integridad de la Carta Política que se encuentra amenazada por la omisión legislativa relativa c</w:t>
      </w:r>
      <w:r w:rsidRPr="00DF77C8">
        <w:rPr>
          <w:rFonts w:ascii="Times New Roman" w:hAnsi="Times New Roman"/>
          <w:color w:val="000000"/>
          <w:sz w:val="28"/>
          <w:szCs w:val="28"/>
        </w:rPr>
        <w:t xml:space="preserve">onstatada. </w:t>
      </w:r>
    </w:p>
    <w:p w:rsidR="00801F94" w:rsidRPr="00DF77C8" w:rsidRDefault="00DF77C8" w:rsidP="008A4B21">
      <w:pPr>
        <w:jc w:val="both"/>
        <w:rPr>
          <w:rFonts w:ascii="Times New Roman" w:hAnsi="Times New Roman"/>
          <w:color w:val="FF0000"/>
          <w:sz w:val="28"/>
          <w:szCs w:val="28"/>
        </w:rPr>
      </w:pPr>
    </w:p>
    <w:p w:rsidR="00801F94" w:rsidRPr="00DF77C8" w:rsidRDefault="00DF77C8" w:rsidP="008A4B21">
      <w:pPr>
        <w:jc w:val="both"/>
        <w:rPr>
          <w:rFonts w:ascii="Times New Roman" w:hAnsi="Times New Roman"/>
          <w:b/>
          <w:sz w:val="28"/>
          <w:szCs w:val="28"/>
        </w:rPr>
      </w:pPr>
      <w:r w:rsidRPr="00DF77C8">
        <w:rPr>
          <w:rFonts w:ascii="Times New Roman" w:hAnsi="Times New Roman"/>
          <w:b/>
          <w:sz w:val="28"/>
          <w:szCs w:val="28"/>
        </w:rPr>
        <w:t>VI. CONSIDERACIONES DE LA CORTE</w:t>
      </w:r>
    </w:p>
    <w:p w:rsidR="00801F94" w:rsidRPr="00DF77C8" w:rsidRDefault="00DF77C8" w:rsidP="008A4B21">
      <w:pPr>
        <w:jc w:val="both"/>
        <w:rPr>
          <w:rFonts w:ascii="Times New Roman" w:hAnsi="Times New Roman"/>
          <w:b/>
          <w:sz w:val="28"/>
          <w:szCs w:val="28"/>
        </w:rPr>
      </w:pPr>
    </w:p>
    <w:p w:rsidR="00801F94" w:rsidRPr="00DF77C8" w:rsidRDefault="00DF77C8" w:rsidP="008A4B21">
      <w:pPr>
        <w:pBdr>
          <w:top w:val="nil"/>
          <w:left w:val="nil"/>
          <w:bottom w:val="nil"/>
          <w:right w:val="nil"/>
          <w:between w:val="nil"/>
        </w:pBdr>
        <w:tabs>
          <w:tab w:val="left" w:pos="284"/>
        </w:tabs>
        <w:jc w:val="both"/>
        <w:rPr>
          <w:rFonts w:ascii="Times New Roman" w:hAnsi="Times New Roman"/>
          <w:color w:val="000000"/>
          <w:sz w:val="28"/>
          <w:szCs w:val="28"/>
        </w:rPr>
      </w:pPr>
      <w:r w:rsidRPr="00DF77C8">
        <w:rPr>
          <w:rFonts w:ascii="Times New Roman" w:hAnsi="Times New Roman"/>
          <w:b/>
          <w:color w:val="000000"/>
          <w:sz w:val="28"/>
          <w:szCs w:val="28"/>
        </w:rPr>
        <w:t>Competencia</w:t>
      </w:r>
    </w:p>
    <w:p w:rsidR="00801F94" w:rsidRPr="00DF77C8" w:rsidRDefault="00DF77C8" w:rsidP="008A4B21">
      <w:pPr>
        <w:jc w:val="both"/>
        <w:rPr>
          <w:rFonts w:ascii="Times New Roman" w:hAnsi="Times New Roman"/>
          <w:sz w:val="28"/>
          <w:szCs w:val="28"/>
        </w:rPr>
      </w:pPr>
    </w:p>
    <w:p w:rsidR="00801F94" w:rsidRPr="00DF77C8" w:rsidRDefault="00DF77C8" w:rsidP="008A4B21">
      <w:pPr>
        <w:numPr>
          <w:ilvl w:val="0"/>
          <w:numId w:val="1"/>
        </w:numPr>
        <w:pBdr>
          <w:top w:val="nil"/>
          <w:left w:val="nil"/>
          <w:bottom w:val="nil"/>
          <w:right w:val="nil"/>
          <w:between w:val="nil"/>
        </w:pBdr>
        <w:tabs>
          <w:tab w:val="left" w:pos="567"/>
        </w:tabs>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De conformidad con lo expuesto en el numeral 4º del artículo 241 de la Constitución Política, esta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es competente para decidir sobre la demanda de inconstitucionalidad que se formula contra </w:t>
      </w:r>
      <w:r w:rsidRPr="00DF77C8">
        <w:rPr>
          <w:rFonts w:ascii="Times New Roman" w:hAnsi="Times New Roman"/>
          <w:color w:val="000000"/>
          <w:sz w:val="28"/>
          <w:szCs w:val="28"/>
        </w:rPr>
        <w:t xml:space="preserve">los </w:t>
      </w:r>
      <w:r w:rsidRPr="00DF77C8">
        <w:rPr>
          <w:rFonts w:ascii="Times New Roman" w:hAnsi="Times New Roman"/>
          <w:color w:val="000000"/>
          <w:sz w:val="28"/>
          <w:szCs w:val="28"/>
        </w:rPr>
        <w:t xml:space="preserve">artículos 32 y 39, parágrafo primero, de la Ley 906 de 2004.  </w:t>
      </w:r>
    </w:p>
    <w:p w:rsidR="00801F94" w:rsidRPr="00DF77C8" w:rsidRDefault="00DF77C8" w:rsidP="008A4B21">
      <w:pPr>
        <w:jc w:val="both"/>
        <w:rPr>
          <w:rFonts w:ascii="Times New Roman" w:hAnsi="Times New Roman"/>
          <w:sz w:val="28"/>
          <w:szCs w:val="28"/>
        </w:rPr>
      </w:pPr>
    </w:p>
    <w:p w:rsidR="00801F94" w:rsidRPr="00DF77C8" w:rsidRDefault="00DF77C8" w:rsidP="008A4B21">
      <w:pPr>
        <w:pBdr>
          <w:top w:val="nil"/>
          <w:left w:val="nil"/>
          <w:bottom w:val="nil"/>
          <w:right w:val="nil"/>
          <w:between w:val="nil"/>
        </w:pBdr>
        <w:tabs>
          <w:tab w:val="left" w:pos="284"/>
        </w:tabs>
        <w:jc w:val="both"/>
        <w:rPr>
          <w:rFonts w:ascii="Times New Roman" w:hAnsi="Times New Roman"/>
          <w:b/>
          <w:color w:val="000000"/>
          <w:sz w:val="28"/>
          <w:szCs w:val="28"/>
        </w:rPr>
      </w:pPr>
      <w:r w:rsidRPr="00DF77C8">
        <w:rPr>
          <w:rFonts w:ascii="Times New Roman" w:hAnsi="Times New Roman"/>
          <w:b/>
          <w:i/>
          <w:color w:val="000000"/>
          <w:sz w:val="28"/>
          <w:szCs w:val="28"/>
        </w:rPr>
        <w:t>Cuestiones previas</w:t>
      </w:r>
      <w:r w:rsidRPr="00DF77C8">
        <w:rPr>
          <w:rFonts w:ascii="Times New Roman" w:hAnsi="Times New Roman"/>
          <w:b/>
          <w:color w:val="000000"/>
          <w:sz w:val="28"/>
          <w:szCs w:val="28"/>
        </w:rPr>
        <w:t xml:space="preserve">: </w:t>
      </w:r>
    </w:p>
    <w:p w:rsidR="00801F94" w:rsidRPr="00DF77C8" w:rsidRDefault="00DF77C8" w:rsidP="008A4B21">
      <w:pPr>
        <w:pBdr>
          <w:top w:val="nil"/>
          <w:left w:val="nil"/>
          <w:bottom w:val="nil"/>
          <w:right w:val="nil"/>
          <w:between w:val="nil"/>
        </w:pBdr>
        <w:tabs>
          <w:tab w:val="left" w:pos="851"/>
        </w:tabs>
        <w:ind w:left="702" w:right="-26" w:hanging="702"/>
        <w:jc w:val="both"/>
        <w:rPr>
          <w:rFonts w:ascii="Times New Roman" w:hAnsi="Times New Roman"/>
          <w:color w:val="000000"/>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i/>
          <w:sz w:val="28"/>
          <w:szCs w:val="28"/>
        </w:rPr>
        <w:t>Examen de la aptitud de la demanda</w:t>
      </w:r>
    </w:p>
    <w:p w:rsidR="00801F94" w:rsidRPr="00DF77C8" w:rsidRDefault="00DF77C8" w:rsidP="008A4B21">
      <w:pPr>
        <w:ind w:left="702" w:right="-26"/>
        <w:jc w:val="both"/>
        <w:rPr>
          <w:rFonts w:ascii="Times New Roman" w:hAnsi="Times New Roman"/>
          <w:b/>
          <w:sz w:val="28"/>
          <w:szCs w:val="28"/>
        </w:rPr>
      </w:pPr>
    </w:p>
    <w:p w:rsidR="00801F94"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El Ministerio de Justicia y del Derecho sostuvo en su intervención que esta </w:t>
      </w:r>
      <w:r w:rsidRPr="00DF77C8">
        <w:rPr>
          <w:rFonts w:ascii="Times New Roman" w:hAnsi="Times New Roman"/>
          <w:sz w:val="28"/>
          <w:szCs w:val="28"/>
        </w:rPr>
        <w:t>Corporación</w:t>
      </w:r>
      <w:r w:rsidRPr="00DF77C8">
        <w:rPr>
          <w:rFonts w:ascii="Times New Roman" w:hAnsi="Times New Roman"/>
          <w:sz w:val="28"/>
          <w:szCs w:val="28"/>
        </w:rPr>
        <w:t xml:space="preserve"> no debía pronunciarse sobre la constitucionalidad del parágrafo 1º del artículo 39 de la Ley 906 de 2004, al no tratarse de un postulado normativo sobre competencias ni</w:t>
      </w:r>
      <w:r w:rsidRPr="00DF77C8">
        <w:rPr>
          <w:rFonts w:ascii="Times New Roman" w:hAnsi="Times New Roman"/>
          <w:sz w:val="28"/>
          <w:szCs w:val="28"/>
        </w:rPr>
        <w:t xml:space="preserve"> sobre asuntos que debe conocer la Sala Penal de la Corte Suprema de Justicia en calidad de superior funcional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Por lo anterior, procede la Sala a examinar si el cargo por omisión legislativa relativa planteado puede predic</w:t>
      </w:r>
      <w:r w:rsidRPr="00DF77C8">
        <w:rPr>
          <w:rFonts w:ascii="Times New Roman" w:hAnsi="Times New Roman"/>
          <w:sz w:val="28"/>
          <w:szCs w:val="28"/>
        </w:rPr>
        <w:t>arse respecto de lo dispuesto en el artículo 39, parágrafo primero</w:t>
      </w:r>
      <w:r w:rsidRPr="00DF77C8">
        <w:rPr>
          <w:rFonts w:ascii="Times New Roman" w:hAnsi="Times New Roman"/>
          <w:sz w:val="28"/>
          <w:szCs w:val="28"/>
        </w:rPr>
        <w:t>,</w:t>
      </w:r>
      <w:r w:rsidRPr="00DF77C8">
        <w:rPr>
          <w:rFonts w:ascii="Times New Roman" w:hAnsi="Times New Roman"/>
          <w:sz w:val="28"/>
          <w:szCs w:val="28"/>
        </w:rPr>
        <w:t xml:space="preserve"> del Código de Procedimiento Penal, a la luz de los requisitos señalados en el Decreto 2067 de 1991 y de la jurisprudencia constitucional.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primer lugar, en el auto que inadmitió la dem</w:t>
      </w:r>
      <w:r w:rsidRPr="00DF77C8">
        <w:rPr>
          <w:rFonts w:ascii="Times New Roman" w:hAnsi="Times New Roman"/>
          <w:sz w:val="28"/>
          <w:szCs w:val="28"/>
        </w:rPr>
        <w:t>anda, la magistrada</w:t>
      </w:r>
      <w:r w:rsidRPr="00DF77C8">
        <w:rPr>
          <w:rFonts w:ascii="Times New Roman" w:hAnsi="Times New Roman"/>
          <w:sz w:val="28"/>
          <w:szCs w:val="28"/>
        </w:rPr>
        <w:t xml:space="preserve"> sustanciadora</w:t>
      </w:r>
      <w:r w:rsidRPr="00DF77C8">
        <w:rPr>
          <w:rFonts w:ascii="Times New Roman" w:hAnsi="Times New Roman"/>
          <w:sz w:val="28"/>
          <w:szCs w:val="28"/>
        </w:rPr>
        <w:t xml:space="preserve"> le advirtió al ciudadano que debía circunscribir con precisión el objeto demandado puesto que de la lectura de la norma inicialmente cuestionada </w:t>
      </w:r>
      <w:r w:rsidRPr="00DF77C8">
        <w:rPr>
          <w:rFonts w:ascii="Times New Roman" w:hAnsi="Times New Roman"/>
          <w:sz w:val="28"/>
          <w:szCs w:val="28"/>
        </w:rPr>
        <w:t xml:space="preserve">(parágrafo primero, artículo 39 de la Ley 906 de 2004), </w:t>
      </w:r>
      <w:r w:rsidRPr="00DF77C8">
        <w:rPr>
          <w:rFonts w:ascii="Times New Roman" w:hAnsi="Times New Roman"/>
          <w:sz w:val="28"/>
          <w:szCs w:val="28"/>
        </w:rPr>
        <w:t>no se observaba la om</w:t>
      </w:r>
      <w:r w:rsidRPr="00DF77C8">
        <w:rPr>
          <w:rFonts w:ascii="Times New Roman" w:hAnsi="Times New Roman"/>
          <w:sz w:val="28"/>
          <w:szCs w:val="28"/>
        </w:rPr>
        <w:t xml:space="preserve">isión legislativa relativa señalada. Esto por cuanto dicha norma establece la competencia que le adscribió el legislador a un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como juez de control de garantías en los casos que conozca la Corte Suprema de Justicia</w:t>
      </w:r>
      <w:r w:rsidRPr="00DF77C8">
        <w:rPr>
          <w:rFonts w:ascii="Times New Roman" w:hAnsi="Times New Roman"/>
          <w:sz w:val="28"/>
          <w:szCs w:val="28"/>
        </w:rPr>
        <w:t>. Contenido que, como lo advirtió el mismo demandante</w:t>
      </w:r>
      <w:r w:rsidRPr="00DF77C8">
        <w:rPr>
          <w:rFonts w:ascii="Times New Roman" w:hAnsi="Times New Roman"/>
          <w:sz w:val="28"/>
          <w:szCs w:val="28"/>
        </w:rPr>
        <w:t>,</w:t>
      </w:r>
      <w:r w:rsidRPr="00DF77C8">
        <w:rPr>
          <w:rFonts w:ascii="Times New Roman" w:hAnsi="Times New Roman"/>
          <w:sz w:val="28"/>
          <w:szCs w:val="28"/>
        </w:rPr>
        <w:t xml:space="preserve"> fue estudiado por esta </w:t>
      </w:r>
      <w:r w:rsidRPr="00DF77C8">
        <w:rPr>
          <w:rFonts w:ascii="Times New Roman" w:hAnsi="Times New Roman"/>
          <w:sz w:val="28"/>
          <w:szCs w:val="28"/>
        </w:rPr>
        <w:t>Corporación</w:t>
      </w:r>
      <w:r w:rsidRPr="00DF77C8">
        <w:rPr>
          <w:rFonts w:ascii="Times New Roman" w:hAnsi="Times New Roman"/>
          <w:sz w:val="28"/>
          <w:szCs w:val="28"/>
        </w:rPr>
        <w:t xml:space="preserve"> mediante Sentencia C-591 de 2005 </w:t>
      </w:r>
      <w:r w:rsidRPr="00DF77C8">
        <w:rPr>
          <w:rFonts w:ascii="Times New Roman" w:hAnsi="Times New Roman"/>
          <w:sz w:val="28"/>
          <w:szCs w:val="28"/>
        </w:rPr>
        <w:t>que</w:t>
      </w:r>
      <w:r w:rsidRPr="00DF77C8">
        <w:rPr>
          <w:rFonts w:ascii="Times New Roman" w:hAnsi="Times New Roman"/>
          <w:sz w:val="28"/>
          <w:szCs w:val="28"/>
        </w:rPr>
        <w:t xml:space="preserve"> </w:t>
      </w:r>
      <w:r w:rsidRPr="00DF77C8">
        <w:rPr>
          <w:rFonts w:ascii="Times New Roman" w:hAnsi="Times New Roman"/>
          <w:sz w:val="28"/>
          <w:szCs w:val="28"/>
        </w:rPr>
        <w:t>lo</w:t>
      </w:r>
      <w:r w:rsidRPr="00DF77C8">
        <w:rPr>
          <w:rFonts w:ascii="Times New Roman" w:hAnsi="Times New Roman"/>
          <w:sz w:val="28"/>
          <w:szCs w:val="28"/>
        </w:rPr>
        <w:t xml:space="preserve"> </w:t>
      </w:r>
      <w:r w:rsidRPr="00DF77C8">
        <w:rPr>
          <w:rFonts w:ascii="Times New Roman" w:hAnsi="Times New Roman"/>
          <w:sz w:val="28"/>
          <w:szCs w:val="28"/>
        </w:rPr>
        <w:t xml:space="preserve">encontró </w:t>
      </w:r>
      <w:r w:rsidRPr="00DF77C8">
        <w:rPr>
          <w:rFonts w:ascii="Times New Roman" w:hAnsi="Times New Roman"/>
          <w:sz w:val="28"/>
          <w:szCs w:val="28"/>
        </w:rPr>
        <w:t xml:space="preserve">conforme a la Constitución “en el entendido que se refiere a los casos previstos en el numeral 4 del artículo 235 de </w:t>
      </w:r>
      <w:r w:rsidRPr="00DF77C8">
        <w:rPr>
          <w:rFonts w:ascii="Times New Roman" w:hAnsi="Times New Roman"/>
          <w:sz w:val="28"/>
          <w:szCs w:val="28"/>
        </w:rPr>
        <w:t xml:space="preserve">la Constitución”, en la actualidad numeral 5°, de esa misma disposición constitucional luego de que fuera modificada por el Acto Legislativo 1° de 2018. </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 xml:space="preserve"> </w:t>
      </w:r>
    </w:p>
    <w:p w:rsidR="00801F94"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acuerdo a lo anteriormente señalado</w:t>
      </w:r>
      <w:r w:rsidRPr="00DF77C8">
        <w:rPr>
          <w:rFonts w:ascii="Times New Roman" w:hAnsi="Times New Roman"/>
          <w:sz w:val="28"/>
          <w:szCs w:val="28"/>
        </w:rPr>
        <w:t xml:space="preserve">, el demandante ajustó su demanda y determinó que no solo </w:t>
      </w:r>
      <w:r w:rsidRPr="00DF77C8">
        <w:rPr>
          <w:rFonts w:ascii="Times New Roman" w:hAnsi="Times New Roman"/>
          <w:sz w:val="28"/>
          <w:szCs w:val="28"/>
        </w:rPr>
        <w:t>dirig</w:t>
      </w:r>
      <w:r w:rsidRPr="00DF77C8">
        <w:rPr>
          <w:rFonts w:ascii="Times New Roman" w:hAnsi="Times New Roman"/>
          <w:sz w:val="28"/>
          <w:szCs w:val="28"/>
        </w:rPr>
        <w:t>ía</w:t>
      </w:r>
      <w:r w:rsidRPr="00DF77C8">
        <w:rPr>
          <w:rFonts w:ascii="Times New Roman" w:hAnsi="Times New Roman"/>
          <w:sz w:val="28"/>
          <w:szCs w:val="28"/>
        </w:rPr>
        <w:t xml:space="preserve"> su reproche contra lo dispuesto en la norma inicialmente demandada sino también contra el artículo 32 del Código de Procedimiento Penal que es la norma que consagra expresamente las funciones a cargo de la Sala Penal de la Corte Suprema de Justicia</w:t>
      </w:r>
      <w:r w:rsidRPr="00DF77C8">
        <w:rPr>
          <w:rFonts w:ascii="Times New Roman" w:hAnsi="Times New Roman"/>
          <w:sz w:val="28"/>
          <w:szCs w:val="28"/>
        </w:rPr>
        <w:t xml:space="preserve"> y</w:t>
      </w:r>
      <w:r w:rsidRPr="00DF77C8">
        <w:rPr>
          <w:rFonts w:ascii="Times New Roman" w:hAnsi="Times New Roman"/>
          <w:sz w:val="28"/>
          <w:szCs w:val="28"/>
        </w:rPr>
        <w:t>,</w:t>
      </w:r>
      <w:r w:rsidRPr="00DF77C8">
        <w:rPr>
          <w:rFonts w:ascii="Times New Roman" w:hAnsi="Times New Roman"/>
          <w:sz w:val="28"/>
          <w:szCs w:val="28"/>
        </w:rPr>
        <w:t xml:space="preserve"> dentro de las cuales</w:t>
      </w:r>
      <w:r w:rsidRPr="00DF77C8">
        <w:rPr>
          <w:rFonts w:ascii="Times New Roman" w:hAnsi="Times New Roman"/>
          <w:sz w:val="28"/>
          <w:szCs w:val="28"/>
        </w:rPr>
        <w:t>,</w:t>
      </w:r>
      <w:r w:rsidRPr="00DF77C8">
        <w:rPr>
          <w:rFonts w:ascii="Times New Roman" w:hAnsi="Times New Roman"/>
          <w:sz w:val="28"/>
          <w:szCs w:val="28"/>
        </w:rPr>
        <w:t xml:space="preserve"> se echa de menos la relacionada con asumir el conocimiento de los recursos de apelación ejercidos contra las decisiones adoptadas por </w:t>
      </w:r>
      <w:r w:rsidRPr="00DF77C8">
        <w:rPr>
          <w:rFonts w:ascii="Times New Roman" w:hAnsi="Times New Roman"/>
          <w:sz w:val="28"/>
          <w:szCs w:val="28"/>
        </w:rPr>
        <w:t>los</w:t>
      </w:r>
      <w:r w:rsidRPr="00DF77C8">
        <w:rPr>
          <w:rFonts w:ascii="Times New Roman" w:hAnsi="Times New Roman"/>
          <w:sz w:val="28"/>
          <w:szCs w:val="28"/>
        </w:rPr>
        <w:t xml:space="preserve"> magistrado</w:t>
      </w:r>
      <w:r w:rsidRPr="00DF77C8">
        <w:rPr>
          <w:rFonts w:ascii="Times New Roman" w:hAnsi="Times New Roman"/>
          <w:sz w:val="28"/>
          <w:szCs w:val="28"/>
        </w:rPr>
        <w:t>s</w:t>
      </w:r>
      <w:r w:rsidRPr="00DF77C8">
        <w:rPr>
          <w:rFonts w:ascii="Times New Roman" w:hAnsi="Times New Roman"/>
          <w:sz w:val="28"/>
          <w:szCs w:val="28"/>
        </w:rPr>
        <w:t xml:space="preserve"> del </w:t>
      </w:r>
      <w:r w:rsidRPr="00DF77C8">
        <w:rPr>
          <w:rFonts w:ascii="Times New Roman" w:hAnsi="Times New Roman"/>
          <w:sz w:val="28"/>
          <w:szCs w:val="28"/>
        </w:rPr>
        <w:t>Tribunal</w:t>
      </w:r>
      <w:r w:rsidRPr="00DF77C8">
        <w:rPr>
          <w:rFonts w:ascii="Times New Roman" w:hAnsi="Times New Roman"/>
          <w:sz w:val="28"/>
          <w:szCs w:val="28"/>
        </w:rPr>
        <w:t xml:space="preserve"> Superior de Bogotá </w:t>
      </w:r>
      <w:r w:rsidRPr="00DF77C8">
        <w:rPr>
          <w:rFonts w:ascii="Times New Roman" w:hAnsi="Times New Roman"/>
          <w:sz w:val="28"/>
          <w:szCs w:val="28"/>
        </w:rPr>
        <w:t xml:space="preserve">que actúan </w:t>
      </w:r>
      <w:r w:rsidRPr="00DF77C8">
        <w:rPr>
          <w:rFonts w:ascii="Times New Roman" w:hAnsi="Times New Roman"/>
          <w:sz w:val="28"/>
          <w:szCs w:val="28"/>
        </w:rPr>
        <w:t>como jue</w:t>
      </w:r>
      <w:r w:rsidRPr="00DF77C8">
        <w:rPr>
          <w:rFonts w:ascii="Times New Roman" w:hAnsi="Times New Roman"/>
          <w:sz w:val="28"/>
          <w:szCs w:val="28"/>
        </w:rPr>
        <w:t>ces</w:t>
      </w:r>
      <w:r w:rsidRPr="00DF77C8">
        <w:rPr>
          <w:rFonts w:ascii="Times New Roman" w:hAnsi="Times New Roman"/>
          <w:sz w:val="28"/>
          <w:szCs w:val="28"/>
        </w:rPr>
        <w:t xml:space="preserve"> de control de garantías. </w:t>
      </w:r>
    </w:p>
    <w:p w:rsidR="00801F94" w:rsidRPr="00DF77C8" w:rsidRDefault="00DF77C8" w:rsidP="008A4B21">
      <w:pPr>
        <w:ind w:right="-26"/>
        <w:jc w:val="both"/>
        <w:rPr>
          <w:rFonts w:ascii="Times New Roman" w:hAnsi="Times New Roman"/>
          <w:sz w:val="28"/>
          <w:szCs w:val="28"/>
        </w:rPr>
      </w:pPr>
    </w:p>
    <w:p w:rsidR="00E51059"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Al respecto, explicó que para una mejor comprensión de la omisión legislativa relativa alegada deb</w:t>
      </w:r>
      <w:r w:rsidRPr="00DF77C8">
        <w:rPr>
          <w:rFonts w:ascii="Times New Roman" w:hAnsi="Times New Roman"/>
          <w:sz w:val="28"/>
          <w:szCs w:val="28"/>
        </w:rPr>
        <w:t>e</w:t>
      </w:r>
      <w:r w:rsidRPr="00DF77C8">
        <w:rPr>
          <w:rFonts w:ascii="Times New Roman" w:hAnsi="Times New Roman"/>
          <w:sz w:val="28"/>
          <w:szCs w:val="28"/>
        </w:rPr>
        <w:t xml:space="preserve"> tomarse en consideración lo dispuesto en el artículo 39, parágrafo 1°, que es la norma que contempla la función de control de garantías en cabeza de un ma</w:t>
      </w:r>
      <w:r w:rsidRPr="00DF77C8">
        <w:rPr>
          <w:rFonts w:ascii="Times New Roman" w:hAnsi="Times New Roman"/>
          <w:sz w:val="28"/>
          <w:szCs w:val="28"/>
        </w:rPr>
        <w:t xml:space="preserve">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respecto de los aforados constitucionales </w:t>
      </w:r>
      <w:r w:rsidRPr="00DF77C8">
        <w:rPr>
          <w:rFonts w:ascii="Times New Roman" w:hAnsi="Times New Roman"/>
          <w:sz w:val="28"/>
          <w:szCs w:val="28"/>
        </w:rPr>
        <w:t xml:space="preserve">contemplados en </w:t>
      </w:r>
      <w:r w:rsidRPr="00DF77C8">
        <w:rPr>
          <w:rFonts w:ascii="Times New Roman" w:hAnsi="Times New Roman"/>
          <w:sz w:val="28"/>
          <w:szCs w:val="28"/>
        </w:rPr>
        <w:t xml:space="preserve">el numeral 5°, del artículo 235 superior. </w:t>
      </w:r>
      <w:r w:rsidRPr="00DF77C8">
        <w:rPr>
          <w:rFonts w:ascii="Times New Roman" w:hAnsi="Times New Roman"/>
          <w:sz w:val="28"/>
          <w:szCs w:val="28"/>
        </w:rPr>
        <w:t>S</w:t>
      </w:r>
      <w:r w:rsidRPr="00DF77C8">
        <w:rPr>
          <w:rFonts w:ascii="Times New Roman" w:hAnsi="Times New Roman"/>
          <w:sz w:val="28"/>
          <w:szCs w:val="28"/>
        </w:rPr>
        <w:t xml:space="preserve">egún </w:t>
      </w:r>
      <w:r w:rsidRPr="00DF77C8">
        <w:rPr>
          <w:rFonts w:ascii="Times New Roman" w:hAnsi="Times New Roman"/>
          <w:sz w:val="28"/>
          <w:szCs w:val="28"/>
        </w:rPr>
        <w:t>el</w:t>
      </w:r>
      <w:r w:rsidRPr="00DF77C8">
        <w:rPr>
          <w:rFonts w:ascii="Times New Roman" w:hAnsi="Times New Roman"/>
          <w:sz w:val="28"/>
          <w:szCs w:val="28"/>
        </w:rPr>
        <w:t xml:space="preserve"> planteamiento</w:t>
      </w:r>
      <w:r w:rsidRPr="00DF77C8">
        <w:rPr>
          <w:rFonts w:ascii="Times New Roman" w:hAnsi="Times New Roman"/>
          <w:sz w:val="28"/>
          <w:szCs w:val="28"/>
        </w:rPr>
        <w:t xml:space="preserve"> del demandante,</w:t>
      </w:r>
      <w:r w:rsidRPr="00DF77C8">
        <w:rPr>
          <w:rFonts w:ascii="Times New Roman" w:hAnsi="Times New Roman"/>
          <w:sz w:val="28"/>
          <w:szCs w:val="28"/>
        </w:rPr>
        <w:t xml:space="preserve"> </w:t>
      </w:r>
      <w:r w:rsidRPr="00DF77C8">
        <w:rPr>
          <w:rFonts w:ascii="Times New Roman" w:hAnsi="Times New Roman"/>
          <w:sz w:val="28"/>
          <w:szCs w:val="28"/>
        </w:rPr>
        <w:t>cuando se revisa en detalle esta disposición, se puede apreciar que no desig</w:t>
      </w:r>
      <w:r w:rsidRPr="00DF77C8">
        <w:rPr>
          <w:rFonts w:ascii="Times New Roman" w:hAnsi="Times New Roman"/>
          <w:sz w:val="28"/>
          <w:szCs w:val="28"/>
        </w:rPr>
        <w:t xml:space="preserve">na </w:t>
      </w:r>
      <w:r w:rsidRPr="00DF77C8">
        <w:rPr>
          <w:rFonts w:ascii="Times New Roman" w:hAnsi="Times New Roman"/>
          <w:sz w:val="28"/>
          <w:szCs w:val="28"/>
        </w:rPr>
        <w:t>la</w:t>
      </w:r>
      <w:r w:rsidRPr="00DF77C8">
        <w:rPr>
          <w:rFonts w:ascii="Times New Roman" w:hAnsi="Times New Roman"/>
          <w:sz w:val="28"/>
          <w:szCs w:val="28"/>
        </w:rPr>
        <w:t xml:space="preserve"> autoridad judicial que</w:t>
      </w:r>
      <w:r w:rsidRPr="00DF77C8">
        <w:rPr>
          <w:rFonts w:ascii="Times New Roman" w:hAnsi="Times New Roman"/>
          <w:sz w:val="28"/>
          <w:szCs w:val="28"/>
        </w:rPr>
        <w:t xml:space="preserve"> debe </w:t>
      </w:r>
      <w:r w:rsidRPr="00DF77C8">
        <w:rPr>
          <w:rFonts w:ascii="Times New Roman" w:hAnsi="Times New Roman"/>
          <w:sz w:val="28"/>
          <w:szCs w:val="28"/>
        </w:rPr>
        <w:t>res</w:t>
      </w:r>
      <w:r w:rsidRPr="00DF77C8">
        <w:rPr>
          <w:rFonts w:ascii="Times New Roman" w:hAnsi="Times New Roman"/>
          <w:sz w:val="28"/>
          <w:szCs w:val="28"/>
        </w:rPr>
        <w:t>olver</w:t>
      </w:r>
      <w:r w:rsidRPr="00DF77C8">
        <w:rPr>
          <w:rFonts w:ascii="Times New Roman" w:hAnsi="Times New Roman"/>
          <w:sz w:val="28"/>
          <w:szCs w:val="28"/>
        </w:rPr>
        <w:t xml:space="preserve"> el recurso de apelación contra las providencias </w:t>
      </w:r>
      <w:r w:rsidRPr="00DF77C8">
        <w:rPr>
          <w:rFonts w:ascii="Times New Roman" w:hAnsi="Times New Roman"/>
          <w:sz w:val="28"/>
          <w:szCs w:val="28"/>
        </w:rPr>
        <w:t xml:space="preserve">que profiere </w:t>
      </w:r>
      <w:r w:rsidRPr="00DF77C8">
        <w:rPr>
          <w:rFonts w:ascii="Times New Roman" w:hAnsi="Times New Roman"/>
          <w:sz w:val="28"/>
          <w:szCs w:val="28"/>
        </w:rPr>
        <w:t xml:space="preserve">el o la magistrada </w:t>
      </w:r>
      <w:r w:rsidRPr="00DF77C8">
        <w:rPr>
          <w:rFonts w:ascii="Times New Roman" w:hAnsi="Times New Roman"/>
          <w:sz w:val="28"/>
          <w:szCs w:val="28"/>
        </w:rPr>
        <w:t>en sede de control de garantías</w:t>
      </w:r>
      <w:r w:rsidRPr="00DF77C8">
        <w:rPr>
          <w:rFonts w:ascii="Times New Roman" w:hAnsi="Times New Roman"/>
          <w:sz w:val="28"/>
          <w:szCs w:val="28"/>
        </w:rPr>
        <w:t>. Tal ausencia contrasta con la previsión</w:t>
      </w:r>
      <w:r w:rsidRPr="00DF77C8">
        <w:rPr>
          <w:rFonts w:ascii="Times New Roman" w:hAnsi="Times New Roman"/>
          <w:sz w:val="28"/>
          <w:szCs w:val="28"/>
        </w:rPr>
        <w:t xml:space="preserve"> expresa </w:t>
      </w:r>
      <w:r w:rsidRPr="00DF77C8">
        <w:rPr>
          <w:rFonts w:ascii="Times New Roman" w:hAnsi="Times New Roman"/>
          <w:sz w:val="28"/>
          <w:szCs w:val="28"/>
        </w:rPr>
        <w:t>que hace el legislador de la autoridad que debe cono</w:t>
      </w:r>
      <w:r w:rsidRPr="00DF77C8">
        <w:rPr>
          <w:rFonts w:ascii="Times New Roman" w:hAnsi="Times New Roman"/>
          <w:sz w:val="28"/>
          <w:szCs w:val="28"/>
        </w:rPr>
        <w:t>cer de la apelación</w:t>
      </w:r>
      <w:r w:rsidRPr="00DF77C8">
        <w:rPr>
          <w:rFonts w:ascii="Times New Roman" w:hAnsi="Times New Roman"/>
          <w:sz w:val="28"/>
          <w:szCs w:val="28"/>
        </w:rPr>
        <w:t xml:space="preserve"> </w:t>
      </w:r>
      <w:r w:rsidRPr="00DF77C8">
        <w:rPr>
          <w:rFonts w:ascii="Times New Roman" w:hAnsi="Times New Roman"/>
          <w:sz w:val="28"/>
          <w:szCs w:val="28"/>
        </w:rPr>
        <w:t>contra</w:t>
      </w:r>
      <w:r w:rsidRPr="00DF77C8">
        <w:rPr>
          <w:rFonts w:ascii="Times New Roman" w:hAnsi="Times New Roman"/>
          <w:sz w:val="28"/>
          <w:szCs w:val="28"/>
        </w:rPr>
        <w:t xml:space="preserve"> las decisiones adoptadas por los jueces penales municipales en ejercicio de esa misma función</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respecto de personas no aforadas. En otras palabras, para el demandante, el legislador sí prevé expresamente qué autoridad debe conocer de las apelaciones contra las decisiones de los jueces que realizan control de garantías en casos de personas no aforada</w:t>
      </w:r>
      <w:r w:rsidRPr="00DF77C8">
        <w:rPr>
          <w:rFonts w:ascii="Times New Roman" w:hAnsi="Times New Roman"/>
          <w:sz w:val="28"/>
          <w:szCs w:val="28"/>
        </w:rPr>
        <w:t xml:space="preserve">s, mientras no lo hace en el caso de los aforados.  </w:t>
      </w:r>
    </w:p>
    <w:p w:rsidR="00E51059"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pStyle w:val="Prrafodelista"/>
        <w:numPr>
          <w:ilvl w:val="0"/>
          <w:numId w:val="1"/>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w:t>
      </w:r>
      <w:r w:rsidRPr="00DF77C8">
        <w:rPr>
          <w:rFonts w:ascii="Times New Roman" w:hAnsi="Times New Roman"/>
          <w:sz w:val="28"/>
          <w:szCs w:val="28"/>
        </w:rPr>
        <w:t xml:space="preserve"> manera preliminar las razones antes esbozadas fueron acogidas por la magistrada sustanciadora para seguir adelante con el juicio de constitucionalidad. No obstante, en virtud de la solicitud de inhibición planteada</w:t>
      </w:r>
      <w:r w:rsidRPr="00DF77C8">
        <w:rPr>
          <w:rFonts w:ascii="Times New Roman" w:hAnsi="Times New Roman"/>
          <w:sz w:val="28"/>
          <w:szCs w:val="28"/>
        </w:rPr>
        <w:t>,</w:t>
      </w:r>
      <w:r w:rsidRPr="00DF77C8">
        <w:rPr>
          <w:rFonts w:ascii="Times New Roman" w:hAnsi="Times New Roman"/>
          <w:sz w:val="28"/>
          <w:szCs w:val="28"/>
        </w:rPr>
        <w:t xml:space="preserve"> el pleno de la Sala considera necesario</w:t>
      </w:r>
      <w:r w:rsidRPr="00DF77C8">
        <w:rPr>
          <w:rFonts w:ascii="Times New Roman" w:hAnsi="Times New Roman"/>
          <w:sz w:val="28"/>
          <w:szCs w:val="28"/>
        </w:rPr>
        <w:t xml:space="preserve"> analizar la suficiencia de este planteamiento de acuerdo con la carga argumentativa exigida cuando se formula un reproche por omisión legislativa relativa.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right="-26"/>
        <w:jc w:val="both"/>
        <w:rPr>
          <w:rFonts w:ascii="Times New Roman" w:hAnsi="Times New Roman"/>
          <w:sz w:val="28"/>
          <w:szCs w:val="28"/>
          <w:vertAlign w:val="superscript"/>
        </w:rPr>
      </w:pPr>
      <w:r w:rsidRPr="00DF77C8">
        <w:rPr>
          <w:rFonts w:ascii="Times New Roman" w:hAnsi="Times New Roman"/>
          <w:sz w:val="28"/>
          <w:szCs w:val="28"/>
        </w:rPr>
        <w:t xml:space="preserve">151. </w:t>
      </w:r>
      <w:r w:rsidRPr="00DF77C8">
        <w:rPr>
          <w:rFonts w:ascii="Times New Roman" w:hAnsi="Times New Roman"/>
          <w:sz w:val="28"/>
          <w:szCs w:val="28"/>
        </w:rPr>
        <w:t xml:space="preserve">Al respecto, esta </w:t>
      </w:r>
      <w:r w:rsidRPr="00DF77C8">
        <w:rPr>
          <w:rFonts w:ascii="Times New Roman" w:hAnsi="Times New Roman"/>
          <w:sz w:val="28"/>
          <w:szCs w:val="28"/>
        </w:rPr>
        <w:t>Corporación</w:t>
      </w:r>
      <w:r w:rsidRPr="00DF77C8">
        <w:rPr>
          <w:rFonts w:ascii="Times New Roman" w:hAnsi="Times New Roman"/>
          <w:sz w:val="28"/>
          <w:szCs w:val="28"/>
        </w:rPr>
        <w:t xml:space="preserve"> destaca que debe acreditarse el cumplimiento de dos requisitos</w:t>
      </w:r>
      <w:r w:rsidRPr="00DF77C8">
        <w:rPr>
          <w:rFonts w:ascii="Times New Roman" w:hAnsi="Times New Roman"/>
          <w:sz w:val="28"/>
          <w:szCs w:val="28"/>
        </w:rPr>
        <w:t xml:space="preserve"> mínimos: “</w:t>
      </w:r>
      <w:r w:rsidRPr="00DF77C8">
        <w:rPr>
          <w:rFonts w:ascii="Times New Roman" w:hAnsi="Times New Roman"/>
          <w:i/>
          <w:sz w:val="28"/>
          <w:szCs w:val="28"/>
        </w:rPr>
        <w:t>(i) El juicio de inexequibilidad requiere la concurrencia de una norma frente a la cual se predique la omisión; y (ii) la misma debe excluir un ingrediente, condición normativa o consecuencia jurídica que a partir de un análisis inicial o de una</w:t>
      </w:r>
      <w:r w:rsidRPr="00DF77C8">
        <w:rPr>
          <w:rFonts w:ascii="Times New Roman" w:hAnsi="Times New Roman"/>
          <w:i/>
          <w:sz w:val="28"/>
          <w:szCs w:val="28"/>
        </w:rPr>
        <w:t xml:space="preserve"> visión global de su contenido, permita concluir que su consagración normativa resulta esencial e indispensable para armonizar el texto legal con los mandatos de la Carta Fundamental</w:t>
      </w:r>
      <w:r w:rsidRPr="00DF77C8">
        <w:rPr>
          <w:rFonts w:ascii="Times New Roman" w:hAnsi="Times New Roman"/>
          <w:sz w:val="28"/>
          <w:szCs w:val="28"/>
          <w:vertAlign w:val="superscript"/>
        </w:rPr>
        <w:footnoteReference w:id="28"/>
      </w:r>
      <w:r w:rsidRPr="00DF77C8">
        <w:rPr>
          <w:rFonts w:ascii="Times New Roman" w:hAnsi="Times New Roman"/>
          <w:sz w:val="28"/>
          <w:szCs w:val="28"/>
        </w:rPr>
        <w:t>”.</w:t>
      </w:r>
      <w:r w:rsidRPr="00DF77C8">
        <w:rPr>
          <w:rFonts w:ascii="Times New Roman" w:hAnsi="Times New Roman"/>
          <w:sz w:val="28"/>
          <w:szCs w:val="28"/>
          <w:vertAlign w:val="superscript"/>
        </w:rPr>
        <w:footnoteReference w:id="29"/>
      </w:r>
    </w:p>
    <w:p w:rsidR="00801F94" w:rsidRPr="00DF77C8" w:rsidRDefault="00DF77C8" w:rsidP="008A4B21">
      <w:pPr>
        <w:ind w:right="-26"/>
        <w:jc w:val="both"/>
        <w:rPr>
          <w:rFonts w:ascii="Times New Roman" w:hAnsi="Times New Roman"/>
          <w:sz w:val="28"/>
          <w:szCs w:val="28"/>
          <w:vertAlign w:val="superscript"/>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cara a las anteriores exigencias argumentativas, la Corte encuent</w:t>
      </w:r>
      <w:r w:rsidRPr="00DF77C8">
        <w:rPr>
          <w:rFonts w:ascii="Times New Roman" w:hAnsi="Times New Roman"/>
          <w:sz w:val="28"/>
          <w:szCs w:val="28"/>
        </w:rPr>
        <w:t>ra, por un lado, que como lo planteó el Ministerio de Justicia y del Derecho, no p</w:t>
      </w:r>
      <w:r w:rsidRPr="00DF77C8">
        <w:rPr>
          <w:rFonts w:ascii="Times New Roman" w:hAnsi="Times New Roman"/>
          <w:sz w:val="28"/>
          <w:szCs w:val="28"/>
        </w:rPr>
        <w:t>uede</w:t>
      </w:r>
      <w:r w:rsidRPr="00DF77C8">
        <w:rPr>
          <w:rFonts w:ascii="Times New Roman" w:hAnsi="Times New Roman"/>
          <w:sz w:val="28"/>
          <w:szCs w:val="28"/>
        </w:rPr>
        <w:t xml:space="preserve"> adelantarse un juicio de inconstitucionalidad contra el parágrafo 1° del artículo 39 de la Ley 906 de 2004, porque respecto de </w:t>
      </w:r>
      <w:r w:rsidRPr="00DF77C8">
        <w:rPr>
          <w:rFonts w:ascii="Times New Roman" w:hAnsi="Times New Roman"/>
          <w:sz w:val="28"/>
          <w:szCs w:val="28"/>
        </w:rPr>
        <w:t>esta disposición</w:t>
      </w:r>
      <w:r w:rsidRPr="00DF77C8">
        <w:rPr>
          <w:rFonts w:ascii="Times New Roman" w:hAnsi="Times New Roman"/>
          <w:sz w:val="28"/>
          <w:szCs w:val="28"/>
        </w:rPr>
        <w:t xml:space="preserve"> no puede predicarse la om</w:t>
      </w:r>
      <w:r w:rsidRPr="00DF77C8">
        <w:rPr>
          <w:rFonts w:ascii="Times New Roman" w:hAnsi="Times New Roman"/>
          <w:sz w:val="28"/>
          <w:szCs w:val="28"/>
        </w:rPr>
        <w:t xml:space="preserve">isión alegada. Esto </w:t>
      </w:r>
      <w:r w:rsidRPr="00DF77C8">
        <w:rPr>
          <w:rFonts w:ascii="Times New Roman" w:hAnsi="Times New Roman"/>
          <w:sz w:val="28"/>
          <w:szCs w:val="28"/>
        </w:rPr>
        <w:t>se debe a que</w:t>
      </w:r>
      <w:r w:rsidRPr="00DF77C8">
        <w:rPr>
          <w:rFonts w:ascii="Times New Roman" w:hAnsi="Times New Roman"/>
          <w:sz w:val="28"/>
          <w:szCs w:val="28"/>
        </w:rPr>
        <w:t xml:space="preserve"> se trata de una disposición que se enmarca dentro de la designación de las autoridades competentes para ejercer como jueces de control de garantías. Específicamente, el parágrafo hace alusión al juez competente para asumir</w:t>
      </w:r>
      <w:r w:rsidRPr="00DF77C8">
        <w:rPr>
          <w:rFonts w:ascii="Times New Roman" w:hAnsi="Times New Roman"/>
          <w:sz w:val="28"/>
          <w:szCs w:val="28"/>
        </w:rPr>
        <w:t xml:space="preserve"> esta función en los casos que conozca la Corte Suprema de Justicia, esto es, respecto de los procesados con fuero constitucional, el cual, como se mencionó en líneas anteriores fue hallado conforme a la Constitución mediante Sentencia C-591 de 2005, bajo </w:t>
      </w:r>
      <w:r w:rsidRPr="00DF77C8">
        <w:rPr>
          <w:rFonts w:ascii="Times New Roman" w:hAnsi="Times New Roman"/>
          <w:sz w:val="28"/>
          <w:szCs w:val="28"/>
        </w:rPr>
        <w:t>el entendido de que se trata</w:t>
      </w:r>
      <w:r w:rsidRPr="00DF77C8">
        <w:rPr>
          <w:rFonts w:ascii="Times New Roman" w:eastAsia="Arial" w:hAnsi="Times New Roman"/>
          <w:color w:val="4B4949"/>
          <w:sz w:val="28"/>
          <w:szCs w:val="28"/>
        </w:rPr>
        <w:t xml:space="preserve"> </w:t>
      </w:r>
      <w:r w:rsidRPr="00DF77C8">
        <w:rPr>
          <w:rFonts w:ascii="Times New Roman" w:hAnsi="Times New Roman"/>
          <w:sz w:val="28"/>
          <w:szCs w:val="28"/>
        </w:rPr>
        <w:t>de aquellos funcionarios determinados en el numeral 5° del artículo 235 superior.</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426"/>
          <w:tab w:val="left" w:pos="567"/>
        </w:tabs>
        <w:ind w:left="0" w:right="-26" w:firstLine="0"/>
        <w:jc w:val="both"/>
        <w:rPr>
          <w:rFonts w:ascii="Times New Roman" w:hAnsi="Times New Roman"/>
          <w:sz w:val="28"/>
          <w:szCs w:val="28"/>
        </w:rPr>
      </w:pPr>
      <w:r w:rsidRPr="00DF77C8">
        <w:rPr>
          <w:rFonts w:ascii="Times New Roman" w:hAnsi="Times New Roman"/>
          <w:sz w:val="28"/>
          <w:szCs w:val="28"/>
        </w:rPr>
        <w:t>De otro lado, y como consecuencia de lo anterior, de este aparte normativo no se evidencia la exclusión de un ingrediente, condición normativa o consecuencia jurídica que sea esencial para armonizar el texto legal con la Constitución. En últimas, si bien e</w:t>
      </w:r>
      <w:r w:rsidRPr="00DF77C8">
        <w:rPr>
          <w:rFonts w:ascii="Times New Roman" w:hAnsi="Times New Roman"/>
          <w:sz w:val="28"/>
          <w:szCs w:val="28"/>
        </w:rPr>
        <w:t xml:space="preserve">l actor considera que la asignación de dicha función de control de garantías en un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debe tomarse en consideración para comprender la omisión alegada respecto del artículo 32 de la Ley 906 de 2004, lo cierto es que </w:t>
      </w:r>
      <w:r w:rsidRPr="00DF77C8">
        <w:rPr>
          <w:rFonts w:ascii="Times New Roman" w:hAnsi="Times New Roman"/>
          <w:sz w:val="28"/>
          <w:szCs w:val="28"/>
        </w:rPr>
        <w:t>del texto normativo en sí mismo considerado no se deriva omisión alguna en los términos que propone el actor. Esto, porque su reproche se funda en la ausencia de la designación expresa por parte del legislador de la autoridad judicial que debe resolver los</w:t>
      </w:r>
      <w:r w:rsidRPr="00DF77C8">
        <w:rPr>
          <w:rFonts w:ascii="Times New Roman" w:hAnsi="Times New Roman"/>
          <w:sz w:val="28"/>
          <w:szCs w:val="28"/>
        </w:rPr>
        <w:t xml:space="preserve"> recursos de apelación contra las providencias del juez de control de garantías frente a los procesados que gozan de fuero constitucional. Dicha función como lo expuso el mismo ciudadano en la corrección de la demanda, debería encontrarse señalada en la no</w:t>
      </w:r>
      <w:r w:rsidRPr="00DF77C8">
        <w:rPr>
          <w:rFonts w:ascii="Times New Roman" w:hAnsi="Times New Roman"/>
          <w:sz w:val="28"/>
          <w:szCs w:val="28"/>
        </w:rPr>
        <w:t xml:space="preserve">rma que determina los asuntos de los que conoce la Sala Penal de la Corte Suprema de Justicia, </w:t>
      </w:r>
      <w:r w:rsidRPr="00DF77C8">
        <w:rPr>
          <w:rFonts w:ascii="Times New Roman" w:hAnsi="Times New Roman"/>
          <w:sz w:val="28"/>
          <w:szCs w:val="28"/>
        </w:rPr>
        <w:t xml:space="preserve">por lo cual, procedió a precisar que la omisión alegada se predicaba respecto del artículo 32 del Código de Procedimiento Penal. </w:t>
      </w:r>
      <w:r w:rsidRPr="00DF77C8">
        <w:rPr>
          <w:rFonts w:ascii="Times New Roman" w:hAnsi="Times New Roman"/>
          <w:sz w:val="28"/>
          <w:szCs w:val="28"/>
        </w:rPr>
        <w:t xml:space="preserve"> </w:t>
      </w:r>
    </w:p>
    <w:p w:rsidR="00A5667F" w:rsidRPr="00DF77C8" w:rsidRDefault="00DF77C8" w:rsidP="008A4B21">
      <w:pPr>
        <w:ind w:right="-26"/>
        <w:jc w:val="both"/>
        <w:rPr>
          <w:rFonts w:ascii="Times New Roman" w:hAnsi="Times New Roman"/>
          <w:sz w:val="28"/>
          <w:szCs w:val="28"/>
        </w:rPr>
      </w:pPr>
    </w:p>
    <w:p w:rsidR="005B2002"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Por las razones expuestas, la</w:t>
      </w:r>
      <w:r w:rsidRPr="00DF77C8">
        <w:rPr>
          <w:rFonts w:ascii="Times New Roman" w:hAnsi="Times New Roman"/>
          <w:sz w:val="28"/>
          <w:szCs w:val="28"/>
        </w:rPr>
        <w:t xml:space="preserve"> Sala considera que el cargo de omisión legislativa relativa planteado contra el parágrafo 1° del artículo 39 de la Ley 906 de 2004 no cumplió con la carga argumentativa exigida por la jurisprudencia constitucional cuando se formula este tipo de reproches.</w:t>
      </w:r>
      <w:r w:rsidRPr="00DF77C8">
        <w:rPr>
          <w:rFonts w:ascii="Times New Roman" w:hAnsi="Times New Roman"/>
          <w:sz w:val="28"/>
          <w:szCs w:val="28"/>
        </w:rPr>
        <w:t xml:space="preserve"> </w:t>
      </w:r>
      <w:r w:rsidRPr="00DF77C8">
        <w:rPr>
          <w:rFonts w:ascii="Times New Roman" w:hAnsi="Times New Roman"/>
          <w:sz w:val="28"/>
          <w:szCs w:val="28"/>
        </w:rPr>
        <w:t xml:space="preserve">Esta disposición no era la llamada a designar la autoridad judicial competente para conocer de las apelaciones contra las decisiones de los magistrados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ejercen funciones de control de garantías, elemento normativo qu</w:t>
      </w:r>
      <w:r w:rsidRPr="00DF77C8">
        <w:rPr>
          <w:rFonts w:ascii="Times New Roman" w:hAnsi="Times New Roman"/>
          <w:sz w:val="28"/>
          <w:szCs w:val="28"/>
        </w:rPr>
        <w:t xml:space="preserve">e el demandante echa de menos. </w:t>
      </w:r>
    </w:p>
    <w:p w:rsidR="005B2002" w:rsidRPr="00DF77C8" w:rsidRDefault="00DF77C8" w:rsidP="005B2002">
      <w:pPr>
        <w:pStyle w:val="Prrafodelista"/>
        <w:rPr>
          <w:rFonts w:ascii="Times New Roman" w:hAnsi="Times New Roman"/>
          <w:sz w:val="28"/>
          <w:szCs w:val="28"/>
        </w:rPr>
      </w:pPr>
    </w:p>
    <w:p w:rsidR="00801F94" w:rsidRPr="00DF77C8" w:rsidRDefault="00DF77C8" w:rsidP="00677238">
      <w:pPr>
        <w:pStyle w:val="Prrafodelista"/>
        <w:numPr>
          <w:ilvl w:val="0"/>
          <w:numId w:val="2"/>
        </w:numPr>
        <w:tabs>
          <w:tab w:val="left" w:pos="567"/>
          <w:tab w:val="left" w:pos="858"/>
        </w:tabs>
        <w:ind w:left="0" w:right="-26" w:firstLine="0"/>
        <w:jc w:val="both"/>
        <w:rPr>
          <w:rFonts w:ascii="Times New Roman" w:hAnsi="Times New Roman"/>
          <w:sz w:val="28"/>
          <w:szCs w:val="28"/>
        </w:rPr>
      </w:pPr>
      <w:r w:rsidRPr="00DF77C8">
        <w:rPr>
          <w:rFonts w:ascii="Times New Roman" w:hAnsi="Times New Roman"/>
          <w:sz w:val="28"/>
          <w:szCs w:val="28"/>
        </w:rPr>
        <w:t xml:space="preserve">En consecuencia, </w:t>
      </w:r>
      <w:r w:rsidRPr="00DF77C8">
        <w:rPr>
          <w:rFonts w:ascii="Times New Roman" w:hAnsi="Times New Roman"/>
          <w:sz w:val="28"/>
          <w:szCs w:val="28"/>
        </w:rPr>
        <w:t xml:space="preserve">se </w:t>
      </w:r>
      <w:r w:rsidRPr="00DF77C8">
        <w:rPr>
          <w:rFonts w:ascii="Times New Roman" w:hAnsi="Times New Roman"/>
          <w:sz w:val="28"/>
          <w:szCs w:val="28"/>
        </w:rPr>
        <w:t>circunscribirá el objeto de</w:t>
      </w:r>
      <w:r w:rsidRPr="00DF77C8">
        <w:rPr>
          <w:rFonts w:ascii="Times New Roman" w:hAnsi="Times New Roman"/>
          <w:sz w:val="28"/>
          <w:szCs w:val="28"/>
        </w:rPr>
        <w:t xml:space="preserve"> análisis </w:t>
      </w:r>
      <w:r w:rsidRPr="00DF77C8">
        <w:rPr>
          <w:rFonts w:ascii="Times New Roman" w:hAnsi="Times New Roman"/>
          <w:sz w:val="28"/>
          <w:szCs w:val="28"/>
        </w:rPr>
        <w:t>al</w:t>
      </w:r>
      <w:r w:rsidRPr="00DF77C8">
        <w:rPr>
          <w:rFonts w:ascii="Times New Roman" w:hAnsi="Times New Roman"/>
          <w:sz w:val="28"/>
          <w:szCs w:val="28"/>
        </w:rPr>
        <w:t xml:space="preserve"> artículo 32 del Código de Procedimiento Penal</w:t>
      </w:r>
      <w:r w:rsidRPr="00DF77C8">
        <w:rPr>
          <w:rFonts w:ascii="Times New Roman" w:hAnsi="Times New Roman"/>
          <w:sz w:val="28"/>
          <w:szCs w:val="28"/>
        </w:rPr>
        <w:t xml:space="preserve">. </w:t>
      </w:r>
      <w:r w:rsidRPr="00DF77C8">
        <w:rPr>
          <w:rFonts w:ascii="Times New Roman" w:hAnsi="Times New Roman"/>
          <w:sz w:val="28"/>
          <w:szCs w:val="28"/>
        </w:rPr>
        <w:t>Ello, por cuanto</w:t>
      </w:r>
      <w:r w:rsidRPr="00DF77C8">
        <w:rPr>
          <w:rFonts w:ascii="Times New Roman" w:hAnsi="Times New Roman"/>
          <w:sz w:val="28"/>
          <w:szCs w:val="28"/>
        </w:rPr>
        <w:t xml:space="preserve"> </w:t>
      </w:r>
      <w:r w:rsidRPr="00DF77C8">
        <w:rPr>
          <w:rFonts w:ascii="Times New Roman" w:hAnsi="Times New Roman"/>
          <w:sz w:val="28"/>
          <w:szCs w:val="28"/>
        </w:rPr>
        <w:t xml:space="preserve">el demandante planteó </w:t>
      </w:r>
      <w:r w:rsidRPr="00DF77C8">
        <w:rPr>
          <w:rFonts w:ascii="Times New Roman" w:hAnsi="Times New Roman"/>
          <w:sz w:val="28"/>
          <w:szCs w:val="28"/>
        </w:rPr>
        <w:t>que</w:t>
      </w:r>
      <w:r w:rsidRPr="00DF77C8">
        <w:rPr>
          <w:rFonts w:ascii="Times New Roman" w:hAnsi="Times New Roman"/>
          <w:sz w:val="28"/>
          <w:szCs w:val="28"/>
        </w:rPr>
        <w:t xml:space="preserve"> </w:t>
      </w:r>
      <w:r w:rsidRPr="00DF77C8">
        <w:rPr>
          <w:rFonts w:ascii="Times New Roman" w:hAnsi="Times New Roman"/>
          <w:sz w:val="28"/>
          <w:szCs w:val="28"/>
        </w:rPr>
        <w:t xml:space="preserve">el ordenamiento jurídico contempla el recurso de apelación contra las </w:t>
      </w:r>
      <w:r w:rsidRPr="00DF77C8">
        <w:rPr>
          <w:rFonts w:ascii="Times New Roman" w:hAnsi="Times New Roman"/>
          <w:sz w:val="28"/>
          <w:szCs w:val="28"/>
        </w:rPr>
        <w:t>decisiones de los jueces de control de garantías</w:t>
      </w:r>
      <w:r w:rsidRPr="00DF77C8">
        <w:rPr>
          <w:rFonts w:ascii="Times New Roman" w:hAnsi="Times New Roman"/>
          <w:sz w:val="28"/>
          <w:szCs w:val="28"/>
        </w:rPr>
        <w:t xml:space="preserve">, el cual procede ante </w:t>
      </w:r>
      <w:r w:rsidRPr="00DF77C8">
        <w:rPr>
          <w:rFonts w:ascii="Times New Roman" w:hAnsi="Times New Roman"/>
          <w:sz w:val="28"/>
          <w:szCs w:val="28"/>
        </w:rPr>
        <w:t>su</w:t>
      </w:r>
      <w:r w:rsidRPr="00DF77C8">
        <w:rPr>
          <w:rFonts w:ascii="Times New Roman" w:hAnsi="Times New Roman"/>
          <w:sz w:val="28"/>
          <w:szCs w:val="28"/>
        </w:rPr>
        <w:t xml:space="preserve"> superior</w:t>
      </w:r>
      <w:r w:rsidRPr="00DF77C8">
        <w:rPr>
          <w:rFonts w:ascii="Times New Roman" w:hAnsi="Times New Roman"/>
          <w:sz w:val="28"/>
          <w:szCs w:val="28"/>
        </w:rPr>
        <w:t>. No obstante,</w:t>
      </w:r>
      <w:r w:rsidRPr="00DF77C8">
        <w:rPr>
          <w:rFonts w:ascii="Times New Roman" w:hAnsi="Times New Roman"/>
          <w:sz w:val="28"/>
          <w:szCs w:val="28"/>
        </w:rPr>
        <w:t xml:space="preserve"> respecto de las decisiones adoptadas</w:t>
      </w:r>
      <w:r w:rsidRPr="00DF77C8">
        <w:rPr>
          <w:rFonts w:ascii="Times New Roman" w:hAnsi="Times New Roman"/>
          <w:sz w:val="28"/>
          <w:szCs w:val="28"/>
        </w:rPr>
        <w:t xml:space="preserve"> por el magistrado o la magistrada de la Sala Penal del Tribunal Superior de Bogotá en sede de control de garantías,</w:t>
      </w:r>
      <w:r w:rsidRPr="00DF77C8">
        <w:rPr>
          <w:rFonts w:ascii="Times New Roman" w:hAnsi="Times New Roman"/>
          <w:sz w:val="28"/>
          <w:szCs w:val="28"/>
        </w:rPr>
        <w:t xml:space="preserve"> </w:t>
      </w:r>
      <w:r w:rsidRPr="00DF77C8">
        <w:rPr>
          <w:rFonts w:ascii="Times New Roman" w:hAnsi="Times New Roman"/>
          <w:sz w:val="28"/>
          <w:szCs w:val="28"/>
        </w:rPr>
        <w:t>el leg</w:t>
      </w:r>
      <w:r w:rsidRPr="00DF77C8">
        <w:rPr>
          <w:rFonts w:ascii="Times New Roman" w:hAnsi="Times New Roman"/>
          <w:sz w:val="28"/>
          <w:szCs w:val="28"/>
        </w:rPr>
        <w:t>islador omitió atribuirle</w:t>
      </w:r>
      <w:r w:rsidRPr="00DF77C8">
        <w:rPr>
          <w:rFonts w:ascii="Times New Roman" w:hAnsi="Times New Roman"/>
          <w:sz w:val="28"/>
          <w:szCs w:val="28"/>
        </w:rPr>
        <w:t xml:space="preserve"> de manera expresa</w:t>
      </w:r>
      <w:r w:rsidRPr="00DF77C8">
        <w:rPr>
          <w:rFonts w:ascii="Times New Roman" w:hAnsi="Times New Roman"/>
          <w:sz w:val="28"/>
          <w:szCs w:val="28"/>
        </w:rPr>
        <w:t xml:space="preserve"> dicho conocimiento</w:t>
      </w:r>
      <w:r w:rsidRPr="00DF77C8">
        <w:rPr>
          <w:rFonts w:ascii="Times New Roman" w:hAnsi="Times New Roman"/>
          <w:sz w:val="28"/>
          <w:szCs w:val="28"/>
        </w:rPr>
        <w:t xml:space="preserve"> </w:t>
      </w:r>
      <w:r w:rsidRPr="00DF77C8">
        <w:rPr>
          <w:rFonts w:ascii="Times New Roman" w:hAnsi="Times New Roman"/>
          <w:sz w:val="28"/>
          <w:szCs w:val="28"/>
        </w:rPr>
        <w:t>a la Sala Penal de la Corte Suprema de Justicia,</w:t>
      </w:r>
      <w:r w:rsidRPr="00DF77C8">
        <w:rPr>
          <w:rFonts w:ascii="Times New Roman" w:hAnsi="Times New Roman"/>
          <w:sz w:val="28"/>
          <w:szCs w:val="28"/>
        </w:rPr>
        <w:t xml:space="preserve"> </w:t>
      </w:r>
      <w:r w:rsidRPr="00DF77C8">
        <w:rPr>
          <w:rFonts w:ascii="Times New Roman" w:hAnsi="Times New Roman"/>
          <w:sz w:val="28"/>
          <w:szCs w:val="28"/>
        </w:rPr>
        <w:t xml:space="preserve">quien funge como </w:t>
      </w:r>
      <w:r w:rsidRPr="00DF77C8">
        <w:rPr>
          <w:rFonts w:ascii="Times New Roman" w:hAnsi="Times New Roman"/>
          <w:sz w:val="28"/>
          <w:szCs w:val="28"/>
        </w:rPr>
        <w:t xml:space="preserve">su </w:t>
      </w:r>
      <w:r w:rsidRPr="00DF77C8">
        <w:rPr>
          <w:rFonts w:ascii="Times New Roman" w:hAnsi="Times New Roman"/>
          <w:sz w:val="28"/>
          <w:szCs w:val="28"/>
        </w:rPr>
        <w:t>superior jerárquico</w:t>
      </w:r>
      <w:r w:rsidRPr="00DF77C8">
        <w:rPr>
          <w:rFonts w:ascii="Times New Roman" w:hAnsi="Times New Roman"/>
          <w:sz w:val="28"/>
          <w:szCs w:val="28"/>
        </w:rPr>
        <w:t xml:space="preserve"> o funcional</w:t>
      </w:r>
      <w:r w:rsidRPr="00DF77C8">
        <w:rPr>
          <w:rFonts w:ascii="Times New Roman" w:hAnsi="Times New Roman"/>
          <w:sz w:val="28"/>
          <w:szCs w:val="28"/>
        </w:rPr>
        <w:t xml:space="preserve">, </w:t>
      </w:r>
      <w:r w:rsidRPr="00DF77C8">
        <w:rPr>
          <w:rFonts w:ascii="Times New Roman" w:hAnsi="Times New Roman"/>
          <w:sz w:val="28"/>
          <w:szCs w:val="28"/>
        </w:rPr>
        <w:t>en contraste con l</w:t>
      </w:r>
      <w:r w:rsidRPr="00DF77C8">
        <w:rPr>
          <w:rFonts w:ascii="Times New Roman" w:hAnsi="Times New Roman"/>
          <w:sz w:val="28"/>
          <w:szCs w:val="28"/>
        </w:rPr>
        <w:t xml:space="preserve">a competencia </w:t>
      </w:r>
      <w:r w:rsidRPr="00DF77C8">
        <w:rPr>
          <w:rFonts w:ascii="Times New Roman" w:hAnsi="Times New Roman"/>
          <w:sz w:val="28"/>
          <w:szCs w:val="28"/>
        </w:rPr>
        <w:t xml:space="preserve">expresa que le atribuyó </w:t>
      </w:r>
      <w:r w:rsidRPr="00DF77C8">
        <w:rPr>
          <w:rFonts w:ascii="Times New Roman" w:hAnsi="Times New Roman"/>
          <w:sz w:val="28"/>
          <w:szCs w:val="28"/>
        </w:rPr>
        <w:t xml:space="preserve">a </w:t>
      </w:r>
      <w:r w:rsidRPr="00DF77C8">
        <w:rPr>
          <w:rFonts w:ascii="Times New Roman" w:hAnsi="Times New Roman"/>
          <w:sz w:val="28"/>
          <w:szCs w:val="28"/>
        </w:rPr>
        <w:t>los</w:t>
      </w:r>
      <w:r w:rsidRPr="00DF77C8">
        <w:rPr>
          <w:rFonts w:ascii="Times New Roman" w:hAnsi="Times New Roman"/>
          <w:sz w:val="28"/>
          <w:szCs w:val="28"/>
        </w:rPr>
        <w:t xml:space="preserve"> jueces penales del circuito </w:t>
      </w:r>
      <w:r w:rsidRPr="00DF77C8">
        <w:rPr>
          <w:rFonts w:ascii="Times New Roman" w:hAnsi="Times New Roman"/>
          <w:sz w:val="28"/>
          <w:szCs w:val="28"/>
        </w:rPr>
        <w:t xml:space="preserve">para conocer </w:t>
      </w:r>
      <w:r w:rsidRPr="00DF77C8">
        <w:rPr>
          <w:rFonts w:ascii="Times New Roman" w:hAnsi="Times New Roman"/>
          <w:sz w:val="28"/>
          <w:szCs w:val="28"/>
        </w:rPr>
        <w:t>en segunda instancia de</w:t>
      </w:r>
      <w:r w:rsidRPr="00DF77C8">
        <w:rPr>
          <w:rFonts w:ascii="Times New Roman" w:hAnsi="Times New Roman"/>
          <w:sz w:val="28"/>
          <w:szCs w:val="28"/>
        </w:rPr>
        <w:t xml:space="preserve"> las</w:t>
      </w:r>
      <w:r w:rsidRPr="00DF77C8">
        <w:rPr>
          <w:rFonts w:ascii="Times New Roman" w:hAnsi="Times New Roman"/>
          <w:sz w:val="28"/>
          <w:szCs w:val="28"/>
        </w:rPr>
        <w:t xml:space="preserve"> decisiones </w:t>
      </w:r>
      <w:r w:rsidRPr="00DF77C8">
        <w:rPr>
          <w:rFonts w:ascii="Times New Roman" w:hAnsi="Times New Roman"/>
          <w:sz w:val="28"/>
          <w:szCs w:val="28"/>
        </w:rPr>
        <w:t>del juez penal municipal con función de control de garantías.</w:t>
      </w:r>
      <w:r w:rsidRPr="00DF77C8">
        <w:rPr>
          <w:rFonts w:ascii="Times New Roman" w:hAnsi="Times New Roman"/>
          <w:sz w:val="28"/>
          <w:szCs w:val="28"/>
        </w:rPr>
        <w:t xml:space="preserve"> </w:t>
      </w:r>
      <w:r w:rsidRPr="00DF77C8">
        <w:rPr>
          <w:rFonts w:ascii="Times New Roman" w:hAnsi="Times New Roman"/>
          <w:sz w:val="28"/>
          <w:szCs w:val="28"/>
        </w:rPr>
        <w:t xml:space="preserve">Tomando en cuenta lo anterior, </w:t>
      </w:r>
      <w:r w:rsidRPr="00DF77C8">
        <w:rPr>
          <w:rFonts w:ascii="Times New Roman" w:hAnsi="Times New Roman"/>
          <w:sz w:val="28"/>
          <w:szCs w:val="28"/>
        </w:rPr>
        <w:t xml:space="preserve">la Sala plena evidencia que, en efecto, la </w:t>
      </w:r>
      <w:r w:rsidRPr="00DF77C8">
        <w:rPr>
          <w:rFonts w:ascii="Times New Roman" w:hAnsi="Times New Roman"/>
          <w:sz w:val="28"/>
          <w:szCs w:val="28"/>
        </w:rPr>
        <w:t xml:space="preserve">omisión legislativa relativa alegada debe adelantarse respecto del artículo 32 del CPP porque es la disposición que regula las funciones </w:t>
      </w:r>
      <w:r w:rsidRPr="00DF77C8">
        <w:rPr>
          <w:rFonts w:ascii="Times New Roman" w:hAnsi="Times New Roman"/>
          <w:sz w:val="28"/>
          <w:szCs w:val="28"/>
        </w:rPr>
        <w:t>asignadas</w:t>
      </w:r>
      <w:r w:rsidRPr="00DF77C8">
        <w:rPr>
          <w:rFonts w:ascii="Times New Roman" w:hAnsi="Times New Roman"/>
          <w:sz w:val="28"/>
          <w:szCs w:val="28"/>
        </w:rPr>
        <w:t xml:space="preserve"> a la Sala Penal de la Corte Suprema de Justicia</w:t>
      </w:r>
      <w:r w:rsidRPr="00DF77C8">
        <w:rPr>
          <w:rFonts w:ascii="Times New Roman" w:hAnsi="Times New Roman"/>
          <w:sz w:val="28"/>
          <w:szCs w:val="28"/>
        </w:rPr>
        <w:t xml:space="preserve"> y</w:t>
      </w:r>
      <w:r w:rsidRPr="00DF77C8">
        <w:rPr>
          <w:rFonts w:ascii="Times New Roman" w:hAnsi="Times New Roman"/>
          <w:sz w:val="28"/>
          <w:szCs w:val="28"/>
        </w:rPr>
        <w:t xml:space="preserve">, sin embargo, </w:t>
      </w:r>
      <w:r w:rsidRPr="00DF77C8">
        <w:rPr>
          <w:rFonts w:ascii="Times New Roman" w:hAnsi="Times New Roman"/>
          <w:sz w:val="28"/>
          <w:szCs w:val="28"/>
        </w:rPr>
        <w:t xml:space="preserve">dicha normativa </w:t>
      </w:r>
      <w:r w:rsidRPr="00DF77C8">
        <w:rPr>
          <w:rFonts w:ascii="Times New Roman" w:hAnsi="Times New Roman"/>
          <w:sz w:val="28"/>
          <w:szCs w:val="28"/>
        </w:rPr>
        <w:t xml:space="preserve">no </w:t>
      </w:r>
      <w:r w:rsidRPr="00DF77C8">
        <w:rPr>
          <w:rFonts w:ascii="Times New Roman" w:hAnsi="Times New Roman"/>
          <w:sz w:val="28"/>
          <w:szCs w:val="28"/>
        </w:rPr>
        <w:t>contempla</w:t>
      </w:r>
      <w:r w:rsidRPr="00DF77C8">
        <w:rPr>
          <w:rFonts w:ascii="Times New Roman" w:hAnsi="Times New Roman"/>
          <w:sz w:val="28"/>
          <w:szCs w:val="28"/>
        </w:rPr>
        <w:t xml:space="preserve"> la materia a la que hace alusión el </w:t>
      </w:r>
      <w:r w:rsidRPr="00DF77C8">
        <w:rPr>
          <w:rFonts w:ascii="Times New Roman" w:hAnsi="Times New Roman"/>
          <w:sz w:val="28"/>
          <w:szCs w:val="28"/>
        </w:rPr>
        <w:t>actor</w:t>
      </w:r>
      <w:r w:rsidRPr="00DF77C8">
        <w:rPr>
          <w:rFonts w:ascii="Times New Roman" w:hAnsi="Times New Roman"/>
          <w:sz w:val="28"/>
          <w:szCs w:val="28"/>
        </w:rPr>
        <w:t xml:space="preserve">. </w:t>
      </w:r>
    </w:p>
    <w:p w:rsidR="00677238" w:rsidRPr="00DF77C8" w:rsidRDefault="00DF77C8" w:rsidP="00677238">
      <w:pPr>
        <w:pStyle w:val="Prrafodelista"/>
        <w:tabs>
          <w:tab w:val="left" w:pos="567"/>
          <w:tab w:val="left" w:pos="858"/>
        </w:tabs>
        <w:ind w:left="702" w:right="-26"/>
        <w:jc w:val="both"/>
        <w:rPr>
          <w:rFonts w:ascii="Times New Roman" w:hAnsi="Times New Roman"/>
          <w:sz w:val="28"/>
          <w:szCs w:val="28"/>
        </w:rPr>
      </w:pPr>
    </w:p>
    <w:p w:rsidR="00801F94" w:rsidRPr="00DF77C8" w:rsidRDefault="00DF77C8" w:rsidP="008A4B21">
      <w:pPr>
        <w:ind w:right="-26"/>
        <w:jc w:val="both"/>
        <w:rPr>
          <w:rFonts w:ascii="Times New Roman" w:hAnsi="Times New Roman"/>
          <w:i/>
          <w:sz w:val="28"/>
          <w:szCs w:val="28"/>
        </w:rPr>
      </w:pPr>
      <w:r w:rsidRPr="00DF77C8">
        <w:rPr>
          <w:rFonts w:ascii="Times New Roman" w:hAnsi="Times New Roman"/>
          <w:b/>
          <w:i/>
          <w:sz w:val="28"/>
          <w:szCs w:val="28"/>
        </w:rPr>
        <w:t>Dudas acerca de la vigencia del numeral 3° del artículo 32 original del Código de Procedimiento Penal planteadas por el demandante y respaldadas por algunos intervinientes</w:t>
      </w:r>
      <w:r w:rsidRPr="00DF77C8">
        <w:rPr>
          <w:rFonts w:ascii="Times New Roman" w:hAnsi="Times New Roman"/>
          <w:i/>
          <w:sz w:val="28"/>
          <w:szCs w:val="28"/>
        </w:rPr>
        <w:t>.</w:t>
      </w:r>
    </w:p>
    <w:p w:rsidR="00801F94" w:rsidRPr="00DF77C8" w:rsidRDefault="00DF77C8" w:rsidP="008A4B21">
      <w:pPr>
        <w:ind w:right="-26"/>
        <w:jc w:val="both"/>
        <w:rPr>
          <w:rFonts w:ascii="Times New Roman" w:hAnsi="Times New Roman"/>
          <w:i/>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el escrito de corrección de la </w:t>
      </w:r>
      <w:r w:rsidRPr="00DF77C8">
        <w:rPr>
          <w:rFonts w:ascii="Times New Roman" w:hAnsi="Times New Roman"/>
          <w:sz w:val="28"/>
          <w:szCs w:val="28"/>
        </w:rPr>
        <w:t>demanda el ciudadano</w:t>
      </w:r>
      <w:r w:rsidRPr="00DF77C8">
        <w:rPr>
          <w:rFonts w:ascii="Times New Roman" w:hAnsi="Times New Roman"/>
          <w:sz w:val="28"/>
          <w:szCs w:val="28"/>
        </w:rPr>
        <w:t>,</w:t>
      </w:r>
      <w:r w:rsidRPr="00DF77C8">
        <w:rPr>
          <w:rFonts w:ascii="Times New Roman" w:hAnsi="Times New Roman"/>
          <w:sz w:val="28"/>
          <w:szCs w:val="28"/>
        </w:rPr>
        <w:t xml:space="preserve"> además de precisar el objeto contra el cual dirigía su reproche, indicó que </w:t>
      </w:r>
      <w:r w:rsidRPr="00DF77C8">
        <w:rPr>
          <w:rFonts w:ascii="Times New Roman" w:hAnsi="Times New Roman"/>
          <w:sz w:val="28"/>
          <w:szCs w:val="28"/>
        </w:rPr>
        <w:t xml:space="preserve">encontraba </w:t>
      </w:r>
      <w:r w:rsidRPr="00DF77C8">
        <w:rPr>
          <w:rFonts w:ascii="Times New Roman" w:hAnsi="Times New Roman"/>
          <w:sz w:val="28"/>
          <w:szCs w:val="28"/>
        </w:rPr>
        <w:t>dificultades para precisar si la omisión legislativa relativa debía predicarse respecto del artículo 32 del CPP en su totalidad o si esta debía cir</w:t>
      </w:r>
      <w:r w:rsidRPr="00DF77C8">
        <w:rPr>
          <w:rFonts w:ascii="Times New Roman" w:hAnsi="Times New Roman"/>
          <w:sz w:val="28"/>
          <w:szCs w:val="28"/>
        </w:rPr>
        <w:t>cunscribirse específicamente al numeral 3° de esa misma norma.</w:t>
      </w:r>
    </w:p>
    <w:p w:rsidR="00801F94" w:rsidRPr="00DF77C8" w:rsidRDefault="00DF77C8" w:rsidP="008A4B21">
      <w:pPr>
        <w:ind w:right="-26"/>
        <w:jc w:val="both"/>
        <w:rPr>
          <w:rFonts w:ascii="Times New Roman" w:hAnsi="Times New Roman"/>
          <w:sz w:val="28"/>
          <w:szCs w:val="28"/>
        </w:rPr>
      </w:pPr>
    </w:p>
    <w:p w:rsidR="001B4D25"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Para sustentar su duda, explicó que el artículo 32 de la Ley 906 de 2004 fue modificado por el artículo 12 de la Ley 2098 de 2021, luego de lo cual el numeral 3° que originalmente integraba dicho precepto legal fue eliminado. Este numeral establecía que la</w:t>
      </w:r>
      <w:r w:rsidRPr="00DF77C8">
        <w:rPr>
          <w:rFonts w:ascii="Times New Roman" w:hAnsi="Times New Roman"/>
          <w:sz w:val="28"/>
          <w:szCs w:val="28"/>
        </w:rPr>
        <w:t xml:space="preserve"> Sala Penal de la Corte Suprema de Justicia debía conocer “De los recursos de apelación contra los autos y sentencias que profieran en primera instancia los </w:t>
      </w:r>
      <w:r w:rsidRPr="00DF77C8">
        <w:rPr>
          <w:rFonts w:ascii="Times New Roman" w:hAnsi="Times New Roman"/>
          <w:sz w:val="28"/>
          <w:szCs w:val="28"/>
        </w:rPr>
        <w:t>Tribunal</w:t>
      </w:r>
      <w:r w:rsidRPr="00DF77C8">
        <w:rPr>
          <w:rFonts w:ascii="Times New Roman" w:hAnsi="Times New Roman"/>
          <w:sz w:val="28"/>
          <w:szCs w:val="28"/>
        </w:rPr>
        <w:t xml:space="preserve">es superiores”. </w:t>
      </w:r>
      <w:r w:rsidRPr="00DF77C8">
        <w:rPr>
          <w:rFonts w:ascii="Times New Roman" w:hAnsi="Times New Roman"/>
          <w:sz w:val="28"/>
          <w:szCs w:val="28"/>
        </w:rPr>
        <w:t xml:space="preserve">En consecuencia, el actor consideró que dicho numeral ya no hace parte del </w:t>
      </w:r>
      <w:r w:rsidRPr="00DF77C8">
        <w:rPr>
          <w:rFonts w:ascii="Times New Roman" w:hAnsi="Times New Roman"/>
          <w:sz w:val="28"/>
          <w:szCs w:val="28"/>
        </w:rPr>
        <w:t>referido artículo.</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No obstante, puso de presente varias providencias recientes a través de las cuales el órgano de cierre de la jurisdicción ordinaria asume la competencia en sede de apelación</w:t>
      </w:r>
      <w:r w:rsidRPr="00DF77C8">
        <w:rPr>
          <w:rFonts w:ascii="Times New Roman" w:hAnsi="Times New Roman"/>
          <w:sz w:val="28"/>
          <w:szCs w:val="28"/>
        </w:rPr>
        <w:t>, para conocer controversias</w:t>
      </w:r>
      <w:r w:rsidRPr="00DF77C8">
        <w:rPr>
          <w:rFonts w:ascii="Times New Roman" w:hAnsi="Times New Roman"/>
          <w:sz w:val="28"/>
          <w:szCs w:val="28"/>
        </w:rPr>
        <w:t xml:space="preserve"> contra providencias que expiden en</w:t>
      </w:r>
      <w:r w:rsidRPr="00DF77C8">
        <w:rPr>
          <w:rFonts w:ascii="Times New Roman" w:hAnsi="Times New Roman"/>
          <w:sz w:val="28"/>
          <w:szCs w:val="28"/>
        </w:rPr>
        <w:t xml:space="preserve"> primera instancia los </w:t>
      </w:r>
      <w:r w:rsidRPr="00DF77C8">
        <w:rPr>
          <w:rFonts w:ascii="Times New Roman" w:hAnsi="Times New Roman"/>
          <w:sz w:val="28"/>
          <w:szCs w:val="28"/>
        </w:rPr>
        <w:t>Tribunal</w:t>
      </w:r>
      <w:r w:rsidRPr="00DF77C8">
        <w:rPr>
          <w:rFonts w:ascii="Times New Roman" w:hAnsi="Times New Roman"/>
          <w:sz w:val="28"/>
          <w:szCs w:val="28"/>
        </w:rPr>
        <w:t xml:space="preserve">es superiores, con base en el numeral 3° original del artículo 32 del Código de Procedimiento Penal.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ese orden de ideas, a juicio del ciudadano, si el numeral 3° original de la norma demandada se encuentra vigente, solic</w:t>
      </w:r>
      <w:r w:rsidRPr="00DF77C8">
        <w:rPr>
          <w:rFonts w:ascii="Times New Roman" w:hAnsi="Times New Roman"/>
          <w:sz w:val="28"/>
          <w:szCs w:val="28"/>
        </w:rPr>
        <w:t xml:space="preserve">ita que la omisión legislativa relativa se predique respecto de ese aparte en concreto. En caso contrario, </w:t>
      </w:r>
      <w:r w:rsidRPr="00DF77C8">
        <w:rPr>
          <w:rFonts w:ascii="Times New Roman" w:hAnsi="Times New Roman"/>
          <w:sz w:val="28"/>
          <w:szCs w:val="28"/>
        </w:rPr>
        <w:t xml:space="preserve">es decir, si la Corte encuentra que </w:t>
      </w:r>
      <w:r w:rsidRPr="00DF77C8">
        <w:rPr>
          <w:rFonts w:ascii="Times New Roman" w:hAnsi="Times New Roman"/>
          <w:sz w:val="28"/>
          <w:szCs w:val="28"/>
        </w:rPr>
        <w:t>dicho literal</w:t>
      </w:r>
      <w:r w:rsidRPr="00DF77C8">
        <w:rPr>
          <w:rFonts w:ascii="Times New Roman" w:hAnsi="Times New Roman"/>
          <w:sz w:val="28"/>
          <w:szCs w:val="28"/>
        </w:rPr>
        <w:t xml:space="preserve"> no está vigente</w:t>
      </w:r>
      <w:r w:rsidRPr="00DF77C8">
        <w:rPr>
          <w:rFonts w:ascii="Times New Roman" w:hAnsi="Times New Roman"/>
          <w:sz w:val="28"/>
          <w:szCs w:val="28"/>
        </w:rPr>
        <w:t>,</w:t>
      </w:r>
      <w:r w:rsidRPr="00DF77C8">
        <w:rPr>
          <w:rFonts w:ascii="Times New Roman" w:hAnsi="Times New Roman"/>
          <w:sz w:val="28"/>
          <w:szCs w:val="28"/>
        </w:rPr>
        <w:t xml:space="preserve"> solicita que</w:t>
      </w:r>
      <w:r w:rsidRPr="00DF77C8">
        <w:rPr>
          <w:rFonts w:ascii="Times New Roman" w:hAnsi="Times New Roman"/>
          <w:sz w:val="28"/>
          <w:szCs w:val="28"/>
        </w:rPr>
        <w:t xml:space="preserve"> la omisión legislativa que él advierte </w:t>
      </w:r>
      <w:r w:rsidRPr="00DF77C8">
        <w:rPr>
          <w:rFonts w:ascii="Times New Roman" w:hAnsi="Times New Roman"/>
          <w:sz w:val="28"/>
          <w:szCs w:val="28"/>
        </w:rPr>
        <w:t>se estudie también</w:t>
      </w:r>
      <w:r w:rsidRPr="00DF77C8">
        <w:rPr>
          <w:rFonts w:ascii="Times New Roman" w:hAnsi="Times New Roman"/>
          <w:sz w:val="28"/>
          <w:szCs w:val="28"/>
        </w:rPr>
        <w:t xml:space="preserve"> respecto de</w:t>
      </w:r>
      <w:r w:rsidRPr="00DF77C8">
        <w:rPr>
          <w:rFonts w:ascii="Times New Roman" w:hAnsi="Times New Roman"/>
          <w:sz w:val="28"/>
          <w:szCs w:val="28"/>
        </w:rPr>
        <w:t>l artículo 32 del CPP en general.</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Sobre este planteamiento, el Ministerio de Justicia y del Derecho afirmó que revisados los antecedentes legislativos del Proyecto de Ley 401 de 2021, la intención del legislador no fue derogar el numeral 3° del artículo 3</w:t>
      </w:r>
      <w:r w:rsidRPr="00DF77C8">
        <w:rPr>
          <w:rFonts w:ascii="Times New Roman" w:hAnsi="Times New Roman"/>
          <w:sz w:val="28"/>
          <w:szCs w:val="28"/>
        </w:rPr>
        <w:t>2 de la Ley 906 de 2004</w:t>
      </w:r>
      <w:r w:rsidRPr="00DF77C8">
        <w:rPr>
          <w:rFonts w:ascii="Times New Roman" w:hAnsi="Times New Roman"/>
          <w:sz w:val="28"/>
          <w:szCs w:val="28"/>
        </w:rPr>
        <w:t xml:space="preserve">. </w:t>
      </w:r>
      <w:r w:rsidRPr="00DF77C8">
        <w:rPr>
          <w:rFonts w:ascii="Times New Roman" w:hAnsi="Times New Roman"/>
          <w:sz w:val="28"/>
          <w:szCs w:val="28"/>
        </w:rPr>
        <w:t>A</w:t>
      </w:r>
      <w:r w:rsidRPr="00DF77C8">
        <w:rPr>
          <w:rFonts w:ascii="Times New Roman" w:hAnsi="Times New Roman"/>
          <w:sz w:val="28"/>
          <w:szCs w:val="28"/>
        </w:rPr>
        <w:t>u</w:t>
      </w:r>
      <w:r w:rsidRPr="00DF77C8">
        <w:rPr>
          <w:rFonts w:ascii="Times New Roman" w:hAnsi="Times New Roman"/>
          <w:sz w:val="28"/>
          <w:szCs w:val="28"/>
        </w:rPr>
        <w:t>n así</w:t>
      </w:r>
      <w:r w:rsidRPr="00DF77C8">
        <w:rPr>
          <w:rFonts w:ascii="Times New Roman" w:hAnsi="Times New Roman"/>
          <w:sz w:val="28"/>
          <w:szCs w:val="28"/>
        </w:rPr>
        <w:t xml:space="preserve">, </w:t>
      </w:r>
      <w:r w:rsidRPr="00DF77C8">
        <w:rPr>
          <w:rFonts w:ascii="Times New Roman" w:hAnsi="Times New Roman"/>
          <w:sz w:val="28"/>
          <w:szCs w:val="28"/>
        </w:rPr>
        <w:t xml:space="preserve">a partir de una lectura equivocada de lo decidido por la Corte Constitucional </w:t>
      </w:r>
      <w:r w:rsidRPr="00DF77C8">
        <w:rPr>
          <w:rFonts w:ascii="Times New Roman" w:hAnsi="Times New Roman"/>
          <w:sz w:val="28"/>
          <w:szCs w:val="28"/>
        </w:rPr>
        <w:t xml:space="preserve">en la </w:t>
      </w:r>
      <w:r w:rsidRPr="00DF77C8">
        <w:rPr>
          <w:rFonts w:ascii="Times New Roman" w:hAnsi="Times New Roman"/>
          <w:sz w:val="28"/>
          <w:szCs w:val="28"/>
        </w:rPr>
        <w:t xml:space="preserve">Sentencia C-792 de 2014, </w:t>
      </w:r>
      <w:r w:rsidRPr="00DF77C8">
        <w:rPr>
          <w:rFonts w:ascii="Times New Roman" w:hAnsi="Times New Roman"/>
          <w:sz w:val="28"/>
          <w:szCs w:val="28"/>
        </w:rPr>
        <w:t xml:space="preserve">el Congreso terminó retirándolo, pues interpretó que había sido declarado inexequible, y por ello, </w:t>
      </w:r>
      <w:r w:rsidRPr="00DF77C8">
        <w:rPr>
          <w:rFonts w:ascii="Times New Roman" w:hAnsi="Times New Roman"/>
          <w:sz w:val="28"/>
          <w:szCs w:val="28"/>
        </w:rPr>
        <w:t>enumeró de nue</w:t>
      </w:r>
      <w:r w:rsidRPr="00DF77C8">
        <w:rPr>
          <w:rFonts w:ascii="Times New Roman" w:hAnsi="Times New Roman"/>
          <w:sz w:val="28"/>
          <w:szCs w:val="28"/>
        </w:rPr>
        <w:t>vo todas las funciones de la Corte Suprema de Justicia y adicionó los ordinales atinentes a la prisión perpetua revisable.</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este contexto, resaltó que </w:t>
      </w:r>
      <w:r w:rsidRPr="00DF77C8">
        <w:rPr>
          <w:rFonts w:ascii="Times New Roman" w:hAnsi="Times New Roman"/>
          <w:sz w:val="28"/>
          <w:szCs w:val="28"/>
        </w:rPr>
        <w:t xml:space="preserve">la Sentencia C-792 de 2014 </w:t>
      </w:r>
      <w:r w:rsidRPr="00DF77C8">
        <w:rPr>
          <w:rFonts w:ascii="Times New Roman" w:hAnsi="Times New Roman"/>
          <w:sz w:val="28"/>
          <w:szCs w:val="28"/>
        </w:rPr>
        <w:t xml:space="preserve">de esta </w:t>
      </w:r>
      <w:r w:rsidRPr="00DF77C8">
        <w:rPr>
          <w:rFonts w:ascii="Times New Roman" w:hAnsi="Times New Roman"/>
          <w:sz w:val="28"/>
          <w:szCs w:val="28"/>
        </w:rPr>
        <w:t>Corporación</w:t>
      </w:r>
      <w:r w:rsidRPr="00DF77C8">
        <w:rPr>
          <w:rFonts w:ascii="Times New Roman" w:hAnsi="Times New Roman"/>
          <w:sz w:val="28"/>
          <w:szCs w:val="28"/>
        </w:rPr>
        <w:t xml:space="preserve"> solo declaró inexequible lo omitido por las disposicion</w:t>
      </w:r>
      <w:r w:rsidRPr="00DF77C8">
        <w:rPr>
          <w:rFonts w:ascii="Times New Roman" w:hAnsi="Times New Roman"/>
          <w:sz w:val="28"/>
          <w:szCs w:val="28"/>
        </w:rPr>
        <w:t>es objeto de análisis, entre ellas el artículo 32, en cuanto no contemplaban la posibilidad de impugnar todas las sentencias condenatorias</w:t>
      </w:r>
      <w:r w:rsidRPr="00DF77C8">
        <w:rPr>
          <w:rFonts w:ascii="Times New Roman" w:hAnsi="Times New Roman"/>
          <w:sz w:val="28"/>
          <w:szCs w:val="28"/>
        </w:rPr>
        <w:t xml:space="preserve">, mientras declaró </w:t>
      </w:r>
      <w:r w:rsidRPr="00DF77C8">
        <w:rPr>
          <w:rFonts w:ascii="Times New Roman" w:hAnsi="Times New Roman"/>
          <w:sz w:val="28"/>
          <w:szCs w:val="28"/>
        </w:rPr>
        <w:t>exequible el contenido positivo de esas disposiciones</w:t>
      </w:r>
      <w:r w:rsidRPr="00DF77C8">
        <w:rPr>
          <w:rFonts w:ascii="Times New Roman" w:hAnsi="Times New Roman"/>
          <w:sz w:val="28"/>
          <w:szCs w:val="28"/>
        </w:rPr>
        <w:t xml:space="preserve">. Cabe anotar que el Ministerio de Justicia y </w:t>
      </w:r>
      <w:r w:rsidRPr="00DF77C8">
        <w:rPr>
          <w:rFonts w:ascii="Times New Roman" w:hAnsi="Times New Roman"/>
          <w:sz w:val="28"/>
          <w:szCs w:val="28"/>
        </w:rPr>
        <w:t>del Derecho mostró su desacuerdo con la interpretación otorgada a la sentencia antes mencionada por parte del Congreso de la República.</w:t>
      </w:r>
    </w:p>
    <w:p w:rsidR="005B3C46"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Luego de </w:t>
      </w:r>
      <w:r w:rsidRPr="00DF77C8">
        <w:rPr>
          <w:rFonts w:ascii="Times New Roman" w:hAnsi="Times New Roman"/>
          <w:sz w:val="28"/>
          <w:szCs w:val="28"/>
        </w:rPr>
        <w:t xml:space="preserve">hacer la anterior aclaración, el </w:t>
      </w:r>
      <w:r w:rsidRPr="00DF77C8">
        <w:rPr>
          <w:rFonts w:ascii="Times New Roman" w:hAnsi="Times New Roman"/>
          <w:sz w:val="28"/>
          <w:szCs w:val="28"/>
        </w:rPr>
        <w:t>ministerio coincidió con lo expuesto por el demandante en el sentido de que e</w:t>
      </w:r>
      <w:r w:rsidRPr="00DF77C8">
        <w:rPr>
          <w:rFonts w:ascii="Times New Roman" w:hAnsi="Times New Roman"/>
          <w:sz w:val="28"/>
          <w:szCs w:val="28"/>
        </w:rPr>
        <w:t xml:space="preserve">n la actualidad la Sala Penal de la Corte Suprema de Justicia invoca lo dispuesto en el numeral 3° del artículo 32 del CPP para asumir la competencia en sede de apelación de las decisiones de primera instancia proferidas por los </w:t>
      </w:r>
      <w:r w:rsidRPr="00DF77C8">
        <w:rPr>
          <w:rFonts w:ascii="Times New Roman" w:hAnsi="Times New Roman"/>
          <w:sz w:val="28"/>
          <w:szCs w:val="28"/>
        </w:rPr>
        <w:t>Tribunal</w:t>
      </w:r>
      <w:r w:rsidRPr="00DF77C8">
        <w:rPr>
          <w:rFonts w:ascii="Times New Roman" w:hAnsi="Times New Roman"/>
          <w:sz w:val="28"/>
          <w:szCs w:val="28"/>
        </w:rPr>
        <w:t xml:space="preserve">es superiores. Por </w:t>
      </w:r>
      <w:r w:rsidRPr="00DF77C8">
        <w:rPr>
          <w:rFonts w:ascii="Times New Roman" w:hAnsi="Times New Roman"/>
          <w:sz w:val="28"/>
          <w:szCs w:val="28"/>
        </w:rPr>
        <w:t>ello, considera que puede entenderse que dicho ordinal s</w:t>
      </w:r>
      <w:r w:rsidRPr="00DF77C8">
        <w:rPr>
          <w:rFonts w:ascii="Times New Roman" w:hAnsi="Times New Roman"/>
          <w:sz w:val="28"/>
          <w:szCs w:val="28"/>
        </w:rPr>
        <w:t>í</w:t>
      </w:r>
      <w:r w:rsidRPr="00DF77C8">
        <w:rPr>
          <w:rFonts w:ascii="Times New Roman" w:hAnsi="Times New Roman"/>
          <w:sz w:val="28"/>
          <w:szCs w:val="28"/>
        </w:rPr>
        <w:t xml:space="preserve"> se encuentra vigente.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este mismo sentido, la Academia Colombiana de Jurisprudencia indicó que el artículo 32 del CPP original que contenía el numeral 3° sobre la competencia de la Corte Suprema</w:t>
      </w:r>
      <w:r w:rsidRPr="00DF77C8">
        <w:rPr>
          <w:rFonts w:ascii="Times New Roman" w:hAnsi="Times New Roman"/>
          <w:sz w:val="28"/>
          <w:szCs w:val="28"/>
        </w:rPr>
        <w:t xml:space="preserve"> de Justicia para conocer de los recursos de apelación en los términos antes anotados, fue modificado por el artículo 12 de la Ley 2098 de 2021, cuya motivación principal fue reglamentar la prisión perpetua revisable. No obstante, en lo que calificó como u</w:t>
      </w:r>
      <w:r w:rsidRPr="00DF77C8">
        <w:rPr>
          <w:rFonts w:ascii="Times New Roman" w:hAnsi="Times New Roman"/>
          <w:sz w:val="28"/>
          <w:szCs w:val="28"/>
        </w:rPr>
        <w:t>na ostensible desatención del legislador, este suprimió dicho ordinal, por lo cual, la legislación vigente no establece de manera expresa si la máxima autoridad de la jurisdicción ordinaria en materia penal puede conocer de los recursos de apelación que se</w:t>
      </w:r>
      <w:r w:rsidRPr="00DF77C8">
        <w:rPr>
          <w:rFonts w:ascii="Times New Roman" w:hAnsi="Times New Roman"/>
          <w:sz w:val="28"/>
          <w:szCs w:val="28"/>
        </w:rPr>
        <w:t xml:space="preserve"> interpongan contra los autos y sentencias que profieran en primera instancia los </w:t>
      </w:r>
      <w:r w:rsidRPr="00DF77C8">
        <w:rPr>
          <w:rFonts w:ascii="Times New Roman" w:hAnsi="Times New Roman"/>
          <w:sz w:val="28"/>
          <w:szCs w:val="28"/>
        </w:rPr>
        <w:t>Tribunal</w:t>
      </w:r>
      <w:r w:rsidRPr="00DF77C8">
        <w:rPr>
          <w:rFonts w:ascii="Times New Roman" w:hAnsi="Times New Roman"/>
          <w:sz w:val="28"/>
          <w:szCs w:val="28"/>
        </w:rPr>
        <w:t xml:space="preserve">es superiores.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Al respecto, sostuvo que sobre la cuestión de vigencia planteada por el ciudadano no hay lugar a dudas de que el numeral 3° del artículo 32 de la Ley</w:t>
      </w:r>
      <w:r w:rsidRPr="00DF77C8">
        <w:rPr>
          <w:rFonts w:ascii="Times New Roman" w:hAnsi="Times New Roman"/>
          <w:sz w:val="28"/>
          <w:szCs w:val="28"/>
        </w:rPr>
        <w:t xml:space="preserve"> 906 de 2004 se encuentra vigente porque la inexequibilidad de la reforma introducida por la Ley 2098 de 2021 solo cobijó los numerales 9°, 10° y 11 del artículo 12.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consecuencia, con base en lo dispuesto en el numeral 3° del artículo 32 del CPP el al</w:t>
      </w:r>
      <w:r w:rsidRPr="00DF77C8">
        <w:rPr>
          <w:rFonts w:ascii="Times New Roman" w:hAnsi="Times New Roman"/>
          <w:sz w:val="28"/>
          <w:szCs w:val="28"/>
        </w:rPr>
        <w:t xml:space="preserve">to </w:t>
      </w:r>
      <w:r w:rsidRPr="00DF77C8">
        <w:rPr>
          <w:rFonts w:ascii="Times New Roman" w:hAnsi="Times New Roman"/>
          <w:sz w:val="28"/>
          <w:szCs w:val="28"/>
        </w:rPr>
        <w:t>Tribunal</w:t>
      </w:r>
      <w:r w:rsidRPr="00DF77C8">
        <w:rPr>
          <w:rFonts w:ascii="Times New Roman" w:hAnsi="Times New Roman"/>
          <w:sz w:val="28"/>
          <w:szCs w:val="28"/>
        </w:rPr>
        <w:t xml:space="preserve"> de la jurisdicción ordinaria tiene competencia para resolver los recursos de apelación como juez de conocimiento y en sede de control de garantías.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right="-26"/>
        <w:jc w:val="both"/>
        <w:rPr>
          <w:rFonts w:ascii="Times New Roman" w:hAnsi="Times New Roman"/>
          <w:sz w:val="28"/>
          <w:szCs w:val="28"/>
        </w:rPr>
      </w:pPr>
      <w:r w:rsidRPr="00DF77C8">
        <w:rPr>
          <w:rFonts w:ascii="Times New Roman" w:hAnsi="Times New Roman"/>
          <w:i/>
          <w:sz w:val="28"/>
          <w:szCs w:val="28"/>
        </w:rPr>
        <w:t xml:space="preserve">El estudio de la omisión legislativa relativa planteada </w:t>
      </w:r>
      <w:r w:rsidRPr="00DF77C8">
        <w:rPr>
          <w:rFonts w:ascii="Times New Roman" w:hAnsi="Times New Roman"/>
          <w:i/>
          <w:sz w:val="28"/>
          <w:szCs w:val="28"/>
        </w:rPr>
        <w:t xml:space="preserve">debe realizarse respecto del artículo </w:t>
      </w:r>
      <w:r w:rsidRPr="00DF77C8">
        <w:rPr>
          <w:rFonts w:ascii="Times New Roman" w:hAnsi="Times New Roman"/>
          <w:i/>
          <w:sz w:val="28"/>
          <w:szCs w:val="28"/>
        </w:rPr>
        <w:t>32 de la Ley 906 de 2004.</w:t>
      </w:r>
      <w:r w:rsidRPr="00DF77C8">
        <w:rPr>
          <w:rFonts w:ascii="Times New Roman" w:hAnsi="Times New Roman"/>
          <w:i/>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atención a la cuestión planteada por el demandante y por algunos intervinientes sobre la vigencia del numeral 3° del artículo 32 del CPP, esta Sala </w:t>
      </w:r>
      <w:r w:rsidRPr="00DF77C8">
        <w:rPr>
          <w:rFonts w:ascii="Times New Roman" w:hAnsi="Times New Roman"/>
          <w:sz w:val="28"/>
          <w:szCs w:val="28"/>
        </w:rPr>
        <w:t xml:space="preserve">observa </w:t>
      </w:r>
      <w:r w:rsidRPr="00DF77C8">
        <w:rPr>
          <w:rFonts w:ascii="Times New Roman" w:hAnsi="Times New Roman"/>
          <w:sz w:val="28"/>
          <w:szCs w:val="28"/>
        </w:rPr>
        <w:t xml:space="preserve">que </w:t>
      </w:r>
      <w:r w:rsidRPr="00DF77C8">
        <w:rPr>
          <w:rFonts w:ascii="Times New Roman" w:hAnsi="Times New Roman"/>
          <w:sz w:val="28"/>
          <w:szCs w:val="28"/>
        </w:rPr>
        <w:t>el legislador</w:t>
      </w:r>
      <w:r w:rsidRPr="00DF77C8">
        <w:rPr>
          <w:rFonts w:ascii="Times New Roman" w:hAnsi="Times New Roman"/>
          <w:sz w:val="28"/>
          <w:szCs w:val="28"/>
        </w:rPr>
        <w:t>,</w:t>
      </w:r>
      <w:r w:rsidRPr="00DF77C8">
        <w:rPr>
          <w:rFonts w:ascii="Times New Roman" w:hAnsi="Times New Roman"/>
          <w:sz w:val="28"/>
          <w:szCs w:val="28"/>
        </w:rPr>
        <w:t xml:space="preserve"> al expedir el artículo 12 de la Ley 2098 de 2021,</w:t>
      </w:r>
      <w:r w:rsidRPr="00DF77C8">
        <w:rPr>
          <w:rFonts w:ascii="Times New Roman" w:hAnsi="Times New Roman"/>
          <w:sz w:val="28"/>
          <w:szCs w:val="28"/>
        </w:rPr>
        <w:t xml:space="preserve"> prescribió </w:t>
      </w:r>
      <w:r w:rsidRPr="00DF77C8">
        <w:rPr>
          <w:rFonts w:ascii="Times New Roman" w:hAnsi="Times New Roman"/>
          <w:sz w:val="28"/>
          <w:szCs w:val="28"/>
        </w:rPr>
        <w:t>lo siguiente:</w:t>
      </w:r>
    </w:p>
    <w:p w:rsidR="00D274C2" w:rsidRPr="00DF77C8" w:rsidRDefault="00DF77C8" w:rsidP="008A4B21">
      <w:pPr>
        <w:pStyle w:val="Prrafodelista"/>
        <w:rPr>
          <w:rFonts w:ascii="Times New Roman" w:hAnsi="Times New Roman"/>
          <w:sz w:val="28"/>
          <w:szCs w:val="28"/>
        </w:rPr>
      </w:pPr>
    </w:p>
    <w:p w:rsidR="00D274C2" w:rsidRPr="00DF77C8" w:rsidRDefault="00DF77C8" w:rsidP="008A4B21">
      <w:pPr>
        <w:pStyle w:val="Prrafodelista"/>
        <w:tabs>
          <w:tab w:val="left" w:pos="567"/>
        </w:tabs>
        <w:ind w:left="567" w:right="-26"/>
        <w:jc w:val="both"/>
        <w:rPr>
          <w:rFonts w:ascii="Times New Roman" w:hAnsi="Times New Roman"/>
          <w:sz w:val="28"/>
          <w:szCs w:val="28"/>
        </w:rPr>
      </w:pPr>
      <w:r w:rsidRPr="00DF77C8">
        <w:rPr>
          <w:rFonts w:ascii="Times New Roman" w:hAnsi="Times New Roman"/>
          <w:sz w:val="28"/>
          <w:szCs w:val="28"/>
        </w:rPr>
        <w:t>“Modifíquese el artículo 32 del Código de Procedimiento Penal, Ley 906 de 2004, el cual quedará así: (…)”</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 xml:space="preserve"> </w:t>
      </w:r>
    </w:p>
    <w:p w:rsidR="003E2ACB"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La fórmula “</w:t>
      </w:r>
      <w:r w:rsidRPr="00DF77C8">
        <w:rPr>
          <w:rFonts w:ascii="Times New Roman" w:hAnsi="Times New Roman"/>
          <w:sz w:val="28"/>
          <w:szCs w:val="28"/>
          <w:u w:val="single"/>
        </w:rPr>
        <w:t>el cual quedará así</w:t>
      </w:r>
      <w:r w:rsidRPr="00DF77C8">
        <w:rPr>
          <w:rFonts w:ascii="Times New Roman" w:hAnsi="Times New Roman"/>
          <w:sz w:val="28"/>
          <w:szCs w:val="28"/>
        </w:rPr>
        <w:t>”</w:t>
      </w:r>
      <w:r w:rsidRPr="00DF77C8">
        <w:rPr>
          <w:rFonts w:ascii="Times New Roman" w:hAnsi="Times New Roman"/>
          <w:sz w:val="28"/>
          <w:szCs w:val="28"/>
        </w:rPr>
        <w:t>, a juicio de esta Corporación</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denota </w:t>
      </w:r>
      <w:r w:rsidRPr="00DF77C8">
        <w:rPr>
          <w:rFonts w:ascii="Times New Roman" w:hAnsi="Times New Roman"/>
          <w:sz w:val="28"/>
          <w:szCs w:val="28"/>
        </w:rPr>
        <w:t>en principio la</w:t>
      </w:r>
      <w:r w:rsidRPr="00DF77C8">
        <w:rPr>
          <w:rFonts w:ascii="Times New Roman" w:hAnsi="Times New Roman"/>
          <w:sz w:val="28"/>
          <w:szCs w:val="28"/>
        </w:rPr>
        <w:t xml:space="preserve"> intención de reemplazar en su integridad el contenido de la norma.</w:t>
      </w:r>
      <w:r w:rsidRPr="00DF77C8">
        <w:rPr>
          <w:rFonts w:ascii="Times New Roman" w:hAnsi="Times New Roman"/>
          <w:sz w:val="28"/>
        </w:rPr>
        <w:t xml:space="preserve"> </w:t>
      </w:r>
      <w:r w:rsidRPr="00DF77C8">
        <w:rPr>
          <w:rFonts w:ascii="Times New Roman" w:hAnsi="Times New Roman"/>
          <w:sz w:val="28"/>
          <w:szCs w:val="28"/>
        </w:rPr>
        <w:t>En ese sentido, puede concluirse que el Legislador sustituyó la totalidad de la versión original del artículo 32 del CPP por la nueva redacción prevista en el artículo 12 de la Ley 2098</w:t>
      </w:r>
      <w:r w:rsidRPr="00DF77C8">
        <w:rPr>
          <w:rFonts w:ascii="Times New Roman" w:hAnsi="Times New Roman"/>
          <w:sz w:val="28"/>
          <w:szCs w:val="28"/>
        </w:rPr>
        <w:t>,</w:t>
      </w:r>
      <w:r w:rsidRPr="00DF77C8">
        <w:rPr>
          <w:rFonts w:ascii="Times New Roman" w:hAnsi="Times New Roman"/>
          <w:sz w:val="28"/>
          <w:szCs w:val="28"/>
        </w:rPr>
        <w:t xml:space="preserve"> l</w:t>
      </w:r>
      <w:r w:rsidRPr="00DF77C8">
        <w:rPr>
          <w:rFonts w:ascii="Times New Roman" w:hAnsi="Times New Roman"/>
          <w:sz w:val="28"/>
          <w:szCs w:val="28"/>
        </w:rPr>
        <w:t xml:space="preserve">o que implica que el texto original del artículo 32 </w:t>
      </w:r>
      <w:r w:rsidRPr="00DF77C8">
        <w:rPr>
          <w:rFonts w:ascii="Times New Roman" w:hAnsi="Times New Roman"/>
          <w:sz w:val="28"/>
          <w:szCs w:val="28"/>
        </w:rPr>
        <w:t>de esa normativa</w:t>
      </w:r>
      <w:r w:rsidRPr="00DF77C8">
        <w:rPr>
          <w:rFonts w:ascii="Times New Roman" w:hAnsi="Times New Roman"/>
          <w:sz w:val="28"/>
          <w:szCs w:val="28"/>
        </w:rPr>
        <w:t xml:space="preserve">, </w:t>
      </w:r>
      <w:r w:rsidRPr="00DF77C8">
        <w:rPr>
          <w:rFonts w:ascii="Times New Roman" w:hAnsi="Times New Roman"/>
          <w:sz w:val="28"/>
          <w:szCs w:val="28"/>
        </w:rPr>
        <w:t xml:space="preserve">incluyendo el numeral tercero que no fue </w:t>
      </w:r>
      <w:r w:rsidRPr="00DF77C8">
        <w:rPr>
          <w:rFonts w:ascii="Times New Roman" w:hAnsi="Times New Roman"/>
          <w:sz w:val="28"/>
          <w:szCs w:val="28"/>
        </w:rPr>
        <w:t>reproducido</w:t>
      </w:r>
      <w:r w:rsidRPr="00DF77C8">
        <w:rPr>
          <w:rFonts w:ascii="Times New Roman" w:hAnsi="Times New Roman"/>
          <w:sz w:val="28"/>
          <w:szCs w:val="28"/>
        </w:rPr>
        <w:t xml:space="preserve">, </w:t>
      </w:r>
      <w:r w:rsidRPr="00DF77C8">
        <w:rPr>
          <w:rFonts w:ascii="Times New Roman" w:hAnsi="Times New Roman"/>
          <w:sz w:val="28"/>
          <w:szCs w:val="28"/>
        </w:rPr>
        <w:t>fue subrogado por el contenido de la</w:t>
      </w:r>
      <w:r w:rsidRPr="00DF77C8">
        <w:rPr>
          <w:rFonts w:ascii="Times New Roman" w:hAnsi="Times New Roman"/>
          <w:sz w:val="28"/>
          <w:szCs w:val="28"/>
        </w:rPr>
        <w:t xml:space="preserve"> nueva norma</w:t>
      </w:r>
      <w:r w:rsidRPr="00DF77C8">
        <w:rPr>
          <w:rFonts w:ascii="Times New Roman" w:hAnsi="Times New Roman"/>
          <w:sz w:val="28"/>
          <w:szCs w:val="28"/>
        </w:rPr>
        <w:t>.</w:t>
      </w:r>
    </w:p>
    <w:p w:rsidR="00E879F9" w:rsidRPr="00DF77C8" w:rsidRDefault="00DF77C8" w:rsidP="008A4B21">
      <w:pPr>
        <w:pStyle w:val="Prrafodelista"/>
        <w:tabs>
          <w:tab w:val="left" w:pos="567"/>
        </w:tabs>
        <w:ind w:left="0" w:right="-26"/>
        <w:jc w:val="both"/>
        <w:rPr>
          <w:rFonts w:ascii="Times New Roman" w:hAnsi="Times New Roman"/>
          <w:sz w:val="28"/>
          <w:szCs w:val="28"/>
        </w:rPr>
      </w:pPr>
    </w:p>
    <w:p w:rsidR="009D769A"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La figura de la subrogación</w:t>
      </w:r>
      <w:r w:rsidRPr="00DF77C8">
        <w:rPr>
          <w:rFonts w:ascii="Times New Roman" w:hAnsi="Times New Roman"/>
          <w:sz w:val="28"/>
          <w:szCs w:val="28"/>
        </w:rPr>
        <w:t xml:space="preserve"> </w:t>
      </w:r>
      <w:r w:rsidRPr="00DF77C8">
        <w:rPr>
          <w:rFonts w:ascii="Times New Roman" w:hAnsi="Times New Roman"/>
          <w:sz w:val="28"/>
          <w:szCs w:val="28"/>
        </w:rPr>
        <w:t>ha sido abordada por la Corte</w:t>
      </w:r>
      <w:r w:rsidRPr="00DF77C8">
        <w:rPr>
          <w:rFonts w:ascii="Times New Roman" w:hAnsi="Times New Roman"/>
          <w:sz w:val="28"/>
          <w:szCs w:val="28"/>
        </w:rPr>
        <w:t xml:space="preserve">, entre otras en </w:t>
      </w:r>
      <w:r w:rsidRPr="00DF77C8">
        <w:rPr>
          <w:rFonts w:ascii="Times New Roman" w:hAnsi="Times New Roman"/>
          <w:sz w:val="28"/>
          <w:szCs w:val="28"/>
        </w:rPr>
        <w:t xml:space="preserve">la </w:t>
      </w:r>
      <w:r w:rsidRPr="00DF77C8">
        <w:rPr>
          <w:rFonts w:ascii="Times New Roman" w:hAnsi="Times New Roman"/>
          <w:sz w:val="28"/>
          <w:szCs w:val="28"/>
        </w:rPr>
        <w:t xml:space="preserve">Sentencia </w:t>
      </w:r>
      <w:r w:rsidRPr="00DF77C8">
        <w:rPr>
          <w:rFonts w:ascii="Times New Roman" w:hAnsi="Times New Roman"/>
          <w:sz w:val="28"/>
          <w:szCs w:val="28"/>
        </w:rPr>
        <w:t>C-</w:t>
      </w:r>
      <w:r w:rsidRPr="00DF77C8">
        <w:rPr>
          <w:rFonts w:ascii="Times New Roman" w:hAnsi="Times New Roman"/>
          <w:sz w:val="28"/>
          <w:szCs w:val="28"/>
        </w:rPr>
        <w:t xml:space="preserve">428 de 2020, </w:t>
      </w:r>
      <w:r w:rsidRPr="00DF77C8">
        <w:rPr>
          <w:rFonts w:ascii="Times New Roman" w:hAnsi="Times New Roman"/>
          <w:sz w:val="28"/>
          <w:szCs w:val="28"/>
        </w:rPr>
        <w:t>establece que es “</w:t>
      </w:r>
      <w:r w:rsidRPr="00DF77C8">
        <w:rPr>
          <w:rFonts w:ascii="Times New Roman" w:hAnsi="Times New Roman"/>
          <w:bCs/>
          <w:color w:val="000000"/>
          <w:sz w:val="28"/>
          <w:szCs w:val="28"/>
        </w:rPr>
        <w:t xml:space="preserve">una modalidad de la derogación, la cual consiste en el </w:t>
      </w:r>
      <w:r w:rsidRPr="00DF77C8">
        <w:rPr>
          <w:rFonts w:ascii="Times New Roman" w:hAnsi="Times New Roman"/>
          <w:bCs/>
          <w:color w:val="000000"/>
          <w:sz w:val="28"/>
          <w:szCs w:val="28"/>
        </w:rPr>
        <w:t>`</w:t>
      </w:r>
      <w:r w:rsidRPr="00DF77C8">
        <w:rPr>
          <w:rFonts w:ascii="Times New Roman" w:hAnsi="Times New Roman"/>
          <w:bCs/>
          <w:i/>
          <w:color w:val="000000"/>
          <w:sz w:val="28"/>
          <w:szCs w:val="28"/>
        </w:rPr>
        <w:t>acto de sustituir una norma por otra</w:t>
      </w:r>
      <w:r w:rsidRPr="00DF77C8">
        <w:rPr>
          <w:rFonts w:ascii="Times New Roman" w:hAnsi="Times New Roman"/>
          <w:bCs/>
          <w:color w:val="000000"/>
          <w:sz w:val="28"/>
          <w:szCs w:val="28"/>
        </w:rPr>
        <w:t>`</w:t>
      </w:r>
      <w:r w:rsidRPr="00DF77C8">
        <w:rPr>
          <w:rStyle w:val="Refdenotaalpie"/>
          <w:rFonts w:ascii="Times New Roman" w:hAnsi="Times New Roman"/>
          <w:bCs/>
          <w:color w:val="000000"/>
          <w:sz w:val="28"/>
          <w:szCs w:val="28"/>
        </w:rPr>
        <w:footnoteReference w:id="30"/>
      </w:r>
      <w:r w:rsidRPr="00DF77C8">
        <w:rPr>
          <w:rFonts w:ascii="Times New Roman" w:hAnsi="Times New Roman"/>
          <w:bCs/>
          <w:color w:val="000000"/>
          <w:sz w:val="28"/>
          <w:szCs w:val="28"/>
        </w:rPr>
        <w:t>. De manera precisa, este tribunal ha señalado que la subrogación se diferencia de la derogación</w:t>
      </w:r>
      <w:r w:rsidRPr="00DF77C8">
        <w:rPr>
          <w:rFonts w:ascii="Times New Roman" w:hAnsi="Times New Roman"/>
          <w:bCs/>
          <w:i/>
          <w:color w:val="000000"/>
          <w:sz w:val="28"/>
          <w:szCs w:val="28"/>
        </w:rPr>
        <w:t xml:space="preserve"> </w:t>
      </w:r>
      <w:r w:rsidRPr="00DF77C8">
        <w:rPr>
          <w:rFonts w:ascii="Times New Roman" w:hAnsi="Times New Roman"/>
          <w:bCs/>
          <w:i/>
          <w:color w:val="000000"/>
          <w:sz w:val="28"/>
          <w:szCs w:val="28"/>
        </w:rPr>
        <w:t>`</w:t>
      </w:r>
      <w:r w:rsidRPr="00DF77C8">
        <w:rPr>
          <w:rFonts w:ascii="Times New Roman" w:hAnsi="Times New Roman"/>
          <w:bCs/>
          <w:i/>
          <w:color w:val="000000"/>
          <w:sz w:val="28"/>
          <w:szCs w:val="28"/>
        </w:rPr>
        <w:t xml:space="preserve">como quiera que la </w:t>
      </w:r>
      <w:r w:rsidRPr="00DF77C8">
        <w:rPr>
          <w:rFonts w:ascii="Times New Roman" w:hAnsi="Times New Roman"/>
          <w:bCs/>
          <w:i/>
          <w:color w:val="000000"/>
          <w:sz w:val="28"/>
          <w:szCs w:val="28"/>
        </w:rPr>
        <w:t>primera, en lugar de abolir o anular una disposición del ordenamiento jurídico, lo que hace es reemplazar un texto normativo por otro. Por tanto, como resultado de la subrogación, las normas jurídicas preexistentes pueden ser derogadas, modificadas o susti</w:t>
      </w:r>
      <w:r w:rsidRPr="00DF77C8">
        <w:rPr>
          <w:rFonts w:ascii="Times New Roman" w:hAnsi="Times New Roman"/>
          <w:bCs/>
          <w:i/>
          <w:color w:val="000000"/>
          <w:sz w:val="28"/>
          <w:szCs w:val="28"/>
        </w:rPr>
        <w:t>tuidas por otras nuevas, en todo o en parte</w:t>
      </w:r>
      <w:r w:rsidRPr="00DF77C8">
        <w:rPr>
          <w:rFonts w:ascii="Times New Roman" w:hAnsi="Times New Roman"/>
          <w:bCs/>
          <w:color w:val="000000"/>
          <w:sz w:val="28"/>
          <w:szCs w:val="28"/>
        </w:rPr>
        <w:t>`</w:t>
      </w:r>
      <w:r w:rsidRPr="00DF77C8">
        <w:rPr>
          <w:rStyle w:val="Refdenotaalpie"/>
          <w:rFonts w:ascii="Times New Roman" w:hAnsi="Times New Roman"/>
          <w:bCs/>
          <w:color w:val="000000"/>
          <w:sz w:val="28"/>
          <w:szCs w:val="28"/>
        </w:rPr>
        <w:footnoteReference w:id="31"/>
      </w:r>
      <w:r w:rsidRPr="00DF77C8">
        <w:rPr>
          <w:rFonts w:ascii="Times New Roman" w:hAnsi="Times New Roman"/>
          <w:sz w:val="28"/>
          <w:szCs w:val="28"/>
        </w:rPr>
        <w:t>”.</w:t>
      </w:r>
    </w:p>
    <w:p w:rsidR="000B63FD" w:rsidRPr="00DF77C8" w:rsidRDefault="00DF77C8" w:rsidP="008A4B21">
      <w:pPr>
        <w:pStyle w:val="Prrafodelista"/>
        <w:rPr>
          <w:rFonts w:ascii="Times New Roman" w:hAnsi="Times New Roman"/>
          <w:sz w:val="28"/>
          <w:szCs w:val="28"/>
        </w:rPr>
      </w:pPr>
    </w:p>
    <w:p w:rsidR="006C745C"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la hipótesis antes anotada, esta Corporación ha señalado </w:t>
      </w:r>
      <w:r w:rsidRPr="00DF77C8">
        <w:rPr>
          <w:rFonts w:ascii="Times New Roman" w:hAnsi="Times New Roman"/>
          <w:sz w:val="28"/>
          <w:szCs w:val="28"/>
        </w:rPr>
        <w:t>“que es posible realizar control constitucional, siempre que el contenido normativo acusado se haya mantenido inalterado y las razones de inconstit</w:t>
      </w:r>
      <w:r w:rsidRPr="00DF77C8">
        <w:rPr>
          <w:rFonts w:ascii="Times New Roman" w:hAnsi="Times New Roman"/>
          <w:sz w:val="28"/>
          <w:szCs w:val="28"/>
        </w:rPr>
        <w:t>ucionalidad alegadas se mantengan incólumes, y que las intervenciones recibidas, a su vez, sean pertinentes”</w:t>
      </w:r>
      <w:r w:rsidRPr="00DF77C8">
        <w:rPr>
          <w:rStyle w:val="Refdenotaalpie"/>
          <w:rFonts w:ascii="Times New Roman" w:hAnsi="Times New Roman"/>
          <w:sz w:val="28"/>
          <w:szCs w:val="28"/>
        </w:rPr>
        <w:footnoteReference w:id="32"/>
      </w:r>
      <w:r w:rsidRPr="00DF77C8">
        <w:rPr>
          <w:rFonts w:ascii="Times New Roman" w:hAnsi="Times New Roman"/>
          <w:sz w:val="28"/>
          <w:szCs w:val="28"/>
        </w:rPr>
        <w:t xml:space="preserve">. </w:t>
      </w:r>
    </w:p>
    <w:p w:rsidR="006C745C" w:rsidRPr="00DF77C8" w:rsidRDefault="00DF77C8" w:rsidP="008A4B21">
      <w:pPr>
        <w:pStyle w:val="Prrafodelista"/>
        <w:rPr>
          <w:rFonts w:ascii="Times New Roman" w:hAnsi="Times New Roman"/>
          <w:sz w:val="28"/>
          <w:szCs w:val="28"/>
        </w:rPr>
      </w:pPr>
    </w:p>
    <w:p w:rsidR="009D769A"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También la Corte</w:t>
      </w:r>
      <w:r w:rsidRPr="00DF77C8">
        <w:rPr>
          <w:rFonts w:ascii="Times New Roman" w:hAnsi="Times New Roman"/>
          <w:sz w:val="28"/>
          <w:szCs w:val="28"/>
        </w:rPr>
        <w:t xml:space="preserve"> ha establecido algunos escenarios concretos para determinar </w:t>
      </w:r>
      <w:r w:rsidRPr="00DF77C8">
        <w:rPr>
          <w:rFonts w:ascii="Times New Roman" w:hAnsi="Times New Roman"/>
          <w:sz w:val="28"/>
          <w:szCs w:val="28"/>
        </w:rPr>
        <w:t>su</w:t>
      </w:r>
      <w:r w:rsidRPr="00DF77C8">
        <w:rPr>
          <w:rFonts w:ascii="Times New Roman" w:hAnsi="Times New Roman"/>
          <w:sz w:val="28"/>
          <w:szCs w:val="28"/>
        </w:rPr>
        <w:t xml:space="preserve"> competencia </w:t>
      </w:r>
      <w:r w:rsidRPr="00DF77C8">
        <w:rPr>
          <w:rFonts w:ascii="Times New Roman" w:hAnsi="Times New Roman"/>
          <w:sz w:val="28"/>
          <w:szCs w:val="28"/>
        </w:rPr>
        <w:t xml:space="preserve">cuando </w:t>
      </w:r>
      <w:r w:rsidRPr="00DF77C8">
        <w:rPr>
          <w:rFonts w:ascii="Times New Roman" w:hAnsi="Times New Roman"/>
          <w:sz w:val="28"/>
          <w:szCs w:val="28"/>
        </w:rPr>
        <w:t>se ha configurado</w:t>
      </w:r>
      <w:r w:rsidRPr="00DF77C8">
        <w:rPr>
          <w:rFonts w:ascii="Times New Roman" w:hAnsi="Times New Roman"/>
          <w:sz w:val="28"/>
          <w:szCs w:val="28"/>
        </w:rPr>
        <w:t xml:space="preserve"> </w:t>
      </w:r>
      <w:r w:rsidRPr="00DF77C8">
        <w:rPr>
          <w:rFonts w:ascii="Times New Roman" w:hAnsi="Times New Roman"/>
          <w:sz w:val="28"/>
          <w:szCs w:val="28"/>
        </w:rPr>
        <w:t xml:space="preserve">el fenómeno de la </w:t>
      </w:r>
      <w:r w:rsidRPr="00DF77C8">
        <w:rPr>
          <w:rFonts w:ascii="Times New Roman" w:hAnsi="Times New Roman"/>
          <w:sz w:val="28"/>
          <w:szCs w:val="28"/>
        </w:rPr>
        <w:t>subrogación</w:t>
      </w:r>
      <w:r w:rsidRPr="00DF77C8">
        <w:rPr>
          <w:rFonts w:ascii="Times New Roman" w:hAnsi="Times New Roman"/>
          <w:sz w:val="28"/>
          <w:szCs w:val="28"/>
        </w:rPr>
        <w:t>, así:</w:t>
      </w:r>
    </w:p>
    <w:p w:rsidR="001D1FB9" w:rsidRPr="00DF77C8" w:rsidRDefault="00DF77C8" w:rsidP="008A4B21">
      <w:pPr>
        <w:pStyle w:val="Prrafodelista"/>
        <w:rPr>
          <w:rFonts w:ascii="Times New Roman" w:hAnsi="Times New Roman"/>
          <w:sz w:val="28"/>
          <w:szCs w:val="28"/>
        </w:rPr>
      </w:pPr>
    </w:p>
    <w:p w:rsidR="001D1FB9" w:rsidRPr="00DF77C8" w:rsidRDefault="00DF77C8" w:rsidP="008A4B21">
      <w:pPr>
        <w:pStyle w:val="Prrafodelista"/>
        <w:tabs>
          <w:tab w:val="left" w:pos="567"/>
        </w:tabs>
        <w:ind w:right="-26"/>
        <w:jc w:val="both"/>
        <w:rPr>
          <w:rFonts w:ascii="Times New Roman" w:hAnsi="Times New Roman"/>
          <w:sz w:val="28"/>
          <w:szCs w:val="28"/>
        </w:rPr>
      </w:pPr>
      <w:r w:rsidRPr="00DF77C8">
        <w:rPr>
          <w:rFonts w:ascii="Times New Roman" w:hAnsi="Times New Roman"/>
          <w:sz w:val="28"/>
          <w:szCs w:val="28"/>
        </w:rPr>
        <w:t>“(…) 1.- La norma subrogada y la subrogatoria tienen la misma jerarquía e idéntico contenido, por lo tanto la Corte mantiene competencia aunque la norma demandada haya sido subrogada. En ese caso –ejemplificado por la jurisprudencia prec</w:t>
      </w:r>
      <w:r w:rsidRPr="00DF77C8">
        <w:rPr>
          <w:rFonts w:ascii="Times New Roman" w:hAnsi="Times New Roman"/>
          <w:sz w:val="28"/>
          <w:szCs w:val="28"/>
        </w:rPr>
        <w:t>itada- la Corte puede hacer la integración normativa según las subreglas constitucionales vigentes. Se puede decir que la norma subrogada continúa con la producción de sus efectos jurídicos porque su contenido material pervive en la disposición subrogatori</w:t>
      </w:r>
      <w:r w:rsidRPr="00DF77C8">
        <w:rPr>
          <w:rFonts w:ascii="Times New Roman" w:hAnsi="Times New Roman"/>
          <w:sz w:val="28"/>
          <w:szCs w:val="28"/>
        </w:rPr>
        <w:t xml:space="preserve">a. </w:t>
      </w:r>
    </w:p>
    <w:p w:rsidR="001D1FB9" w:rsidRPr="00DF77C8" w:rsidRDefault="00DF77C8" w:rsidP="008A4B21">
      <w:pPr>
        <w:pStyle w:val="Prrafodelista"/>
        <w:tabs>
          <w:tab w:val="left" w:pos="567"/>
        </w:tabs>
        <w:ind w:right="-26"/>
        <w:jc w:val="both"/>
        <w:rPr>
          <w:rFonts w:ascii="Times New Roman" w:hAnsi="Times New Roman"/>
          <w:sz w:val="28"/>
          <w:szCs w:val="28"/>
        </w:rPr>
      </w:pPr>
    </w:p>
    <w:p w:rsidR="001D1FB9" w:rsidRPr="00DF77C8" w:rsidRDefault="00DF77C8" w:rsidP="008A4B21">
      <w:pPr>
        <w:pStyle w:val="Prrafodelista"/>
        <w:tabs>
          <w:tab w:val="left" w:pos="567"/>
        </w:tabs>
        <w:ind w:right="-26"/>
        <w:jc w:val="both"/>
        <w:rPr>
          <w:rFonts w:ascii="Times New Roman" w:hAnsi="Times New Roman"/>
          <w:sz w:val="28"/>
          <w:szCs w:val="28"/>
        </w:rPr>
      </w:pPr>
      <w:r w:rsidRPr="00DF77C8">
        <w:rPr>
          <w:rFonts w:ascii="Times New Roman" w:hAnsi="Times New Roman"/>
          <w:sz w:val="28"/>
          <w:szCs w:val="28"/>
        </w:rPr>
        <w:t>2.- La norma subrogatoria es de inferior jerarquía, en ese caso, ya sea un contenido idéntico o no, la Corte no sería competente para decidir sobre la disposición subrogatoria. Sin embargo, procede analizar si la norma subrogada aun genera consecuenci</w:t>
      </w:r>
      <w:r w:rsidRPr="00DF77C8">
        <w:rPr>
          <w:rFonts w:ascii="Times New Roman" w:hAnsi="Times New Roman"/>
          <w:sz w:val="28"/>
          <w:szCs w:val="28"/>
        </w:rPr>
        <w:t xml:space="preserve">as jurídicas mediante la revisión de una eventual producción de sus efectos, esto se puede establecer por la práctica real o por el análisis de vigencia determinado por el propio sistema jurídico. </w:t>
      </w:r>
    </w:p>
    <w:p w:rsidR="001D1FB9" w:rsidRPr="00DF77C8" w:rsidRDefault="00DF77C8" w:rsidP="008A4B21">
      <w:pPr>
        <w:pStyle w:val="Prrafodelista"/>
        <w:tabs>
          <w:tab w:val="left" w:pos="567"/>
        </w:tabs>
        <w:ind w:right="-26"/>
        <w:jc w:val="both"/>
        <w:rPr>
          <w:rFonts w:ascii="Times New Roman" w:hAnsi="Times New Roman"/>
          <w:sz w:val="28"/>
          <w:szCs w:val="28"/>
        </w:rPr>
      </w:pPr>
    </w:p>
    <w:p w:rsidR="001D1FB9" w:rsidRPr="00DF77C8" w:rsidRDefault="00DF77C8" w:rsidP="008A4B21">
      <w:pPr>
        <w:pStyle w:val="Prrafodelista"/>
        <w:tabs>
          <w:tab w:val="left" w:pos="567"/>
        </w:tabs>
        <w:ind w:right="-26"/>
        <w:jc w:val="both"/>
        <w:rPr>
          <w:rFonts w:ascii="Times New Roman" w:hAnsi="Times New Roman"/>
          <w:sz w:val="28"/>
          <w:szCs w:val="28"/>
        </w:rPr>
      </w:pPr>
      <w:r w:rsidRPr="00DF77C8">
        <w:rPr>
          <w:rFonts w:ascii="Times New Roman" w:hAnsi="Times New Roman"/>
          <w:sz w:val="28"/>
          <w:szCs w:val="28"/>
        </w:rPr>
        <w:t xml:space="preserve">3.- La norma subrogada y la subrogatoria tienen la misma </w:t>
      </w:r>
      <w:r w:rsidRPr="00DF77C8">
        <w:rPr>
          <w:rFonts w:ascii="Times New Roman" w:hAnsi="Times New Roman"/>
          <w:sz w:val="28"/>
          <w:szCs w:val="28"/>
        </w:rPr>
        <w:t>jerarquía</w:t>
      </w:r>
      <w:r w:rsidRPr="00DF77C8">
        <w:rPr>
          <w:rFonts w:ascii="Times New Roman" w:hAnsi="Times New Roman"/>
          <w:sz w:val="28"/>
          <w:szCs w:val="28"/>
        </w:rPr>
        <w:t>,</w:t>
      </w:r>
      <w:r w:rsidRPr="00DF77C8">
        <w:rPr>
          <w:rFonts w:ascii="Times New Roman" w:hAnsi="Times New Roman"/>
          <w:sz w:val="28"/>
          <w:szCs w:val="28"/>
        </w:rPr>
        <w:t xml:space="preserve"> pero contenidos materialmente distintos, en ese caso, la Corte no podría hacer la integración normativa pues podría incurrir en un control oficioso que le está vedado. En ese caso procede analizar si la norma subrogada mantiene consecuencias jurídicas med</w:t>
      </w:r>
      <w:r w:rsidRPr="00DF77C8">
        <w:rPr>
          <w:rFonts w:ascii="Times New Roman" w:hAnsi="Times New Roman"/>
          <w:sz w:val="28"/>
          <w:szCs w:val="28"/>
        </w:rPr>
        <w:t>iante la revisión de una eventual producción de sus efectos, esto se puede establecer por la práctica o por el análisis de las disposiciones sobre la vigencia (…)”</w:t>
      </w:r>
      <w:r w:rsidRPr="00DF77C8">
        <w:rPr>
          <w:rStyle w:val="Refdenotaalpie"/>
          <w:rFonts w:ascii="Times New Roman" w:hAnsi="Times New Roman"/>
          <w:sz w:val="28"/>
          <w:szCs w:val="28"/>
        </w:rPr>
        <w:footnoteReference w:id="33"/>
      </w:r>
      <w:r w:rsidRPr="00DF77C8">
        <w:rPr>
          <w:rFonts w:ascii="Times New Roman" w:hAnsi="Times New Roman"/>
          <w:sz w:val="28"/>
          <w:szCs w:val="28"/>
        </w:rPr>
        <w:t>.</w:t>
      </w:r>
    </w:p>
    <w:p w:rsidR="001D1FB9" w:rsidRPr="00DF77C8" w:rsidRDefault="00DF77C8" w:rsidP="008A4B21">
      <w:pPr>
        <w:pStyle w:val="Prrafodelista"/>
        <w:tabs>
          <w:tab w:val="left" w:pos="567"/>
        </w:tabs>
        <w:ind w:left="0" w:right="-26"/>
        <w:jc w:val="both"/>
        <w:rPr>
          <w:rFonts w:ascii="Times New Roman" w:hAnsi="Times New Roman"/>
          <w:sz w:val="28"/>
          <w:szCs w:val="28"/>
        </w:rPr>
      </w:pPr>
    </w:p>
    <w:p w:rsidR="004366AF"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Como se ve, en este caso </w:t>
      </w:r>
      <w:r w:rsidRPr="00DF77C8">
        <w:rPr>
          <w:rFonts w:ascii="Times New Roman" w:hAnsi="Times New Roman"/>
          <w:sz w:val="28"/>
          <w:szCs w:val="28"/>
        </w:rPr>
        <w:t xml:space="preserve">el artículo 12 de la Ley 2098 de 2021 sustituyó el </w:t>
      </w:r>
      <w:r w:rsidRPr="00DF77C8">
        <w:rPr>
          <w:rFonts w:ascii="Times New Roman" w:hAnsi="Times New Roman"/>
          <w:sz w:val="28"/>
          <w:szCs w:val="28"/>
        </w:rPr>
        <w:t xml:space="preserve">artículo 32 original de la Ley 906 de 2004, </w:t>
      </w:r>
      <w:r w:rsidRPr="00DF77C8">
        <w:rPr>
          <w:rFonts w:ascii="Times New Roman" w:hAnsi="Times New Roman"/>
          <w:sz w:val="28"/>
          <w:szCs w:val="28"/>
        </w:rPr>
        <w:t>modificando parcialmente algunas funciones atribuidas a la Sala Penal de la Corte Suprema de Justicia</w:t>
      </w:r>
      <w:r w:rsidRPr="00DF77C8">
        <w:rPr>
          <w:rFonts w:ascii="Times New Roman" w:hAnsi="Times New Roman"/>
          <w:sz w:val="28"/>
          <w:szCs w:val="28"/>
        </w:rPr>
        <w:t xml:space="preserve">, puesto que suprimió en su integridad el numeral 3º e incluyó </w:t>
      </w:r>
      <w:r w:rsidRPr="00DF77C8">
        <w:rPr>
          <w:rFonts w:ascii="Times New Roman" w:hAnsi="Times New Roman"/>
          <w:sz w:val="28"/>
          <w:szCs w:val="28"/>
        </w:rPr>
        <w:t xml:space="preserve">los numerales 9º, 10º y 11, </w:t>
      </w:r>
      <w:r w:rsidRPr="00DF77C8">
        <w:rPr>
          <w:rFonts w:ascii="Times New Roman" w:hAnsi="Times New Roman"/>
          <w:sz w:val="28"/>
          <w:szCs w:val="28"/>
        </w:rPr>
        <w:t>q</w:t>
      </w:r>
      <w:r w:rsidRPr="00DF77C8">
        <w:rPr>
          <w:rFonts w:ascii="Times New Roman" w:hAnsi="Times New Roman"/>
          <w:sz w:val="28"/>
          <w:szCs w:val="28"/>
        </w:rPr>
        <w:t xml:space="preserve">ue luego fueron declarados inexequibles por esta Corporación. </w:t>
      </w:r>
    </w:p>
    <w:p w:rsidR="004366AF" w:rsidRPr="00DF77C8" w:rsidRDefault="00DF77C8" w:rsidP="008A4B21">
      <w:pPr>
        <w:pStyle w:val="Prrafodelista"/>
        <w:tabs>
          <w:tab w:val="left" w:pos="567"/>
        </w:tabs>
        <w:ind w:left="0" w:right="-26"/>
        <w:jc w:val="both"/>
        <w:rPr>
          <w:rFonts w:ascii="Times New Roman" w:hAnsi="Times New Roman"/>
          <w:sz w:val="28"/>
          <w:szCs w:val="28"/>
        </w:rPr>
      </w:pPr>
    </w:p>
    <w:p w:rsidR="00FF4DF7"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la misma forma</w:t>
      </w:r>
      <w:r w:rsidRPr="00DF77C8">
        <w:rPr>
          <w:rFonts w:ascii="Times New Roman" w:hAnsi="Times New Roman"/>
          <w:sz w:val="28"/>
          <w:szCs w:val="28"/>
        </w:rPr>
        <w:t xml:space="preserve">, a la luz </w:t>
      </w:r>
      <w:r w:rsidRPr="00DF77C8">
        <w:rPr>
          <w:rFonts w:ascii="Times New Roman" w:hAnsi="Times New Roman"/>
          <w:sz w:val="28"/>
          <w:szCs w:val="28"/>
        </w:rPr>
        <w:t>de las reglas jurisprudenciales anteriormente señaladas</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la Corte Constitucional </w:t>
      </w:r>
      <w:r w:rsidRPr="00DF77C8">
        <w:rPr>
          <w:rFonts w:ascii="Times New Roman" w:hAnsi="Times New Roman"/>
          <w:sz w:val="28"/>
          <w:szCs w:val="28"/>
        </w:rPr>
        <w:t xml:space="preserve">observa </w:t>
      </w:r>
      <w:r w:rsidRPr="00DF77C8">
        <w:rPr>
          <w:rFonts w:ascii="Times New Roman" w:hAnsi="Times New Roman"/>
          <w:sz w:val="28"/>
          <w:szCs w:val="28"/>
        </w:rPr>
        <w:t xml:space="preserve">que en este caso </w:t>
      </w:r>
      <w:r w:rsidRPr="00DF77C8">
        <w:rPr>
          <w:rFonts w:ascii="Times New Roman" w:hAnsi="Times New Roman"/>
          <w:sz w:val="28"/>
          <w:szCs w:val="28"/>
        </w:rPr>
        <w:t xml:space="preserve">no se encuentra habilitada para </w:t>
      </w:r>
      <w:r w:rsidRPr="00DF77C8">
        <w:rPr>
          <w:rFonts w:ascii="Times New Roman" w:hAnsi="Times New Roman"/>
          <w:sz w:val="28"/>
          <w:szCs w:val="28"/>
        </w:rPr>
        <w:t>efectuar el control consti</w:t>
      </w:r>
      <w:r w:rsidRPr="00DF77C8">
        <w:rPr>
          <w:rFonts w:ascii="Times New Roman" w:hAnsi="Times New Roman"/>
          <w:sz w:val="28"/>
          <w:szCs w:val="28"/>
        </w:rPr>
        <w:t>tucional respecto del numeral 3º del artículo 32 original del CPP porque este fue suprimido por el legislador</w:t>
      </w:r>
      <w:r w:rsidRPr="00DF77C8">
        <w:rPr>
          <w:rFonts w:ascii="Times New Roman" w:hAnsi="Times New Roman"/>
          <w:sz w:val="28"/>
          <w:szCs w:val="28"/>
        </w:rPr>
        <w:t xml:space="preserve"> en su integridad y</w:t>
      </w:r>
      <w:r w:rsidRPr="00DF77C8">
        <w:rPr>
          <w:rFonts w:ascii="Times New Roman" w:hAnsi="Times New Roman"/>
          <w:sz w:val="28"/>
          <w:szCs w:val="28"/>
        </w:rPr>
        <w:t xml:space="preserve">, en esa medida, </w:t>
      </w:r>
      <w:r w:rsidRPr="00DF77C8">
        <w:rPr>
          <w:rFonts w:ascii="Times New Roman" w:hAnsi="Times New Roman"/>
          <w:sz w:val="28"/>
          <w:szCs w:val="28"/>
        </w:rPr>
        <w:t xml:space="preserve">no puede predicarse que existe un contenido idéntico </w:t>
      </w:r>
      <w:r w:rsidRPr="00DF77C8">
        <w:rPr>
          <w:rFonts w:ascii="Times New Roman" w:hAnsi="Times New Roman"/>
          <w:sz w:val="28"/>
          <w:szCs w:val="28"/>
        </w:rPr>
        <w:t xml:space="preserve">desde una perspectiva formal ni material </w:t>
      </w:r>
      <w:r w:rsidRPr="00DF77C8">
        <w:rPr>
          <w:rFonts w:ascii="Times New Roman" w:hAnsi="Times New Roman"/>
          <w:sz w:val="28"/>
          <w:szCs w:val="28"/>
        </w:rPr>
        <w:t xml:space="preserve">entre la norma </w:t>
      </w:r>
      <w:r w:rsidRPr="00DF77C8">
        <w:rPr>
          <w:rFonts w:ascii="Times New Roman" w:hAnsi="Times New Roman"/>
          <w:sz w:val="28"/>
          <w:szCs w:val="28"/>
        </w:rPr>
        <w:t>subrogada y la subrogatoria</w:t>
      </w:r>
      <w:r w:rsidRPr="00DF77C8">
        <w:rPr>
          <w:rFonts w:ascii="Times New Roman" w:hAnsi="Times New Roman"/>
          <w:sz w:val="28"/>
          <w:szCs w:val="28"/>
        </w:rPr>
        <w:t xml:space="preserve">. Desde una perspectiva formal, </w:t>
      </w:r>
      <w:r w:rsidRPr="00DF77C8">
        <w:rPr>
          <w:rFonts w:ascii="Times New Roman" w:hAnsi="Times New Roman"/>
          <w:sz w:val="28"/>
          <w:szCs w:val="28"/>
        </w:rPr>
        <w:t xml:space="preserve">el </w:t>
      </w:r>
      <w:r w:rsidRPr="00DF77C8">
        <w:rPr>
          <w:rFonts w:ascii="Times New Roman" w:hAnsi="Times New Roman"/>
          <w:sz w:val="28"/>
          <w:szCs w:val="28"/>
        </w:rPr>
        <w:t xml:space="preserve">legislador suprimió el numeral 3º original del </w:t>
      </w:r>
      <w:r w:rsidRPr="00DF77C8">
        <w:rPr>
          <w:rFonts w:ascii="Times New Roman" w:hAnsi="Times New Roman"/>
          <w:sz w:val="28"/>
          <w:szCs w:val="28"/>
        </w:rPr>
        <w:t xml:space="preserve">artículo 32 </w:t>
      </w:r>
      <w:r w:rsidRPr="00DF77C8">
        <w:rPr>
          <w:rFonts w:ascii="Times New Roman" w:hAnsi="Times New Roman"/>
          <w:sz w:val="28"/>
          <w:szCs w:val="28"/>
        </w:rPr>
        <w:t>de la Ley 906 de 2004. De</w:t>
      </w:r>
      <w:r w:rsidRPr="00DF77C8">
        <w:rPr>
          <w:rFonts w:ascii="Times New Roman" w:hAnsi="Times New Roman"/>
          <w:sz w:val="28"/>
          <w:szCs w:val="28"/>
        </w:rPr>
        <w:t xml:space="preserve">sde </w:t>
      </w:r>
      <w:r w:rsidRPr="00DF77C8">
        <w:rPr>
          <w:rFonts w:ascii="Times New Roman" w:hAnsi="Times New Roman"/>
          <w:sz w:val="28"/>
          <w:szCs w:val="28"/>
        </w:rPr>
        <w:t xml:space="preserve">el punto de vista material, </w:t>
      </w:r>
      <w:r w:rsidRPr="00DF77C8">
        <w:rPr>
          <w:rFonts w:ascii="Times New Roman" w:hAnsi="Times New Roman"/>
          <w:sz w:val="28"/>
          <w:szCs w:val="28"/>
        </w:rPr>
        <w:t xml:space="preserve">el contenido del numeral 3º original del CPP no fue reproducido ni total ni parcialmente en </w:t>
      </w:r>
      <w:r w:rsidRPr="00DF77C8">
        <w:rPr>
          <w:rFonts w:ascii="Times New Roman" w:hAnsi="Times New Roman"/>
          <w:sz w:val="28"/>
          <w:szCs w:val="28"/>
        </w:rPr>
        <w:t>ese mismo cuerpo normativo ni en ot</w:t>
      </w:r>
      <w:r w:rsidRPr="00DF77C8">
        <w:rPr>
          <w:rFonts w:ascii="Times New Roman" w:hAnsi="Times New Roman"/>
          <w:sz w:val="28"/>
          <w:szCs w:val="28"/>
        </w:rPr>
        <w:t xml:space="preserve">ro. </w:t>
      </w:r>
    </w:p>
    <w:p w:rsidR="00FF4DF7" w:rsidRPr="00DF77C8" w:rsidRDefault="00DF77C8" w:rsidP="008A4B21">
      <w:pPr>
        <w:pStyle w:val="Prrafodelista"/>
        <w:rPr>
          <w:rFonts w:ascii="Times New Roman" w:hAnsi="Times New Roman"/>
          <w:sz w:val="28"/>
          <w:szCs w:val="28"/>
        </w:rPr>
      </w:pPr>
    </w:p>
    <w:p w:rsidR="00A36C4D"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otras palabras,</w:t>
      </w:r>
      <w:r w:rsidRPr="00DF77C8">
        <w:rPr>
          <w:rFonts w:ascii="Times New Roman" w:hAnsi="Times New Roman"/>
          <w:sz w:val="28"/>
          <w:szCs w:val="28"/>
        </w:rPr>
        <w:t xml:space="preserve"> el artículo 32 de la Ley 906 de 2004 solo es susceptible de aplicarse a partir de lo dispuesto en el art</w:t>
      </w:r>
      <w:r w:rsidRPr="00DF77C8">
        <w:rPr>
          <w:rFonts w:ascii="Times New Roman" w:hAnsi="Times New Roman"/>
          <w:sz w:val="28"/>
          <w:szCs w:val="28"/>
        </w:rPr>
        <w:t>ículo 12 de la Ley 2098 de 2021, lo que se traduce en que toda norma que no haya sido incluida en esta última disposición desapareció del ordenamiento jurídico, por efecto de la subrogación.</w:t>
      </w:r>
    </w:p>
    <w:p w:rsidR="00A36C4D" w:rsidRPr="00DF77C8" w:rsidRDefault="00DF77C8" w:rsidP="008A4B21">
      <w:pPr>
        <w:pStyle w:val="Prrafodelista"/>
        <w:tabs>
          <w:tab w:val="left" w:pos="567"/>
        </w:tabs>
        <w:ind w:left="0" w:right="-26"/>
        <w:jc w:val="both"/>
        <w:rPr>
          <w:rFonts w:ascii="Times New Roman" w:hAnsi="Times New Roman"/>
          <w:sz w:val="28"/>
          <w:szCs w:val="28"/>
        </w:rPr>
      </w:pPr>
    </w:p>
    <w:p w:rsidR="00E52C46"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términos de</w:t>
      </w:r>
      <w:r w:rsidRPr="00DF77C8">
        <w:rPr>
          <w:rFonts w:ascii="Times New Roman" w:hAnsi="Times New Roman"/>
          <w:sz w:val="28"/>
          <w:szCs w:val="28"/>
        </w:rPr>
        <w:t xml:space="preserve"> l</w:t>
      </w:r>
      <w:r w:rsidRPr="00DF77C8">
        <w:rPr>
          <w:rFonts w:ascii="Times New Roman" w:hAnsi="Times New Roman"/>
          <w:sz w:val="28"/>
          <w:szCs w:val="28"/>
        </w:rPr>
        <w:t>a producción de efectos jurídicos</w:t>
      </w:r>
      <w:r w:rsidRPr="00DF77C8">
        <w:rPr>
          <w:rFonts w:ascii="Times New Roman" w:hAnsi="Times New Roman"/>
          <w:sz w:val="28"/>
          <w:szCs w:val="28"/>
        </w:rPr>
        <w:t xml:space="preserve">, </w:t>
      </w:r>
      <w:r w:rsidRPr="00DF77C8">
        <w:rPr>
          <w:rFonts w:ascii="Times New Roman" w:hAnsi="Times New Roman"/>
          <w:sz w:val="28"/>
          <w:szCs w:val="28"/>
        </w:rPr>
        <w:t>aunque</w:t>
      </w:r>
      <w:r w:rsidRPr="00DF77C8">
        <w:rPr>
          <w:rFonts w:ascii="Times New Roman" w:hAnsi="Times New Roman"/>
          <w:sz w:val="28"/>
          <w:szCs w:val="28"/>
        </w:rPr>
        <w:t xml:space="preserve"> con posterioridad a la </w:t>
      </w:r>
      <w:r w:rsidRPr="00DF77C8">
        <w:rPr>
          <w:rFonts w:ascii="Times New Roman" w:hAnsi="Times New Roman"/>
          <w:sz w:val="28"/>
          <w:szCs w:val="28"/>
        </w:rPr>
        <w:t xml:space="preserve">entrada en </w:t>
      </w:r>
      <w:r w:rsidRPr="00DF77C8">
        <w:rPr>
          <w:rFonts w:ascii="Times New Roman" w:hAnsi="Times New Roman"/>
          <w:sz w:val="28"/>
          <w:szCs w:val="28"/>
        </w:rPr>
        <w:t xml:space="preserve">vigencia de la Ley 2098 de 2021 la </w:t>
      </w:r>
      <w:r w:rsidRPr="00DF77C8">
        <w:rPr>
          <w:rFonts w:ascii="Times New Roman" w:hAnsi="Times New Roman"/>
          <w:sz w:val="28"/>
          <w:szCs w:val="28"/>
        </w:rPr>
        <w:t xml:space="preserve">Sala Penal de la Corte Suprema de Justicia </w:t>
      </w:r>
      <w:r w:rsidRPr="00DF77C8">
        <w:rPr>
          <w:rFonts w:ascii="Times New Roman" w:hAnsi="Times New Roman"/>
          <w:sz w:val="28"/>
          <w:szCs w:val="28"/>
        </w:rPr>
        <w:t>ha invocado la versión original del numeral 3</w:t>
      </w:r>
      <w:r w:rsidRPr="00DF77C8">
        <w:rPr>
          <w:rFonts w:ascii="Times New Roman" w:hAnsi="Times New Roman"/>
          <w:sz w:val="28"/>
          <w:szCs w:val="28"/>
        </w:rPr>
        <w:t>º</w:t>
      </w:r>
      <w:r w:rsidRPr="00DF77C8">
        <w:rPr>
          <w:rFonts w:ascii="Times New Roman" w:hAnsi="Times New Roman"/>
          <w:sz w:val="28"/>
          <w:szCs w:val="28"/>
        </w:rPr>
        <w:t xml:space="preserve"> del art</w:t>
      </w:r>
      <w:r w:rsidRPr="00DF77C8">
        <w:rPr>
          <w:rFonts w:ascii="Times New Roman" w:hAnsi="Times New Roman"/>
          <w:sz w:val="28"/>
          <w:szCs w:val="28"/>
        </w:rPr>
        <w:t>ículo</w:t>
      </w:r>
      <w:r w:rsidRPr="00DF77C8">
        <w:rPr>
          <w:rFonts w:ascii="Times New Roman" w:hAnsi="Times New Roman"/>
          <w:sz w:val="28"/>
          <w:szCs w:val="28"/>
        </w:rPr>
        <w:t xml:space="preserve"> 32 </w:t>
      </w:r>
      <w:r w:rsidRPr="00DF77C8">
        <w:rPr>
          <w:rFonts w:ascii="Times New Roman" w:hAnsi="Times New Roman"/>
          <w:sz w:val="28"/>
          <w:szCs w:val="28"/>
        </w:rPr>
        <w:t xml:space="preserve">del </w:t>
      </w:r>
      <w:r w:rsidRPr="00DF77C8">
        <w:rPr>
          <w:rFonts w:ascii="Times New Roman" w:hAnsi="Times New Roman"/>
          <w:sz w:val="28"/>
          <w:szCs w:val="28"/>
        </w:rPr>
        <w:t>CPP para resolver apelaciones contra autos y sentencias proferidas por los t</w:t>
      </w:r>
      <w:r w:rsidRPr="00DF77C8">
        <w:rPr>
          <w:rFonts w:ascii="Times New Roman" w:hAnsi="Times New Roman"/>
          <w:sz w:val="28"/>
          <w:szCs w:val="28"/>
        </w:rPr>
        <w:t>ribunales superiores</w:t>
      </w:r>
      <w:r w:rsidRPr="00DF77C8">
        <w:rPr>
          <w:rFonts w:ascii="Times New Roman" w:hAnsi="Times New Roman"/>
          <w:sz w:val="28"/>
          <w:szCs w:val="28"/>
          <w:vertAlign w:val="superscript"/>
        </w:rPr>
        <w:footnoteReference w:id="34"/>
      </w:r>
      <w:r w:rsidRPr="00DF77C8">
        <w:rPr>
          <w:rFonts w:ascii="Times New Roman" w:hAnsi="Times New Roman"/>
          <w:sz w:val="28"/>
          <w:szCs w:val="28"/>
        </w:rPr>
        <w:t xml:space="preserve">, </w:t>
      </w:r>
      <w:r w:rsidRPr="00DF77C8">
        <w:rPr>
          <w:rFonts w:ascii="Times New Roman" w:hAnsi="Times New Roman"/>
          <w:sz w:val="28"/>
          <w:szCs w:val="28"/>
        </w:rPr>
        <w:t xml:space="preserve">también ha </w:t>
      </w:r>
      <w:r w:rsidRPr="00DF77C8">
        <w:rPr>
          <w:rFonts w:ascii="Times New Roman" w:hAnsi="Times New Roman"/>
          <w:sz w:val="28"/>
          <w:szCs w:val="28"/>
        </w:rPr>
        <w:t>fundament</w:t>
      </w:r>
      <w:r w:rsidRPr="00DF77C8">
        <w:rPr>
          <w:rFonts w:ascii="Times New Roman" w:hAnsi="Times New Roman"/>
          <w:sz w:val="28"/>
          <w:szCs w:val="28"/>
        </w:rPr>
        <w:t>ado</w:t>
      </w:r>
      <w:r w:rsidRPr="00DF77C8">
        <w:rPr>
          <w:rFonts w:ascii="Times New Roman" w:hAnsi="Times New Roman"/>
          <w:sz w:val="28"/>
          <w:szCs w:val="28"/>
        </w:rPr>
        <w:t xml:space="preserve"> su competencia </w:t>
      </w:r>
      <w:r w:rsidRPr="00DF77C8">
        <w:rPr>
          <w:rFonts w:ascii="Times New Roman" w:hAnsi="Times New Roman"/>
          <w:sz w:val="28"/>
          <w:szCs w:val="28"/>
        </w:rPr>
        <w:t xml:space="preserve">para avocar el conocimiento en </w:t>
      </w:r>
      <w:r w:rsidRPr="00DF77C8">
        <w:rPr>
          <w:rFonts w:ascii="Times New Roman" w:hAnsi="Times New Roman"/>
          <w:sz w:val="28"/>
          <w:szCs w:val="28"/>
        </w:rPr>
        <w:t>sede de apelación</w:t>
      </w:r>
      <w:r w:rsidRPr="00DF77C8">
        <w:rPr>
          <w:rFonts w:ascii="Times New Roman" w:hAnsi="Times New Roman"/>
          <w:sz w:val="28"/>
          <w:szCs w:val="28"/>
        </w:rPr>
        <w:t>,</w:t>
      </w:r>
      <w:r w:rsidRPr="00DF77C8">
        <w:rPr>
          <w:rFonts w:ascii="Times New Roman" w:hAnsi="Times New Roman"/>
          <w:sz w:val="28"/>
          <w:szCs w:val="28"/>
        </w:rPr>
        <w:t xml:space="preserve"> con base en lo dispuesto en el numeral 2º, del artículo 235</w:t>
      </w:r>
      <w:r w:rsidRPr="00DF77C8">
        <w:rPr>
          <w:rFonts w:ascii="Times New Roman" w:hAnsi="Times New Roman"/>
          <w:sz w:val="28"/>
          <w:szCs w:val="28"/>
        </w:rPr>
        <w:t xml:space="preserve"> superior</w:t>
      </w:r>
      <w:r w:rsidRPr="00DF77C8">
        <w:rPr>
          <w:rStyle w:val="Refdenotaalpie"/>
          <w:rFonts w:ascii="Times New Roman" w:hAnsi="Times New Roman"/>
          <w:sz w:val="28"/>
          <w:szCs w:val="28"/>
        </w:rPr>
        <w:footnoteReference w:id="35"/>
      </w:r>
      <w:r w:rsidRPr="00DF77C8">
        <w:rPr>
          <w:rFonts w:ascii="Times New Roman" w:hAnsi="Times New Roman"/>
          <w:sz w:val="28"/>
          <w:szCs w:val="28"/>
        </w:rPr>
        <w:t xml:space="preserve">. </w:t>
      </w:r>
      <w:r w:rsidRPr="00DF77C8">
        <w:rPr>
          <w:rFonts w:ascii="Times New Roman" w:hAnsi="Times New Roman"/>
          <w:sz w:val="28"/>
          <w:szCs w:val="28"/>
        </w:rPr>
        <w:t>Por lo cual,</w:t>
      </w:r>
      <w:r w:rsidRPr="00DF77C8">
        <w:rPr>
          <w:rFonts w:ascii="Times New Roman" w:hAnsi="Times New Roman"/>
          <w:sz w:val="28"/>
          <w:szCs w:val="28"/>
        </w:rPr>
        <w:t xml:space="preserve"> </w:t>
      </w:r>
      <w:r w:rsidRPr="00DF77C8">
        <w:rPr>
          <w:rFonts w:ascii="Times New Roman" w:hAnsi="Times New Roman"/>
          <w:sz w:val="28"/>
          <w:szCs w:val="28"/>
        </w:rPr>
        <w:t xml:space="preserve">tampoco </w:t>
      </w:r>
      <w:r w:rsidRPr="00DF77C8">
        <w:rPr>
          <w:rFonts w:ascii="Times New Roman" w:hAnsi="Times New Roman"/>
          <w:sz w:val="28"/>
          <w:szCs w:val="28"/>
        </w:rPr>
        <w:t xml:space="preserve">puede concluirse </w:t>
      </w:r>
      <w:r w:rsidRPr="00DF77C8">
        <w:rPr>
          <w:rFonts w:ascii="Times New Roman" w:hAnsi="Times New Roman"/>
          <w:sz w:val="28"/>
          <w:szCs w:val="28"/>
        </w:rPr>
        <w:t xml:space="preserve">que dicha disposición ha sido </w:t>
      </w:r>
      <w:r w:rsidRPr="00DF77C8">
        <w:rPr>
          <w:rFonts w:ascii="Times New Roman" w:hAnsi="Times New Roman"/>
          <w:sz w:val="28"/>
          <w:szCs w:val="28"/>
        </w:rPr>
        <w:t>aplicad</w:t>
      </w:r>
      <w:r w:rsidRPr="00DF77C8">
        <w:rPr>
          <w:rFonts w:ascii="Times New Roman" w:hAnsi="Times New Roman"/>
          <w:sz w:val="28"/>
          <w:szCs w:val="28"/>
        </w:rPr>
        <w:t xml:space="preserve">a de manera consistente para fijar la competencia </w:t>
      </w:r>
      <w:r w:rsidRPr="00DF77C8">
        <w:rPr>
          <w:rFonts w:ascii="Times New Roman" w:hAnsi="Times New Roman"/>
          <w:sz w:val="28"/>
          <w:szCs w:val="28"/>
        </w:rPr>
        <w:t>en sede de apelación respecto a las providencias expedidas en primera instancia por los tribunales superiores</w:t>
      </w:r>
      <w:r w:rsidRPr="00DF77C8">
        <w:rPr>
          <w:rFonts w:ascii="Times New Roman" w:hAnsi="Times New Roman"/>
          <w:sz w:val="28"/>
          <w:szCs w:val="28"/>
        </w:rPr>
        <w:t>,</w:t>
      </w:r>
      <w:r w:rsidRPr="00DF77C8">
        <w:rPr>
          <w:rFonts w:ascii="Times New Roman" w:hAnsi="Times New Roman"/>
          <w:sz w:val="28"/>
          <w:szCs w:val="28"/>
        </w:rPr>
        <w:t xml:space="preserve"> como lo sostienen el </w:t>
      </w:r>
      <w:r w:rsidRPr="00DF77C8">
        <w:rPr>
          <w:rFonts w:ascii="Times New Roman" w:hAnsi="Times New Roman"/>
          <w:sz w:val="28"/>
          <w:szCs w:val="28"/>
        </w:rPr>
        <w:t>demandante y algunos intervinientes</w:t>
      </w:r>
      <w:r w:rsidRPr="00DF77C8">
        <w:rPr>
          <w:rFonts w:ascii="Times New Roman" w:hAnsi="Times New Roman"/>
          <w:sz w:val="28"/>
          <w:szCs w:val="28"/>
        </w:rPr>
        <w:t>.</w:t>
      </w:r>
      <w:r w:rsidRPr="00DF77C8">
        <w:rPr>
          <w:rFonts w:ascii="Times New Roman" w:hAnsi="Times New Roman"/>
          <w:sz w:val="28"/>
          <w:szCs w:val="28"/>
        </w:rPr>
        <w:t xml:space="preserve"> </w:t>
      </w:r>
    </w:p>
    <w:p w:rsidR="00E52C46" w:rsidRPr="00DF77C8" w:rsidRDefault="00DF77C8" w:rsidP="008A4B21">
      <w:pPr>
        <w:pStyle w:val="Prrafodelista"/>
        <w:rPr>
          <w:rFonts w:ascii="Times New Roman" w:hAnsi="Times New Roman"/>
          <w:sz w:val="28"/>
          <w:szCs w:val="28"/>
        </w:rPr>
      </w:pPr>
    </w:p>
    <w:p w:rsidR="00CD3DAB"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Con todo, según lo establecido en el artículo 14 de la Ley </w:t>
      </w:r>
      <w:r w:rsidRPr="00DF77C8">
        <w:rPr>
          <w:rFonts w:ascii="Times New Roman" w:hAnsi="Times New Roman"/>
          <w:sz w:val="28"/>
          <w:szCs w:val="28"/>
        </w:rPr>
        <w:t>153 de 1887</w:t>
      </w:r>
      <w:r w:rsidRPr="00DF77C8">
        <w:rPr>
          <w:rFonts w:ascii="Times New Roman" w:hAnsi="Times New Roman"/>
          <w:sz w:val="28"/>
          <w:szCs w:val="28"/>
        </w:rPr>
        <w:t>,</w:t>
      </w:r>
      <w:r w:rsidRPr="00DF77C8">
        <w:rPr>
          <w:rFonts w:ascii="Times New Roman" w:hAnsi="Times New Roman"/>
          <w:sz w:val="28"/>
          <w:szCs w:val="28"/>
        </w:rPr>
        <w:t xml:space="preserve"> es importante recordar que</w:t>
      </w:r>
      <w:r w:rsidRPr="00DF77C8">
        <w:rPr>
          <w:rFonts w:ascii="Times New Roman" w:hAnsi="Times New Roman"/>
          <w:sz w:val="28"/>
          <w:szCs w:val="28"/>
        </w:rPr>
        <w:t xml:space="preserve"> “Una ley derogada no revivirá por sí sola las referencias que </w:t>
      </w:r>
      <w:r w:rsidRPr="00DF77C8">
        <w:rPr>
          <w:rFonts w:ascii="Times New Roman" w:hAnsi="Times New Roman"/>
          <w:sz w:val="28"/>
          <w:szCs w:val="28"/>
        </w:rPr>
        <w:t>a</w:t>
      </w:r>
      <w:r w:rsidRPr="00DF77C8">
        <w:rPr>
          <w:rFonts w:ascii="Times New Roman" w:hAnsi="Times New Roman"/>
          <w:sz w:val="28"/>
          <w:szCs w:val="28"/>
        </w:rPr>
        <w:t xml:space="preserve"> ella se hagan, ni por haber sido abolida la ley que la derogó. Una disposición derogada solo </w:t>
      </w:r>
      <w:r w:rsidRPr="00DF77C8">
        <w:rPr>
          <w:rFonts w:ascii="Times New Roman" w:hAnsi="Times New Roman"/>
          <w:sz w:val="28"/>
          <w:szCs w:val="28"/>
        </w:rPr>
        <w:t>recobrará su fuerza en la forma en que aparezca reproducida en una ley nueva”</w:t>
      </w:r>
      <w:r w:rsidRPr="00DF77C8">
        <w:rPr>
          <w:rFonts w:ascii="Times New Roman" w:hAnsi="Times New Roman"/>
          <w:sz w:val="28"/>
          <w:szCs w:val="28"/>
        </w:rPr>
        <w:t>.</w:t>
      </w:r>
      <w:r w:rsidRPr="00DF77C8">
        <w:rPr>
          <w:rFonts w:ascii="Times New Roman" w:hAnsi="Times New Roman"/>
          <w:sz w:val="28"/>
          <w:szCs w:val="28"/>
        </w:rPr>
        <w:t xml:space="preserve"> </w:t>
      </w:r>
    </w:p>
    <w:p w:rsidR="00CD3DAB"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Debido a lo anterior, la Corte considera que el juicio</w:t>
      </w:r>
      <w:r w:rsidRPr="00DF77C8">
        <w:rPr>
          <w:rFonts w:ascii="Times New Roman" w:hAnsi="Times New Roman"/>
          <w:sz w:val="28"/>
          <w:szCs w:val="28"/>
        </w:rPr>
        <w:t xml:space="preserve"> de constitucionalidad</w:t>
      </w:r>
      <w:r w:rsidRPr="00DF77C8">
        <w:rPr>
          <w:rFonts w:ascii="Times New Roman" w:hAnsi="Times New Roman"/>
          <w:sz w:val="28"/>
        </w:rPr>
        <w:t xml:space="preserve"> </w:t>
      </w:r>
      <w:r w:rsidRPr="00DF77C8">
        <w:rPr>
          <w:rFonts w:ascii="Times New Roman" w:hAnsi="Times New Roman"/>
          <w:sz w:val="28"/>
          <w:szCs w:val="28"/>
        </w:rPr>
        <w:t>por el cargo de omisión legislativa relativa, debe realizarse respecto de</w:t>
      </w:r>
      <w:r w:rsidRPr="00DF77C8">
        <w:rPr>
          <w:rFonts w:ascii="Times New Roman" w:hAnsi="Times New Roman"/>
          <w:sz w:val="28"/>
          <w:szCs w:val="28"/>
        </w:rPr>
        <w:t xml:space="preserve">l artículo 32 de la Ley </w:t>
      </w:r>
      <w:r w:rsidRPr="00DF77C8">
        <w:rPr>
          <w:rFonts w:ascii="Times New Roman" w:hAnsi="Times New Roman"/>
          <w:sz w:val="28"/>
          <w:szCs w:val="28"/>
        </w:rPr>
        <w:t>906 de 2004</w:t>
      </w:r>
      <w:r w:rsidRPr="00DF77C8">
        <w:rPr>
          <w:rFonts w:ascii="Times New Roman" w:hAnsi="Times New Roman"/>
          <w:sz w:val="28"/>
          <w:szCs w:val="28"/>
        </w:rPr>
        <w:t xml:space="preserve">, </w:t>
      </w:r>
      <w:r w:rsidRPr="00DF77C8">
        <w:rPr>
          <w:rFonts w:ascii="Times New Roman" w:hAnsi="Times New Roman"/>
          <w:sz w:val="28"/>
          <w:szCs w:val="28"/>
        </w:rPr>
        <w:t>en la versión actualmente vigente, con ocasión de la reforma introducida por la Ley 2098 de 2021</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Puesto que de esa</w:t>
      </w:r>
      <w:r w:rsidRPr="00DF77C8">
        <w:rPr>
          <w:rFonts w:ascii="Times New Roman" w:hAnsi="Times New Roman"/>
          <w:sz w:val="28"/>
          <w:szCs w:val="28"/>
        </w:rPr>
        <w:t xml:space="preserve"> normativa es posible evidenciar </w:t>
      </w:r>
      <w:r w:rsidRPr="00DF77C8">
        <w:rPr>
          <w:rFonts w:ascii="Times New Roman" w:hAnsi="Times New Roman"/>
          <w:sz w:val="28"/>
          <w:szCs w:val="28"/>
        </w:rPr>
        <w:t>que no se incluyó la posibilidad de apelar ante el máximo órgano de la jurisdicción ordinaria l</w:t>
      </w:r>
      <w:r w:rsidRPr="00DF77C8">
        <w:rPr>
          <w:rFonts w:ascii="Times New Roman" w:hAnsi="Times New Roman"/>
          <w:sz w:val="28"/>
          <w:szCs w:val="28"/>
        </w:rPr>
        <w:t xml:space="preserve">as decisiones de garantías proferidas por el Tribunal Superior de Bogotá. </w:t>
      </w:r>
    </w:p>
    <w:p w:rsidR="0018505C"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ind w:right="-26"/>
        <w:jc w:val="both"/>
        <w:rPr>
          <w:rFonts w:ascii="Times New Roman" w:hAnsi="Times New Roman"/>
          <w:b/>
          <w:i/>
          <w:sz w:val="28"/>
          <w:szCs w:val="28"/>
        </w:rPr>
      </w:pPr>
      <w:r w:rsidRPr="00DF77C8">
        <w:rPr>
          <w:rFonts w:ascii="Times New Roman" w:hAnsi="Times New Roman"/>
          <w:b/>
          <w:i/>
          <w:sz w:val="28"/>
          <w:szCs w:val="28"/>
        </w:rPr>
        <w:t xml:space="preserve">De la solicitud de </w:t>
      </w:r>
      <w:r w:rsidRPr="00DF77C8">
        <w:rPr>
          <w:rFonts w:ascii="Times New Roman" w:hAnsi="Times New Roman"/>
          <w:b/>
          <w:i/>
          <w:sz w:val="28"/>
          <w:szCs w:val="28"/>
        </w:rPr>
        <w:t>integración de la unidad normativa</w:t>
      </w:r>
    </w:p>
    <w:p w:rsidR="00801F94" w:rsidRPr="00DF77C8" w:rsidRDefault="00DF77C8" w:rsidP="008A4B21">
      <w:pPr>
        <w:ind w:right="-26"/>
        <w:jc w:val="both"/>
        <w:rPr>
          <w:rFonts w:ascii="Times New Roman" w:hAnsi="Times New Roman"/>
          <w:b/>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El demandante plantea de manera adicional que el remedio propuesto en torno a la omisión legislativa relativa que se predica del artículo 32 </w:t>
      </w:r>
      <w:r w:rsidRPr="00DF77C8">
        <w:rPr>
          <w:rFonts w:ascii="Times New Roman" w:hAnsi="Times New Roman"/>
          <w:sz w:val="28"/>
          <w:szCs w:val="28"/>
        </w:rPr>
        <w:t xml:space="preserve">del CPP </w:t>
      </w:r>
      <w:r w:rsidRPr="00DF77C8">
        <w:rPr>
          <w:rFonts w:ascii="Times New Roman" w:hAnsi="Times New Roman"/>
          <w:sz w:val="28"/>
          <w:szCs w:val="28"/>
        </w:rPr>
        <w:t>no solo sería aplicable a los procesos que se adelantan bajo la Ley 906 de 2004, sino también a cualquier s</w:t>
      </w:r>
      <w:r w:rsidRPr="00DF77C8">
        <w:rPr>
          <w:rFonts w:ascii="Times New Roman" w:hAnsi="Times New Roman"/>
          <w:sz w:val="28"/>
          <w:szCs w:val="28"/>
        </w:rPr>
        <w:t>istema procesal con tendencia acusatoria que consagre la figura del magistrado de control de garantías como es el caso de la Ley 975 de 2005 y la Ley 1407 de 2010, pues afirma que en ambos casos los recursos de apelación deben ser resueltos por la Sala Pen</w:t>
      </w:r>
      <w:r w:rsidRPr="00DF77C8">
        <w:rPr>
          <w:rFonts w:ascii="Times New Roman" w:hAnsi="Times New Roman"/>
          <w:sz w:val="28"/>
          <w:szCs w:val="28"/>
        </w:rPr>
        <w:t>al de la Corte Suprema de Justicia.</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Asimismo, el actor sostuvo en un aparte de la demanda de inconstitucionalidad que la omisión planteada también afectaba a los funcionarios con fuero legal referidos en el numeral 8° del artículo 32 de la Ley 906 de 2004</w:t>
      </w:r>
      <w:r w:rsidRPr="00DF77C8">
        <w:rPr>
          <w:rFonts w:ascii="Times New Roman" w:hAnsi="Times New Roman"/>
          <w:sz w:val="28"/>
          <w:szCs w:val="28"/>
        </w:rPr>
        <w:t xml:space="preserve">, esto es “Del juzgamiento del viceprocurador, vicefiscal, magistrados de los consejos seccionales de la judicatura, del </w:t>
      </w:r>
      <w:r w:rsidRPr="00DF77C8">
        <w:rPr>
          <w:rFonts w:ascii="Times New Roman" w:hAnsi="Times New Roman"/>
          <w:sz w:val="28"/>
          <w:szCs w:val="28"/>
        </w:rPr>
        <w:t>Tribunal</w:t>
      </w:r>
      <w:r w:rsidRPr="00DF77C8">
        <w:rPr>
          <w:rFonts w:ascii="Times New Roman" w:hAnsi="Times New Roman"/>
          <w:sz w:val="28"/>
          <w:szCs w:val="28"/>
        </w:rPr>
        <w:t xml:space="preserve"> Superior Militar, del Consejo Nacional Electoral, fiscales delegados ante la Corte Suprema de Justicia y </w:t>
      </w:r>
      <w:r w:rsidRPr="00DF77C8">
        <w:rPr>
          <w:rFonts w:ascii="Times New Roman" w:hAnsi="Times New Roman"/>
          <w:sz w:val="28"/>
          <w:szCs w:val="28"/>
        </w:rPr>
        <w:t>Tribunal</w:t>
      </w:r>
      <w:r w:rsidRPr="00DF77C8">
        <w:rPr>
          <w:rFonts w:ascii="Times New Roman" w:hAnsi="Times New Roman"/>
          <w:sz w:val="28"/>
          <w:szCs w:val="28"/>
        </w:rPr>
        <w:t>es, Procurado</w:t>
      </w:r>
      <w:r w:rsidRPr="00DF77C8">
        <w:rPr>
          <w:rFonts w:ascii="Times New Roman" w:hAnsi="Times New Roman"/>
          <w:sz w:val="28"/>
          <w:szCs w:val="28"/>
        </w:rPr>
        <w:t>res Delegados, Procuradores Judiciales II, Registrador Nacional del Estado Civil, Director Nacional de Fiscalía y Directores Seccionales de Fiscalía”.</w:t>
      </w:r>
    </w:p>
    <w:p w:rsidR="00801F94" w:rsidRPr="00DF77C8" w:rsidRDefault="00DF77C8" w:rsidP="008A4B21">
      <w:pPr>
        <w:ind w:right="-26"/>
        <w:jc w:val="both"/>
        <w:rPr>
          <w:rFonts w:ascii="Times New Roman" w:hAnsi="Times New Roman"/>
          <w:sz w:val="28"/>
          <w:szCs w:val="28"/>
        </w:rPr>
      </w:pPr>
    </w:p>
    <w:p w:rsidR="00E72F35"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Al respecto, la Sala observa que de lo expuesto por el actor no puede concluirse ninguna solicitud en pa</w:t>
      </w:r>
      <w:r w:rsidRPr="00DF77C8">
        <w:rPr>
          <w:rFonts w:ascii="Times New Roman" w:hAnsi="Times New Roman"/>
          <w:sz w:val="28"/>
          <w:szCs w:val="28"/>
        </w:rPr>
        <w:t>rticular respecto al análisis de la omisión legislativa planteada frente a los recursos de apelación que deben ser resueltos por otros magistrados que fungen como jueces de control de garantías bajo el sistema procesal de la Ley 975 de 2005, artículo 32</w:t>
      </w:r>
      <w:r w:rsidRPr="00DF77C8">
        <w:rPr>
          <w:rFonts w:ascii="Times New Roman" w:hAnsi="Times New Roman"/>
          <w:sz w:val="28"/>
          <w:szCs w:val="28"/>
          <w:vertAlign w:val="superscript"/>
        </w:rPr>
        <w:footnoteReference w:id="36"/>
      </w:r>
      <w:r w:rsidRPr="00DF77C8">
        <w:rPr>
          <w:rFonts w:ascii="Times New Roman" w:hAnsi="Times New Roman"/>
          <w:sz w:val="28"/>
          <w:szCs w:val="28"/>
        </w:rPr>
        <w:t xml:space="preserve"> y</w:t>
      </w:r>
      <w:r w:rsidRPr="00DF77C8">
        <w:rPr>
          <w:rFonts w:ascii="Times New Roman" w:hAnsi="Times New Roman"/>
          <w:sz w:val="28"/>
          <w:szCs w:val="28"/>
        </w:rPr>
        <w:t xml:space="preserve"> la Ley 1407 de 2010, artículo 214</w:t>
      </w:r>
      <w:r w:rsidRPr="00DF77C8">
        <w:rPr>
          <w:rFonts w:ascii="Times New Roman" w:hAnsi="Times New Roman"/>
          <w:sz w:val="28"/>
          <w:szCs w:val="28"/>
          <w:vertAlign w:val="superscript"/>
        </w:rPr>
        <w:footnoteReference w:id="37"/>
      </w:r>
      <w:r w:rsidRPr="00DF77C8">
        <w:rPr>
          <w:rFonts w:ascii="Times New Roman" w:hAnsi="Times New Roman"/>
          <w:sz w:val="28"/>
          <w:szCs w:val="28"/>
        </w:rPr>
        <w:t>. Pues el análisis adicional propuesto lo realizó de manera tangencial y en términos generales respecto de leyes que inicialmente no fueron cuestionadas</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igual manera, al tratarse de un cargo por omisión legislativa r</w:t>
      </w:r>
      <w:r w:rsidRPr="00DF77C8">
        <w:rPr>
          <w:rFonts w:ascii="Times New Roman" w:hAnsi="Times New Roman"/>
          <w:sz w:val="28"/>
          <w:szCs w:val="28"/>
        </w:rPr>
        <w:t>elativa, el actor no agotó la carga argumentativa mínima exigida para propiciar un juicio de constitucionalidad contra esas normas ni tampoco frente a lo dispuesto en el numeral 8° del artículo 32 del CPP.</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Cabe anotar </w:t>
      </w:r>
      <w:r w:rsidRPr="00DF77C8">
        <w:rPr>
          <w:rFonts w:ascii="Times New Roman" w:hAnsi="Times New Roman"/>
          <w:sz w:val="28"/>
          <w:szCs w:val="28"/>
        </w:rPr>
        <w:t>que,</w:t>
      </w:r>
      <w:r w:rsidRPr="00DF77C8">
        <w:rPr>
          <w:rFonts w:ascii="Times New Roman" w:hAnsi="Times New Roman"/>
          <w:sz w:val="28"/>
          <w:szCs w:val="28"/>
        </w:rPr>
        <w:t xml:space="preserve"> desde el planteamiento inicial de la demanda, la solicitud del actor estuvo dirigida a que esta Corte declarara que los recursos de apelación contra los autos que profiera el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ejerza la fun</w:t>
      </w:r>
      <w:r w:rsidRPr="00DF77C8">
        <w:rPr>
          <w:rFonts w:ascii="Times New Roman" w:hAnsi="Times New Roman"/>
          <w:sz w:val="28"/>
          <w:szCs w:val="28"/>
        </w:rPr>
        <w:t xml:space="preserve">ción de control de garantías será de conocimiento de la Corte Suprema de Justicia como su superior funcional, ante la omisión del </w:t>
      </w:r>
      <w:r w:rsidRPr="00DF77C8">
        <w:rPr>
          <w:rFonts w:ascii="Times New Roman" w:hAnsi="Times New Roman"/>
          <w:sz w:val="28"/>
          <w:szCs w:val="28"/>
        </w:rPr>
        <w:t>legislador al</w:t>
      </w:r>
      <w:r w:rsidRPr="00DF77C8">
        <w:rPr>
          <w:rFonts w:ascii="Times New Roman" w:hAnsi="Times New Roman"/>
          <w:sz w:val="28"/>
          <w:szCs w:val="28"/>
        </w:rPr>
        <w:t xml:space="preserve"> no </w:t>
      </w:r>
      <w:r w:rsidRPr="00DF77C8">
        <w:rPr>
          <w:rFonts w:ascii="Times New Roman" w:hAnsi="Times New Roman"/>
          <w:sz w:val="28"/>
          <w:szCs w:val="28"/>
        </w:rPr>
        <w:t xml:space="preserve">señalar de manera expresa la autoridad judicial que debe resolverlos.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 w:val="left" w:pos="851"/>
        </w:tabs>
        <w:ind w:left="0" w:right="-26" w:firstLine="0"/>
        <w:jc w:val="both"/>
        <w:rPr>
          <w:rFonts w:ascii="Times New Roman" w:hAnsi="Times New Roman"/>
          <w:sz w:val="28"/>
          <w:szCs w:val="28"/>
        </w:rPr>
      </w:pPr>
      <w:r w:rsidRPr="00DF77C8">
        <w:rPr>
          <w:rFonts w:ascii="Times New Roman" w:hAnsi="Times New Roman"/>
          <w:sz w:val="28"/>
          <w:szCs w:val="28"/>
        </w:rPr>
        <w:t>Esta omisión legislativa relativa, co</w:t>
      </w:r>
      <w:r w:rsidRPr="00DF77C8">
        <w:rPr>
          <w:rFonts w:ascii="Times New Roman" w:hAnsi="Times New Roman"/>
          <w:sz w:val="28"/>
          <w:szCs w:val="28"/>
        </w:rPr>
        <w:t xml:space="preserve">mo lo expresó el mismo demandante, deviene de la lectura en contexto </w:t>
      </w:r>
      <w:r w:rsidRPr="00DF77C8">
        <w:rPr>
          <w:rFonts w:ascii="Times New Roman" w:hAnsi="Times New Roman"/>
          <w:sz w:val="28"/>
          <w:szCs w:val="28"/>
        </w:rPr>
        <w:t>con</w:t>
      </w:r>
      <w:r w:rsidRPr="00DF77C8">
        <w:rPr>
          <w:rFonts w:ascii="Times New Roman" w:hAnsi="Times New Roman"/>
          <w:sz w:val="28"/>
          <w:szCs w:val="28"/>
        </w:rPr>
        <w:t xml:space="preserve"> lo dispuesto en el parágrafo 1° del artículo 39 del CPP, que se refiere a la función de control de garantías que ejercen los magistrados del </w:t>
      </w:r>
      <w:r w:rsidRPr="00DF77C8">
        <w:rPr>
          <w:rFonts w:ascii="Times New Roman" w:hAnsi="Times New Roman"/>
          <w:sz w:val="28"/>
          <w:szCs w:val="28"/>
        </w:rPr>
        <w:t>Tribunal</w:t>
      </w:r>
      <w:r w:rsidRPr="00DF77C8">
        <w:rPr>
          <w:rFonts w:ascii="Times New Roman" w:hAnsi="Times New Roman"/>
          <w:sz w:val="28"/>
          <w:szCs w:val="28"/>
        </w:rPr>
        <w:t xml:space="preserve"> Superior de Bogotá frente a los a</w:t>
      </w:r>
      <w:r w:rsidRPr="00DF77C8">
        <w:rPr>
          <w:rFonts w:ascii="Times New Roman" w:hAnsi="Times New Roman"/>
          <w:sz w:val="28"/>
          <w:szCs w:val="28"/>
        </w:rPr>
        <w:t>forados constitucionales de que trata el numeral 5° del artículo 235 de la Constitución Política y la ausencia de regulación específica por parte del legislador respecto a la autoridad judicial que debe resolver los recursos de apelación que procede</w:t>
      </w:r>
      <w:r w:rsidRPr="00DF77C8">
        <w:rPr>
          <w:rFonts w:ascii="Times New Roman" w:hAnsi="Times New Roman"/>
          <w:sz w:val="28"/>
          <w:szCs w:val="28"/>
        </w:rPr>
        <w:t>n</w:t>
      </w:r>
      <w:r w:rsidRPr="00DF77C8">
        <w:rPr>
          <w:rFonts w:ascii="Times New Roman" w:hAnsi="Times New Roman"/>
          <w:sz w:val="28"/>
          <w:szCs w:val="28"/>
        </w:rPr>
        <w:t xml:space="preserve"> contr</w:t>
      </w:r>
      <w:r w:rsidRPr="00DF77C8">
        <w:rPr>
          <w:rFonts w:ascii="Times New Roman" w:hAnsi="Times New Roman"/>
          <w:sz w:val="28"/>
          <w:szCs w:val="28"/>
        </w:rPr>
        <w:t>a dichas decisiones. Ese fue el planteamiento realizado por el actor en la demanda presentada y en este marco fueron formuladas las intervenciones en el presente proceso de constitucionalidad</w:t>
      </w:r>
      <w:r w:rsidRPr="00DF77C8">
        <w:rPr>
          <w:rStyle w:val="Refdenotaalpie"/>
          <w:rFonts w:ascii="Times New Roman" w:hAnsi="Times New Roman"/>
          <w:sz w:val="28"/>
          <w:szCs w:val="28"/>
        </w:rPr>
        <w:footnoteReference w:id="38"/>
      </w:r>
      <w:r w:rsidRPr="00DF77C8">
        <w:rPr>
          <w:rFonts w:ascii="Times New Roman" w:hAnsi="Times New Roman"/>
          <w:sz w:val="28"/>
          <w:szCs w:val="28"/>
        </w:rPr>
        <w:t>.</w:t>
      </w:r>
      <w:r w:rsidRPr="00DF77C8">
        <w:rPr>
          <w:rFonts w:ascii="Times New Roman" w:hAnsi="Times New Roman"/>
          <w:sz w:val="28"/>
          <w:szCs w:val="28"/>
        </w:rPr>
        <w:t xml:space="preserve"> </w:t>
      </w:r>
    </w:p>
    <w:p w:rsidR="00E95CE1" w:rsidRPr="00DF77C8" w:rsidRDefault="00DF77C8" w:rsidP="00E95CE1">
      <w:pPr>
        <w:pStyle w:val="Prrafodelista"/>
        <w:tabs>
          <w:tab w:val="left" w:pos="567"/>
          <w:tab w:val="left" w:pos="851"/>
        </w:tabs>
        <w:ind w:left="0" w:right="-26"/>
        <w:jc w:val="both"/>
        <w:rPr>
          <w:rFonts w:ascii="Times New Roman" w:hAnsi="Times New Roman"/>
          <w:sz w:val="28"/>
          <w:szCs w:val="28"/>
        </w:rPr>
      </w:pPr>
    </w:p>
    <w:p w:rsidR="00415F1A"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todo caso, es importante advertir que</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aunque </w:t>
      </w:r>
      <w:r w:rsidRPr="00DF77C8">
        <w:rPr>
          <w:rFonts w:ascii="Times New Roman" w:hAnsi="Times New Roman"/>
          <w:sz w:val="28"/>
          <w:szCs w:val="28"/>
        </w:rPr>
        <w:t xml:space="preserve">el </w:t>
      </w:r>
      <w:r w:rsidRPr="00DF77C8">
        <w:rPr>
          <w:rFonts w:ascii="Times New Roman" w:hAnsi="Times New Roman"/>
          <w:sz w:val="28"/>
          <w:szCs w:val="28"/>
        </w:rPr>
        <w:t xml:space="preserve">ciudadano </w:t>
      </w:r>
      <w:r w:rsidRPr="00DF77C8">
        <w:rPr>
          <w:rFonts w:ascii="Times New Roman" w:hAnsi="Times New Roman"/>
          <w:sz w:val="28"/>
          <w:szCs w:val="28"/>
        </w:rPr>
        <w:t xml:space="preserve">no </w:t>
      </w:r>
      <w:r w:rsidRPr="00DF77C8">
        <w:rPr>
          <w:rFonts w:ascii="Times New Roman" w:hAnsi="Times New Roman"/>
          <w:sz w:val="28"/>
          <w:szCs w:val="28"/>
        </w:rPr>
        <w:t xml:space="preserve">solicitó la integración de la unidad normativa, </w:t>
      </w:r>
      <w:r w:rsidRPr="00DF77C8">
        <w:rPr>
          <w:rFonts w:ascii="Times New Roman" w:hAnsi="Times New Roman"/>
          <w:sz w:val="28"/>
          <w:szCs w:val="28"/>
        </w:rPr>
        <w:t xml:space="preserve">esta petición sí fue elevada </w:t>
      </w:r>
      <w:r w:rsidRPr="00DF77C8">
        <w:rPr>
          <w:rFonts w:ascii="Times New Roman" w:hAnsi="Times New Roman"/>
          <w:sz w:val="28"/>
          <w:szCs w:val="28"/>
        </w:rPr>
        <w:t xml:space="preserve">de manera concreta </w:t>
      </w:r>
      <w:r w:rsidRPr="00DF77C8">
        <w:rPr>
          <w:rFonts w:ascii="Times New Roman" w:hAnsi="Times New Roman"/>
          <w:sz w:val="28"/>
          <w:szCs w:val="28"/>
        </w:rPr>
        <w:t>por el señor Juan Esteban Henao Espinal</w:t>
      </w:r>
      <w:r w:rsidRPr="00DF77C8">
        <w:rPr>
          <w:rFonts w:ascii="Times New Roman" w:hAnsi="Times New Roman"/>
          <w:sz w:val="28"/>
          <w:szCs w:val="28"/>
        </w:rPr>
        <w:t xml:space="preserve"> con base en argumentos similares a los expuestos por el demandante</w:t>
      </w:r>
      <w:r w:rsidRPr="00DF77C8">
        <w:rPr>
          <w:rFonts w:ascii="Times New Roman" w:hAnsi="Times New Roman"/>
          <w:sz w:val="28"/>
          <w:szCs w:val="28"/>
        </w:rPr>
        <w:t xml:space="preserve">. </w:t>
      </w:r>
    </w:p>
    <w:p w:rsidR="00415F1A" w:rsidRPr="00DF77C8" w:rsidRDefault="00DF77C8" w:rsidP="008A4B21">
      <w:pPr>
        <w:pStyle w:val="Prrafodelista"/>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Con referencia a esta solicitud</w:t>
      </w:r>
      <w:r w:rsidRPr="00DF77C8">
        <w:rPr>
          <w:rFonts w:ascii="Times New Roman" w:hAnsi="Times New Roman"/>
          <w:sz w:val="28"/>
          <w:szCs w:val="28"/>
        </w:rPr>
        <w:t>, cabe</w:t>
      </w:r>
      <w:r w:rsidRPr="00DF77C8">
        <w:rPr>
          <w:rFonts w:ascii="Times New Roman" w:hAnsi="Times New Roman"/>
          <w:sz w:val="28"/>
          <w:szCs w:val="28"/>
        </w:rPr>
        <w:t xml:space="preserve"> anotar que d</w:t>
      </w:r>
      <w:r w:rsidRPr="00DF77C8">
        <w:rPr>
          <w:rFonts w:ascii="Times New Roman" w:hAnsi="Times New Roman"/>
          <w:sz w:val="28"/>
          <w:szCs w:val="28"/>
        </w:rPr>
        <w:t xml:space="preserve">e acuerdo con reiterada jurisprudencia constitucional </w:t>
      </w:r>
      <w:r w:rsidRPr="00DF77C8">
        <w:rPr>
          <w:rFonts w:ascii="Times New Roman" w:hAnsi="Times New Roman"/>
          <w:sz w:val="28"/>
          <w:szCs w:val="28"/>
        </w:rPr>
        <w:t xml:space="preserve">la figura de la integración de la unidad normativa </w:t>
      </w:r>
      <w:r w:rsidRPr="00DF77C8">
        <w:rPr>
          <w:rFonts w:ascii="Times New Roman" w:hAnsi="Times New Roman"/>
          <w:sz w:val="28"/>
          <w:szCs w:val="28"/>
        </w:rPr>
        <w:t>procede de manera excepcional y solo en algunos eventos</w:t>
      </w:r>
      <w:r w:rsidRPr="00DF77C8">
        <w:rPr>
          <w:rFonts w:ascii="Times New Roman" w:hAnsi="Times New Roman"/>
          <w:sz w:val="28"/>
          <w:szCs w:val="28"/>
          <w:vertAlign w:val="superscript"/>
        </w:rPr>
        <w:footnoteReference w:id="39"/>
      </w:r>
      <w:r w:rsidRPr="00DF77C8">
        <w:rPr>
          <w:rFonts w:ascii="Times New Roman" w:hAnsi="Times New Roman"/>
          <w:sz w:val="28"/>
          <w:szCs w:val="28"/>
        </w:rPr>
        <w:t xml:space="preserve">, los cuales, a juicio de la Corte tampoco se encuentran acreditados en el asunto de la referencia, pues la </w:t>
      </w:r>
      <w:r w:rsidRPr="00DF77C8">
        <w:rPr>
          <w:rFonts w:ascii="Times New Roman" w:hAnsi="Times New Roman"/>
          <w:sz w:val="28"/>
          <w:szCs w:val="28"/>
        </w:rPr>
        <w:t xml:space="preserve">norma respecto </w:t>
      </w:r>
      <w:r w:rsidRPr="00DF77C8">
        <w:rPr>
          <w:rFonts w:ascii="Times New Roman" w:hAnsi="Times New Roman"/>
          <w:sz w:val="28"/>
          <w:szCs w:val="28"/>
        </w:rPr>
        <w:t>d</w:t>
      </w:r>
      <w:r w:rsidRPr="00DF77C8">
        <w:rPr>
          <w:rFonts w:ascii="Times New Roman" w:hAnsi="Times New Roman"/>
          <w:sz w:val="28"/>
          <w:szCs w:val="28"/>
        </w:rPr>
        <w:t xml:space="preserve">e </w:t>
      </w:r>
      <w:r w:rsidRPr="00DF77C8">
        <w:rPr>
          <w:rFonts w:ascii="Times New Roman" w:hAnsi="Times New Roman"/>
          <w:sz w:val="28"/>
          <w:szCs w:val="28"/>
        </w:rPr>
        <w:t>l</w:t>
      </w:r>
      <w:r w:rsidRPr="00DF77C8">
        <w:rPr>
          <w:rFonts w:ascii="Times New Roman" w:hAnsi="Times New Roman"/>
          <w:sz w:val="28"/>
          <w:szCs w:val="28"/>
        </w:rPr>
        <w:t xml:space="preserve">a cual se predica la </w:t>
      </w:r>
      <w:r w:rsidRPr="00DF77C8">
        <w:rPr>
          <w:rFonts w:ascii="Times New Roman" w:hAnsi="Times New Roman"/>
          <w:sz w:val="28"/>
          <w:szCs w:val="28"/>
        </w:rPr>
        <w:t>omisión legislativa relativa demandada</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por </w:t>
      </w:r>
      <w:r w:rsidRPr="00DF77C8">
        <w:rPr>
          <w:rFonts w:ascii="Times New Roman" w:hAnsi="Times New Roman"/>
          <w:sz w:val="28"/>
          <w:szCs w:val="28"/>
        </w:rPr>
        <w:t>la ausencia de la designación expresa de la autoridad judicial q</w:t>
      </w:r>
      <w:r w:rsidRPr="00DF77C8">
        <w:rPr>
          <w:rFonts w:ascii="Times New Roman" w:hAnsi="Times New Roman"/>
          <w:sz w:val="28"/>
          <w:szCs w:val="28"/>
        </w:rPr>
        <w:t xml:space="preserve">ue conocerá del recurso de apelación contra las providencias expedidas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r w:rsidRPr="00DF77C8">
        <w:rPr>
          <w:rFonts w:ascii="Times New Roman" w:hAnsi="Times New Roman"/>
          <w:sz w:val="28"/>
          <w:szCs w:val="28"/>
        </w:rPr>
        <w:t>,</w:t>
      </w:r>
      <w:r w:rsidRPr="00DF77C8">
        <w:rPr>
          <w:rFonts w:ascii="Times New Roman" w:hAnsi="Times New Roman"/>
          <w:sz w:val="28"/>
          <w:szCs w:val="28"/>
        </w:rPr>
        <w:t xml:space="preserve"> tiene un sentido propio, puede </w:t>
      </w:r>
      <w:r w:rsidRPr="00DF77C8">
        <w:rPr>
          <w:rFonts w:ascii="Times New Roman" w:hAnsi="Times New Roman"/>
          <w:sz w:val="28"/>
          <w:szCs w:val="28"/>
        </w:rPr>
        <w:t xml:space="preserve">comprenderse </w:t>
      </w:r>
      <w:r w:rsidRPr="00DF77C8">
        <w:rPr>
          <w:rFonts w:ascii="Times New Roman" w:hAnsi="Times New Roman"/>
          <w:sz w:val="28"/>
          <w:szCs w:val="28"/>
        </w:rPr>
        <w:t>de manera autónoma y permite realizar un análisis de fondo.</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De igual manera, </w:t>
      </w:r>
      <w:r w:rsidRPr="00DF77C8">
        <w:rPr>
          <w:rFonts w:ascii="Times New Roman" w:hAnsi="Times New Roman"/>
          <w:sz w:val="28"/>
          <w:szCs w:val="28"/>
        </w:rPr>
        <w:t>considera e</w:t>
      </w:r>
      <w:r w:rsidRPr="00DF77C8">
        <w:rPr>
          <w:rFonts w:ascii="Times New Roman" w:hAnsi="Times New Roman"/>
          <w:sz w:val="28"/>
          <w:szCs w:val="28"/>
        </w:rPr>
        <w:t xml:space="preserve">sta </w:t>
      </w:r>
      <w:r w:rsidRPr="00DF77C8">
        <w:rPr>
          <w:rFonts w:ascii="Times New Roman" w:hAnsi="Times New Roman"/>
          <w:sz w:val="28"/>
          <w:szCs w:val="28"/>
        </w:rPr>
        <w:t>Corporación</w:t>
      </w:r>
      <w:r w:rsidRPr="00DF77C8">
        <w:rPr>
          <w:rFonts w:ascii="Times New Roman" w:hAnsi="Times New Roman"/>
          <w:sz w:val="28"/>
          <w:szCs w:val="28"/>
        </w:rPr>
        <w:t xml:space="preserve"> que </w:t>
      </w:r>
      <w:r w:rsidRPr="00DF77C8">
        <w:rPr>
          <w:rFonts w:ascii="Times New Roman" w:hAnsi="Times New Roman"/>
          <w:sz w:val="28"/>
          <w:szCs w:val="28"/>
        </w:rPr>
        <w:t xml:space="preserve">el alcance de la disposición no está estrechamente vinculado o reproducido en otras </w:t>
      </w:r>
      <w:r w:rsidRPr="00DF77C8">
        <w:rPr>
          <w:rFonts w:ascii="Times New Roman" w:hAnsi="Times New Roman"/>
          <w:sz w:val="28"/>
          <w:szCs w:val="28"/>
        </w:rPr>
        <w:t xml:space="preserve">disposiciones </w:t>
      </w:r>
      <w:r w:rsidRPr="00DF77C8">
        <w:rPr>
          <w:rFonts w:ascii="Times New Roman" w:hAnsi="Times New Roman"/>
          <w:sz w:val="28"/>
          <w:szCs w:val="28"/>
        </w:rPr>
        <w:t xml:space="preserve">que no fueron demandadas, por cuanto: (i) se reitera, la omisión legislativa relativa alegada está circunscrita al evento en el que el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actúa como juez de control de garantías de los aforados const</w:t>
      </w:r>
      <w:r w:rsidRPr="00DF77C8">
        <w:rPr>
          <w:rFonts w:ascii="Times New Roman" w:hAnsi="Times New Roman"/>
          <w:sz w:val="28"/>
          <w:szCs w:val="28"/>
        </w:rPr>
        <w:t xml:space="preserve">itucionales a los que se refiere el numeral 5° del artículo 235 de la Constitución, cuyo contenido no está reproducido en las disposiciones que no fueron demandadas; (ii) los argumentos que sustentan el cargo de omisión legislativa relativa se </w:t>
      </w:r>
      <w:r w:rsidRPr="00DF77C8">
        <w:rPr>
          <w:rFonts w:ascii="Times New Roman" w:hAnsi="Times New Roman"/>
          <w:sz w:val="28"/>
          <w:szCs w:val="28"/>
        </w:rPr>
        <w:t xml:space="preserve">fundamentan </w:t>
      </w:r>
      <w:r w:rsidRPr="00DF77C8">
        <w:rPr>
          <w:rFonts w:ascii="Times New Roman" w:hAnsi="Times New Roman"/>
          <w:sz w:val="28"/>
          <w:szCs w:val="28"/>
        </w:rPr>
        <w:t>con respecto a</w:t>
      </w:r>
      <w:r w:rsidRPr="00DF77C8">
        <w:rPr>
          <w:rFonts w:ascii="Times New Roman" w:hAnsi="Times New Roman"/>
          <w:sz w:val="28"/>
          <w:szCs w:val="28"/>
        </w:rPr>
        <w:t xml:space="preserve">l artículo 32 </w:t>
      </w:r>
      <w:r w:rsidRPr="00DF77C8">
        <w:rPr>
          <w:rFonts w:ascii="Times New Roman" w:hAnsi="Times New Roman"/>
          <w:sz w:val="28"/>
          <w:szCs w:val="28"/>
        </w:rPr>
        <w:t>del CPP</w:t>
      </w:r>
      <w:r w:rsidRPr="00DF77C8">
        <w:rPr>
          <w:rFonts w:ascii="Times New Roman" w:hAnsi="Times New Roman"/>
          <w:sz w:val="28"/>
          <w:szCs w:val="28"/>
        </w:rPr>
        <w:t xml:space="preserve">; (iii) aunque inicialmente las disposiciones enunciadas en términos generales por el actor se relacionan con la norma objeto de control constitucional </w:t>
      </w:r>
      <w:r w:rsidRPr="00DF77C8">
        <w:rPr>
          <w:rFonts w:ascii="Times New Roman" w:hAnsi="Times New Roman"/>
          <w:sz w:val="28"/>
          <w:szCs w:val="28"/>
        </w:rPr>
        <w:t>acerca de</w:t>
      </w:r>
      <w:r w:rsidRPr="00DF77C8">
        <w:rPr>
          <w:rFonts w:ascii="Times New Roman" w:hAnsi="Times New Roman"/>
          <w:sz w:val="28"/>
          <w:szCs w:val="28"/>
        </w:rPr>
        <w:t xml:space="preserve"> la figura del magistrado que ejerce la función de control d</w:t>
      </w:r>
      <w:r w:rsidRPr="00DF77C8">
        <w:rPr>
          <w:rFonts w:ascii="Times New Roman" w:hAnsi="Times New Roman"/>
          <w:sz w:val="28"/>
          <w:szCs w:val="28"/>
        </w:rPr>
        <w:t xml:space="preserve">e garantías en otros sistemas procesales y la posible ausencia de la designación de una autoridad judicial que resuelva el recurso de apelación en el caso de los procesados con fuero legal, la Corte en esta instancia, no cuenta con los elementos de juicio </w:t>
      </w:r>
      <w:r w:rsidRPr="00DF77C8">
        <w:rPr>
          <w:rFonts w:ascii="Times New Roman" w:hAnsi="Times New Roman"/>
          <w:sz w:val="28"/>
          <w:szCs w:val="28"/>
        </w:rPr>
        <w:t xml:space="preserve">necesarios que la lleven a cuestionarse sobre la constitucionalidad de las normas que no fueron demandadas.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Por ello, la Sala plena circunscribirá el objeto de estudio al cargo por omisión legislativa relativa planteado por el actor, respecto del artícul</w:t>
      </w:r>
      <w:r w:rsidRPr="00DF77C8">
        <w:rPr>
          <w:rFonts w:ascii="Times New Roman" w:hAnsi="Times New Roman"/>
          <w:sz w:val="28"/>
          <w:szCs w:val="28"/>
        </w:rPr>
        <w:t>o 32 del CPP, que sustentó el ciudadano en relación con los procesados que gozan de fuero constitucional en virtud de lo establecido en el numeral 5°, del artículo 235 del Texto superior y frente al cual se surtió el análisis de admisibilidad de la demanda</w:t>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tabs>
          <w:tab w:val="left" w:pos="546"/>
        </w:tabs>
        <w:ind w:right="-26"/>
        <w:jc w:val="both"/>
        <w:rPr>
          <w:rFonts w:ascii="Times New Roman" w:hAnsi="Times New Roman"/>
          <w:b/>
          <w:sz w:val="28"/>
          <w:szCs w:val="28"/>
        </w:rPr>
      </w:pPr>
      <w:r w:rsidRPr="00DF77C8">
        <w:rPr>
          <w:rFonts w:ascii="Times New Roman" w:hAnsi="Times New Roman"/>
          <w:b/>
          <w:sz w:val="28"/>
          <w:szCs w:val="28"/>
        </w:rPr>
        <w:t xml:space="preserve">VII. </w:t>
      </w:r>
      <w:r w:rsidRPr="00DF77C8">
        <w:rPr>
          <w:rFonts w:ascii="Times New Roman" w:hAnsi="Times New Roman"/>
          <w:b/>
          <w:sz w:val="28"/>
          <w:szCs w:val="28"/>
        </w:rPr>
        <w:t>PROBLEMA JURÍDICO</w:t>
      </w:r>
    </w:p>
    <w:p w:rsidR="00801F94" w:rsidRPr="00DF77C8" w:rsidRDefault="00DF77C8" w:rsidP="008A4B21">
      <w:pPr>
        <w:tabs>
          <w:tab w:val="left" w:pos="546"/>
        </w:tabs>
        <w:ind w:left="702" w:right="-26" w:hanging="702"/>
        <w:jc w:val="both"/>
        <w:rPr>
          <w:rFonts w:ascii="Times New Roman" w:hAnsi="Times New Roman"/>
          <w:b/>
          <w:sz w:val="28"/>
          <w:szCs w:val="28"/>
        </w:rPr>
      </w:pPr>
    </w:p>
    <w:p w:rsidR="00A10E17"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El actor formuló el cargo de inconstitucionalidad por omisión legislativa relativa respecto de la ausencia de regulación advertida en el artículo 32 de la Ley 906 de 2004, al no adscribirle la competencia de conocer los recursos de apelación que profiera e</w:t>
      </w:r>
      <w:r w:rsidRPr="00DF77C8">
        <w:rPr>
          <w:rFonts w:ascii="Times New Roman" w:hAnsi="Times New Roman"/>
          <w:sz w:val="28"/>
          <w:szCs w:val="28"/>
        </w:rPr>
        <w:t xml:space="preserv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ejerce la función de control de garantías respecto de los aforados constitucionales del numeral 5° del artículo 235 superior</w:t>
      </w:r>
      <w:r w:rsidRPr="00DF77C8">
        <w:rPr>
          <w:rFonts w:ascii="Times New Roman" w:hAnsi="Times New Roman"/>
          <w:sz w:val="28"/>
          <w:szCs w:val="28"/>
        </w:rPr>
        <w:t>, a quien funge como su superior</w:t>
      </w:r>
      <w:r w:rsidRPr="00DF77C8">
        <w:rPr>
          <w:rFonts w:ascii="Times New Roman" w:hAnsi="Times New Roman"/>
          <w:sz w:val="28"/>
          <w:szCs w:val="28"/>
        </w:rPr>
        <w:t>. Al respecto, advirtió que el artículo 39 del C</w:t>
      </w:r>
      <w:r w:rsidRPr="00DF77C8">
        <w:rPr>
          <w:rFonts w:ascii="Times New Roman" w:hAnsi="Times New Roman"/>
          <w:sz w:val="28"/>
          <w:szCs w:val="28"/>
        </w:rPr>
        <w:t>ódigo de Procedimiento Penal establece las autoridades judiciales que ejercerán esta función</w:t>
      </w:r>
      <w:r w:rsidRPr="00DF77C8">
        <w:rPr>
          <w:rFonts w:ascii="Times New Roman" w:hAnsi="Times New Roman"/>
          <w:sz w:val="28"/>
          <w:szCs w:val="28"/>
        </w:rPr>
        <w:t>:</w:t>
      </w:r>
      <w:r w:rsidRPr="00DF77C8">
        <w:rPr>
          <w:rFonts w:ascii="Times New Roman" w:hAnsi="Times New Roman"/>
          <w:sz w:val="28"/>
          <w:szCs w:val="28"/>
        </w:rPr>
        <w:t xml:space="preserve"> el juez penal municipal en los términos allí anotados y el magistrado de la Sala Penal del referido </w:t>
      </w:r>
      <w:r w:rsidRPr="00DF77C8">
        <w:rPr>
          <w:rFonts w:ascii="Times New Roman" w:hAnsi="Times New Roman"/>
          <w:sz w:val="28"/>
          <w:szCs w:val="28"/>
        </w:rPr>
        <w:t>Tribunal</w:t>
      </w:r>
      <w:r w:rsidRPr="00DF77C8">
        <w:rPr>
          <w:rFonts w:ascii="Times New Roman" w:hAnsi="Times New Roman"/>
          <w:sz w:val="28"/>
          <w:szCs w:val="28"/>
        </w:rPr>
        <w:t xml:space="preserve">. Sin embargo, el legislador atribuyó el conocimiento </w:t>
      </w:r>
      <w:r w:rsidRPr="00DF77C8">
        <w:rPr>
          <w:rFonts w:ascii="Times New Roman" w:hAnsi="Times New Roman"/>
          <w:sz w:val="28"/>
          <w:szCs w:val="28"/>
        </w:rPr>
        <w:t xml:space="preserve">del recurso de apelación en el caso de los ciudadanos no aforados </w:t>
      </w:r>
      <w:r w:rsidRPr="00DF77C8">
        <w:rPr>
          <w:rFonts w:ascii="Times New Roman" w:hAnsi="Times New Roman"/>
          <w:sz w:val="28"/>
          <w:szCs w:val="28"/>
        </w:rPr>
        <w:t xml:space="preserve">a </w:t>
      </w:r>
      <w:r w:rsidRPr="00DF77C8">
        <w:rPr>
          <w:rFonts w:ascii="Times New Roman" w:hAnsi="Times New Roman"/>
          <w:sz w:val="28"/>
          <w:szCs w:val="28"/>
        </w:rPr>
        <w:t xml:space="preserve">los jueces penales del </w:t>
      </w:r>
      <w:r w:rsidRPr="00DF77C8">
        <w:rPr>
          <w:rFonts w:ascii="Times New Roman" w:hAnsi="Times New Roman"/>
          <w:sz w:val="28"/>
          <w:szCs w:val="28"/>
        </w:rPr>
        <w:t>circuito,</w:t>
      </w:r>
      <w:r w:rsidRPr="00DF77C8">
        <w:rPr>
          <w:rFonts w:ascii="Times New Roman" w:hAnsi="Times New Roman"/>
          <w:sz w:val="28"/>
          <w:szCs w:val="28"/>
        </w:rPr>
        <w:t xml:space="preserve"> pero omitió asignar esa </w:t>
      </w:r>
      <w:r w:rsidRPr="00DF77C8">
        <w:rPr>
          <w:rFonts w:ascii="Times New Roman" w:hAnsi="Times New Roman"/>
          <w:sz w:val="28"/>
          <w:szCs w:val="28"/>
        </w:rPr>
        <w:t>misma competencia</w:t>
      </w:r>
      <w:r w:rsidRPr="00DF77C8">
        <w:rPr>
          <w:rFonts w:ascii="Times New Roman" w:hAnsi="Times New Roman"/>
          <w:sz w:val="28"/>
          <w:szCs w:val="28"/>
        </w:rPr>
        <w:t>,</w:t>
      </w:r>
      <w:r w:rsidRPr="00DF77C8">
        <w:rPr>
          <w:rFonts w:ascii="Times New Roman" w:hAnsi="Times New Roman"/>
          <w:sz w:val="28"/>
          <w:szCs w:val="28"/>
        </w:rPr>
        <w:t xml:space="preserve"> en el caso de los ciudadanos con fuero constitucional, al superior jerárquico </w:t>
      </w:r>
      <w:r w:rsidRPr="00DF77C8">
        <w:rPr>
          <w:rFonts w:ascii="Times New Roman" w:hAnsi="Times New Roman"/>
          <w:sz w:val="28"/>
          <w:szCs w:val="28"/>
        </w:rPr>
        <w:t xml:space="preserve">o funcional </w:t>
      </w:r>
      <w:r w:rsidRPr="00DF77C8">
        <w:rPr>
          <w:rFonts w:ascii="Times New Roman" w:hAnsi="Times New Roman"/>
          <w:sz w:val="28"/>
          <w:szCs w:val="28"/>
        </w:rPr>
        <w:t>del magistrado de la S</w:t>
      </w:r>
      <w:r w:rsidRPr="00DF77C8">
        <w:rPr>
          <w:rFonts w:ascii="Times New Roman" w:hAnsi="Times New Roman"/>
          <w:sz w:val="28"/>
          <w:szCs w:val="28"/>
        </w:rPr>
        <w:t xml:space="preserve">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A su juicio, dicha omisión vulnera el derecho a la igualdad, debido proceso y acceso a la administración de justicia de los investigados</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bajo la Ley 906 de 2004, </w:t>
      </w:r>
      <w:r w:rsidRPr="00DF77C8">
        <w:rPr>
          <w:rFonts w:ascii="Times New Roman" w:hAnsi="Times New Roman"/>
          <w:sz w:val="28"/>
          <w:szCs w:val="28"/>
        </w:rPr>
        <w:t>que gozan de esa prerrogativa constitucional.</w:t>
      </w:r>
    </w:p>
    <w:p w:rsidR="00685CC5" w:rsidRPr="00DF77C8" w:rsidRDefault="00DF77C8" w:rsidP="008A4B21">
      <w:pPr>
        <w:pStyle w:val="Prrafodelista"/>
        <w:ind w:left="0" w:right="-26"/>
        <w:jc w:val="both"/>
        <w:rPr>
          <w:rFonts w:ascii="Times New Roman" w:hAnsi="Times New Roman"/>
          <w:sz w:val="28"/>
          <w:szCs w:val="28"/>
        </w:rPr>
      </w:pPr>
    </w:p>
    <w:p w:rsidR="00685CC5"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Tod</w:t>
      </w:r>
      <w:r w:rsidRPr="00DF77C8">
        <w:rPr>
          <w:rFonts w:ascii="Times New Roman" w:hAnsi="Times New Roman"/>
          <w:sz w:val="28"/>
          <w:szCs w:val="28"/>
        </w:rPr>
        <w:t>os los intervinientes como el Viceprocurador General de la Nación coinciden con el actor en que en este caso concurren todos los elementos jurisprudenciales que dan lugar a la estructuración de la omisión legislativa relativa alegada que vulnera derechos f</w:t>
      </w:r>
      <w:r w:rsidRPr="00DF77C8">
        <w:rPr>
          <w:rFonts w:ascii="Times New Roman" w:hAnsi="Times New Roman"/>
          <w:sz w:val="28"/>
          <w:szCs w:val="28"/>
        </w:rPr>
        <w:t>undamentales de los ciudadanos con fuero constitucional sin que pueda constatarse en el ordenamiento jurídico razones objetivas para introducir esta diferencia de trato. Y, en consecuencia, solicitan la declaratoria de exequibilidad condicionada o la inexe</w:t>
      </w:r>
      <w:r w:rsidRPr="00DF77C8">
        <w:rPr>
          <w:rFonts w:ascii="Times New Roman" w:hAnsi="Times New Roman"/>
          <w:sz w:val="28"/>
          <w:szCs w:val="28"/>
        </w:rPr>
        <w:t xml:space="preserve">quibilidad con efectos diferidos de la disposición objeto de control constitucional. En ambos escenarios, piden que se exhorte al Congreso para que regule de manera integral la materia, respecto a la designación de la autoridad competente para resolver el </w:t>
      </w:r>
      <w:r w:rsidRPr="00DF77C8">
        <w:rPr>
          <w:rFonts w:ascii="Times New Roman" w:hAnsi="Times New Roman"/>
          <w:sz w:val="28"/>
          <w:szCs w:val="28"/>
        </w:rPr>
        <w:t xml:space="preserve">recurso de apelación contra las decisiones que profiere el magistrado del </w:t>
      </w:r>
      <w:r w:rsidRPr="00DF77C8">
        <w:rPr>
          <w:rFonts w:ascii="Times New Roman" w:hAnsi="Times New Roman"/>
          <w:sz w:val="28"/>
          <w:szCs w:val="28"/>
        </w:rPr>
        <w:t>Tribunal</w:t>
      </w:r>
      <w:r w:rsidRPr="00DF77C8">
        <w:rPr>
          <w:rFonts w:ascii="Times New Roman" w:hAnsi="Times New Roman"/>
          <w:sz w:val="28"/>
          <w:szCs w:val="28"/>
        </w:rPr>
        <w:t xml:space="preserve"> con función de control de garantías, excepto el ministerio público quien considera que el mecanismo jurídico </w:t>
      </w:r>
      <w:r w:rsidRPr="00DF77C8">
        <w:rPr>
          <w:rFonts w:ascii="Times New Roman" w:hAnsi="Times New Roman"/>
          <w:sz w:val="28"/>
          <w:szCs w:val="28"/>
        </w:rPr>
        <w:t>procedente</w:t>
      </w:r>
      <w:r w:rsidRPr="00DF77C8">
        <w:rPr>
          <w:rFonts w:ascii="Times New Roman" w:hAnsi="Times New Roman"/>
          <w:sz w:val="28"/>
          <w:szCs w:val="28"/>
        </w:rPr>
        <w:t xml:space="preserve"> respecto de este tipo de decisiones no debe ser necesariamente el recurso de apelación sino a través</w:t>
      </w:r>
      <w:r w:rsidRPr="00DF77C8">
        <w:rPr>
          <w:rFonts w:ascii="Times New Roman" w:hAnsi="Times New Roman"/>
          <w:sz w:val="28"/>
          <w:szCs w:val="28"/>
        </w:rPr>
        <w:t>, por ejemplo,</w:t>
      </w:r>
      <w:r w:rsidRPr="00DF77C8">
        <w:rPr>
          <w:rFonts w:ascii="Times New Roman" w:hAnsi="Times New Roman"/>
          <w:sz w:val="28"/>
          <w:szCs w:val="28"/>
        </w:rPr>
        <w:t xml:space="preserve"> de otro medio de impugnación como la súplica. </w:t>
      </w:r>
    </w:p>
    <w:p w:rsidR="00A10E17"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este contexto, c</w:t>
      </w:r>
      <w:r w:rsidRPr="00DF77C8">
        <w:rPr>
          <w:rFonts w:ascii="Times New Roman" w:hAnsi="Times New Roman"/>
          <w:sz w:val="28"/>
          <w:szCs w:val="28"/>
        </w:rPr>
        <w:t>orresponde a la Corte determinar</w:t>
      </w:r>
      <w:r w:rsidRPr="00DF77C8">
        <w:rPr>
          <w:rFonts w:ascii="Times New Roman" w:hAnsi="Times New Roman"/>
          <w:sz w:val="28"/>
          <w:szCs w:val="28"/>
        </w:rPr>
        <w:t xml:space="preserve"> </w:t>
      </w:r>
      <w:r w:rsidRPr="00DF77C8">
        <w:rPr>
          <w:rFonts w:ascii="Times New Roman" w:hAnsi="Times New Roman"/>
          <w:sz w:val="28"/>
          <w:szCs w:val="28"/>
        </w:rPr>
        <w:t>si el legislador incurrió en una omisión</w:t>
      </w:r>
      <w:r w:rsidRPr="00DF77C8">
        <w:rPr>
          <w:rFonts w:ascii="Times New Roman" w:hAnsi="Times New Roman"/>
          <w:sz w:val="28"/>
          <w:szCs w:val="28"/>
        </w:rPr>
        <w:t xml:space="preserve"> legislativa relativa </w:t>
      </w:r>
      <w:r w:rsidRPr="00DF77C8">
        <w:rPr>
          <w:rFonts w:ascii="Times New Roman" w:hAnsi="Times New Roman"/>
          <w:sz w:val="28"/>
          <w:szCs w:val="28"/>
        </w:rPr>
        <w:t xml:space="preserve">respecto del artículo 32 de la Ley 906 de 2004, </w:t>
      </w:r>
      <w:r w:rsidRPr="00DF77C8">
        <w:rPr>
          <w:rFonts w:ascii="Times New Roman" w:hAnsi="Times New Roman"/>
          <w:sz w:val="28"/>
          <w:szCs w:val="28"/>
        </w:rPr>
        <w:t xml:space="preserve">por vulnerar los derechos fundamentales a la igualdad (artículo 13 de la C.P.), al debido proceso (artículo 29 de la C.P.), </w:t>
      </w:r>
      <w:r w:rsidRPr="00DF77C8">
        <w:rPr>
          <w:rFonts w:ascii="Times New Roman" w:hAnsi="Times New Roman"/>
          <w:sz w:val="28"/>
          <w:szCs w:val="28"/>
        </w:rPr>
        <w:t>al</w:t>
      </w:r>
      <w:r w:rsidRPr="00DF77C8">
        <w:rPr>
          <w:rFonts w:ascii="Times New Roman" w:hAnsi="Times New Roman"/>
          <w:sz w:val="28"/>
          <w:szCs w:val="28"/>
        </w:rPr>
        <w:t xml:space="preserve"> acceso a la administración de justicia (artículo 229 de la </w:t>
      </w:r>
      <w:r w:rsidRPr="00DF77C8">
        <w:rPr>
          <w:rFonts w:ascii="Times New Roman" w:hAnsi="Times New Roman"/>
          <w:sz w:val="28"/>
          <w:szCs w:val="28"/>
        </w:rPr>
        <w:t>C.P.) y a la protección judicial</w:t>
      </w:r>
      <w:r w:rsidRPr="00DF77C8">
        <w:rPr>
          <w:rFonts w:ascii="Times New Roman" w:hAnsi="Times New Roman"/>
          <w:sz w:val="28"/>
          <w:szCs w:val="28"/>
        </w:rPr>
        <w:t xml:space="preserve"> </w:t>
      </w:r>
      <w:r w:rsidRPr="00DF77C8">
        <w:rPr>
          <w:rFonts w:ascii="Times New Roman" w:hAnsi="Times New Roman"/>
          <w:sz w:val="28"/>
          <w:szCs w:val="28"/>
        </w:rPr>
        <w:t>(artículo 25 de la Convención Americana sobre Derechos Humanos), al no atribuirle de manera expresa a la Sala Penal de la Corte Suprema de Justicia la función de conocer del recurso de apelación contra las decisiones que pr</w:t>
      </w:r>
      <w:r w:rsidRPr="00DF77C8">
        <w:rPr>
          <w:rFonts w:ascii="Times New Roman" w:hAnsi="Times New Roman"/>
          <w:sz w:val="28"/>
          <w:szCs w:val="28"/>
        </w:rPr>
        <w:t xml:space="preserve">ofiera el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actúa como juez de control de garantías de los procesados con fuero constitucional a los que hace alusión el numeral 5° del artículo 235 superior</w:t>
      </w:r>
      <w:r w:rsidRPr="00DF77C8">
        <w:rPr>
          <w:rFonts w:ascii="Times New Roman" w:hAnsi="Times New Roman"/>
          <w:sz w:val="28"/>
          <w:szCs w:val="28"/>
        </w:rPr>
        <w:t>,</w:t>
      </w:r>
      <w:r w:rsidRPr="00DF77C8">
        <w:rPr>
          <w:rFonts w:ascii="Times New Roman" w:hAnsi="Times New Roman"/>
          <w:sz w:val="28"/>
          <w:szCs w:val="28"/>
        </w:rPr>
        <w:t xml:space="preserve"> a diferencia de lo que ocurre frente a los procesados no aforados</w:t>
      </w:r>
      <w:r w:rsidRPr="00DF77C8">
        <w:rPr>
          <w:rFonts w:ascii="Times New Roman" w:hAnsi="Times New Roman"/>
          <w:sz w:val="28"/>
          <w:szCs w:val="28"/>
        </w:rPr>
        <w:t>,</w:t>
      </w:r>
      <w:r w:rsidRPr="00DF77C8">
        <w:rPr>
          <w:rFonts w:ascii="Times New Roman" w:hAnsi="Times New Roman"/>
          <w:sz w:val="28"/>
          <w:szCs w:val="28"/>
        </w:rPr>
        <w:t xml:space="preserve"> quienes tienen establecid</w:t>
      </w:r>
      <w:r w:rsidRPr="00DF77C8">
        <w:rPr>
          <w:rFonts w:ascii="Times New Roman" w:hAnsi="Times New Roman"/>
          <w:sz w:val="28"/>
          <w:szCs w:val="28"/>
        </w:rPr>
        <w:t>a</w:t>
      </w:r>
      <w:r w:rsidRPr="00DF77C8">
        <w:rPr>
          <w:rFonts w:ascii="Times New Roman" w:hAnsi="Times New Roman"/>
          <w:sz w:val="28"/>
          <w:szCs w:val="28"/>
        </w:rPr>
        <w:t xml:space="preserve"> de manera clara la autoridad judicial que resolverá el recurso de apelación contra las decisiones que profiera el juez penal municipal en sede de control de gara</w:t>
      </w:r>
      <w:r w:rsidRPr="00DF77C8">
        <w:rPr>
          <w:rFonts w:ascii="Times New Roman" w:hAnsi="Times New Roman"/>
          <w:sz w:val="28"/>
          <w:szCs w:val="28"/>
        </w:rPr>
        <w:t xml:space="preserve">ntías.   </w:t>
      </w:r>
    </w:p>
    <w:p w:rsidR="00801F94" w:rsidRPr="00DF77C8" w:rsidRDefault="00DF77C8" w:rsidP="008A4B21">
      <w:pPr>
        <w:ind w:left="702" w:right="-26" w:hanging="702"/>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Para resolver el problema planteado, la Sala reiterará la jurisprudencia en torno a </w:t>
      </w:r>
      <w:r w:rsidRPr="00DF77C8">
        <w:rPr>
          <w:rFonts w:ascii="Times New Roman" w:hAnsi="Times New Roman"/>
          <w:b/>
          <w:sz w:val="28"/>
          <w:szCs w:val="28"/>
        </w:rPr>
        <w:t xml:space="preserve">(i) </w:t>
      </w:r>
      <w:r w:rsidRPr="00DF77C8">
        <w:rPr>
          <w:rFonts w:ascii="Times New Roman" w:hAnsi="Times New Roman"/>
          <w:sz w:val="28"/>
          <w:szCs w:val="28"/>
        </w:rPr>
        <w:t>la libertad de configuración legislativa en materia penal, en particular, de la doble instancia</w:t>
      </w:r>
      <w:r w:rsidRPr="00DF77C8">
        <w:rPr>
          <w:rFonts w:ascii="Times New Roman" w:hAnsi="Times New Roman"/>
          <w:sz w:val="28"/>
          <w:szCs w:val="28"/>
        </w:rPr>
        <w:t>, acápite dentro del cual se abordará de manera breve el alcan</w:t>
      </w:r>
      <w:r w:rsidRPr="00DF77C8">
        <w:rPr>
          <w:rFonts w:ascii="Times New Roman" w:hAnsi="Times New Roman"/>
          <w:sz w:val="28"/>
          <w:szCs w:val="28"/>
        </w:rPr>
        <w:t>ce del derecho de acceso a la administración de justicia</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b/>
          <w:sz w:val="28"/>
          <w:szCs w:val="28"/>
        </w:rPr>
        <w:t xml:space="preserve">(ii) </w:t>
      </w:r>
      <w:r w:rsidRPr="00DF77C8">
        <w:rPr>
          <w:rFonts w:ascii="Times New Roman" w:hAnsi="Times New Roman"/>
          <w:sz w:val="28"/>
          <w:szCs w:val="28"/>
        </w:rPr>
        <w:t xml:space="preserve">la función del juez de control de garantías; </w:t>
      </w:r>
      <w:r w:rsidRPr="00DF77C8">
        <w:rPr>
          <w:rFonts w:ascii="Times New Roman" w:hAnsi="Times New Roman"/>
          <w:b/>
          <w:sz w:val="28"/>
          <w:szCs w:val="28"/>
        </w:rPr>
        <w:t xml:space="preserve">(iii) </w:t>
      </w:r>
      <w:r w:rsidRPr="00DF77C8">
        <w:rPr>
          <w:rFonts w:ascii="Times New Roman" w:hAnsi="Times New Roman"/>
          <w:sz w:val="28"/>
          <w:szCs w:val="28"/>
        </w:rPr>
        <w:t xml:space="preserve">los requisitos para la configuración de la omisión legislativa relativa; con base en lo anterior examinará </w:t>
      </w:r>
      <w:r w:rsidRPr="00DF77C8">
        <w:rPr>
          <w:rFonts w:ascii="Times New Roman" w:hAnsi="Times New Roman"/>
          <w:b/>
          <w:sz w:val="28"/>
          <w:szCs w:val="28"/>
        </w:rPr>
        <w:t>(i</w:t>
      </w:r>
      <w:r w:rsidRPr="00DF77C8">
        <w:rPr>
          <w:rFonts w:ascii="Times New Roman" w:hAnsi="Times New Roman"/>
          <w:b/>
          <w:sz w:val="28"/>
          <w:szCs w:val="28"/>
        </w:rPr>
        <w:t>v</w:t>
      </w:r>
      <w:r w:rsidRPr="00DF77C8">
        <w:rPr>
          <w:rFonts w:ascii="Times New Roman" w:hAnsi="Times New Roman"/>
          <w:b/>
          <w:sz w:val="28"/>
          <w:szCs w:val="28"/>
        </w:rPr>
        <w:t>)</w:t>
      </w:r>
      <w:r w:rsidRPr="00DF77C8">
        <w:rPr>
          <w:rFonts w:ascii="Times New Roman" w:hAnsi="Times New Roman"/>
          <w:sz w:val="28"/>
          <w:szCs w:val="28"/>
        </w:rPr>
        <w:t xml:space="preserve"> la constitucionalidad de la di</w:t>
      </w:r>
      <w:r w:rsidRPr="00DF77C8">
        <w:rPr>
          <w:rFonts w:ascii="Times New Roman" w:hAnsi="Times New Roman"/>
          <w:sz w:val="28"/>
          <w:szCs w:val="28"/>
        </w:rPr>
        <w:t xml:space="preserve">sposición censurada, por el cargo formulado, con base en la posible configuración de una omisión legislativa relativa. </w:t>
      </w:r>
    </w:p>
    <w:p w:rsidR="00801F94" w:rsidRPr="00DF77C8" w:rsidRDefault="00DF77C8" w:rsidP="008A4B21">
      <w:pPr>
        <w:ind w:left="702" w:right="-26" w:hanging="702"/>
        <w:jc w:val="both"/>
        <w:rPr>
          <w:rFonts w:ascii="Times New Roman" w:hAnsi="Times New Roman"/>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sz w:val="28"/>
          <w:szCs w:val="28"/>
        </w:rPr>
        <w:t xml:space="preserve">Libertad de configuración legislativa en materia penal, en particular, de la doble instancia. Reiteración de jurisprudencia. </w:t>
      </w:r>
    </w:p>
    <w:p w:rsidR="00801F94" w:rsidRPr="00DF77C8" w:rsidRDefault="00DF77C8" w:rsidP="008A4B21">
      <w:pPr>
        <w:ind w:left="862" w:right="-26"/>
        <w:jc w:val="both"/>
        <w:rPr>
          <w:rFonts w:ascii="Times New Roman" w:hAnsi="Times New Roman"/>
          <w:b/>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Como lo </w:t>
      </w:r>
      <w:r w:rsidRPr="00DF77C8">
        <w:rPr>
          <w:rFonts w:ascii="Times New Roman" w:hAnsi="Times New Roman"/>
          <w:sz w:val="28"/>
          <w:szCs w:val="28"/>
        </w:rPr>
        <w:t xml:space="preserve">ha expuesto esta </w:t>
      </w:r>
      <w:r w:rsidRPr="00DF77C8">
        <w:rPr>
          <w:rFonts w:ascii="Times New Roman" w:hAnsi="Times New Roman"/>
          <w:sz w:val="28"/>
          <w:szCs w:val="28"/>
        </w:rPr>
        <w:t>Corporación</w:t>
      </w:r>
      <w:r w:rsidRPr="00DF77C8">
        <w:rPr>
          <w:rFonts w:ascii="Times New Roman" w:hAnsi="Times New Roman"/>
          <w:sz w:val="28"/>
          <w:szCs w:val="28"/>
        </w:rPr>
        <w:t xml:space="preserve"> en reiterada jurisprudencia</w:t>
      </w:r>
      <w:r w:rsidRPr="00DF77C8">
        <w:rPr>
          <w:rFonts w:ascii="Times New Roman" w:hAnsi="Times New Roman"/>
          <w:sz w:val="28"/>
          <w:szCs w:val="28"/>
          <w:vertAlign w:val="superscript"/>
        </w:rPr>
        <w:footnoteReference w:id="40"/>
      </w:r>
      <w:r w:rsidRPr="00DF77C8">
        <w:rPr>
          <w:rFonts w:ascii="Times New Roman" w:hAnsi="Times New Roman"/>
          <w:sz w:val="28"/>
          <w:szCs w:val="28"/>
        </w:rPr>
        <w:t xml:space="preserve">, de conformidad con lo dispuesto en el artículo 150 numeral 2° de la Constitución, el legislador goza de amplia libertad de configuración “para definir el procedimiento en los procesos, actuaciones </w:t>
      </w:r>
      <w:r w:rsidRPr="00DF77C8">
        <w:rPr>
          <w:rFonts w:ascii="Times New Roman" w:hAnsi="Times New Roman"/>
          <w:sz w:val="28"/>
          <w:szCs w:val="28"/>
        </w:rPr>
        <w:t>y acciones originadas en el derecho sustancial (...) que le permite desarrollar plenamente su función constitucional y, en ese orden de ideas, le corresponde evaluar y definir las etapas, características, términos y demás elementos que integran cada proced</w:t>
      </w:r>
      <w:r w:rsidRPr="00DF77C8">
        <w:rPr>
          <w:rFonts w:ascii="Times New Roman" w:hAnsi="Times New Roman"/>
          <w:sz w:val="28"/>
          <w:szCs w:val="28"/>
        </w:rPr>
        <w:t>imiento judicial”</w:t>
      </w:r>
      <w:r w:rsidRPr="00DF77C8">
        <w:rPr>
          <w:rFonts w:ascii="Times New Roman" w:hAnsi="Times New Roman"/>
          <w:sz w:val="28"/>
          <w:szCs w:val="28"/>
          <w:vertAlign w:val="superscript"/>
        </w:rPr>
        <w:footnoteReference w:id="41"/>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Esta facultad tiene trascendencia en nuestro ordenamiento jurídico porque el proceso</w:t>
      </w:r>
      <w:r w:rsidRPr="00DF77C8">
        <w:rPr>
          <w:rFonts w:ascii="Times New Roman" w:hAnsi="Times New Roman"/>
          <w:sz w:val="28"/>
          <w:szCs w:val="28"/>
        </w:rPr>
        <w:t>,</w:t>
      </w:r>
      <w:r w:rsidRPr="00DF77C8">
        <w:rPr>
          <w:rFonts w:ascii="Times New Roman" w:hAnsi="Times New Roman"/>
          <w:sz w:val="28"/>
          <w:szCs w:val="28"/>
        </w:rPr>
        <w:t xml:space="preserve"> más allá de ser considerado como un fin en sí mismo, es un instrumento que permite proteger derechos fundamentales “de las partes, intervinientes y d</w:t>
      </w:r>
      <w:r w:rsidRPr="00DF77C8">
        <w:rPr>
          <w:rFonts w:ascii="Times New Roman" w:hAnsi="Times New Roman"/>
          <w:sz w:val="28"/>
          <w:szCs w:val="28"/>
        </w:rPr>
        <w:t>emás sujetos vinculados al proceso”</w:t>
      </w:r>
      <w:r w:rsidRPr="00DF77C8">
        <w:rPr>
          <w:rFonts w:ascii="Times New Roman" w:hAnsi="Times New Roman"/>
          <w:sz w:val="28"/>
          <w:szCs w:val="28"/>
          <w:vertAlign w:val="superscript"/>
        </w:rPr>
        <w:footnoteReference w:id="42"/>
      </w:r>
      <w:r w:rsidRPr="00DF77C8">
        <w:rPr>
          <w:rFonts w:ascii="Times New Roman" w:hAnsi="Times New Roman"/>
          <w:sz w:val="28"/>
          <w:szCs w:val="28"/>
        </w:rPr>
        <w:t xml:space="preserve"> como el debido proceso, el acceso a la administración de justicia, el principio de legalidad, </w:t>
      </w:r>
      <w:r w:rsidRPr="00DF77C8">
        <w:rPr>
          <w:rFonts w:ascii="Times New Roman" w:hAnsi="Times New Roman"/>
          <w:sz w:val="28"/>
          <w:szCs w:val="28"/>
        </w:rPr>
        <w:t>los cuales</w:t>
      </w:r>
      <w:r w:rsidRPr="00DF77C8">
        <w:rPr>
          <w:rFonts w:ascii="Times New Roman" w:hAnsi="Times New Roman"/>
          <w:sz w:val="28"/>
          <w:szCs w:val="28"/>
        </w:rPr>
        <w:t xml:space="preserve"> ocupa</w:t>
      </w:r>
      <w:r w:rsidRPr="00DF77C8">
        <w:rPr>
          <w:rFonts w:ascii="Times New Roman" w:hAnsi="Times New Roman"/>
          <w:sz w:val="28"/>
          <w:szCs w:val="28"/>
        </w:rPr>
        <w:t>n</w:t>
      </w:r>
      <w:r w:rsidRPr="00DF77C8">
        <w:rPr>
          <w:rFonts w:ascii="Times New Roman" w:hAnsi="Times New Roman"/>
          <w:sz w:val="28"/>
          <w:szCs w:val="28"/>
        </w:rPr>
        <w:t xml:space="preserve"> un lugar central en el marco de un Estado Social de Derecho, con el propósito de promover la justicia y la </w:t>
      </w:r>
      <w:r w:rsidRPr="00DF77C8">
        <w:rPr>
          <w:rFonts w:ascii="Times New Roman" w:hAnsi="Times New Roman"/>
          <w:sz w:val="28"/>
          <w:szCs w:val="28"/>
        </w:rPr>
        <w:t>convivencia pacífica de los asociados</w:t>
      </w:r>
      <w:r w:rsidRPr="00DF77C8">
        <w:rPr>
          <w:rFonts w:ascii="Times New Roman" w:hAnsi="Times New Roman"/>
          <w:sz w:val="28"/>
          <w:szCs w:val="28"/>
          <w:vertAlign w:val="superscript"/>
        </w:rPr>
        <w:footnoteReference w:id="43"/>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este contexto el legislador goza de amplia libertad para establecer las formas propias de cada juicio, la cual no puede ser ejercida de manera absoluta ni arbitraria pues esa potestad debe sujetarse a los límite</w:t>
      </w:r>
      <w:r w:rsidRPr="00DF77C8">
        <w:rPr>
          <w:rFonts w:ascii="Times New Roman" w:hAnsi="Times New Roman"/>
          <w:sz w:val="28"/>
          <w:szCs w:val="28"/>
        </w:rPr>
        <w:t>s establecidos en la Constitución, como por ejemplo: (i) que observe los principios y fines del Estado como la justicia y la igualdad; (ii) que asegure la vigencia de los derechos fundamentales de los ciudadanos; (iii) que atienda a los principios de razon</w:t>
      </w:r>
      <w:r w:rsidRPr="00DF77C8">
        <w:rPr>
          <w:rFonts w:ascii="Times New Roman" w:hAnsi="Times New Roman"/>
          <w:sz w:val="28"/>
          <w:szCs w:val="28"/>
        </w:rPr>
        <w:t>abilidad y proporcionalidad; (iv) que realice materialmente los derechos y el principio de la primacía del derecho sustancial sobre las formas</w:t>
      </w:r>
      <w:r w:rsidRPr="00DF77C8">
        <w:rPr>
          <w:rFonts w:ascii="Times New Roman" w:hAnsi="Times New Roman"/>
          <w:sz w:val="28"/>
          <w:szCs w:val="28"/>
          <w:vertAlign w:val="superscript"/>
        </w:rPr>
        <w:footnoteReference w:id="44"/>
      </w:r>
      <w:r w:rsidRPr="00DF77C8">
        <w:rPr>
          <w:rFonts w:ascii="Times New Roman" w:hAnsi="Times New Roman"/>
          <w:sz w:val="28"/>
          <w:szCs w:val="28"/>
        </w:rPr>
        <w:t>.</w:t>
      </w:r>
    </w:p>
    <w:p w:rsidR="005F27BE" w:rsidRPr="00DF77C8" w:rsidRDefault="00DF77C8" w:rsidP="008A4B21">
      <w:pPr>
        <w:pStyle w:val="Prrafodelista"/>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ese sentido, l</w:t>
      </w:r>
      <w:r w:rsidRPr="00DF77C8">
        <w:rPr>
          <w:rFonts w:ascii="Times New Roman" w:hAnsi="Times New Roman"/>
          <w:sz w:val="28"/>
          <w:szCs w:val="28"/>
        </w:rPr>
        <w:t xml:space="preserve">a Sentencia C-203 de 2001 hizo referencia a varios escenarios en los que el legislador puede </w:t>
      </w:r>
      <w:r w:rsidRPr="00DF77C8">
        <w:rPr>
          <w:rFonts w:ascii="Times New Roman" w:hAnsi="Times New Roman"/>
          <w:sz w:val="28"/>
          <w:szCs w:val="28"/>
        </w:rPr>
        <w:t>ejercer la libertad de configuración en materia procesal. Entre ellos, destac</w:t>
      </w:r>
      <w:r w:rsidRPr="00DF77C8">
        <w:rPr>
          <w:rFonts w:ascii="Times New Roman" w:hAnsi="Times New Roman"/>
          <w:sz w:val="28"/>
          <w:szCs w:val="28"/>
        </w:rPr>
        <w:t>a</w:t>
      </w:r>
      <w:r w:rsidRPr="00DF77C8">
        <w:rPr>
          <w:rFonts w:ascii="Times New Roman" w:hAnsi="Times New Roman"/>
          <w:sz w:val="28"/>
          <w:szCs w:val="28"/>
        </w:rPr>
        <w:t xml:space="preserve"> como uno de los más relevantes la consagración de los recursos y medios de defensa que pueden ejercerse contra las decisiones que profieren las autoridades judiciales y administ</w:t>
      </w:r>
      <w:r w:rsidRPr="00DF77C8">
        <w:rPr>
          <w:rFonts w:ascii="Times New Roman" w:hAnsi="Times New Roman"/>
          <w:sz w:val="28"/>
          <w:szCs w:val="28"/>
        </w:rPr>
        <w:t xml:space="preserve">rativas. </w:t>
      </w:r>
      <w:r w:rsidRPr="00DF77C8">
        <w:rPr>
          <w:rFonts w:ascii="Times New Roman" w:hAnsi="Times New Roman"/>
          <w:sz w:val="28"/>
          <w:szCs w:val="28"/>
        </w:rPr>
        <w:t xml:space="preserve">Dicho fallo </w:t>
      </w:r>
      <w:r w:rsidRPr="00DF77C8">
        <w:rPr>
          <w:rFonts w:ascii="Times New Roman" w:hAnsi="Times New Roman"/>
          <w:sz w:val="28"/>
          <w:szCs w:val="28"/>
        </w:rPr>
        <w:t>destacó lo expuesto mediante Sentencia C-1104 de 2001, en relación a que “</w:t>
      </w:r>
      <w:r w:rsidRPr="00DF77C8">
        <w:rPr>
          <w:rFonts w:ascii="Times New Roman" w:hAnsi="Times New Roman"/>
          <w:sz w:val="28"/>
          <w:szCs w:val="28"/>
        </w:rPr>
        <w:t>(e)</w:t>
      </w:r>
      <w:r w:rsidRPr="00DF77C8">
        <w:rPr>
          <w:rFonts w:ascii="Times New Roman" w:hAnsi="Times New Roman"/>
          <w:sz w:val="28"/>
          <w:szCs w:val="28"/>
        </w:rPr>
        <w:t>s la ley, no la Constitución, la que señala si determinado recurso -reposición, apelación, u otro- tiene o no cabida respecto de cierta decisión, y es la ley,</w:t>
      </w:r>
      <w:r w:rsidRPr="00DF77C8">
        <w:rPr>
          <w:rFonts w:ascii="Times New Roman" w:hAnsi="Times New Roman"/>
          <w:sz w:val="28"/>
          <w:szCs w:val="28"/>
        </w:rPr>
        <w:t xml:space="preserve"> por tanto, la encargada de diseñar en todos sus pormenores las reglas dentro de las cuales tal recurso puede ser interpuesto, ante quién, en qué oportunidad, cuándo no es procedente y cuáles son los requisitos -positivos y negativos- que deben darse para </w:t>
      </w:r>
      <w:r w:rsidRPr="00DF77C8">
        <w:rPr>
          <w:rFonts w:ascii="Times New Roman" w:hAnsi="Times New Roman"/>
          <w:sz w:val="28"/>
          <w:szCs w:val="28"/>
        </w:rPr>
        <w:t>su ejercicio”</w:t>
      </w:r>
      <w:r w:rsidRPr="00DF77C8">
        <w:rPr>
          <w:rFonts w:ascii="Times New Roman" w:hAnsi="Times New Roman"/>
          <w:sz w:val="28"/>
          <w:szCs w:val="28"/>
          <w:vertAlign w:val="superscript"/>
        </w:rPr>
        <w:footnoteReference w:id="45"/>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Específicamente, en materia procesal penal, la jurisprudencia de esta </w:t>
      </w:r>
      <w:r w:rsidRPr="00DF77C8">
        <w:rPr>
          <w:rFonts w:ascii="Times New Roman" w:hAnsi="Times New Roman"/>
          <w:sz w:val="28"/>
          <w:szCs w:val="28"/>
        </w:rPr>
        <w:t>Corporación</w:t>
      </w:r>
      <w:r w:rsidRPr="00DF77C8">
        <w:rPr>
          <w:rFonts w:ascii="Times New Roman" w:hAnsi="Times New Roman"/>
          <w:sz w:val="28"/>
          <w:szCs w:val="28"/>
        </w:rPr>
        <w:t xml:space="preserve"> ha sostenido que el legislador goza de amplia libertad de configuración, por ejemplo, para consagrar recursos frente a las decisiones que expidan las autoridades judiciales</w:t>
      </w:r>
      <w:r w:rsidRPr="00DF77C8">
        <w:rPr>
          <w:rFonts w:ascii="Times New Roman" w:hAnsi="Times New Roman"/>
          <w:sz w:val="28"/>
          <w:szCs w:val="28"/>
        </w:rPr>
        <w:t>,</w:t>
      </w:r>
      <w:r w:rsidRPr="00DF77C8">
        <w:rPr>
          <w:rFonts w:ascii="Times New Roman" w:hAnsi="Times New Roman"/>
          <w:sz w:val="28"/>
          <w:szCs w:val="28"/>
        </w:rPr>
        <w:t xml:space="preserve"> o de no contemplarlos, pero limitada al respeto de las normas constitucionales, e</w:t>
      </w:r>
      <w:r w:rsidRPr="00DF77C8">
        <w:rPr>
          <w:rFonts w:ascii="Times New Roman" w:hAnsi="Times New Roman"/>
          <w:sz w:val="28"/>
          <w:szCs w:val="28"/>
        </w:rPr>
        <w:t>n particular, las referentes a las garantías fundamentales de los sujetos procesales</w:t>
      </w:r>
      <w:r w:rsidRPr="00DF77C8">
        <w:rPr>
          <w:rFonts w:ascii="Times New Roman" w:hAnsi="Times New Roman"/>
          <w:sz w:val="28"/>
          <w:szCs w:val="28"/>
          <w:vertAlign w:val="superscript"/>
        </w:rPr>
        <w:footnoteReference w:id="46"/>
      </w:r>
      <w:r w:rsidRPr="00DF77C8">
        <w:rPr>
          <w:rFonts w:ascii="Times New Roman" w:hAnsi="Times New Roman"/>
          <w:sz w:val="28"/>
          <w:szCs w:val="28"/>
        </w:rPr>
        <w:t xml:space="preserve"> y a “´los principios de razonabilidad y proporcionalidad´ a fin de que las restricciones a los derechos que prevea el legislador en ejercicio de dicha potestad no resulte</w:t>
      </w:r>
      <w:r w:rsidRPr="00DF77C8">
        <w:rPr>
          <w:rFonts w:ascii="Times New Roman" w:hAnsi="Times New Roman"/>
          <w:sz w:val="28"/>
          <w:szCs w:val="28"/>
        </w:rPr>
        <w:t>n arbitrarias”</w:t>
      </w:r>
      <w:r w:rsidRPr="00DF77C8">
        <w:rPr>
          <w:rFonts w:ascii="Times New Roman" w:hAnsi="Times New Roman"/>
          <w:sz w:val="28"/>
          <w:szCs w:val="28"/>
          <w:vertAlign w:val="superscript"/>
        </w:rPr>
        <w:footnoteReference w:id="47"/>
      </w:r>
      <w:r w:rsidRPr="00DF77C8">
        <w:rPr>
          <w:rFonts w:ascii="Times New Roman" w:hAnsi="Times New Roman"/>
          <w:sz w:val="28"/>
          <w:szCs w:val="28"/>
        </w:rPr>
        <w:t>.</w:t>
      </w:r>
    </w:p>
    <w:p w:rsidR="00444152" w:rsidRPr="00DF77C8" w:rsidRDefault="00DF77C8" w:rsidP="008A4B21">
      <w:pPr>
        <w:pStyle w:val="Prrafodelista"/>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Sobre las restricciones que tiene el legislador al momento de regular lo relacionado con los procedimientos y establecer diferenciaciones, la Corte en </w:t>
      </w:r>
      <w:r w:rsidRPr="00DF77C8">
        <w:rPr>
          <w:rFonts w:ascii="Times New Roman" w:hAnsi="Times New Roman"/>
          <w:sz w:val="28"/>
          <w:szCs w:val="28"/>
        </w:rPr>
        <w:t>Sentencia C-100 de 2011</w:t>
      </w:r>
      <w:r w:rsidRPr="00DF77C8">
        <w:rPr>
          <w:rFonts w:ascii="Times New Roman" w:hAnsi="Times New Roman"/>
          <w:sz w:val="28"/>
          <w:szCs w:val="28"/>
        </w:rPr>
        <w:t xml:space="preserve"> que citó la Sentencia C-592 de 1998, expuso lo siguiente</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 xml:space="preserve">“el </w:t>
      </w:r>
      <w:r w:rsidRPr="00DF77C8">
        <w:rPr>
          <w:rFonts w:ascii="Times New Roman" w:hAnsi="Times New Roman"/>
          <w:sz w:val="28"/>
          <w:szCs w:val="28"/>
        </w:rPr>
        <w:t xml:space="preserve">legislador, en ejercicio de las competencias constitucionales de las que es titular, puede establecer procedimientos distintos y consagrar regímenes diferenciados para el juzgamiento y tratamiento penitenciario de delitos y contravenciones, </w:t>
      </w:r>
      <w:r w:rsidRPr="00DF77C8">
        <w:rPr>
          <w:rFonts w:ascii="Times New Roman" w:hAnsi="Times New Roman"/>
          <w:b/>
          <w:sz w:val="28"/>
          <w:szCs w:val="28"/>
        </w:rPr>
        <w:t>pudiendo, inclu</w:t>
      </w:r>
      <w:r w:rsidRPr="00DF77C8">
        <w:rPr>
          <w:rFonts w:ascii="Times New Roman" w:hAnsi="Times New Roman"/>
          <w:b/>
          <w:sz w:val="28"/>
          <w:szCs w:val="28"/>
        </w:rPr>
        <w:t>so, realizar diferenciaciones dentro de cada uno de estos grupos, en la medida en que unos y otros se fundamenten en criterios de razonabilidad y proporcionalidad que atiendan una valoración objetiva de elementos</w:t>
      </w:r>
      <w:r w:rsidRPr="00DF77C8">
        <w:rPr>
          <w:rFonts w:ascii="Times New Roman" w:hAnsi="Times New Roman"/>
          <w:sz w:val="28"/>
          <w:szCs w:val="28"/>
        </w:rPr>
        <w:t xml:space="preserve"> tales como, la mayor o menor gravedad de la</w:t>
      </w:r>
      <w:r w:rsidRPr="00DF77C8">
        <w:rPr>
          <w:rFonts w:ascii="Times New Roman" w:hAnsi="Times New Roman"/>
          <w:sz w:val="28"/>
          <w:szCs w:val="28"/>
        </w:rPr>
        <w:t xml:space="preserve"> conducta ilícita, la mayor o menor repercusión que la afectación del bien jurídico lesionado tenga en el interés general y en el orden social, así como el grado de culpabilidad, entre otros</w:t>
      </w:r>
      <w:r w:rsidRPr="00DF77C8">
        <w:rPr>
          <w:rFonts w:ascii="Times New Roman" w:hAnsi="Times New Roman"/>
          <w:sz w:val="28"/>
          <w:szCs w:val="28"/>
          <w:vertAlign w:val="superscript"/>
        </w:rPr>
        <w:footnoteReference w:id="48"/>
      </w:r>
      <w:r w:rsidRPr="00DF77C8">
        <w:rPr>
          <w:rFonts w:ascii="Times New Roman" w:hAnsi="Times New Roman"/>
          <w:sz w:val="28"/>
          <w:szCs w:val="28"/>
        </w:rPr>
        <w:t>”</w:t>
      </w:r>
      <w:r w:rsidRPr="00DF77C8">
        <w:rPr>
          <w:rFonts w:ascii="Times New Roman" w:hAnsi="Times New Roman"/>
          <w:sz w:val="28"/>
          <w:szCs w:val="28"/>
        </w:rPr>
        <w:t xml:space="preserve"> (negrilla fuera de texto).</w:t>
      </w:r>
    </w:p>
    <w:p w:rsidR="002A1B9F" w:rsidRPr="00DF77C8" w:rsidRDefault="00DF77C8" w:rsidP="008A4B21">
      <w:pPr>
        <w:ind w:right="-26"/>
        <w:jc w:val="both"/>
        <w:rPr>
          <w:rFonts w:ascii="Times New Roman" w:hAnsi="Times New Roman"/>
          <w:sz w:val="28"/>
          <w:szCs w:val="28"/>
        </w:rPr>
      </w:pPr>
    </w:p>
    <w:p w:rsidR="002A1B9F"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Asimismo, la jurisprudencia </w:t>
      </w:r>
      <w:r w:rsidRPr="00DF77C8">
        <w:rPr>
          <w:rFonts w:ascii="Times New Roman" w:hAnsi="Times New Roman"/>
          <w:sz w:val="28"/>
          <w:szCs w:val="28"/>
        </w:rPr>
        <w:t>constitucional ha señalado que no vulnera el derecho a la igualdad</w:t>
      </w:r>
      <w:r w:rsidRPr="00DF77C8">
        <w:rPr>
          <w:rFonts w:ascii="Times New Roman" w:hAnsi="Times New Roman"/>
          <w:sz w:val="28"/>
          <w:szCs w:val="28"/>
        </w:rPr>
        <w:t xml:space="preserve"> </w:t>
      </w:r>
      <w:r w:rsidRPr="00DF77C8">
        <w:rPr>
          <w:rFonts w:ascii="Times New Roman" w:hAnsi="Times New Roman"/>
          <w:sz w:val="28"/>
          <w:szCs w:val="28"/>
        </w:rPr>
        <w:t xml:space="preserve">el trato diferenciado que se otorga a las personas con base en condiciones </w:t>
      </w:r>
      <w:r w:rsidRPr="00DF77C8">
        <w:rPr>
          <w:rFonts w:ascii="Times New Roman" w:hAnsi="Times New Roman"/>
          <w:sz w:val="28"/>
          <w:szCs w:val="28"/>
        </w:rPr>
        <w:t>importantes que reúnan los sujetos procesales, lo cual, a la luz de cada caso concreto puede comprenderse como raz</w:t>
      </w:r>
      <w:r w:rsidRPr="00DF77C8">
        <w:rPr>
          <w:rFonts w:ascii="Times New Roman" w:hAnsi="Times New Roman"/>
          <w:sz w:val="28"/>
          <w:szCs w:val="28"/>
        </w:rPr>
        <w:t>onable</w:t>
      </w:r>
      <w:r w:rsidRPr="00DF77C8">
        <w:rPr>
          <w:rStyle w:val="Refdenotaalpie"/>
          <w:rFonts w:ascii="Times New Roman" w:hAnsi="Times New Roman"/>
          <w:sz w:val="28"/>
          <w:szCs w:val="28"/>
        </w:rPr>
        <w:footnoteReference w:id="49"/>
      </w:r>
      <w:r w:rsidRPr="00DF77C8">
        <w:rPr>
          <w:rFonts w:ascii="Times New Roman" w:hAnsi="Times New Roman"/>
          <w:sz w:val="28"/>
          <w:szCs w:val="28"/>
        </w:rPr>
        <w:t xml:space="preserve">. </w:t>
      </w:r>
    </w:p>
    <w:p w:rsidR="00444152"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Adicionalmente, la </w:t>
      </w:r>
      <w:r w:rsidRPr="00DF77C8">
        <w:rPr>
          <w:rFonts w:ascii="Times New Roman" w:hAnsi="Times New Roman"/>
          <w:sz w:val="28"/>
          <w:szCs w:val="28"/>
        </w:rPr>
        <w:t>Sentencia C-1404 de 2000</w:t>
      </w:r>
      <w:r w:rsidRPr="00DF77C8">
        <w:rPr>
          <w:rFonts w:ascii="Times New Roman" w:hAnsi="Times New Roman"/>
          <w:sz w:val="28"/>
          <w:szCs w:val="28"/>
        </w:rPr>
        <w:t xml:space="preserve"> sostuvo de manera enfática la importancia de que las medidas en materia penal que introduzcan un beneficio a favor de un grupo de personas y excluya</w:t>
      </w:r>
      <w:r w:rsidRPr="00DF77C8">
        <w:rPr>
          <w:rFonts w:ascii="Times New Roman" w:hAnsi="Times New Roman"/>
          <w:sz w:val="28"/>
          <w:szCs w:val="28"/>
        </w:rPr>
        <w:t>n</w:t>
      </w:r>
      <w:r w:rsidRPr="00DF77C8">
        <w:rPr>
          <w:rFonts w:ascii="Times New Roman" w:hAnsi="Times New Roman"/>
          <w:sz w:val="28"/>
          <w:szCs w:val="28"/>
        </w:rPr>
        <w:t xml:space="preserve"> del mismo a otras personas debe</w:t>
      </w:r>
      <w:r w:rsidRPr="00DF77C8">
        <w:rPr>
          <w:rFonts w:ascii="Times New Roman" w:hAnsi="Times New Roman"/>
          <w:sz w:val="28"/>
          <w:szCs w:val="28"/>
        </w:rPr>
        <w:t>n</w:t>
      </w:r>
      <w:r w:rsidRPr="00DF77C8">
        <w:rPr>
          <w:rFonts w:ascii="Times New Roman" w:hAnsi="Times New Roman"/>
          <w:sz w:val="28"/>
          <w:szCs w:val="28"/>
        </w:rPr>
        <w:t xml:space="preserve"> tener un sólido y </w:t>
      </w:r>
      <w:r w:rsidRPr="00DF77C8">
        <w:rPr>
          <w:rFonts w:ascii="Times New Roman" w:hAnsi="Times New Roman"/>
          <w:sz w:val="28"/>
          <w:szCs w:val="28"/>
        </w:rPr>
        <w:t>consistente fundamento constitucional</w:t>
      </w:r>
      <w:r w:rsidRPr="00DF77C8">
        <w:rPr>
          <w:rFonts w:ascii="Times New Roman" w:hAnsi="Times New Roman"/>
          <w:sz w:val="28"/>
          <w:szCs w:val="28"/>
        </w:rPr>
        <w:t>. E</w:t>
      </w:r>
      <w:r w:rsidRPr="00DF77C8">
        <w:rPr>
          <w:rFonts w:ascii="Times New Roman" w:hAnsi="Times New Roman"/>
          <w:sz w:val="28"/>
          <w:szCs w:val="28"/>
        </w:rPr>
        <w:t>n caso contrario, de no encontrarse claramente justificada, dicha medida vulneraría el derecho a la igualdad y se tornaría en un acto arbitrario por parte del legislador:</w:t>
      </w:r>
    </w:p>
    <w:p w:rsidR="00AC0364" w:rsidRPr="00DF77C8" w:rsidRDefault="00DF77C8" w:rsidP="008A4B21">
      <w:pPr>
        <w:pStyle w:val="Prrafodelista"/>
        <w:rPr>
          <w:rFonts w:ascii="Times New Roman" w:hAnsi="Times New Roman"/>
          <w:sz w:val="28"/>
          <w:szCs w:val="28"/>
        </w:rPr>
      </w:pPr>
    </w:p>
    <w:p w:rsidR="00AC036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“En ese sentido, una medida como la que cont</w:t>
      </w:r>
      <w:r w:rsidRPr="00DF77C8">
        <w:rPr>
          <w:rFonts w:ascii="Times New Roman" w:hAnsi="Times New Roman"/>
          <w:sz w:val="28"/>
          <w:szCs w:val="28"/>
        </w:rPr>
        <w:t xml:space="preserve">empla el Proyecto de Ley objetado, consistente en el otorgamiento de un importante beneficio penitenciario a </w:t>
      </w:r>
      <w:r w:rsidRPr="00DF77C8">
        <w:rPr>
          <w:rFonts w:ascii="Times New Roman" w:hAnsi="Times New Roman"/>
          <w:sz w:val="28"/>
          <w:szCs w:val="28"/>
        </w:rPr>
        <w:t>un grupo</w:t>
      </w:r>
      <w:r w:rsidRPr="00DF77C8">
        <w:rPr>
          <w:rFonts w:ascii="Times New Roman" w:hAnsi="Times New Roman"/>
          <w:sz w:val="28"/>
          <w:szCs w:val="28"/>
        </w:rPr>
        <w:t xml:space="preserve"> determinado de reclusos, debe estar respaldada por un sólido fundamento constitucional, y asímismo enmarcarse de manera plausible dentro d</w:t>
      </w:r>
      <w:r w:rsidRPr="00DF77C8">
        <w:rPr>
          <w:rFonts w:ascii="Times New Roman" w:hAnsi="Times New Roman"/>
          <w:sz w:val="28"/>
          <w:szCs w:val="28"/>
        </w:rPr>
        <w:t>e una política estatal de las características aludidas</w:t>
      </w:r>
      <w:r w:rsidRPr="00DF77C8">
        <w:rPr>
          <w:rFonts w:ascii="Times New Roman" w:hAnsi="Times New Roman"/>
          <w:sz w:val="28"/>
          <w:szCs w:val="28"/>
        </w:rPr>
        <w:t xml:space="preserve"> (…) </w:t>
      </w:r>
    </w:p>
    <w:p w:rsidR="00AC036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En otras palabras, como la medida bajo análisis crea dos categorías distintas de sujetos, para efectos de aplicarle a una sola de ellas el beneficio en comento, esa diferenciación en el trato deb</w:t>
      </w:r>
      <w:r w:rsidRPr="00DF77C8">
        <w:rPr>
          <w:rFonts w:ascii="Times New Roman" w:hAnsi="Times New Roman"/>
          <w:sz w:val="28"/>
          <w:szCs w:val="28"/>
        </w:rPr>
        <w:t>e encontrar una justificación constitucional.</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Pero no obra el Legislador dentro de los parámetros constitucionales cuando de manera caprichosa decide favorecer a quienes por una mera cuestión de azar se hallaban en una circunstancia que él resuelve</w:t>
      </w:r>
      <w:r w:rsidRPr="00DF77C8">
        <w:rPr>
          <w:rFonts w:ascii="Times New Roman" w:hAnsi="Times New Roman"/>
          <w:sz w:val="28"/>
          <w:szCs w:val="28"/>
        </w:rPr>
        <w:t xml:space="preserve"> calificar de privilegiada, sin que corresponda a la instrumentación de una política criminal razonada y razonable. </w:t>
      </w:r>
      <w:r w:rsidRPr="00DF77C8">
        <w:rPr>
          <w:rFonts w:ascii="Times New Roman" w:hAnsi="Times New Roman"/>
          <w:b/>
          <w:sz w:val="28"/>
          <w:szCs w:val="28"/>
        </w:rPr>
        <w:t>Una diversidad de tratamiento sin un criterio claro y consistente que la justifique, es simple y llana arbitrariedad, incompatible con un Es</w:t>
      </w:r>
      <w:r w:rsidRPr="00DF77C8">
        <w:rPr>
          <w:rFonts w:ascii="Times New Roman" w:hAnsi="Times New Roman"/>
          <w:b/>
          <w:sz w:val="28"/>
          <w:szCs w:val="28"/>
        </w:rPr>
        <w:t>tado constitucional (de derecho)</w:t>
      </w:r>
      <w:r w:rsidRPr="00DF77C8">
        <w:rPr>
          <w:rFonts w:ascii="Times New Roman" w:hAnsi="Times New Roman"/>
          <w:sz w:val="28"/>
          <w:szCs w:val="28"/>
        </w:rPr>
        <w:t xml:space="preserve"> que programáticamente excluye este tipo de acciones oficiales (...)”. (negrilla fuera de texto).</w:t>
      </w:r>
    </w:p>
    <w:p w:rsidR="00947FCD"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Cabe resaltar</w:t>
      </w:r>
      <w:r w:rsidRPr="00DF77C8">
        <w:rPr>
          <w:rFonts w:ascii="Times New Roman" w:hAnsi="Times New Roman"/>
          <w:sz w:val="28"/>
          <w:szCs w:val="28"/>
        </w:rPr>
        <w:t xml:space="preserve"> la importancia de que el legislador en ejercicio de su amplia </w:t>
      </w:r>
      <w:r w:rsidRPr="00DF77C8">
        <w:rPr>
          <w:rFonts w:ascii="Times New Roman" w:hAnsi="Times New Roman"/>
          <w:sz w:val="28"/>
          <w:szCs w:val="28"/>
        </w:rPr>
        <w:t>potestad</w:t>
      </w:r>
      <w:r w:rsidRPr="00DF77C8">
        <w:rPr>
          <w:rFonts w:ascii="Times New Roman" w:hAnsi="Times New Roman"/>
          <w:sz w:val="28"/>
          <w:szCs w:val="28"/>
        </w:rPr>
        <w:t xml:space="preserve"> para regular recursos y medios de defensa, en particular, en materia penal, justifique de manera expresa y clara las exclusiones o trato diferenciado introducido en dicho procedimiento para garantizar </w:t>
      </w:r>
      <w:r w:rsidRPr="00DF77C8">
        <w:rPr>
          <w:rFonts w:ascii="Times New Roman" w:hAnsi="Times New Roman"/>
          <w:sz w:val="28"/>
          <w:szCs w:val="28"/>
        </w:rPr>
        <w:t>postulados</w:t>
      </w:r>
      <w:r w:rsidRPr="00DF77C8">
        <w:rPr>
          <w:rFonts w:ascii="Times New Roman" w:hAnsi="Times New Roman"/>
          <w:sz w:val="28"/>
          <w:szCs w:val="28"/>
        </w:rPr>
        <w:t xml:space="preserve"> constitucionales </w:t>
      </w:r>
      <w:r w:rsidRPr="00DF77C8">
        <w:rPr>
          <w:rFonts w:ascii="Times New Roman" w:hAnsi="Times New Roman"/>
          <w:sz w:val="28"/>
          <w:szCs w:val="28"/>
        </w:rPr>
        <w:t>como la</w:t>
      </w:r>
      <w:r w:rsidRPr="00DF77C8">
        <w:rPr>
          <w:rFonts w:ascii="Times New Roman" w:hAnsi="Times New Roman"/>
          <w:sz w:val="28"/>
          <w:szCs w:val="28"/>
        </w:rPr>
        <w:t xml:space="preserve"> </w:t>
      </w:r>
      <w:r w:rsidRPr="00DF77C8">
        <w:rPr>
          <w:rFonts w:ascii="Times New Roman" w:hAnsi="Times New Roman"/>
          <w:sz w:val="28"/>
          <w:szCs w:val="28"/>
        </w:rPr>
        <w:t xml:space="preserve">justicia y la </w:t>
      </w:r>
      <w:r w:rsidRPr="00DF77C8">
        <w:rPr>
          <w:rFonts w:ascii="Times New Roman" w:hAnsi="Times New Roman"/>
          <w:sz w:val="28"/>
          <w:szCs w:val="28"/>
        </w:rPr>
        <w:t>igua</w:t>
      </w:r>
      <w:r w:rsidRPr="00DF77C8">
        <w:rPr>
          <w:rFonts w:ascii="Times New Roman" w:hAnsi="Times New Roman"/>
          <w:sz w:val="28"/>
          <w:szCs w:val="28"/>
        </w:rPr>
        <w:t>ldad</w:t>
      </w:r>
      <w:r w:rsidRPr="00DF77C8">
        <w:rPr>
          <w:rFonts w:ascii="Times New Roman" w:hAnsi="Times New Roman"/>
          <w:sz w:val="28"/>
          <w:szCs w:val="28"/>
        </w:rPr>
        <w:t>, lo cual, permitirá analizar la razonabilidad y proporcionalidad de la medida y constatar que en ejercicio de la actividad legislativa no se incurrió en una actuación arbitraria contrari</w:t>
      </w:r>
      <w:r w:rsidRPr="00DF77C8">
        <w:rPr>
          <w:rFonts w:ascii="Times New Roman" w:hAnsi="Times New Roman"/>
          <w:sz w:val="28"/>
          <w:szCs w:val="28"/>
        </w:rPr>
        <w:t>a</w:t>
      </w:r>
      <w:r w:rsidRPr="00DF77C8">
        <w:rPr>
          <w:rFonts w:ascii="Times New Roman" w:hAnsi="Times New Roman"/>
          <w:sz w:val="28"/>
          <w:szCs w:val="28"/>
        </w:rPr>
        <w:t xml:space="preserve"> </w:t>
      </w:r>
      <w:r w:rsidRPr="00DF77C8">
        <w:rPr>
          <w:rFonts w:ascii="Times New Roman" w:hAnsi="Times New Roman"/>
          <w:sz w:val="28"/>
          <w:szCs w:val="28"/>
        </w:rPr>
        <w:t>a la cláusula</w:t>
      </w:r>
      <w:r w:rsidRPr="00DF77C8">
        <w:rPr>
          <w:rFonts w:ascii="Times New Roman" w:hAnsi="Times New Roman"/>
          <w:sz w:val="28"/>
          <w:szCs w:val="28"/>
        </w:rPr>
        <w:t xml:space="preserve"> del</w:t>
      </w:r>
      <w:r w:rsidRPr="00DF77C8">
        <w:rPr>
          <w:rFonts w:ascii="Times New Roman" w:hAnsi="Times New Roman"/>
          <w:sz w:val="28"/>
          <w:szCs w:val="28"/>
        </w:rPr>
        <w:t xml:space="preserve"> Estado Social de Derecho. </w:t>
      </w:r>
      <w:r w:rsidRPr="00DF77C8">
        <w:rPr>
          <w:rFonts w:ascii="Times New Roman" w:hAnsi="Times New Roman"/>
          <w:sz w:val="28"/>
          <w:szCs w:val="28"/>
        </w:rPr>
        <w:t xml:space="preserve"> </w:t>
      </w:r>
    </w:p>
    <w:p w:rsidR="000F3009"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sz w:val="28"/>
          <w:szCs w:val="28"/>
        </w:rPr>
        <w:t xml:space="preserve">El principio </w:t>
      </w:r>
      <w:r w:rsidRPr="00DF77C8">
        <w:rPr>
          <w:rFonts w:ascii="Times New Roman" w:hAnsi="Times New Roman"/>
          <w:b/>
          <w:sz w:val="28"/>
          <w:szCs w:val="28"/>
        </w:rPr>
        <w:t xml:space="preserve">o garantía </w:t>
      </w:r>
      <w:r w:rsidRPr="00DF77C8">
        <w:rPr>
          <w:rFonts w:ascii="Times New Roman" w:hAnsi="Times New Roman"/>
          <w:b/>
          <w:sz w:val="28"/>
          <w:szCs w:val="28"/>
        </w:rPr>
        <w:t>constitucional de la doble instancia</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El fundamento constitucional del principio de la doble instancia tiene sustento en lo dispuesto en </w:t>
      </w:r>
      <w:r w:rsidRPr="00DF77C8">
        <w:rPr>
          <w:rFonts w:ascii="Times New Roman" w:hAnsi="Times New Roman"/>
          <w:sz w:val="28"/>
          <w:szCs w:val="28"/>
        </w:rPr>
        <w:t>los</w:t>
      </w:r>
      <w:r w:rsidRPr="00DF77C8">
        <w:rPr>
          <w:rFonts w:ascii="Times New Roman" w:hAnsi="Times New Roman"/>
          <w:sz w:val="28"/>
          <w:szCs w:val="28"/>
        </w:rPr>
        <w:t xml:space="preserve"> artículo</w:t>
      </w:r>
      <w:r w:rsidRPr="00DF77C8">
        <w:rPr>
          <w:rFonts w:ascii="Times New Roman" w:hAnsi="Times New Roman"/>
          <w:sz w:val="28"/>
          <w:szCs w:val="28"/>
        </w:rPr>
        <w:t>s</w:t>
      </w:r>
      <w:r w:rsidRPr="00DF77C8">
        <w:rPr>
          <w:rFonts w:ascii="Times New Roman" w:hAnsi="Times New Roman"/>
          <w:sz w:val="28"/>
          <w:szCs w:val="28"/>
        </w:rPr>
        <w:t xml:space="preserve"> 29 y 31 de la Constitución Política. Esta garantía se encuentra estrechamente vinculada con la</w:t>
      </w:r>
      <w:r w:rsidRPr="00DF77C8">
        <w:rPr>
          <w:rFonts w:ascii="Times New Roman" w:hAnsi="Times New Roman"/>
          <w:sz w:val="28"/>
          <w:szCs w:val="28"/>
        </w:rPr>
        <w:t xml:space="preserve"> posibilidad de ejercer el derecho de defensa, contradicción y acceso a la administración de justicia</w:t>
      </w:r>
      <w:r w:rsidRPr="00DF77C8">
        <w:rPr>
          <w:rFonts w:ascii="Times New Roman" w:hAnsi="Times New Roman"/>
          <w:sz w:val="28"/>
          <w:szCs w:val="28"/>
          <w:vertAlign w:val="superscript"/>
        </w:rPr>
        <w:footnoteReference w:id="50"/>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Específicamente, esta </w:t>
      </w:r>
      <w:r w:rsidRPr="00DF77C8">
        <w:rPr>
          <w:rFonts w:ascii="Times New Roman" w:hAnsi="Times New Roman"/>
          <w:sz w:val="28"/>
          <w:szCs w:val="28"/>
        </w:rPr>
        <w:t>Corporación</w:t>
      </w:r>
      <w:r w:rsidRPr="00DF77C8">
        <w:rPr>
          <w:rFonts w:ascii="Times New Roman" w:hAnsi="Times New Roman"/>
          <w:sz w:val="28"/>
          <w:szCs w:val="28"/>
        </w:rPr>
        <w:t xml:space="preserve"> puntualizó mediante Sentencia C-792 de 2014, que el sustento constitucional de la doble instancia se deriva de lo di</w:t>
      </w:r>
      <w:r w:rsidRPr="00DF77C8">
        <w:rPr>
          <w:rFonts w:ascii="Times New Roman" w:hAnsi="Times New Roman"/>
          <w:sz w:val="28"/>
          <w:szCs w:val="28"/>
        </w:rPr>
        <w:t>spuesto en el artículo 31 superior y que esta no tiene un carácter absoluto, pues la misma Carta autoriza al legislador para que introduzca excepciones a dicho principio, siempre y cuando no contravenga postulados constitucionales. En consonancia con lo an</w:t>
      </w:r>
      <w:r w:rsidRPr="00DF77C8">
        <w:rPr>
          <w:rFonts w:ascii="Times New Roman" w:hAnsi="Times New Roman"/>
          <w:sz w:val="28"/>
          <w:szCs w:val="28"/>
        </w:rPr>
        <w:t>terior, la jurisprudencia constitucional ha precisado que la doble instancia hace parte del núcleo esencial del debido proceso respecto a las sentencias condenatorias en materia penal</w:t>
      </w:r>
      <w:r w:rsidRPr="00DF77C8">
        <w:rPr>
          <w:rFonts w:ascii="Times New Roman" w:hAnsi="Times New Roman"/>
          <w:sz w:val="28"/>
          <w:szCs w:val="28"/>
          <w:vertAlign w:val="superscript"/>
        </w:rPr>
        <w:footnoteReference w:id="51"/>
      </w:r>
      <w:r w:rsidRPr="00DF77C8">
        <w:rPr>
          <w:rFonts w:ascii="Times New Roman" w:hAnsi="Times New Roman"/>
          <w:sz w:val="28"/>
          <w:szCs w:val="28"/>
        </w:rPr>
        <w:t xml:space="preserve"> y en el ámbito de la acción de tutela</w:t>
      </w:r>
      <w:r w:rsidRPr="00DF77C8">
        <w:rPr>
          <w:rFonts w:ascii="Times New Roman" w:hAnsi="Times New Roman"/>
          <w:sz w:val="28"/>
          <w:szCs w:val="28"/>
          <w:vertAlign w:val="superscript"/>
        </w:rPr>
        <w:footnoteReference w:id="52"/>
      </w:r>
      <w:r w:rsidRPr="00DF77C8">
        <w:rPr>
          <w:rFonts w:ascii="Times New Roman" w:hAnsi="Times New Roman"/>
          <w:sz w:val="28"/>
          <w:szCs w:val="28"/>
        </w:rPr>
        <w:t xml:space="preserve">. </w:t>
      </w:r>
    </w:p>
    <w:p w:rsidR="00CF3CA6" w:rsidRPr="00DF77C8" w:rsidRDefault="00DF77C8" w:rsidP="008A4B21">
      <w:pPr>
        <w:pStyle w:val="Prrafodelista"/>
        <w:rPr>
          <w:rFonts w:ascii="Times New Roman" w:hAnsi="Times New Roman"/>
          <w:sz w:val="28"/>
          <w:szCs w:val="28"/>
        </w:rPr>
      </w:pPr>
    </w:p>
    <w:p w:rsidR="008F2AD2" w:rsidRPr="00DF77C8" w:rsidRDefault="00DF77C8" w:rsidP="008F2AD2">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De igual manera, la Corte ha </w:t>
      </w:r>
      <w:r w:rsidRPr="00DF77C8">
        <w:rPr>
          <w:rFonts w:ascii="Times New Roman" w:hAnsi="Times New Roman"/>
          <w:sz w:val="28"/>
          <w:szCs w:val="28"/>
        </w:rPr>
        <w:t xml:space="preserve">reiterado que </w:t>
      </w:r>
      <w:r w:rsidRPr="00DF77C8">
        <w:rPr>
          <w:rFonts w:ascii="Times New Roman" w:hAnsi="Times New Roman"/>
          <w:sz w:val="28"/>
          <w:szCs w:val="28"/>
        </w:rPr>
        <w:t>la doble instancia exige “una estructura jerárquica</w:t>
      </w:r>
      <w:r w:rsidRPr="00DF77C8">
        <w:rPr>
          <w:rFonts w:ascii="Times New Roman" w:hAnsi="Times New Roman"/>
          <w:sz w:val="28"/>
        </w:rPr>
        <w:t xml:space="preserve"> </w:t>
      </w:r>
      <w:r w:rsidRPr="00DF77C8">
        <w:rPr>
          <w:rFonts w:ascii="Times New Roman" w:hAnsi="Times New Roman"/>
          <w:sz w:val="28"/>
          <w:szCs w:val="28"/>
        </w:rPr>
        <w:t>que permita la participación de una autoridad independiente, imparcial y de distinta categoría en la revisión de una actuación previa”</w:t>
      </w:r>
      <w:r w:rsidRPr="00DF77C8">
        <w:rPr>
          <w:rStyle w:val="Refdenotaalpie"/>
          <w:rFonts w:ascii="Times New Roman" w:hAnsi="Times New Roman"/>
          <w:sz w:val="28"/>
          <w:szCs w:val="28"/>
        </w:rPr>
        <w:footnoteReference w:id="53"/>
      </w:r>
      <w:r w:rsidRPr="00DF77C8">
        <w:rPr>
          <w:rFonts w:ascii="Times New Roman" w:hAnsi="Times New Roman"/>
          <w:sz w:val="28"/>
          <w:szCs w:val="28"/>
        </w:rPr>
        <w:t xml:space="preserve">. </w:t>
      </w:r>
    </w:p>
    <w:p w:rsidR="008F2AD2" w:rsidRPr="00DF77C8" w:rsidRDefault="00DF77C8" w:rsidP="008F2AD2">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Asimismo, esta </w:t>
      </w:r>
      <w:r w:rsidRPr="00DF77C8">
        <w:rPr>
          <w:rFonts w:ascii="Times New Roman" w:hAnsi="Times New Roman"/>
          <w:sz w:val="28"/>
          <w:szCs w:val="28"/>
        </w:rPr>
        <w:t>Corporación</w:t>
      </w:r>
      <w:r w:rsidRPr="00DF77C8">
        <w:rPr>
          <w:rFonts w:ascii="Times New Roman" w:hAnsi="Times New Roman"/>
          <w:sz w:val="28"/>
          <w:szCs w:val="28"/>
        </w:rPr>
        <w:t xml:space="preserve"> ha destacado que el derecho a la defensa, como expresión de una de las principales garantías del debido proceso, consiste en “la oportunidad reconocida a toda persona, en el ámbito de cualquier proceso o actuación judicial o administrativa, ´de ser oíd[a]</w:t>
      </w:r>
      <w:r w:rsidRPr="00DF77C8">
        <w:rPr>
          <w:rFonts w:ascii="Times New Roman" w:hAnsi="Times New Roman"/>
          <w:sz w:val="28"/>
          <w:szCs w:val="28"/>
        </w:rPr>
        <w:t>, de hacer valer las propias razones y argumentos, de controvertir, contradecir y objetar las pruebas en contra y de solicitar la práctica y evaluación de las que se estiman favorables, así como de ejercitar los recursos que la Ley otorga´”</w:t>
      </w:r>
      <w:r w:rsidRPr="00DF77C8">
        <w:rPr>
          <w:rFonts w:ascii="Times New Roman" w:hAnsi="Times New Roman"/>
          <w:sz w:val="28"/>
          <w:szCs w:val="28"/>
          <w:vertAlign w:val="superscript"/>
        </w:rPr>
        <w:footnoteReference w:id="54"/>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 xml:space="preserve"> </w:t>
      </w: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Retomando </w:t>
      </w:r>
      <w:r w:rsidRPr="00DF77C8">
        <w:rPr>
          <w:rFonts w:ascii="Times New Roman" w:hAnsi="Times New Roman"/>
          <w:sz w:val="28"/>
          <w:szCs w:val="28"/>
        </w:rPr>
        <w:t>lo dispuesto en el artículo 31 superior, como se dijo</w:t>
      </w:r>
      <w:r w:rsidRPr="00DF77C8">
        <w:rPr>
          <w:rFonts w:ascii="Times New Roman" w:hAnsi="Times New Roman"/>
          <w:sz w:val="28"/>
          <w:szCs w:val="28"/>
        </w:rPr>
        <w:t>,</w:t>
      </w:r>
      <w:r w:rsidRPr="00DF77C8">
        <w:rPr>
          <w:rFonts w:ascii="Times New Roman" w:hAnsi="Times New Roman"/>
          <w:sz w:val="28"/>
          <w:szCs w:val="28"/>
        </w:rPr>
        <w:t xml:space="preserve"> esta garantía no tiene un carácter absoluto pues el legislador puede introducir excepciones a la misma, por ejemplo, a través de procesos de única instancia o limitando su ejercicio en algunos procesos</w:t>
      </w:r>
      <w:r w:rsidRPr="00DF77C8">
        <w:rPr>
          <w:rFonts w:ascii="Times New Roman" w:hAnsi="Times New Roman"/>
          <w:sz w:val="28"/>
          <w:szCs w:val="28"/>
        </w:rPr>
        <w:t>. No obstante, “debe garantizar en todos los casos el derecho de defensa”</w:t>
      </w:r>
      <w:r w:rsidRPr="00DF77C8">
        <w:rPr>
          <w:rFonts w:ascii="Times New Roman" w:hAnsi="Times New Roman"/>
          <w:sz w:val="28"/>
          <w:szCs w:val="28"/>
          <w:vertAlign w:val="superscript"/>
        </w:rPr>
        <w:footnoteReference w:id="55"/>
      </w:r>
      <w:r w:rsidRPr="00DF77C8">
        <w:rPr>
          <w:rFonts w:ascii="Times New Roman" w:hAnsi="Times New Roman"/>
          <w:sz w:val="28"/>
          <w:szCs w:val="28"/>
        </w:rPr>
        <w:t xml:space="preserve"> o “suficientes oportunidades de controversia, que aseguren un adecuado derecho de defensa, según la naturaleza del caso”</w:t>
      </w:r>
      <w:r w:rsidRPr="00DF77C8">
        <w:rPr>
          <w:rFonts w:ascii="Times New Roman" w:hAnsi="Times New Roman"/>
          <w:sz w:val="28"/>
          <w:szCs w:val="28"/>
          <w:vertAlign w:val="superscript"/>
        </w:rPr>
        <w:footnoteReference w:id="56"/>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Ahora bien, cuando este principio o garantía es objeto de</w:t>
      </w:r>
      <w:r w:rsidRPr="00DF77C8">
        <w:rPr>
          <w:rFonts w:ascii="Times New Roman" w:hAnsi="Times New Roman"/>
          <w:sz w:val="28"/>
          <w:szCs w:val="28"/>
        </w:rPr>
        <w:t xml:space="preserve"> restricción, la jurisprudencia ha establecido algunos criterios que deben ser tomados en cuenta por el legislador, los cuales han sido señalados en </w:t>
      </w:r>
      <w:r w:rsidRPr="00DF77C8">
        <w:rPr>
          <w:rFonts w:ascii="Times New Roman" w:hAnsi="Times New Roman"/>
          <w:sz w:val="28"/>
          <w:szCs w:val="28"/>
        </w:rPr>
        <w:t>la Sentencia</w:t>
      </w:r>
      <w:r w:rsidRPr="00DF77C8">
        <w:rPr>
          <w:rFonts w:ascii="Times New Roman" w:hAnsi="Times New Roman"/>
          <w:sz w:val="28"/>
          <w:szCs w:val="28"/>
        </w:rPr>
        <w:t xml:space="preserve"> C-103 de 2005</w:t>
      </w:r>
      <w:r w:rsidRPr="00DF77C8">
        <w:rPr>
          <w:rStyle w:val="Refdenotaalpie"/>
          <w:rFonts w:ascii="Times New Roman" w:hAnsi="Times New Roman"/>
          <w:sz w:val="28"/>
          <w:szCs w:val="28"/>
        </w:rPr>
        <w:footnoteReference w:id="57"/>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 xml:space="preserve"> </w:t>
      </w:r>
    </w:p>
    <w:p w:rsidR="00801F94" w:rsidRPr="00DF77C8" w:rsidRDefault="00DF77C8" w:rsidP="008A4B21">
      <w:pPr>
        <w:tabs>
          <w:tab w:val="left" w:pos="1134"/>
        </w:tabs>
        <w:ind w:left="567" w:right="-26"/>
        <w:jc w:val="both"/>
        <w:rPr>
          <w:rFonts w:ascii="Times New Roman" w:hAnsi="Times New Roman"/>
          <w:sz w:val="28"/>
          <w:szCs w:val="28"/>
        </w:rPr>
      </w:pPr>
      <w:r w:rsidRPr="00DF77C8">
        <w:rPr>
          <w:rFonts w:ascii="Times New Roman" w:hAnsi="Times New Roman"/>
          <w:sz w:val="28"/>
          <w:szCs w:val="28"/>
        </w:rPr>
        <w:t>“(a)</w:t>
      </w:r>
      <w:r w:rsidRPr="00DF77C8">
        <w:rPr>
          <w:rFonts w:ascii="Times New Roman" w:hAnsi="Times New Roman"/>
          <w:sz w:val="28"/>
          <w:szCs w:val="28"/>
        </w:rPr>
        <w:tab/>
        <w:t>La exclusión de la doble instancia debe ser excepcional</w:t>
      </w:r>
      <w:r w:rsidRPr="00DF77C8">
        <w:rPr>
          <w:rFonts w:ascii="Times New Roman" w:hAnsi="Times New Roman"/>
          <w:sz w:val="28"/>
          <w:szCs w:val="28"/>
          <w:vertAlign w:val="superscript"/>
        </w:rPr>
        <w:footnoteReference w:id="58"/>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ab/>
      </w:r>
    </w:p>
    <w:p w:rsidR="00801F94" w:rsidRPr="00DF77C8" w:rsidRDefault="00DF77C8" w:rsidP="008A4B21">
      <w:pPr>
        <w:tabs>
          <w:tab w:val="left" w:pos="993"/>
        </w:tabs>
        <w:ind w:left="567" w:right="-26"/>
        <w:jc w:val="both"/>
        <w:rPr>
          <w:rFonts w:ascii="Times New Roman" w:hAnsi="Times New Roman"/>
          <w:sz w:val="28"/>
          <w:szCs w:val="28"/>
        </w:rPr>
      </w:pPr>
      <w:r w:rsidRPr="00DF77C8">
        <w:rPr>
          <w:rFonts w:ascii="Times New Roman" w:hAnsi="Times New Roman"/>
          <w:sz w:val="28"/>
          <w:szCs w:val="28"/>
        </w:rPr>
        <w:t>(b)</w:t>
      </w:r>
      <w:r w:rsidRPr="00DF77C8">
        <w:rPr>
          <w:rFonts w:ascii="Times New Roman" w:hAnsi="Times New Roman"/>
          <w:sz w:val="28"/>
          <w:szCs w:val="28"/>
        </w:rPr>
        <w:tab/>
        <w:t xml:space="preserve">Deben </w:t>
      </w:r>
      <w:r w:rsidRPr="00DF77C8">
        <w:rPr>
          <w:rFonts w:ascii="Times New Roman" w:hAnsi="Times New Roman"/>
          <w:sz w:val="28"/>
          <w:szCs w:val="28"/>
        </w:rPr>
        <w:t>existir otros recursos, acciones u oportunidades procesales que garanticen adecuadamente el derecho de defensa y el derecho de acceso a la administración de justicia de quienes se ven afectados por lo actuado o por lo decidido en procesos de única instanci</w:t>
      </w:r>
      <w:r w:rsidRPr="00DF77C8">
        <w:rPr>
          <w:rFonts w:ascii="Times New Roman" w:hAnsi="Times New Roman"/>
          <w:sz w:val="28"/>
          <w:szCs w:val="28"/>
        </w:rPr>
        <w:t>a</w:t>
      </w:r>
      <w:r w:rsidRPr="00DF77C8">
        <w:rPr>
          <w:rFonts w:ascii="Times New Roman" w:hAnsi="Times New Roman"/>
          <w:sz w:val="28"/>
          <w:szCs w:val="28"/>
          <w:vertAlign w:val="superscript"/>
        </w:rPr>
        <w:footnoteReference w:id="59"/>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ab/>
      </w:r>
    </w:p>
    <w:p w:rsidR="00801F94" w:rsidRPr="00DF77C8" w:rsidRDefault="00DF77C8" w:rsidP="008A4B21">
      <w:pPr>
        <w:tabs>
          <w:tab w:val="left" w:pos="993"/>
        </w:tabs>
        <w:ind w:left="567" w:right="-26"/>
        <w:jc w:val="both"/>
        <w:rPr>
          <w:rFonts w:ascii="Times New Roman" w:hAnsi="Times New Roman"/>
          <w:sz w:val="28"/>
          <w:szCs w:val="28"/>
        </w:rPr>
      </w:pPr>
      <w:r w:rsidRPr="00DF77C8">
        <w:rPr>
          <w:rFonts w:ascii="Times New Roman" w:hAnsi="Times New Roman"/>
          <w:sz w:val="28"/>
          <w:szCs w:val="28"/>
        </w:rPr>
        <w:t>(c)</w:t>
      </w:r>
      <w:r w:rsidRPr="00DF77C8">
        <w:rPr>
          <w:rFonts w:ascii="Times New Roman" w:hAnsi="Times New Roman"/>
          <w:sz w:val="28"/>
          <w:szCs w:val="28"/>
        </w:rPr>
        <w:tab/>
        <w:t>La exclusión de la doble instancia debe propender por el logro de una finalidad constitucionalmente legítima</w:t>
      </w:r>
      <w:r w:rsidRPr="00DF77C8">
        <w:rPr>
          <w:rFonts w:ascii="Times New Roman" w:hAnsi="Times New Roman"/>
          <w:sz w:val="28"/>
          <w:szCs w:val="28"/>
          <w:vertAlign w:val="superscript"/>
        </w:rPr>
        <w:footnoteReference w:id="60"/>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ab/>
      </w:r>
    </w:p>
    <w:p w:rsidR="00801F94" w:rsidRPr="00DF77C8" w:rsidRDefault="00DF77C8" w:rsidP="008A4B21">
      <w:pPr>
        <w:tabs>
          <w:tab w:val="left" w:pos="993"/>
        </w:tabs>
        <w:ind w:left="567" w:right="-26"/>
        <w:jc w:val="both"/>
        <w:rPr>
          <w:rFonts w:ascii="Times New Roman" w:hAnsi="Times New Roman"/>
          <w:sz w:val="28"/>
          <w:szCs w:val="28"/>
        </w:rPr>
      </w:pPr>
      <w:r w:rsidRPr="00DF77C8">
        <w:rPr>
          <w:rFonts w:ascii="Times New Roman" w:hAnsi="Times New Roman"/>
          <w:sz w:val="28"/>
          <w:szCs w:val="28"/>
        </w:rPr>
        <w:t>(d)</w:t>
      </w:r>
      <w:r w:rsidRPr="00DF77C8">
        <w:rPr>
          <w:rFonts w:ascii="Times New Roman" w:hAnsi="Times New Roman"/>
          <w:sz w:val="28"/>
          <w:szCs w:val="28"/>
        </w:rPr>
        <w:tab/>
        <w:t>La exclusión no puede dar lugar a discriminación”</w:t>
      </w:r>
      <w:r w:rsidRPr="00DF77C8">
        <w:rPr>
          <w:rFonts w:ascii="Times New Roman" w:hAnsi="Times New Roman"/>
          <w:sz w:val="28"/>
          <w:szCs w:val="28"/>
          <w:vertAlign w:val="superscript"/>
        </w:rPr>
        <w:footnoteReference w:id="61"/>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Sobre este último aspecto, la Sentencia C-005 de 1996 sostuvo que el legis</w:t>
      </w:r>
      <w:r w:rsidRPr="00DF77C8">
        <w:rPr>
          <w:rFonts w:ascii="Times New Roman" w:hAnsi="Times New Roman"/>
          <w:sz w:val="28"/>
          <w:szCs w:val="28"/>
        </w:rPr>
        <w:t>lador puede incurrir en discriminaciones injustificadas cuando “carecen de justificación, esto es, de un motivo razonable y plausible para otorgar trato distinto a situaciones que se presentan bajo idénticas o similares características”.</w:t>
      </w:r>
    </w:p>
    <w:p w:rsidR="009234D9"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Por lo anterior, </w:t>
      </w:r>
      <w:r w:rsidRPr="00DF77C8">
        <w:rPr>
          <w:rFonts w:ascii="Times New Roman" w:hAnsi="Times New Roman"/>
          <w:sz w:val="28"/>
          <w:szCs w:val="28"/>
        </w:rPr>
        <w:t xml:space="preserve">la jurisprudencia constitucional ha enfatizado acerca de la importancia de que </w:t>
      </w:r>
      <w:r w:rsidRPr="00DF77C8">
        <w:rPr>
          <w:rFonts w:ascii="Times New Roman" w:hAnsi="Times New Roman"/>
          <w:sz w:val="28"/>
          <w:szCs w:val="28"/>
        </w:rPr>
        <w:t>“</w:t>
      </w:r>
      <w:r w:rsidRPr="00DF77C8">
        <w:rPr>
          <w:rFonts w:ascii="Times New Roman" w:hAnsi="Times New Roman"/>
          <w:sz w:val="28"/>
          <w:szCs w:val="28"/>
        </w:rPr>
        <w:t xml:space="preserve">las exclusiones de las garantías idóneas y suficientes para la defensa de los derechos de los asociados en un determinado proceso, deben estar plenamente justificadas a partir </w:t>
      </w:r>
      <w:r w:rsidRPr="00DF77C8">
        <w:rPr>
          <w:rFonts w:ascii="Times New Roman" w:hAnsi="Times New Roman"/>
          <w:sz w:val="28"/>
          <w:szCs w:val="28"/>
        </w:rPr>
        <w:t>de un principio de razón suficiente, vinculado al logro de un fin constitucional válido</w:t>
      </w:r>
      <w:r w:rsidRPr="00DF77C8">
        <w:rPr>
          <w:rFonts w:ascii="Times New Roman" w:hAnsi="Times New Roman"/>
          <w:sz w:val="28"/>
          <w:szCs w:val="28"/>
        </w:rPr>
        <w:t xml:space="preserve"> (…)</w:t>
      </w:r>
      <w:r w:rsidRPr="00DF77C8">
        <w:rPr>
          <w:rFonts w:ascii="Times New Roman" w:hAnsi="Times New Roman"/>
          <w:sz w:val="28"/>
          <w:szCs w:val="28"/>
        </w:rPr>
        <w:t xml:space="preserve"> </w:t>
      </w:r>
      <w:r w:rsidRPr="00DF77C8">
        <w:rPr>
          <w:rFonts w:ascii="Times New Roman" w:hAnsi="Times New Roman"/>
          <w:sz w:val="28"/>
          <w:szCs w:val="28"/>
        </w:rPr>
        <w:t xml:space="preserve">`otra interpretación conduciría a convertir la regla (doble instancia) en </w:t>
      </w:r>
      <w:r w:rsidRPr="00DF77C8">
        <w:rPr>
          <w:rFonts w:ascii="Times New Roman" w:hAnsi="Times New Roman"/>
          <w:sz w:val="28"/>
          <w:szCs w:val="28"/>
        </w:rPr>
        <w:t xml:space="preserve">excepción (única </w:t>
      </w:r>
      <w:r w:rsidRPr="00DF77C8">
        <w:rPr>
          <w:rFonts w:ascii="Times New Roman" w:hAnsi="Times New Roman"/>
          <w:sz w:val="28"/>
          <w:szCs w:val="28"/>
        </w:rPr>
        <w:t>instancia)</w:t>
      </w:r>
      <w:r w:rsidRPr="00DF77C8">
        <w:rPr>
          <w:rFonts w:ascii="Times New Roman" w:hAnsi="Times New Roman"/>
          <w:sz w:val="28"/>
          <w:szCs w:val="28"/>
        </w:rPr>
        <w:t>`</w:t>
      </w:r>
      <w:r w:rsidRPr="00DF77C8">
        <w:rPr>
          <w:rStyle w:val="Refdenotaalpie"/>
          <w:rFonts w:ascii="Times New Roman" w:hAnsi="Times New Roman"/>
          <w:sz w:val="28"/>
          <w:szCs w:val="28"/>
        </w:rPr>
        <w:footnoteReference w:id="62"/>
      </w:r>
      <w:r w:rsidRPr="00DF77C8">
        <w:rPr>
          <w:rFonts w:ascii="Times New Roman" w:hAnsi="Times New Roman"/>
          <w:sz w:val="28"/>
          <w:szCs w:val="28"/>
        </w:rPr>
        <w:t>”</w:t>
      </w:r>
      <w:r w:rsidRPr="00DF77C8">
        <w:rPr>
          <w:rStyle w:val="Refdenotaalpie"/>
          <w:rFonts w:ascii="Times New Roman" w:hAnsi="Times New Roman"/>
          <w:sz w:val="28"/>
          <w:szCs w:val="28"/>
        </w:rPr>
        <w:footnoteReference w:id="63"/>
      </w:r>
      <w:r w:rsidRPr="00DF77C8">
        <w:rPr>
          <w:rFonts w:ascii="Times New Roman" w:hAnsi="Times New Roman"/>
          <w:sz w:val="28"/>
          <w:szCs w:val="28"/>
        </w:rPr>
        <w:t>.</w:t>
      </w:r>
    </w:p>
    <w:p w:rsidR="00E235C4"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este mismo sentido, la Sentencia C-210 de 2021 señaló que la igualdad es un límite a la libertad de configuración del legislador en materia de la regulación de recursos: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 xml:space="preserve">“si el legislador decide consagrar un recurso en relación con ciertas decisiones </w:t>
      </w:r>
      <w:r w:rsidRPr="00DF77C8">
        <w:rPr>
          <w:rFonts w:ascii="Times New Roman" w:hAnsi="Times New Roman"/>
          <w:sz w:val="28"/>
          <w:szCs w:val="28"/>
        </w:rPr>
        <w:t>y excluye del mismo otras, puede hacerlo según su evaluación acerca de la necesidad y conveniencia de plasmar tal distinción, pues ello corresponde a la función que ejerce, siempre que no rompa o desconozca principios constitucionales de obligatoria observ</w:t>
      </w:r>
      <w:r w:rsidRPr="00DF77C8">
        <w:rPr>
          <w:rFonts w:ascii="Times New Roman" w:hAnsi="Times New Roman"/>
          <w:sz w:val="28"/>
          <w:szCs w:val="28"/>
        </w:rPr>
        <w:t>ancia. Más todavía puede, con la misma limitación, suprimir los recursos que haya venido consagrando sin que, por el solo hecho de hacerlo, vulnere la Constitución Política (...)”.</w:t>
      </w:r>
    </w:p>
    <w:p w:rsidR="004A2B44" w:rsidRPr="00DF77C8" w:rsidRDefault="00DF77C8" w:rsidP="008A4B21">
      <w:pPr>
        <w:ind w:right="-26"/>
        <w:jc w:val="both"/>
        <w:rPr>
          <w:rFonts w:ascii="Times New Roman" w:hAnsi="Times New Roman"/>
          <w:sz w:val="28"/>
          <w:szCs w:val="28"/>
        </w:rPr>
      </w:pPr>
    </w:p>
    <w:p w:rsidR="004A2B4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Así pues, la garantía de la doble instancia en materia penal integra el </w:t>
      </w:r>
      <w:r w:rsidRPr="00DF77C8">
        <w:rPr>
          <w:rFonts w:ascii="Times New Roman" w:hAnsi="Times New Roman"/>
          <w:sz w:val="28"/>
          <w:szCs w:val="28"/>
        </w:rPr>
        <w:t xml:space="preserve">núcleo esencial del derecho al debido proceso. No obstante, el legislador en ejercicio de la amplia potestad con la que cuenta puede introducir excepciones a la doble instancia, pero estas deben encontrarse justificadas de manera razonada y proporcionada. </w:t>
      </w:r>
      <w:r w:rsidRPr="00DF77C8">
        <w:rPr>
          <w:rFonts w:ascii="Times New Roman" w:hAnsi="Times New Roman"/>
          <w:sz w:val="28"/>
          <w:szCs w:val="28"/>
        </w:rPr>
        <w:t>Y, en todo caso, debe garantizar el ejercicio del derecho a la defensa de manera oportuna y eficaz y al acceso a la administración de justicia, como se abordará a continuación.</w:t>
      </w:r>
    </w:p>
    <w:p w:rsidR="00897BEC" w:rsidRPr="00DF77C8" w:rsidRDefault="00DF77C8" w:rsidP="008A4B21">
      <w:pPr>
        <w:ind w:right="-26"/>
        <w:jc w:val="both"/>
        <w:rPr>
          <w:rFonts w:ascii="Times New Roman" w:hAnsi="Times New Roman"/>
          <w:b/>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sz w:val="28"/>
          <w:szCs w:val="28"/>
        </w:rPr>
        <w:t>Acceso a la administración de justicia</w:t>
      </w:r>
    </w:p>
    <w:p w:rsidR="00801F94" w:rsidRPr="00DF77C8" w:rsidRDefault="00DF77C8" w:rsidP="008A4B21">
      <w:pPr>
        <w:ind w:right="-26"/>
        <w:jc w:val="both"/>
        <w:rPr>
          <w:rFonts w:ascii="Times New Roman" w:hAnsi="Times New Roman"/>
          <w:sz w:val="28"/>
          <w:szCs w:val="28"/>
        </w:rPr>
      </w:pPr>
    </w:p>
    <w:p w:rsidR="00472067"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La </w:t>
      </w:r>
      <w:r w:rsidRPr="00DF77C8">
        <w:rPr>
          <w:rFonts w:ascii="Times New Roman" w:hAnsi="Times New Roman"/>
          <w:sz w:val="28"/>
          <w:szCs w:val="28"/>
        </w:rPr>
        <w:t xml:space="preserve">Corte Constitucional ha establecido que la posibilidad de acudir ante las autoridades competentes para hacer efectivos los recursos consagrados en el ordenamiento jurídico es una forma de materializar el derecho fundamental </w:t>
      </w:r>
      <w:r w:rsidRPr="00DF77C8">
        <w:rPr>
          <w:rFonts w:ascii="Times New Roman" w:hAnsi="Times New Roman"/>
          <w:sz w:val="28"/>
          <w:szCs w:val="28"/>
        </w:rPr>
        <w:t>al</w:t>
      </w:r>
      <w:r w:rsidRPr="00DF77C8">
        <w:rPr>
          <w:rFonts w:ascii="Times New Roman" w:hAnsi="Times New Roman"/>
          <w:sz w:val="28"/>
          <w:szCs w:val="28"/>
        </w:rPr>
        <w:t xml:space="preserve"> acceso a la administración de</w:t>
      </w:r>
      <w:r w:rsidRPr="00DF77C8">
        <w:rPr>
          <w:rFonts w:ascii="Times New Roman" w:hAnsi="Times New Roman"/>
          <w:sz w:val="28"/>
          <w:szCs w:val="28"/>
        </w:rPr>
        <w:t xml:space="preserve"> justicia, </w:t>
      </w:r>
      <w:r w:rsidRPr="00DF77C8">
        <w:rPr>
          <w:rFonts w:ascii="Times New Roman" w:hAnsi="Times New Roman"/>
          <w:sz w:val="28"/>
          <w:szCs w:val="28"/>
        </w:rPr>
        <w:t xml:space="preserve">los cuales </w:t>
      </w:r>
      <w:r w:rsidRPr="00DF77C8">
        <w:rPr>
          <w:rFonts w:ascii="Times New Roman" w:hAnsi="Times New Roman"/>
          <w:sz w:val="28"/>
          <w:szCs w:val="28"/>
        </w:rPr>
        <w:t>deben ejercerse sin más limitaciones que las establecidas en la ley, así:</w:t>
      </w:r>
    </w:p>
    <w:p w:rsidR="0099091F"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ind w:left="567" w:right="-26"/>
        <w:jc w:val="both"/>
        <w:rPr>
          <w:rFonts w:ascii="Times New Roman" w:hAnsi="Times New Roman"/>
          <w:sz w:val="28"/>
          <w:szCs w:val="28"/>
        </w:rPr>
      </w:pPr>
      <w:r w:rsidRPr="00DF77C8">
        <w:rPr>
          <w:rFonts w:ascii="Times New Roman" w:hAnsi="Times New Roman"/>
          <w:sz w:val="28"/>
          <w:szCs w:val="28"/>
        </w:rPr>
        <w:t>“El artículo 228 de la Carta Política, a su vez, preceptúa el libre acceso de las personas a la administración de justicia para someter a investigación, anális</w:t>
      </w:r>
      <w:r w:rsidRPr="00DF77C8">
        <w:rPr>
          <w:rFonts w:ascii="Times New Roman" w:hAnsi="Times New Roman"/>
          <w:sz w:val="28"/>
          <w:szCs w:val="28"/>
        </w:rPr>
        <w:t>is y decisión de los jueces la realización de sus derechos e intereses, sin más restricciones que las legalmente pertinentes, al punto que las limitaciones que imposibilitan o restringen dicho acceso, es decir en lo que tiene que ver con trámites y recurso</w:t>
      </w:r>
      <w:r w:rsidRPr="00DF77C8">
        <w:rPr>
          <w:rFonts w:ascii="Times New Roman" w:hAnsi="Times New Roman"/>
          <w:sz w:val="28"/>
          <w:szCs w:val="28"/>
        </w:rPr>
        <w:t xml:space="preserve">s, comportan la violación de la garantía constitucional al debido proceso, ya fuere por lesión del principio de la doble instancia -en los casos en que éste se establece constitucionalmente- o por vulneración del derecho de acceso a la justicia –cuando el </w:t>
      </w:r>
      <w:r w:rsidRPr="00DF77C8">
        <w:rPr>
          <w:rFonts w:ascii="Times New Roman" w:hAnsi="Times New Roman"/>
          <w:sz w:val="28"/>
          <w:szCs w:val="28"/>
        </w:rPr>
        <w:t>recurso está previsto en la ley-.”</w:t>
      </w:r>
      <w:r w:rsidRPr="00DF77C8">
        <w:rPr>
          <w:rFonts w:ascii="Times New Roman" w:hAnsi="Times New Roman"/>
          <w:sz w:val="28"/>
          <w:szCs w:val="28"/>
          <w:vertAlign w:val="superscript"/>
        </w:rPr>
        <w:footnoteReference w:id="64"/>
      </w:r>
    </w:p>
    <w:p w:rsidR="00801F94" w:rsidRPr="00DF77C8" w:rsidRDefault="00DF77C8" w:rsidP="008A4B21">
      <w:pPr>
        <w:ind w:right="-26"/>
        <w:jc w:val="both"/>
        <w:rPr>
          <w:rFonts w:ascii="Times New Roman" w:hAnsi="Times New Roman"/>
          <w:sz w:val="28"/>
          <w:szCs w:val="28"/>
        </w:rPr>
      </w:pPr>
    </w:p>
    <w:p w:rsidR="005E5200"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De igual manera, la Corte ha reconocido la relación intrínseca que existe entre </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la doble instancia </w:t>
      </w:r>
      <w:r w:rsidRPr="00DF77C8">
        <w:rPr>
          <w:rFonts w:ascii="Times New Roman" w:hAnsi="Times New Roman"/>
          <w:sz w:val="28"/>
          <w:szCs w:val="28"/>
        </w:rPr>
        <w:t xml:space="preserve">(…) </w:t>
      </w:r>
      <w:r w:rsidRPr="00DF77C8">
        <w:rPr>
          <w:rFonts w:ascii="Times New Roman" w:hAnsi="Times New Roman"/>
          <w:sz w:val="28"/>
          <w:szCs w:val="28"/>
        </w:rPr>
        <w:t>como principio, garantía o derecho</w:t>
      </w:r>
      <w:r w:rsidRPr="00DF77C8">
        <w:rPr>
          <w:rFonts w:ascii="Times New Roman" w:hAnsi="Times New Roman"/>
          <w:sz w:val="28"/>
          <w:szCs w:val="28"/>
        </w:rPr>
        <w:t>”</w:t>
      </w:r>
      <w:r w:rsidRPr="00DF77C8">
        <w:rPr>
          <w:rStyle w:val="Refdenotaalpie"/>
          <w:rFonts w:ascii="Times New Roman" w:hAnsi="Times New Roman"/>
          <w:sz w:val="28"/>
          <w:szCs w:val="28"/>
        </w:rPr>
        <w:footnoteReference w:id="65"/>
      </w:r>
      <w:r w:rsidRPr="00DF77C8">
        <w:rPr>
          <w:rFonts w:ascii="Times New Roman" w:hAnsi="Times New Roman"/>
          <w:sz w:val="28"/>
          <w:szCs w:val="28"/>
        </w:rPr>
        <w:t xml:space="preserve"> y el acceso a la administración de justicia</w:t>
      </w:r>
      <w:r w:rsidRPr="00DF77C8">
        <w:rPr>
          <w:rStyle w:val="Refdenotaalpie"/>
          <w:rFonts w:ascii="Times New Roman" w:hAnsi="Times New Roman"/>
          <w:sz w:val="28"/>
          <w:szCs w:val="28"/>
        </w:rPr>
        <w:footnoteReference w:id="66"/>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 xml:space="preserve">Y, la importancia de que una vez consagrado el mecanismo jurídico para acudir ante las autoridades judiciales este pueda ejercerse bajo el entendido de que los procesos se instituyeron para asegurar </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la prevalencia del derecho sustancial, el principi</w:t>
      </w:r>
      <w:r w:rsidRPr="00DF77C8">
        <w:rPr>
          <w:rFonts w:ascii="Times New Roman" w:hAnsi="Times New Roman"/>
          <w:sz w:val="28"/>
          <w:szCs w:val="28"/>
        </w:rPr>
        <w:t>o de eficacia de los derechos y la protección judicial efectiva (…)”</w:t>
      </w:r>
      <w:r w:rsidRPr="00DF77C8">
        <w:rPr>
          <w:rFonts w:ascii="Times New Roman" w:hAnsi="Times New Roman"/>
          <w:sz w:val="28"/>
          <w:szCs w:val="28"/>
          <w:vertAlign w:val="superscript"/>
        </w:rPr>
        <w:footnoteReference w:id="67"/>
      </w:r>
      <w:r w:rsidRPr="00DF77C8">
        <w:rPr>
          <w:rFonts w:ascii="Times New Roman" w:hAnsi="Times New Roman"/>
          <w:sz w:val="28"/>
          <w:szCs w:val="28"/>
        </w:rPr>
        <w:t xml:space="preserve">. </w:t>
      </w:r>
    </w:p>
    <w:p w:rsidR="005E5200"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Cabe anotar que el </w:t>
      </w:r>
      <w:r w:rsidRPr="00DF77C8">
        <w:rPr>
          <w:rFonts w:ascii="Times New Roman" w:hAnsi="Times New Roman"/>
          <w:sz w:val="28"/>
          <w:szCs w:val="28"/>
        </w:rPr>
        <w:t>artículo 25 de la Convención</w:t>
      </w:r>
      <w:r w:rsidRPr="00DF77C8">
        <w:rPr>
          <w:rFonts w:ascii="Times New Roman" w:hAnsi="Times New Roman"/>
          <w:sz w:val="28"/>
          <w:szCs w:val="28"/>
        </w:rPr>
        <w:t xml:space="preserve"> Americana sobre Derechos Humanos</w:t>
      </w:r>
      <w:r w:rsidRPr="00DF77C8">
        <w:rPr>
          <w:rFonts w:ascii="Times New Roman" w:hAnsi="Times New Roman"/>
          <w:sz w:val="28"/>
          <w:szCs w:val="28"/>
        </w:rPr>
        <w:t xml:space="preserve">, instrumento </w:t>
      </w:r>
      <w:r w:rsidRPr="00DF77C8">
        <w:rPr>
          <w:rFonts w:ascii="Times New Roman" w:hAnsi="Times New Roman"/>
          <w:sz w:val="28"/>
          <w:szCs w:val="28"/>
        </w:rPr>
        <w:t>que integra el bloque de constitucionalidad</w:t>
      </w:r>
      <w:r w:rsidRPr="00DF77C8">
        <w:rPr>
          <w:rFonts w:ascii="Times New Roman" w:hAnsi="Times New Roman"/>
          <w:sz w:val="28"/>
          <w:szCs w:val="28"/>
        </w:rPr>
        <w:t xml:space="preserve"> en sentido estricto</w:t>
      </w:r>
      <w:r w:rsidRPr="00DF77C8">
        <w:rPr>
          <w:rStyle w:val="Refdenotaalpie"/>
          <w:rFonts w:ascii="Times New Roman" w:hAnsi="Times New Roman"/>
          <w:sz w:val="28"/>
          <w:szCs w:val="28"/>
        </w:rPr>
        <w:footnoteReference w:id="68"/>
      </w:r>
      <w:r w:rsidRPr="00DF77C8">
        <w:rPr>
          <w:rFonts w:ascii="Times New Roman" w:hAnsi="Times New Roman"/>
          <w:sz w:val="28"/>
          <w:szCs w:val="28"/>
        </w:rPr>
        <w:t>, establece la importanci</w:t>
      </w:r>
      <w:r w:rsidRPr="00DF77C8">
        <w:rPr>
          <w:rFonts w:ascii="Times New Roman" w:hAnsi="Times New Roman"/>
          <w:sz w:val="28"/>
          <w:szCs w:val="28"/>
        </w:rPr>
        <w:t>a de que en el sistema jurídico los recursos consagrados a favor de las partes para controvertir las decisiones que atenten contra sus derechos fundamentales deben estar desprovistas de obstáculos y constituir una oportunidad real y efectiva de ejercerlos.</w:t>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b/>
          <w:sz w:val="28"/>
          <w:szCs w:val="28"/>
        </w:rPr>
      </w:pPr>
      <w:r w:rsidRPr="00DF77C8">
        <w:rPr>
          <w:rFonts w:ascii="Times New Roman" w:hAnsi="Times New Roman"/>
          <w:sz w:val="28"/>
          <w:szCs w:val="28"/>
        </w:rPr>
        <w:t xml:space="preserve">Asimismo, esta </w:t>
      </w:r>
      <w:r w:rsidRPr="00DF77C8">
        <w:rPr>
          <w:rFonts w:ascii="Times New Roman" w:hAnsi="Times New Roman"/>
          <w:sz w:val="28"/>
          <w:szCs w:val="28"/>
        </w:rPr>
        <w:t>Corporación</w:t>
      </w:r>
      <w:r w:rsidRPr="00DF77C8">
        <w:rPr>
          <w:rFonts w:ascii="Times New Roman" w:hAnsi="Times New Roman"/>
          <w:sz w:val="28"/>
          <w:szCs w:val="28"/>
        </w:rPr>
        <w:t xml:space="preserve"> ha indicado </w:t>
      </w:r>
      <w:r w:rsidRPr="00DF77C8">
        <w:rPr>
          <w:rFonts w:ascii="Times New Roman" w:hAnsi="Times New Roman"/>
          <w:sz w:val="28"/>
          <w:szCs w:val="28"/>
        </w:rPr>
        <w:t xml:space="preserve">“(...) que el derecho de acceso a la administración de justicia se integra al concepto de núcleo esencial del derecho fundamental al debido proceso, y está impregnado del principio de efectividad que se predica de </w:t>
      </w:r>
      <w:r w:rsidRPr="00DF77C8">
        <w:rPr>
          <w:rFonts w:ascii="Times New Roman" w:hAnsi="Times New Roman"/>
          <w:sz w:val="28"/>
          <w:szCs w:val="28"/>
        </w:rPr>
        <w:t>todos los derechos fundamentales, exigencia que impone la optimización de los medios de acceso para garantizar una tutela judicial efectiva</w:t>
      </w:r>
      <w:r w:rsidRPr="00DF77C8">
        <w:rPr>
          <w:rFonts w:ascii="Times New Roman" w:hAnsi="Times New Roman"/>
          <w:sz w:val="28"/>
          <w:szCs w:val="28"/>
        </w:rPr>
        <w:t>”</w:t>
      </w:r>
      <w:r w:rsidRPr="00DF77C8">
        <w:rPr>
          <w:rStyle w:val="Refdenotaalpie"/>
          <w:rFonts w:ascii="Times New Roman" w:hAnsi="Times New Roman"/>
          <w:sz w:val="28"/>
          <w:szCs w:val="28"/>
        </w:rPr>
        <w:footnoteReference w:id="69"/>
      </w:r>
      <w:r w:rsidRPr="00DF77C8">
        <w:rPr>
          <w:rFonts w:ascii="Times New Roman" w:hAnsi="Times New Roman"/>
          <w:sz w:val="28"/>
          <w:szCs w:val="28"/>
        </w:rPr>
        <w:t xml:space="preserve">. </w:t>
      </w:r>
      <w:r w:rsidRPr="00DF77C8">
        <w:rPr>
          <w:rFonts w:ascii="Times New Roman" w:hAnsi="Times New Roman"/>
          <w:sz w:val="28"/>
          <w:szCs w:val="28"/>
        </w:rPr>
        <w:t xml:space="preserve">Lo </w:t>
      </w:r>
      <w:r w:rsidRPr="00DF77C8">
        <w:rPr>
          <w:rFonts w:ascii="Times New Roman" w:hAnsi="Times New Roman"/>
          <w:sz w:val="28"/>
          <w:szCs w:val="28"/>
        </w:rPr>
        <w:t xml:space="preserve">anterior, no implica que el legislador </w:t>
      </w:r>
      <w:r w:rsidRPr="00DF77C8">
        <w:rPr>
          <w:rFonts w:ascii="Times New Roman" w:hAnsi="Times New Roman"/>
          <w:sz w:val="28"/>
          <w:szCs w:val="28"/>
        </w:rPr>
        <w:t xml:space="preserve">no </w:t>
      </w:r>
      <w:r w:rsidRPr="00DF77C8">
        <w:rPr>
          <w:rFonts w:ascii="Times New Roman" w:hAnsi="Times New Roman"/>
          <w:sz w:val="28"/>
          <w:szCs w:val="28"/>
        </w:rPr>
        <w:t>pueda establecer de manera legítima distinciones</w:t>
      </w:r>
      <w:r w:rsidRPr="00DF77C8">
        <w:rPr>
          <w:rFonts w:ascii="Times New Roman" w:hAnsi="Times New Roman"/>
          <w:sz w:val="28"/>
          <w:szCs w:val="28"/>
        </w:rPr>
        <w:t xml:space="preserve"> </w:t>
      </w:r>
      <w:r w:rsidRPr="00DF77C8">
        <w:rPr>
          <w:rFonts w:ascii="Times New Roman" w:hAnsi="Times New Roman"/>
          <w:sz w:val="28"/>
          <w:szCs w:val="28"/>
        </w:rPr>
        <w:t xml:space="preserve">a las partes en un </w:t>
      </w:r>
      <w:r w:rsidRPr="00DF77C8">
        <w:rPr>
          <w:rFonts w:ascii="Times New Roman" w:hAnsi="Times New Roman"/>
          <w:sz w:val="28"/>
          <w:szCs w:val="28"/>
        </w:rPr>
        <w:t>determinado proceso a condición de que respete los límites constitucionales</w:t>
      </w:r>
      <w:r w:rsidRPr="00DF77C8">
        <w:rPr>
          <w:rFonts w:ascii="Times New Roman" w:hAnsi="Times New Roman"/>
          <w:sz w:val="28"/>
          <w:szCs w:val="28"/>
          <w:vertAlign w:val="superscript"/>
        </w:rPr>
        <w:footnoteReference w:id="70"/>
      </w:r>
      <w:r w:rsidRPr="00DF77C8">
        <w:rPr>
          <w:rFonts w:ascii="Times New Roman" w:hAnsi="Times New Roman"/>
          <w:sz w:val="28"/>
          <w:szCs w:val="28"/>
        </w:rPr>
        <w:t>.</w:t>
      </w:r>
    </w:p>
    <w:p w:rsidR="00897BEC" w:rsidRPr="00DF77C8" w:rsidRDefault="00DF77C8" w:rsidP="008A4B21">
      <w:pPr>
        <w:pStyle w:val="Prrafodelista"/>
        <w:tabs>
          <w:tab w:val="left" w:pos="567"/>
        </w:tabs>
        <w:ind w:left="0" w:right="-26"/>
        <w:jc w:val="both"/>
        <w:rPr>
          <w:rFonts w:ascii="Times New Roman" w:hAnsi="Times New Roman"/>
          <w:b/>
          <w:sz w:val="28"/>
          <w:szCs w:val="28"/>
        </w:rPr>
      </w:pPr>
    </w:p>
    <w:p w:rsidR="00897BEC" w:rsidRPr="00DF77C8" w:rsidRDefault="00DF77C8" w:rsidP="008A4B21">
      <w:pPr>
        <w:ind w:right="-26"/>
        <w:jc w:val="both"/>
        <w:rPr>
          <w:rFonts w:ascii="Times New Roman" w:hAnsi="Times New Roman"/>
          <w:b/>
          <w:sz w:val="28"/>
          <w:szCs w:val="28"/>
        </w:rPr>
      </w:pPr>
    </w:p>
    <w:p w:rsidR="00897BEC" w:rsidRPr="00DF77C8" w:rsidRDefault="00DF77C8" w:rsidP="008A4B21">
      <w:pPr>
        <w:ind w:right="-26"/>
        <w:jc w:val="both"/>
        <w:rPr>
          <w:rFonts w:ascii="Times New Roman" w:hAnsi="Times New Roman"/>
          <w:b/>
          <w:sz w:val="28"/>
          <w:szCs w:val="28"/>
        </w:rPr>
      </w:pPr>
    </w:p>
    <w:p w:rsidR="00897BEC" w:rsidRPr="00DF77C8" w:rsidRDefault="00DF77C8" w:rsidP="008A4B21">
      <w:pPr>
        <w:ind w:right="-26"/>
        <w:jc w:val="both"/>
        <w:rPr>
          <w:rFonts w:ascii="Times New Roman" w:hAnsi="Times New Roman"/>
          <w:b/>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sz w:val="28"/>
          <w:szCs w:val="28"/>
        </w:rPr>
        <w:t>La función del juez de control de garantías</w:t>
      </w:r>
    </w:p>
    <w:p w:rsidR="00801F94" w:rsidRPr="00DF77C8" w:rsidRDefault="00DF77C8" w:rsidP="008A4B21">
      <w:pPr>
        <w:ind w:right="-26"/>
        <w:jc w:val="both"/>
        <w:rPr>
          <w:rFonts w:ascii="Times New Roman" w:hAnsi="Times New Roman"/>
          <w:b/>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Uno de los principales cambios que introdujo el nuevo sistema procesal acusatorio con la expedición de la Ley 906 de 2004 fue la figura del juez de control de garantías.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virtud de la reforma constitucional introducida al artículo 250 de la Constitució</w:t>
      </w:r>
      <w:r w:rsidRPr="00DF77C8">
        <w:rPr>
          <w:rFonts w:ascii="Times New Roman" w:hAnsi="Times New Roman"/>
          <w:sz w:val="28"/>
          <w:szCs w:val="28"/>
        </w:rPr>
        <w:t>n Política mediante el Acto Legislativo 02 de 2003, la Fiscalía General de la Nación en ejercicio de sus funciones debe acudir ante el juez que ejerza la función de control de garantías con el fin de que ejerza un control de legalidad sobre las medidas ado</w:t>
      </w:r>
      <w:r w:rsidRPr="00DF77C8">
        <w:rPr>
          <w:rFonts w:ascii="Times New Roman" w:hAnsi="Times New Roman"/>
          <w:sz w:val="28"/>
          <w:szCs w:val="28"/>
        </w:rPr>
        <w:t xml:space="preserve">ptadas o que pretenda adoptar en la etapa de indagación e investigación cuando tiene conocimiento de la presunta realización de una conducta punible.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este marco, le corresponde al juez que </w:t>
      </w:r>
      <w:r w:rsidRPr="00DF77C8">
        <w:rPr>
          <w:rFonts w:ascii="Times New Roman" w:hAnsi="Times New Roman"/>
          <w:sz w:val="28"/>
          <w:szCs w:val="28"/>
        </w:rPr>
        <w:t>realice</w:t>
      </w:r>
      <w:r w:rsidRPr="00DF77C8">
        <w:rPr>
          <w:rFonts w:ascii="Times New Roman" w:hAnsi="Times New Roman"/>
          <w:sz w:val="28"/>
          <w:szCs w:val="28"/>
        </w:rPr>
        <w:t xml:space="preserve"> la función de control de garantías: (i) ejercer contro</w:t>
      </w:r>
      <w:r w:rsidRPr="00DF77C8">
        <w:rPr>
          <w:rFonts w:ascii="Times New Roman" w:hAnsi="Times New Roman"/>
          <w:sz w:val="28"/>
          <w:szCs w:val="28"/>
        </w:rPr>
        <w:t>l sobre la aplicación del principio de oportunidad; (ii) realizar un control posterior respecto a la facultad excepcional que tiene la Fiscalía para realizar capturas</w:t>
      </w:r>
      <w:r w:rsidRPr="00DF77C8">
        <w:rPr>
          <w:rFonts w:ascii="Times New Roman" w:hAnsi="Times New Roman"/>
          <w:sz w:val="28"/>
          <w:szCs w:val="28"/>
        </w:rPr>
        <w:t>,</w:t>
      </w:r>
      <w:r w:rsidRPr="00DF77C8">
        <w:rPr>
          <w:rFonts w:ascii="Times New Roman" w:hAnsi="Times New Roman"/>
          <w:sz w:val="28"/>
          <w:szCs w:val="28"/>
        </w:rPr>
        <w:t xml:space="preserve"> a más tardar dentro de las 36 horas siguientes; (iii) ejercer un control posterior sobre</w:t>
      </w:r>
      <w:r w:rsidRPr="00DF77C8">
        <w:rPr>
          <w:rFonts w:ascii="Times New Roman" w:hAnsi="Times New Roman"/>
          <w:sz w:val="28"/>
          <w:szCs w:val="28"/>
        </w:rPr>
        <w:t xml:space="preserve"> las medidas relacionadas con registros, allanamientos, incautaciones e interceptaciones de comunicaciones</w:t>
      </w:r>
      <w:r w:rsidRPr="00DF77C8">
        <w:rPr>
          <w:rFonts w:ascii="Times New Roman" w:hAnsi="Times New Roman"/>
          <w:sz w:val="28"/>
          <w:szCs w:val="28"/>
        </w:rPr>
        <w:t>,</w:t>
      </w:r>
      <w:r w:rsidRPr="00DF77C8">
        <w:rPr>
          <w:rFonts w:ascii="Times New Roman" w:hAnsi="Times New Roman"/>
          <w:sz w:val="28"/>
          <w:szCs w:val="28"/>
        </w:rPr>
        <w:t xml:space="preserve"> a más tardar dentro de las 36 horas siguientes; (iv) realizar un control previo sobre las medidas adicionales que requiera adoptar el ente acusatori</w:t>
      </w:r>
      <w:r w:rsidRPr="00DF77C8">
        <w:rPr>
          <w:rFonts w:ascii="Times New Roman" w:hAnsi="Times New Roman"/>
          <w:sz w:val="28"/>
          <w:szCs w:val="28"/>
        </w:rPr>
        <w:t>o que impliquen afectación de derechos fundamentales.</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Estos controles son de especial relevancia desde el punto de vista constitucional, pues en el Código de Procedimiento Penal se especifica el alcance de algunas actuaciones del ente acusador que hace</w:t>
      </w:r>
      <w:r w:rsidRPr="00DF77C8">
        <w:rPr>
          <w:rFonts w:ascii="Times New Roman" w:hAnsi="Times New Roman"/>
          <w:sz w:val="28"/>
          <w:szCs w:val="28"/>
        </w:rPr>
        <w:t>n</w:t>
      </w:r>
      <w:r w:rsidRPr="00DF77C8">
        <w:rPr>
          <w:rFonts w:ascii="Times New Roman" w:hAnsi="Times New Roman"/>
          <w:sz w:val="28"/>
          <w:szCs w:val="28"/>
        </w:rPr>
        <w:t xml:space="preserve"> n</w:t>
      </w:r>
      <w:r w:rsidRPr="00DF77C8">
        <w:rPr>
          <w:rFonts w:ascii="Times New Roman" w:hAnsi="Times New Roman"/>
          <w:sz w:val="28"/>
          <w:szCs w:val="28"/>
        </w:rPr>
        <w:t>ecesaria la intervención del juez de control de garantías para realizar un estudio de legalidad formal y material sobre las decisiones adoptadas o que pretenden adoptarse. Tal es el caso de la vigilancia y seguimiento de personas</w:t>
      </w:r>
      <w:r w:rsidRPr="00DF77C8">
        <w:rPr>
          <w:rFonts w:ascii="Times New Roman" w:hAnsi="Times New Roman"/>
          <w:sz w:val="28"/>
          <w:szCs w:val="28"/>
          <w:vertAlign w:val="superscript"/>
        </w:rPr>
        <w:footnoteReference w:id="71"/>
      </w:r>
      <w:r w:rsidRPr="00DF77C8">
        <w:rPr>
          <w:rFonts w:ascii="Times New Roman" w:hAnsi="Times New Roman"/>
          <w:sz w:val="28"/>
          <w:szCs w:val="28"/>
        </w:rPr>
        <w:t>; vigilancia de cosas</w:t>
      </w:r>
      <w:r w:rsidRPr="00DF77C8">
        <w:rPr>
          <w:rFonts w:ascii="Times New Roman" w:hAnsi="Times New Roman"/>
          <w:sz w:val="28"/>
          <w:szCs w:val="28"/>
          <w:vertAlign w:val="superscript"/>
        </w:rPr>
        <w:footnoteReference w:id="72"/>
      </w:r>
      <w:r w:rsidRPr="00DF77C8">
        <w:rPr>
          <w:rFonts w:ascii="Times New Roman" w:hAnsi="Times New Roman"/>
          <w:sz w:val="28"/>
          <w:szCs w:val="28"/>
        </w:rPr>
        <w:t>; ac</w:t>
      </w:r>
      <w:r w:rsidRPr="00DF77C8">
        <w:rPr>
          <w:rFonts w:ascii="Times New Roman" w:hAnsi="Times New Roman"/>
          <w:sz w:val="28"/>
          <w:szCs w:val="28"/>
        </w:rPr>
        <w:t>tuación de agentes encubiertos</w:t>
      </w:r>
      <w:r w:rsidRPr="00DF77C8">
        <w:rPr>
          <w:rFonts w:ascii="Times New Roman" w:hAnsi="Times New Roman"/>
          <w:sz w:val="28"/>
          <w:szCs w:val="28"/>
          <w:vertAlign w:val="superscript"/>
        </w:rPr>
        <w:footnoteReference w:id="73"/>
      </w:r>
      <w:r w:rsidRPr="00DF77C8">
        <w:rPr>
          <w:rFonts w:ascii="Times New Roman" w:hAnsi="Times New Roman"/>
          <w:sz w:val="28"/>
          <w:szCs w:val="28"/>
        </w:rPr>
        <w:t>; operaciones encubiertas en</w:t>
      </w:r>
      <w:r w:rsidRPr="00DF77C8">
        <w:rPr>
          <w:rFonts w:ascii="Times New Roman" w:hAnsi="Times New Roman"/>
          <w:sz w:val="28"/>
          <w:szCs w:val="28"/>
        </w:rPr>
        <w:t xml:space="preserve"> </w:t>
      </w:r>
      <w:r w:rsidRPr="00DF77C8">
        <w:rPr>
          <w:rFonts w:ascii="Times New Roman" w:hAnsi="Times New Roman"/>
          <w:sz w:val="28"/>
          <w:szCs w:val="28"/>
        </w:rPr>
        <w:t>medios de comunicación virtual</w:t>
      </w:r>
      <w:r w:rsidRPr="00DF77C8">
        <w:rPr>
          <w:rFonts w:ascii="Times New Roman" w:hAnsi="Times New Roman"/>
          <w:sz w:val="28"/>
          <w:szCs w:val="28"/>
          <w:vertAlign w:val="superscript"/>
        </w:rPr>
        <w:footnoteReference w:id="74"/>
      </w:r>
      <w:r w:rsidRPr="00DF77C8">
        <w:rPr>
          <w:rFonts w:ascii="Times New Roman" w:hAnsi="Times New Roman"/>
          <w:sz w:val="28"/>
          <w:szCs w:val="28"/>
        </w:rPr>
        <w:t>; entrega vigilada</w:t>
      </w:r>
      <w:r w:rsidRPr="00DF77C8">
        <w:rPr>
          <w:rFonts w:ascii="Times New Roman" w:hAnsi="Times New Roman"/>
          <w:sz w:val="28"/>
          <w:szCs w:val="28"/>
          <w:vertAlign w:val="superscript"/>
        </w:rPr>
        <w:footnoteReference w:id="75"/>
      </w:r>
      <w:r w:rsidRPr="00DF77C8">
        <w:rPr>
          <w:rFonts w:ascii="Times New Roman" w:hAnsi="Times New Roman"/>
          <w:sz w:val="28"/>
          <w:szCs w:val="28"/>
        </w:rPr>
        <w:t>; búsqueda selectiva en base de datos</w:t>
      </w:r>
      <w:r w:rsidRPr="00DF77C8">
        <w:rPr>
          <w:rFonts w:ascii="Times New Roman" w:hAnsi="Times New Roman"/>
          <w:sz w:val="28"/>
          <w:szCs w:val="28"/>
          <w:vertAlign w:val="superscript"/>
        </w:rPr>
        <w:footnoteReference w:id="76"/>
      </w:r>
      <w:r w:rsidRPr="00DF77C8">
        <w:rPr>
          <w:rFonts w:ascii="Times New Roman" w:hAnsi="Times New Roman"/>
          <w:sz w:val="28"/>
          <w:szCs w:val="28"/>
        </w:rPr>
        <w:t xml:space="preserve">; </w:t>
      </w:r>
      <w:r w:rsidRPr="00DF77C8">
        <w:rPr>
          <w:rFonts w:ascii="Times New Roman" w:hAnsi="Times New Roman"/>
          <w:sz w:val="28"/>
          <w:szCs w:val="28"/>
        </w:rPr>
        <w:t>exámenes de ADN que involucren al indiciado o investigado</w:t>
      </w:r>
      <w:r w:rsidRPr="00DF77C8">
        <w:rPr>
          <w:rFonts w:ascii="Times New Roman" w:hAnsi="Times New Roman"/>
          <w:sz w:val="28"/>
          <w:szCs w:val="28"/>
          <w:vertAlign w:val="superscript"/>
        </w:rPr>
        <w:footnoteReference w:id="77"/>
      </w:r>
      <w:r w:rsidRPr="00DF77C8">
        <w:rPr>
          <w:rFonts w:ascii="Times New Roman" w:hAnsi="Times New Roman"/>
          <w:sz w:val="28"/>
          <w:szCs w:val="28"/>
        </w:rPr>
        <w:t>, entre otros</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 la luz de las materias respect</w:t>
      </w:r>
      <w:r w:rsidRPr="00DF77C8">
        <w:rPr>
          <w:rFonts w:ascii="Times New Roman" w:hAnsi="Times New Roman"/>
          <w:sz w:val="28"/>
          <w:szCs w:val="28"/>
        </w:rPr>
        <w:t xml:space="preserve">o de las cuales el juez con función de control de garantías ejerce control, la Corte Constitucional ha destacado la importancia de su labor en el ordenamiento jurídico y constitucional: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ind w:left="567" w:right="-26"/>
        <w:jc w:val="both"/>
        <w:rPr>
          <w:rFonts w:ascii="Times New Roman" w:hAnsi="Times New Roman"/>
          <w:sz w:val="28"/>
          <w:szCs w:val="28"/>
        </w:rPr>
      </w:pPr>
      <w:r w:rsidRPr="00DF77C8">
        <w:rPr>
          <w:rFonts w:ascii="Times New Roman" w:hAnsi="Times New Roman"/>
          <w:sz w:val="28"/>
          <w:szCs w:val="28"/>
        </w:rPr>
        <w:t xml:space="preserve">“En efecto, el juez de control de garantías, al momento de realizar </w:t>
      </w:r>
      <w:r w:rsidRPr="00DF77C8">
        <w:rPr>
          <w:rFonts w:ascii="Times New Roman" w:hAnsi="Times New Roman"/>
          <w:sz w:val="28"/>
          <w:szCs w:val="28"/>
        </w:rPr>
        <w:t>cada uno de los mencionados controles</w:t>
      </w:r>
      <w:r w:rsidRPr="00DF77C8">
        <w:rPr>
          <w:rFonts w:ascii="Times New Roman" w:hAnsi="Times New Roman"/>
          <w:sz w:val="28"/>
          <w:szCs w:val="28"/>
          <w:vertAlign w:val="superscript"/>
        </w:rPr>
        <w:footnoteReference w:id="78"/>
      </w:r>
      <w:r w:rsidRPr="00DF77C8">
        <w:rPr>
          <w:rFonts w:ascii="Times New Roman" w:hAnsi="Times New Roman"/>
          <w:sz w:val="28"/>
          <w:szCs w:val="28"/>
        </w:rPr>
        <w:t xml:space="preserve">, deberá ponderar entre el interés legítimo del Estado y la sociedad por investigar comportamientos que atentan gravemente contra bienes jurídicos garantizados constitucionalmente, y en tal sentido, acordarle a las </w:t>
      </w:r>
      <w:r w:rsidRPr="00DF77C8">
        <w:rPr>
          <w:rFonts w:ascii="Times New Roman" w:hAnsi="Times New Roman"/>
          <w:sz w:val="28"/>
          <w:szCs w:val="28"/>
        </w:rPr>
        <w:t>autoridades competentes los medios efectivos para verificar las sospechas, buscar la verdad de los hechos y acopiar el material probatorio necesario para encausar a un ciudadano; los derechos y garantías constitucionales consagrados a favor de la persona p</w:t>
      </w:r>
      <w:r w:rsidRPr="00DF77C8">
        <w:rPr>
          <w:rFonts w:ascii="Times New Roman" w:hAnsi="Times New Roman"/>
          <w:sz w:val="28"/>
          <w:szCs w:val="28"/>
        </w:rPr>
        <w:t>rocesada; al igual que los derechos de las víctimas a la verdad, la justicia y la reparación.”</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Acerca de la importante función constitucional de la figura del juez de control de garantías en la implementación del nuevo sistema penal acusatorio, la Corte C</w:t>
      </w:r>
      <w:r w:rsidRPr="00DF77C8">
        <w:rPr>
          <w:rFonts w:ascii="Times New Roman" w:hAnsi="Times New Roman"/>
          <w:sz w:val="28"/>
          <w:szCs w:val="28"/>
        </w:rPr>
        <w:t xml:space="preserve">onstitucional mediante </w:t>
      </w:r>
      <w:r w:rsidRPr="00DF77C8">
        <w:rPr>
          <w:rFonts w:ascii="Times New Roman" w:hAnsi="Times New Roman"/>
          <w:sz w:val="28"/>
          <w:szCs w:val="28"/>
        </w:rPr>
        <w:t>Sentencia C-1092 de 2003</w:t>
      </w:r>
      <w:r w:rsidRPr="00DF77C8">
        <w:rPr>
          <w:rFonts w:ascii="Times New Roman" w:hAnsi="Times New Roman"/>
          <w:sz w:val="28"/>
          <w:szCs w:val="28"/>
        </w:rPr>
        <w:t>, expuso lo siguiente</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“En este contexto, la institución del juez de control de garantías en la estructura del proceso penal es muy importante, como quiera que a su cargo está examinar si las facultades judic</w:t>
      </w:r>
      <w:r w:rsidRPr="00DF77C8">
        <w:rPr>
          <w:rFonts w:ascii="Times New Roman" w:hAnsi="Times New Roman"/>
          <w:sz w:val="28"/>
          <w:szCs w:val="28"/>
        </w:rPr>
        <w:t>iales ejercidas por la Fiscalía se adecúan o no a sus fundamentos constitucionales y, en particular, si su despliegue ha respetado o no los derechos fundamentales de los ciudadanos.  En ejercicio de esta competencia, los efectos de la decisión que adopte e</w:t>
      </w:r>
      <w:r w:rsidRPr="00DF77C8">
        <w:rPr>
          <w:rFonts w:ascii="Times New Roman" w:hAnsi="Times New Roman"/>
          <w:sz w:val="28"/>
          <w:szCs w:val="28"/>
        </w:rPr>
        <w:t>l juez están determinados como a continuación se explica.</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Si encuentra que la Fiscalía ha vulnerado los derechos fundamentales y las garantías constitucionales, el juez a cargo del control no legitima la actuación de aquella y, lo que es más importante, l</w:t>
      </w:r>
      <w:r w:rsidRPr="00DF77C8">
        <w:rPr>
          <w:rFonts w:ascii="Times New Roman" w:hAnsi="Times New Roman"/>
          <w:sz w:val="28"/>
          <w:szCs w:val="28"/>
        </w:rPr>
        <w:t xml:space="preserve">os elementos de prueba recaudados se reputan inexistentes y no podrán ser luego admitidos como prueba, ni mucho menos valorados como tal.  En consecuencia, no se podrá, a partir de esa actuación, llevar a cabo la promoción de una investigación penal, como </w:t>
      </w:r>
      <w:r w:rsidRPr="00DF77C8">
        <w:rPr>
          <w:rFonts w:ascii="Times New Roman" w:hAnsi="Times New Roman"/>
          <w:sz w:val="28"/>
          <w:szCs w:val="28"/>
        </w:rPr>
        <w:t>tampoco podrá ser llevada ante el juez de conocimiento para efectos de la promoción de un juzgamiento; efectos éstos armónicos con la previsión del artículo 29 superior, conforme al cual es nula de pleno derecho toda prueba obtenida con violación del debid</w:t>
      </w:r>
      <w:r w:rsidRPr="00DF77C8">
        <w:rPr>
          <w:rFonts w:ascii="Times New Roman" w:hAnsi="Times New Roman"/>
          <w:sz w:val="28"/>
          <w:szCs w:val="28"/>
        </w:rPr>
        <w:t>o proceso.</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 xml:space="preserve">Por el contrario, si el juez de control de garantías advierte que la Fiscalía, en ejercicio de esas facultades, no ha desconocido los límites superiores de su actuación, convalida esa gestión y el ente investigador podrá entonces continuar con </w:t>
      </w:r>
      <w:r w:rsidRPr="00DF77C8">
        <w:rPr>
          <w:rFonts w:ascii="Times New Roman" w:hAnsi="Times New Roman"/>
          <w:sz w:val="28"/>
          <w:szCs w:val="28"/>
        </w:rPr>
        <w:t>su labor investigativa, formular una imputación, plantear una acusación y pretender la condena del procesado.  Es cierto que en este supuesto la facultad del juez de control de garantías no implica un pronunciamiento sobre las implicaciones que los element</w:t>
      </w:r>
      <w:r w:rsidRPr="00DF77C8">
        <w:rPr>
          <w:rFonts w:ascii="Times New Roman" w:hAnsi="Times New Roman"/>
          <w:sz w:val="28"/>
          <w:szCs w:val="28"/>
        </w:rPr>
        <w:t xml:space="preserve">os de prueba recaudados tengan sobre la responsabilidad del investigado ya que ésta será una tarea que se adelanta en el debate público y oral de la etapa de juzgamiento (...)”.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el ordenamiento jurídico colombiano dicha función, de acuerdo con lo disp</w:t>
      </w:r>
      <w:r w:rsidRPr="00DF77C8">
        <w:rPr>
          <w:rFonts w:ascii="Times New Roman" w:hAnsi="Times New Roman"/>
          <w:sz w:val="28"/>
          <w:szCs w:val="28"/>
        </w:rPr>
        <w:t>uesto en e</w:t>
      </w:r>
      <w:r w:rsidRPr="00DF77C8">
        <w:rPr>
          <w:rFonts w:ascii="Times New Roman" w:hAnsi="Times New Roman"/>
          <w:sz w:val="28"/>
          <w:szCs w:val="28"/>
        </w:rPr>
        <w:t xml:space="preserve">l artículo 39 del CPP </w:t>
      </w:r>
      <w:r w:rsidRPr="00DF77C8">
        <w:rPr>
          <w:rFonts w:ascii="Times New Roman" w:hAnsi="Times New Roman"/>
          <w:sz w:val="28"/>
          <w:szCs w:val="28"/>
        </w:rPr>
        <w:t xml:space="preserve">y su parágrafo 1°, </w:t>
      </w:r>
      <w:r w:rsidRPr="00DF77C8">
        <w:rPr>
          <w:rFonts w:ascii="Times New Roman" w:hAnsi="Times New Roman"/>
          <w:sz w:val="28"/>
          <w:szCs w:val="28"/>
        </w:rPr>
        <w:t xml:space="preserve">será ejercida por cualquier juez penal municipal y </w:t>
      </w:r>
      <w:r w:rsidRPr="00DF77C8">
        <w:rPr>
          <w:rFonts w:ascii="Times New Roman" w:hAnsi="Times New Roman"/>
          <w:sz w:val="28"/>
          <w:szCs w:val="28"/>
        </w:rPr>
        <w:t xml:space="preserve">un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w:t>
      </w:r>
      <w:r w:rsidRPr="00DF77C8">
        <w:rPr>
          <w:rFonts w:ascii="Times New Roman" w:hAnsi="Times New Roman"/>
          <w:sz w:val="28"/>
          <w:szCs w:val="28"/>
        </w:rPr>
        <w:t>en los casos que conozca la Corte Suprema de Justicia</w:t>
      </w:r>
      <w:r w:rsidRPr="00DF77C8">
        <w:rPr>
          <w:rFonts w:ascii="Times New Roman" w:hAnsi="Times New Roman"/>
          <w:sz w:val="28"/>
          <w:szCs w:val="28"/>
        </w:rPr>
        <w:t>.</w:t>
      </w:r>
    </w:p>
    <w:p w:rsidR="009A7250"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La Sentencia C-591 de 2005 declaró exequible </w:t>
      </w:r>
      <w:r w:rsidRPr="00DF77C8">
        <w:rPr>
          <w:rFonts w:ascii="Times New Roman" w:hAnsi="Times New Roman"/>
          <w:sz w:val="28"/>
          <w:szCs w:val="28"/>
        </w:rPr>
        <w:t xml:space="preserve">el parágrafo 1° de </w:t>
      </w:r>
      <w:r w:rsidRPr="00DF77C8">
        <w:rPr>
          <w:rFonts w:ascii="Times New Roman" w:hAnsi="Times New Roman"/>
          <w:sz w:val="28"/>
          <w:szCs w:val="28"/>
        </w:rPr>
        <w:t>la anterior disposición “en el entendido que se refiere a los casos previstos en el numeral 4 del artículo 235 de la Constitución”, actualmente el numeral 5° de esa misma disposición, luego de</w:t>
      </w:r>
      <w:r w:rsidRPr="00DF77C8">
        <w:rPr>
          <w:rFonts w:ascii="Times New Roman" w:hAnsi="Times New Roman"/>
          <w:sz w:val="28"/>
          <w:szCs w:val="28"/>
        </w:rPr>
        <w:t xml:space="preserve"> la reforma constitucional introducida mediante el Acto Legislativo 01 de 2018.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ese pronunciamiento, la Corte explicó que la función de juez de control de garantías en los procesos que conozca la Corte Suprema de Justicia puede ser desarrollada por un</w:t>
      </w:r>
      <w:r w:rsidRPr="00DF77C8">
        <w:rPr>
          <w:rFonts w:ascii="Times New Roman" w:hAnsi="Times New Roman"/>
          <w:sz w:val="28"/>
          <w:szCs w:val="28"/>
        </w:rPr>
        <w:t xml:space="preserve">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sin que se desconozca disposición constitucional alguna.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Esto, porque la expresión “´En los casos que conozca la Corte Suprema de Justicia´, debe entenderse en el contexto del Acto Legislativo 03 de 2002, es de</w:t>
      </w:r>
      <w:r w:rsidRPr="00DF77C8">
        <w:rPr>
          <w:rFonts w:ascii="Times New Roman" w:hAnsi="Times New Roman"/>
          <w:sz w:val="28"/>
          <w:szCs w:val="28"/>
        </w:rPr>
        <w:t>cir, que la figura del juez de control de garantías interviene sólo en aquellos procesos con características de sistema acusatorio, es decir, en aquellos en que la investigación es adelantada por la Fiscalía General de la Nación, para los cuales no está pr</w:t>
      </w:r>
      <w:r w:rsidRPr="00DF77C8">
        <w:rPr>
          <w:rFonts w:ascii="Times New Roman" w:hAnsi="Times New Roman"/>
          <w:sz w:val="28"/>
          <w:szCs w:val="28"/>
        </w:rPr>
        <w:t>evisto un procedimiento constitucional especial”</w:t>
      </w:r>
      <w:r w:rsidRPr="00DF77C8">
        <w:rPr>
          <w:rStyle w:val="Refdenotaalpie"/>
          <w:rFonts w:ascii="Times New Roman" w:hAnsi="Times New Roman"/>
          <w:sz w:val="28"/>
          <w:szCs w:val="28"/>
        </w:rPr>
        <w:footnoteReference w:id="79"/>
      </w:r>
      <w:r w:rsidRPr="00DF77C8">
        <w:rPr>
          <w:rFonts w:ascii="Times New Roman" w:hAnsi="Times New Roman"/>
          <w:sz w:val="28"/>
          <w:szCs w:val="28"/>
        </w:rPr>
        <w:t xml:space="preserve"> y se encuentra dirigida </w:t>
      </w:r>
      <w:r w:rsidRPr="00DF77C8">
        <w:rPr>
          <w:rFonts w:ascii="Times New Roman" w:hAnsi="Times New Roman"/>
          <w:sz w:val="28"/>
          <w:szCs w:val="28"/>
        </w:rPr>
        <w:t>“</w:t>
      </w:r>
      <w:r w:rsidRPr="00DF77C8">
        <w:rPr>
          <w:rFonts w:ascii="Times New Roman" w:hAnsi="Times New Roman"/>
          <w:sz w:val="28"/>
          <w:szCs w:val="28"/>
        </w:rPr>
        <w:t>específicamente para aquellos funcionarios determinados en el numeral 4 del artículo 235 Superior, cuyo fuero está consagrado, en ésta disposición, solo para la etapa del juzgamient</w:t>
      </w:r>
      <w:r w:rsidRPr="00DF77C8">
        <w:rPr>
          <w:rFonts w:ascii="Times New Roman" w:hAnsi="Times New Roman"/>
          <w:sz w:val="28"/>
          <w:szCs w:val="28"/>
        </w:rPr>
        <w:t>o</w:t>
      </w:r>
      <w:r w:rsidRPr="00DF77C8">
        <w:rPr>
          <w:rFonts w:ascii="Times New Roman" w:hAnsi="Times New Roman"/>
          <w:sz w:val="28"/>
          <w:szCs w:val="28"/>
        </w:rPr>
        <w:t>”</w:t>
      </w:r>
      <w:r w:rsidRPr="00DF77C8">
        <w:rPr>
          <w:rStyle w:val="Refdenotaalpie"/>
          <w:rFonts w:ascii="Times New Roman" w:hAnsi="Times New Roman"/>
          <w:sz w:val="28"/>
          <w:szCs w:val="28"/>
        </w:rPr>
        <w:footnoteReference w:id="80"/>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A7151C" w:rsidRPr="00DF77C8" w:rsidRDefault="00DF77C8" w:rsidP="008A4B21">
      <w:pPr>
        <w:ind w:right="-26"/>
        <w:jc w:val="both"/>
        <w:rPr>
          <w:rFonts w:ascii="Times New Roman" w:hAnsi="Times New Roman"/>
          <w:sz w:val="28"/>
          <w:szCs w:val="28"/>
        </w:rPr>
      </w:pPr>
      <w:r w:rsidRPr="00DF77C8">
        <w:rPr>
          <w:rFonts w:ascii="Times New Roman" w:hAnsi="Times New Roman"/>
          <w:i/>
          <w:sz w:val="28"/>
          <w:szCs w:val="28"/>
        </w:rPr>
        <w:t>De los recursos consagrados a favor de las personas investigadas contra las providencias de las autoridades judiciales que ejercen funciones de control de garantías</w:t>
      </w:r>
      <w:r w:rsidRPr="00DF77C8">
        <w:rPr>
          <w:rFonts w:ascii="Times New Roman" w:hAnsi="Times New Roman"/>
          <w:sz w:val="28"/>
          <w:szCs w:val="28"/>
        </w:rPr>
        <w:t>.</w:t>
      </w:r>
    </w:p>
    <w:p w:rsidR="00A7151C"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Sobre la consagración de la doble instancia, el artículo 20 del CPP establece que “</w:t>
      </w:r>
      <w:r w:rsidRPr="00DF77C8">
        <w:rPr>
          <w:rFonts w:ascii="Times New Roman" w:hAnsi="Times New Roman"/>
          <w:sz w:val="28"/>
          <w:szCs w:val="28"/>
        </w:rPr>
        <w:t>(l)</w:t>
      </w:r>
      <w:r w:rsidRPr="00DF77C8">
        <w:rPr>
          <w:rFonts w:ascii="Times New Roman" w:hAnsi="Times New Roman"/>
          <w:sz w:val="28"/>
          <w:szCs w:val="28"/>
        </w:rPr>
        <w:t xml:space="preserve">as sentencias y los autos que se refieran a la libertad del imputado o acusado, que afecten la práctica de las pruebas o que tengan efectos patrimoniales, salvo las excepciones previstas en este código, serán susceptibles del recurso de apelación”.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w:t>
      </w:r>
      <w:r w:rsidRPr="00DF77C8">
        <w:rPr>
          <w:rFonts w:ascii="Times New Roman" w:hAnsi="Times New Roman"/>
          <w:sz w:val="28"/>
          <w:szCs w:val="28"/>
        </w:rPr>
        <w:t xml:space="preserve"> la misma forma,</w:t>
      </w:r>
      <w:r w:rsidRPr="00DF77C8">
        <w:rPr>
          <w:rFonts w:ascii="Times New Roman" w:hAnsi="Times New Roman"/>
          <w:sz w:val="28"/>
          <w:szCs w:val="28"/>
        </w:rPr>
        <w:t xml:space="preserve"> en relación con los recursos que pueden interponerse contra las providencias judiciales, el artículo 176 del CPP consagra los recursos ordinarios de la reposición y la apelación, estableciendo que la reposición procede contra todas las dec</w:t>
      </w:r>
      <w:r w:rsidRPr="00DF77C8">
        <w:rPr>
          <w:rFonts w:ascii="Times New Roman" w:hAnsi="Times New Roman"/>
          <w:sz w:val="28"/>
          <w:szCs w:val="28"/>
        </w:rPr>
        <w:t>isiones, con excepción de la sentencia, y debe sustentarse y resolverse de manera oral e inmediata en la respectiva audiencia. Acerca del recurso de apelación, señala que este procede contra los autos adoptados en desarrollo de las audiencias y contra la s</w:t>
      </w:r>
      <w:r w:rsidRPr="00DF77C8">
        <w:rPr>
          <w:rFonts w:ascii="Times New Roman" w:hAnsi="Times New Roman"/>
          <w:sz w:val="28"/>
          <w:szCs w:val="28"/>
        </w:rPr>
        <w:t>entencia condenatoria o absolutoria, salvo las excepciones consagradas en dicho estatuto procesal.</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Específicamente, el artículo 177 del CPP establece que </w:t>
      </w:r>
      <w:r w:rsidRPr="00DF77C8">
        <w:rPr>
          <w:rFonts w:ascii="Times New Roman" w:hAnsi="Times New Roman"/>
          <w:sz w:val="28"/>
          <w:szCs w:val="28"/>
        </w:rPr>
        <w:t xml:space="preserve">el recurso de apelación </w:t>
      </w:r>
      <w:r w:rsidRPr="00DF77C8">
        <w:rPr>
          <w:rFonts w:ascii="Times New Roman" w:hAnsi="Times New Roman"/>
          <w:sz w:val="28"/>
          <w:szCs w:val="28"/>
        </w:rPr>
        <w:t>se concederá en el efecto devolutivo, respecto de las siguientes providencias</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“1. El auto que resuelve sobre la imposición, revocatoria o sustitución de una medida de aseguramiento.</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2. El auto que resuelve sobre la imposición de una medida cautelar que afecte bienes del imputado o acusado.</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3. El auto que resuelve sobre la legal</w:t>
      </w:r>
      <w:r w:rsidRPr="00DF77C8">
        <w:rPr>
          <w:rFonts w:ascii="Times New Roman" w:hAnsi="Times New Roman"/>
          <w:sz w:val="28"/>
          <w:szCs w:val="28"/>
        </w:rPr>
        <w:t>ización de captura.</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 xml:space="preserve">4. El auto que decide sobre el control de legalidad del diligenciamiento de las órdenes de allanamiento y registro, retención de correspondencia, interceptación de comunicaciones o recuperación de información dejada al navegar por </w:t>
      </w:r>
      <w:r w:rsidRPr="00DF77C8">
        <w:rPr>
          <w:rFonts w:ascii="Times New Roman" w:hAnsi="Times New Roman"/>
          <w:sz w:val="28"/>
          <w:szCs w:val="28"/>
        </w:rPr>
        <w:t>Internet u otros medios similares.</w:t>
      </w:r>
    </w:p>
    <w:p w:rsidR="00801F94" w:rsidRPr="00DF77C8" w:rsidRDefault="00DF77C8" w:rsidP="008A4B21">
      <w:pPr>
        <w:ind w:left="567" w:right="-26"/>
        <w:jc w:val="both"/>
        <w:rPr>
          <w:rFonts w:ascii="Times New Roman" w:hAnsi="Times New Roman"/>
          <w:sz w:val="28"/>
          <w:szCs w:val="28"/>
        </w:rPr>
      </w:pPr>
    </w:p>
    <w:p w:rsidR="00801F94" w:rsidRPr="00DF77C8" w:rsidRDefault="00DF77C8" w:rsidP="008A4B21">
      <w:pPr>
        <w:ind w:left="567" w:right="-26"/>
        <w:jc w:val="both"/>
        <w:rPr>
          <w:rFonts w:ascii="Times New Roman" w:hAnsi="Times New Roman"/>
          <w:sz w:val="28"/>
          <w:szCs w:val="28"/>
        </w:rPr>
      </w:pPr>
      <w:r w:rsidRPr="00DF77C8">
        <w:rPr>
          <w:rFonts w:ascii="Times New Roman" w:hAnsi="Times New Roman"/>
          <w:sz w:val="28"/>
          <w:szCs w:val="28"/>
        </w:rPr>
        <w:t>5. El auto que imprueba la aplicación del principio de oportunidad en la etapa de investigación; y</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right="-26" w:firstLine="567"/>
        <w:jc w:val="both"/>
        <w:rPr>
          <w:rFonts w:ascii="Times New Roman" w:hAnsi="Times New Roman"/>
          <w:sz w:val="28"/>
          <w:szCs w:val="28"/>
        </w:rPr>
      </w:pPr>
      <w:r w:rsidRPr="00DF77C8">
        <w:rPr>
          <w:rFonts w:ascii="Times New Roman" w:hAnsi="Times New Roman"/>
          <w:sz w:val="28"/>
          <w:szCs w:val="28"/>
        </w:rPr>
        <w:t xml:space="preserve">6. El auto que admite la práctica de la prueba anticipada”.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acuerdo con lo anterior, las providencias que expide el</w:t>
      </w:r>
      <w:r w:rsidRPr="00DF77C8">
        <w:rPr>
          <w:rFonts w:ascii="Times New Roman" w:hAnsi="Times New Roman"/>
          <w:sz w:val="28"/>
          <w:szCs w:val="28"/>
        </w:rPr>
        <w:t xml:space="preserve"> juez de control de garantías en las que decide cuestiones relativas a los asuntos </w:t>
      </w:r>
      <w:r w:rsidRPr="00DF77C8">
        <w:rPr>
          <w:rFonts w:ascii="Times New Roman" w:hAnsi="Times New Roman"/>
          <w:sz w:val="28"/>
          <w:szCs w:val="28"/>
        </w:rPr>
        <w:t xml:space="preserve">mencionados en las normas antes citadas </w:t>
      </w:r>
      <w:r w:rsidRPr="00DF77C8">
        <w:rPr>
          <w:rFonts w:ascii="Times New Roman" w:hAnsi="Times New Roman"/>
          <w:sz w:val="28"/>
          <w:szCs w:val="28"/>
        </w:rPr>
        <w:t>son susceptibles de ser impugnadas en la misma audiencia y si está debidamente sustentado deberá concederse de inmediato ante el supe</w:t>
      </w:r>
      <w:r w:rsidRPr="00DF77C8">
        <w:rPr>
          <w:rFonts w:ascii="Times New Roman" w:hAnsi="Times New Roman"/>
          <w:sz w:val="28"/>
          <w:szCs w:val="28"/>
        </w:rPr>
        <w:t>rior, de conformidad con lo previsto en el artículo 178 del CPP.</w:t>
      </w:r>
      <w:r w:rsidRPr="00DF77C8">
        <w:rPr>
          <w:rFonts w:ascii="Times New Roman" w:hAnsi="Times New Roman"/>
          <w:sz w:val="28"/>
          <w:szCs w:val="28"/>
        </w:rPr>
        <w:t xml:space="preserve"> </w:t>
      </w:r>
    </w:p>
    <w:p w:rsidR="003E05F1" w:rsidRPr="00DF77C8" w:rsidRDefault="00DF77C8" w:rsidP="008A4B21">
      <w:pPr>
        <w:pStyle w:val="Prrafodelista"/>
        <w:tabs>
          <w:tab w:val="left" w:pos="567"/>
        </w:tabs>
        <w:ind w:left="0" w:right="-26"/>
        <w:jc w:val="both"/>
        <w:rPr>
          <w:rFonts w:ascii="Times New Roman" w:hAnsi="Times New Roman"/>
          <w:sz w:val="28"/>
          <w:szCs w:val="28"/>
        </w:rPr>
      </w:pPr>
    </w:p>
    <w:p w:rsidR="003E05F1"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Por último, cabe destacar la importancia de la función que desempeña el juez de control de garantías</w:t>
      </w:r>
      <w:r w:rsidRPr="00DF77C8">
        <w:rPr>
          <w:rFonts w:ascii="Times New Roman" w:hAnsi="Times New Roman"/>
          <w:sz w:val="28"/>
          <w:szCs w:val="28"/>
        </w:rPr>
        <w:t xml:space="preserve"> </w:t>
      </w:r>
      <w:r w:rsidRPr="00DF77C8">
        <w:rPr>
          <w:rFonts w:ascii="Times New Roman" w:hAnsi="Times New Roman"/>
          <w:sz w:val="28"/>
          <w:szCs w:val="28"/>
        </w:rPr>
        <w:t>con el objeto</w:t>
      </w:r>
      <w:r w:rsidRPr="00DF77C8">
        <w:rPr>
          <w:rFonts w:ascii="Times New Roman" w:hAnsi="Times New Roman"/>
          <w:sz w:val="28"/>
          <w:szCs w:val="28"/>
        </w:rPr>
        <w:t xml:space="preserve"> de </w:t>
      </w:r>
      <w:r w:rsidRPr="00DF77C8">
        <w:rPr>
          <w:rFonts w:ascii="Times New Roman" w:hAnsi="Times New Roman"/>
          <w:sz w:val="28"/>
          <w:szCs w:val="28"/>
        </w:rPr>
        <w:t xml:space="preserve">realizar el análisis de la necesidad, razonabilidad y proporcionalidad </w:t>
      </w:r>
      <w:r w:rsidRPr="00DF77C8">
        <w:rPr>
          <w:rFonts w:ascii="Times New Roman" w:hAnsi="Times New Roman"/>
          <w:sz w:val="28"/>
          <w:szCs w:val="28"/>
        </w:rPr>
        <w:t>de las decisiones adoptadas por la Fiscalía en la etapa de investigación, relacionadas con medidas que pueden restringir bienes y garantías fundamentales.</w:t>
      </w:r>
    </w:p>
    <w:p w:rsidR="007E1184" w:rsidRPr="00DF77C8" w:rsidRDefault="00DF77C8" w:rsidP="008A4B21">
      <w:pPr>
        <w:ind w:right="-26"/>
        <w:jc w:val="both"/>
        <w:rPr>
          <w:rFonts w:ascii="Times New Roman" w:hAnsi="Times New Roman"/>
          <w:b/>
          <w:sz w:val="28"/>
          <w:szCs w:val="28"/>
        </w:rPr>
      </w:pPr>
    </w:p>
    <w:p w:rsidR="00801F94" w:rsidRPr="00DF77C8" w:rsidRDefault="00DF77C8" w:rsidP="008A4B21">
      <w:pPr>
        <w:ind w:right="-26"/>
        <w:jc w:val="both"/>
        <w:rPr>
          <w:rFonts w:ascii="Times New Roman" w:hAnsi="Times New Roman"/>
          <w:b/>
          <w:sz w:val="28"/>
          <w:szCs w:val="28"/>
        </w:rPr>
      </w:pPr>
      <w:r w:rsidRPr="00DF77C8">
        <w:rPr>
          <w:rFonts w:ascii="Times New Roman" w:hAnsi="Times New Roman"/>
          <w:b/>
          <w:sz w:val="28"/>
          <w:szCs w:val="28"/>
        </w:rPr>
        <w:t xml:space="preserve">Los </w:t>
      </w:r>
      <w:r w:rsidRPr="00DF77C8">
        <w:rPr>
          <w:rFonts w:ascii="Times New Roman" w:hAnsi="Times New Roman"/>
          <w:b/>
          <w:sz w:val="28"/>
          <w:szCs w:val="28"/>
        </w:rPr>
        <w:t xml:space="preserve">elementos para determinar </w:t>
      </w:r>
      <w:r w:rsidRPr="00DF77C8">
        <w:rPr>
          <w:rFonts w:ascii="Times New Roman" w:hAnsi="Times New Roman"/>
          <w:b/>
          <w:sz w:val="28"/>
          <w:szCs w:val="28"/>
        </w:rPr>
        <w:t>la configuración de la omisión legislativa relativa.</w:t>
      </w:r>
      <w:r w:rsidRPr="00DF77C8">
        <w:rPr>
          <w:rFonts w:ascii="Times New Roman" w:hAnsi="Times New Roman"/>
          <w:b/>
          <w:sz w:val="28"/>
          <w:szCs w:val="28"/>
        </w:rPr>
        <w:t xml:space="preserve"> </w:t>
      </w:r>
      <w:r w:rsidRPr="00DF77C8">
        <w:rPr>
          <w:rFonts w:ascii="Times New Roman" w:hAnsi="Times New Roman"/>
          <w:b/>
          <w:sz w:val="28"/>
          <w:szCs w:val="28"/>
        </w:rPr>
        <w:t>Reiteración de ju</w:t>
      </w:r>
      <w:r w:rsidRPr="00DF77C8">
        <w:rPr>
          <w:rFonts w:ascii="Times New Roman" w:hAnsi="Times New Roman"/>
          <w:b/>
          <w:sz w:val="28"/>
          <w:szCs w:val="28"/>
        </w:rPr>
        <w:t>risprudencia</w:t>
      </w:r>
      <w:r w:rsidRPr="00DF77C8">
        <w:rPr>
          <w:rFonts w:ascii="Times New Roman" w:hAnsi="Times New Roman"/>
          <w:b/>
          <w:sz w:val="28"/>
          <w:szCs w:val="28"/>
        </w:rPr>
        <w:t xml:space="preserve">. </w:t>
      </w:r>
    </w:p>
    <w:p w:rsidR="00801F94" w:rsidRPr="00DF77C8" w:rsidRDefault="00DF77C8" w:rsidP="008A4B21">
      <w:pPr>
        <w:ind w:left="702" w:right="-26"/>
        <w:jc w:val="both"/>
        <w:rPr>
          <w:rFonts w:ascii="Times New Roman" w:hAnsi="Times New Roman"/>
          <w:sz w:val="28"/>
          <w:szCs w:val="28"/>
        </w:rPr>
      </w:pPr>
    </w:p>
    <w:p w:rsidR="00A86962"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Esta </w:t>
      </w:r>
      <w:r w:rsidRPr="00DF77C8">
        <w:rPr>
          <w:rFonts w:ascii="Times New Roman" w:hAnsi="Times New Roman"/>
          <w:sz w:val="28"/>
          <w:szCs w:val="28"/>
        </w:rPr>
        <w:t>Corporación</w:t>
      </w:r>
      <w:r w:rsidRPr="00DF77C8">
        <w:rPr>
          <w:rFonts w:ascii="Times New Roman" w:hAnsi="Times New Roman"/>
          <w:sz w:val="28"/>
          <w:szCs w:val="28"/>
        </w:rPr>
        <w:t xml:space="preserve"> </w:t>
      </w:r>
      <w:r w:rsidRPr="00DF77C8">
        <w:rPr>
          <w:rFonts w:ascii="Times New Roman" w:hAnsi="Times New Roman"/>
          <w:sz w:val="28"/>
          <w:szCs w:val="28"/>
        </w:rPr>
        <w:t>ha sostenido</w:t>
      </w:r>
      <w:r w:rsidRPr="00DF77C8">
        <w:rPr>
          <w:rFonts w:ascii="Times New Roman" w:hAnsi="Times New Roman"/>
          <w:sz w:val="28"/>
          <w:szCs w:val="28"/>
        </w:rPr>
        <w:t xml:space="preserve"> de manera constante</w:t>
      </w:r>
      <w:r w:rsidRPr="00DF77C8">
        <w:rPr>
          <w:rFonts w:ascii="Times New Roman" w:hAnsi="Times New Roman"/>
          <w:sz w:val="28"/>
          <w:szCs w:val="28"/>
        </w:rPr>
        <w:t xml:space="preserve"> que</w:t>
      </w:r>
      <w:r w:rsidRPr="00DF77C8">
        <w:rPr>
          <w:rFonts w:ascii="Times New Roman" w:hAnsi="Times New Roman"/>
          <w:sz w:val="28"/>
          <w:szCs w:val="28"/>
        </w:rPr>
        <w:t xml:space="preserve"> solo es competente para asumir el conocimiento respecto al planteamiento de omisiones legislativas relativas</w:t>
      </w:r>
      <w:r w:rsidRPr="00DF77C8">
        <w:rPr>
          <w:rFonts w:ascii="Times New Roman" w:hAnsi="Times New Roman"/>
          <w:sz w:val="28"/>
          <w:szCs w:val="28"/>
        </w:rPr>
        <w:t xml:space="preserve">, pues “Tratándose de la omisión absoluta, es claro que el órgano de control </w:t>
      </w:r>
      <w:r w:rsidRPr="00DF77C8">
        <w:rPr>
          <w:rFonts w:ascii="Times New Roman" w:hAnsi="Times New Roman"/>
          <w:sz w:val="28"/>
          <w:szCs w:val="28"/>
        </w:rPr>
        <w:t>carece de competencia para emitir pronunciamiento de fondo, pues la misma comporta una ausencia total e íntegra de normatividad que, en cualquier caso, impide una confrontación material, objetiva y verificable con el texto de la Carta Política”</w:t>
      </w:r>
      <w:r w:rsidRPr="00DF77C8">
        <w:rPr>
          <w:rStyle w:val="Refdenotaalpie"/>
          <w:rFonts w:ascii="Times New Roman" w:hAnsi="Times New Roman"/>
          <w:sz w:val="28"/>
          <w:szCs w:val="28"/>
        </w:rPr>
        <w:footnoteReference w:id="81"/>
      </w:r>
      <w:r w:rsidRPr="00DF77C8">
        <w:rPr>
          <w:rFonts w:ascii="Times New Roman" w:hAnsi="Times New Roman"/>
          <w:sz w:val="28"/>
          <w:szCs w:val="28"/>
        </w:rPr>
        <w:t>.</w:t>
      </w:r>
    </w:p>
    <w:p w:rsidR="00A86962" w:rsidRPr="00DF77C8" w:rsidRDefault="00DF77C8" w:rsidP="008A4B21">
      <w:pPr>
        <w:pStyle w:val="Prrafodelista"/>
        <w:ind w:left="0" w:right="-26"/>
        <w:jc w:val="both"/>
        <w:rPr>
          <w:rFonts w:ascii="Times New Roman" w:hAnsi="Times New Roman"/>
          <w:sz w:val="28"/>
          <w:szCs w:val="28"/>
        </w:rPr>
      </w:pPr>
    </w:p>
    <w:p w:rsidR="00E97E60"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contr</w:t>
      </w:r>
      <w:r w:rsidRPr="00DF77C8">
        <w:rPr>
          <w:rFonts w:ascii="Times New Roman" w:hAnsi="Times New Roman"/>
          <w:sz w:val="28"/>
          <w:szCs w:val="28"/>
        </w:rPr>
        <w:t>aste, el legislador en desarrollo de sus funciones puede desconocer preceptos superiores, ya sea porque excluyó un ingrediente o condición jurídica que resulta trascendental para la materia tratada o porque a pesar de incluirlo la regulación es insuficient</w:t>
      </w:r>
      <w:r w:rsidRPr="00DF77C8">
        <w:rPr>
          <w:rFonts w:ascii="Times New Roman" w:hAnsi="Times New Roman"/>
          <w:sz w:val="28"/>
          <w:szCs w:val="28"/>
        </w:rPr>
        <w:t>e o incompleta frente a ciertas situaciones que también ha debido contemplarlas en su acción normativa</w:t>
      </w:r>
      <w:r w:rsidRPr="00DF77C8">
        <w:rPr>
          <w:rStyle w:val="Refdenotaalpie"/>
          <w:rFonts w:ascii="Times New Roman" w:hAnsi="Times New Roman"/>
          <w:sz w:val="28"/>
          <w:szCs w:val="28"/>
        </w:rPr>
        <w:footnoteReference w:id="82"/>
      </w:r>
      <w:r w:rsidRPr="00DF77C8">
        <w:rPr>
          <w:rFonts w:ascii="Times New Roman" w:hAnsi="Times New Roman"/>
          <w:sz w:val="28"/>
          <w:szCs w:val="28"/>
        </w:rPr>
        <w:t xml:space="preserve">. </w:t>
      </w:r>
      <w:r w:rsidRPr="00DF77C8">
        <w:rPr>
          <w:rFonts w:ascii="Times New Roman" w:hAnsi="Times New Roman"/>
          <w:sz w:val="28"/>
          <w:szCs w:val="28"/>
        </w:rPr>
        <w:t>En esta hipótesis</w:t>
      </w:r>
      <w:r w:rsidRPr="00DF77C8">
        <w:rPr>
          <w:rFonts w:ascii="Times New Roman" w:hAnsi="Times New Roman"/>
          <w:sz w:val="28"/>
          <w:szCs w:val="28"/>
        </w:rPr>
        <w:t xml:space="preserve"> de la omisión legislativa relativa, esta </w:t>
      </w:r>
      <w:r w:rsidRPr="00DF77C8">
        <w:rPr>
          <w:rFonts w:ascii="Times New Roman" w:hAnsi="Times New Roman"/>
          <w:sz w:val="28"/>
          <w:szCs w:val="28"/>
        </w:rPr>
        <w:t>Corporación</w:t>
      </w:r>
      <w:r w:rsidRPr="00DF77C8">
        <w:rPr>
          <w:rFonts w:ascii="Times New Roman" w:hAnsi="Times New Roman"/>
          <w:sz w:val="28"/>
          <w:szCs w:val="28"/>
        </w:rPr>
        <w:t xml:space="preserve"> sostiene</w:t>
      </w:r>
      <w:r w:rsidRPr="00DF77C8">
        <w:rPr>
          <w:rFonts w:ascii="Times New Roman" w:hAnsi="Times New Roman"/>
          <w:sz w:val="28"/>
          <w:szCs w:val="28"/>
        </w:rPr>
        <w:t xml:space="preserve"> que es plenamente aplicable el juicio de constitucionalidad, pues el reproche se predica respecto de un texto normativo </w:t>
      </w:r>
      <w:r w:rsidRPr="00DF77C8">
        <w:rPr>
          <w:rFonts w:ascii="Times New Roman" w:hAnsi="Times New Roman"/>
          <w:sz w:val="28"/>
          <w:szCs w:val="28"/>
        </w:rPr>
        <w:t>incompleto o imperfecto o que ante la ausencia de regulación puede desconocer preceptos superiores como la igualdad y el debido proceso</w:t>
      </w:r>
      <w:r w:rsidRPr="00DF77C8">
        <w:rPr>
          <w:rFonts w:ascii="Times New Roman" w:hAnsi="Times New Roman"/>
          <w:sz w:val="28"/>
          <w:szCs w:val="28"/>
        </w:rPr>
        <w:t xml:space="preserve"> y resultar arbitrario, inequitativo o discriminatorio</w:t>
      </w:r>
      <w:r w:rsidRPr="00DF77C8">
        <w:rPr>
          <w:rStyle w:val="Refdenotaalpie"/>
          <w:rFonts w:ascii="Times New Roman" w:hAnsi="Times New Roman"/>
          <w:sz w:val="28"/>
          <w:szCs w:val="28"/>
        </w:rPr>
        <w:footnoteReference w:id="83"/>
      </w:r>
      <w:r w:rsidRPr="00DF77C8">
        <w:rPr>
          <w:rFonts w:ascii="Times New Roman" w:hAnsi="Times New Roman"/>
          <w:sz w:val="28"/>
          <w:szCs w:val="28"/>
        </w:rPr>
        <w:t xml:space="preserve">. </w:t>
      </w:r>
    </w:p>
    <w:p w:rsidR="00E97E60" w:rsidRPr="00DF77C8" w:rsidRDefault="00DF77C8" w:rsidP="008A4B21">
      <w:pPr>
        <w:pStyle w:val="Prrafodelista"/>
        <w:rPr>
          <w:rFonts w:ascii="Times New Roman" w:hAnsi="Times New Roman"/>
          <w:sz w:val="28"/>
          <w:szCs w:val="28"/>
        </w:rPr>
      </w:pPr>
      <w:r w:rsidRPr="00DF77C8">
        <w:rPr>
          <w:rFonts w:ascii="Times New Roman" w:hAnsi="Times New Roman"/>
          <w:sz w:val="28"/>
          <w:szCs w:val="28"/>
        </w:rPr>
        <w:t xml:space="preserve"> </w:t>
      </w:r>
    </w:p>
    <w:p w:rsidR="00801F94" w:rsidRPr="00DF77C8" w:rsidRDefault="00DF77C8" w:rsidP="008A4B21">
      <w:pPr>
        <w:pStyle w:val="Prrafodelista"/>
        <w:numPr>
          <w:ilvl w:val="0"/>
          <w:numId w:val="2"/>
        </w:numPr>
        <w:tabs>
          <w:tab w:val="left" w:pos="567"/>
          <w:tab w:val="left" w:pos="2160"/>
          <w:tab w:val="left" w:pos="2880"/>
          <w:tab w:val="left" w:pos="3600"/>
          <w:tab w:val="left" w:pos="4320"/>
          <w:tab w:val="left" w:pos="5040"/>
          <w:tab w:val="left" w:pos="5760"/>
          <w:tab w:val="left" w:pos="6480"/>
          <w:tab w:val="left" w:pos="7200"/>
          <w:tab w:val="left" w:pos="7920"/>
          <w:tab w:val="left" w:pos="8364"/>
        </w:tabs>
        <w:ind w:left="0" w:right="-26" w:firstLine="0"/>
        <w:jc w:val="both"/>
        <w:rPr>
          <w:rFonts w:ascii="Times New Roman" w:hAnsi="Times New Roman"/>
          <w:sz w:val="28"/>
          <w:szCs w:val="28"/>
        </w:rPr>
      </w:pPr>
      <w:r w:rsidRPr="00DF77C8">
        <w:rPr>
          <w:rFonts w:ascii="Times New Roman" w:hAnsi="Times New Roman"/>
          <w:sz w:val="28"/>
          <w:szCs w:val="28"/>
        </w:rPr>
        <w:t xml:space="preserve">De conformidad con lo expuesto en la Sentencia C-352 de 2017, los elementos que deben tenerse en cuenta para determinar si se configura el cargo por omisión </w:t>
      </w:r>
      <w:r w:rsidRPr="00DF77C8">
        <w:rPr>
          <w:rFonts w:ascii="Times New Roman" w:hAnsi="Times New Roman"/>
          <w:sz w:val="28"/>
          <w:szCs w:val="28"/>
        </w:rPr>
        <w:t xml:space="preserve">legislativa relativa </w:t>
      </w:r>
      <w:r w:rsidRPr="00DF77C8">
        <w:rPr>
          <w:rFonts w:ascii="Times New Roman" w:hAnsi="Times New Roman"/>
          <w:sz w:val="28"/>
          <w:szCs w:val="28"/>
        </w:rPr>
        <w:t xml:space="preserve">son </w:t>
      </w:r>
      <w:r w:rsidRPr="00DF77C8">
        <w:rPr>
          <w:rFonts w:ascii="Times New Roman" w:hAnsi="Times New Roman"/>
          <w:sz w:val="28"/>
          <w:szCs w:val="28"/>
        </w:rPr>
        <w:t>los siguientes</w:t>
      </w:r>
      <w:r w:rsidRPr="00DF77C8">
        <w:rPr>
          <w:rFonts w:ascii="Times New Roman" w:hAnsi="Times New Roman"/>
          <w:sz w:val="28"/>
          <w:szCs w:val="28"/>
        </w:rPr>
        <w:t>:</w:t>
      </w:r>
    </w:p>
    <w:p w:rsidR="00556198" w:rsidRPr="00DF77C8" w:rsidRDefault="00DF77C8" w:rsidP="008A4B21">
      <w:pPr>
        <w:pBdr>
          <w:top w:val="nil"/>
          <w:left w:val="nil"/>
          <w:bottom w:val="nil"/>
          <w:right w:val="nil"/>
          <w:between w:val="nil"/>
        </w:pBdr>
        <w:ind w:left="703" w:right="-28"/>
        <w:rPr>
          <w:rFonts w:ascii="Times New Roman" w:hAnsi="Times New Roman"/>
          <w:sz w:val="28"/>
          <w:szCs w:val="28"/>
        </w:rPr>
      </w:pP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r w:rsidRPr="00DF77C8">
        <w:rPr>
          <w:rFonts w:ascii="Times New Roman" w:hAnsi="Times New Roman"/>
          <w:sz w:val="28"/>
          <w:szCs w:val="28"/>
        </w:rPr>
        <w:t>“(a)</w:t>
      </w:r>
      <w:r w:rsidRPr="00DF77C8">
        <w:rPr>
          <w:rFonts w:ascii="Times New Roman" w:hAnsi="Times New Roman"/>
          <w:sz w:val="28"/>
          <w:szCs w:val="28"/>
        </w:rPr>
        <w:tab/>
        <w:t xml:space="preserve">la existencia de una norma sobre la cual se predique necesariamente el cargo y que (i) excluya de sus consecuencias jurídicas aquellos casos equivalentes </w:t>
      </w:r>
      <w:r w:rsidRPr="00DF77C8">
        <w:rPr>
          <w:rFonts w:ascii="Times New Roman" w:hAnsi="Times New Roman"/>
          <w:sz w:val="28"/>
          <w:szCs w:val="28"/>
        </w:rPr>
        <w:t>o asimilables</w:t>
      </w:r>
      <w:r w:rsidRPr="00DF77C8">
        <w:rPr>
          <w:rFonts w:ascii="Times New Roman" w:hAnsi="Times New Roman"/>
          <w:sz w:val="28"/>
          <w:szCs w:val="28"/>
        </w:rPr>
        <w:t xml:space="preserve"> o (ii) que no incluya determinado elemento o ingrediente normativo; </w:t>
      </w: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r w:rsidRPr="00DF77C8">
        <w:rPr>
          <w:rFonts w:ascii="Times New Roman" w:hAnsi="Times New Roman"/>
          <w:sz w:val="28"/>
          <w:szCs w:val="28"/>
        </w:rPr>
        <w:t>(b)</w:t>
      </w:r>
      <w:r w:rsidRPr="00DF77C8">
        <w:rPr>
          <w:rFonts w:ascii="Times New Roman" w:hAnsi="Times New Roman"/>
          <w:sz w:val="28"/>
          <w:szCs w:val="28"/>
        </w:rPr>
        <w:tab/>
        <w:t>que ex</w:t>
      </w:r>
      <w:r w:rsidRPr="00DF77C8">
        <w:rPr>
          <w:rFonts w:ascii="Times New Roman" w:hAnsi="Times New Roman"/>
          <w:sz w:val="28"/>
          <w:szCs w:val="28"/>
        </w:rPr>
        <w:t xml:space="preserve">ista un </w:t>
      </w:r>
      <w:r w:rsidRPr="00DF77C8">
        <w:rPr>
          <w:rFonts w:ascii="Times New Roman" w:hAnsi="Times New Roman"/>
          <w:b/>
          <w:sz w:val="28"/>
          <w:szCs w:val="28"/>
        </w:rPr>
        <w:t>deber específico</w:t>
      </w:r>
      <w:r w:rsidRPr="00DF77C8">
        <w:rPr>
          <w:rFonts w:ascii="Times New Roman" w:hAnsi="Times New Roman"/>
          <w:sz w:val="28"/>
          <w:szCs w:val="28"/>
        </w:rPr>
        <w:t xml:space="preserve"> impuesto directamente por el Constituyente al legislador que resulta omitido, por los casos excluidos o por la no inclusión del elemento o ingrediente normativo del que carece la norma;</w:t>
      </w:r>
    </w:p>
    <w:p w:rsidR="00BB75EA" w:rsidRPr="00DF77C8" w:rsidRDefault="00DF77C8" w:rsidP="008A4B21">
      <w:pPr>
        <w:pBdr>
          <w:top w:val="nil"/>
          <w:left w:val="nil"/>
          <w:bottom w:val="nil"/>
          <w:right w:val="nil"/>
          <w:between w:val="nil"/>
        </w:pBdr>
        <w:ind w:left="703" w:right="-28"/>
        <w:jc w:val="both"/>
        <w:rPr>
          <w:rFonts w:ascii="Times New Roman" w:hAnsi="Times New Roman"/>
          <w:sz w:val="28"/>
          <w:szCs w:val="28"/>
        </w:rPr>
      </w:pP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r w:rsidRPr="00DF77C8">
        <w:rPr>
          <w:rFonts w:ascii="Times New Roman" w:hAnsi="Times New Roman"/>
          <w:sz w:val="28"/>
          <w:szCs w:val="28"/>
        </w:rPr>
        <w:t>(c)</w:t>
      </w:r>
      <w:r w:rsidRPr="00DF77C8">
        <w:rPr>
          <w:rFonts w:ascii="Times New Roman" w:hAnsi="Times New Roman"/>
          <w:sz w:val="28"/>
          <w:szCs w:val="28"/>
        </w:rPr>
        <w:tab/>
        <w:t>que la exclusión de los casos o ingredie</w:t>
      </w:r>
      <w:r w:rsidRPr="00DF77C8">
        <w:rPr>
          <w:rFonts w:ascii="Times New Roman" w:hAnsi="Times New Roman"/>
          <w:sz w:val="28"/>
          <w:szCs w:val="28"/>
        </w:rPr>
        <w:t xml:space="preserve">ntes carezca de un principio de razón suficiente; </w:t>
      </w: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p>
    <w:p w:rsidR="00801F94" w:rsidRPr="00DF77C8" w:rsidRDefault="00DF77C8" w:rsidP="008A4B21">
      <w:pPr>
        <w:pBdr>
          <w:top w:val="nil"/>
          <w:left w:val="nil"/>
          <w:bottom w:val="nil"/>
          <w:right w:val="nil"/>
          <w:between w:val="nil"/>
        </w:pBdr>
        <w:ind w:left="703" w:right="-28"/>
        <w:jc w:val="both"/>
        <w:rPr>
          <w:rFonts w:ascii="Times New Roman" w:hAnsi="Times New Roman"/>
          <w:sz w:val="28"/>
          <w:szCs w:val="28"/>
        </w:rPr>
      </w:pPr>
      <w:r w:rsidRPr="00DF77C8">
        <w:rPr>
          <w:rFonts w:ascii="Times New Roman" w:hAnsi="Times New Roman"/>
          <w:sz w:val="28"/>
          <w:szCs w:val="28"/>
        </w:rPr>
        <w:t>(d)</w:t>
      </w:r>
      <w:r w:rsidRPr="00DF77C8">
        <w:rPr>
          <w:rFonts w:ascii="Times New Roman" w:hAnsi="Times New Roman"/>
          <w:sz w:val="28"/>
          <w:szCs w:val="28"/>
        </w:rPr>
        <w:tab/>
        <w:t>que</w:t>
      </w:r>
      <w:r w:rsidRPr="00DF77C8">
        <w:rPr>
          <w:rFonts w:ascii="Times New Roman" w:hAnsi="Times New Roman"/>
          <w:sz w:val="28"/>
          <w:szCs w:val="28"/>
        </w:rPr>
        <w:t>,</w:t>
      </w:r>
      <w:r w:rsidRPr="00DF77C8">
        <w:rPr>
          <w:rFonts w:ascii="Times New Roman" w:hAnsi="Times New Roman"/>
          <w:sz w:val="28"/>
          <w:szCs w:val="28"/>
        </w:rPr>
        <w:t xml:space="preserve"> en los casos de exclusión, la falta de justificación y objetividad genere una desigualdad negativa frente a los que se encuentran amparados por las consecuencias de la norma”. </w:t>
      </w:r>
    </w:p>
    <w:p w:rsidR="00556198" w:rsidRPr="00DF77C8" w:rsidRDefault="00DF77C8" w:rsidP="008A4B21">
      <w:pPr>
        <w:pBdr>
          <w:top w:val="nil"/>
          <w:left w:val="nil"/>
          <w:bottom w:val="nil"/>
          <w:right w:val="nil"/>
          <w:between w:val="nil"/>
        </w:pBdr>
        <w:ind w:left="703" w:right="-28"/>
        <w:jc w:val="both"/>
        <w:rPr>
          <w:rFonts w:ascii="Times New Roman" w:hAnsi="Times New Roman"/>
          <w:sz w:val="28"/>
          <w:szCs w:val="28"/>
        </w:rPr>
      </w:pPr>
    </w:p>
    <w:p w:rsidR="00BE5E6B" w:rsidRPr="00DF77C8" w:rsidRDefault="00DF77C8" w:rsidP="008A4B21">
      <w:pPr>
        <w:pStyle w:val="Prrafodelista"/>
        <w:numPr>
          <w:ilvl w:val="0"/>
          <w:numId w:val="2"/>
        </w:numPr>
        <w:pBdr>
          <w:top w:val="nil"/>
          <w:left w:val="nil"/>
          <w:bottom w:val="nil"/>
          <w:right w:val="nil"/>
          <w:between w:val="nil"/>
        </w:pBdr>
        <w:tabs>
          <w:tab w:val="left" w:pos="426"/>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Ahora, respecto </w:t>
      </w:r>
      <w:r w:rsidRPr="00DF77C8">
        <w:rPr>
          <w:rFonts w:ascii="Times New Roman" w:hAnsi="Times New Roman"/>
          <w:color w:val="000000"/>
          <w:sz w:val="28"/>
          <w:szCs w:val="28"/>
        </w:rPr>
        <w:t>de los remedios adecuados a adoptar cuando se constata la existencia de una omisión legislativa relativa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la jurisprudencia constitucional ha optado por expedir sentencias </w:t>
      </w:r>
      <w:r w:rsidRPr="00DF77C8">
        <w:rPr>
          <w:rFonts w:ascii="Times New Roman" w:hAnsi="Times New Roman"/>
          <w:color w:val="000000"/>
          <w:sz w:val="28"/>
          <w:szCs w:val="28"/>
        </w:rPr>
        <w:t>aditivas</w:t>
      </w:r>
      <w:r w:rsidRPr="00DF77C8">
        <w:rPr>
          <w:rFonts w:ascii="Times New Roman" w:hAnsi="Times New Roman"/>
          <w:color w:val="000000"/>
          <w:sz w:val="28"/>
          <w:szCs w:val="28"/>
        </w:rPr>
        <w:t xml:space="preserve"> o integradoras</w:t>
      </w:r>
      <w:r w:rsidRPr="00DF77C8">
        <w:rPr>
          <w:rFonts w:ascii="Times New Roman" w:hAnsi="Times New Roman"/>
          <w:color w:val="000000"/>
          <w:sz w:val="28"/>
          <w:szCs w:val="28"/>
        </w:rPr>
        <w:t>. En materia penal, por ejemplo, la Corte considera que, si b</w:t>
      </w:r>
      <w:r w:rsidRPr="00DF77C8">
        <w:rPr>
          <w:rFonts w:ascii="Times New Roman" w:hAnsi="Times New Roman"/>
          <w:color w:val="000000"/>
          <w:sz w:val="28"/>
          <w:szCs w:val="28"/>
        </w:rPr>
        <w:t>ien la potestad del legislador en materia penal es amplia, su ejercicio se encuentra sujeto a la observancia de los valores, principios, deberes y derechos consagrados en la Constitución</w:t>
      </w:r>
      <w:r w:rsidRPr="00DF77C8">
        <w:rPr>
          <w:rStyle w:val="Refdenotaalpie"/>
          <w:rFonts w:ascii="Times New Roman" w:hAnsi="Times New Roman"/>
          <w:color w:val="000000"/>
          <w:sz w:val="28"/>
          <w:szCs w:val="28"/>
        </w:rPr>
        <w:footnoteReference w:id="84"/>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Esto, con fundamento en los artículos 2°, 4° y 241 superiores, que </w:t>
      </w:r>
      <w:r w:rsidRPr="00DF77C8">
        <w:rPr>
          <w:rFonts w:ascii="Times New Roman" w:hAnsi="Times New Roman"/>
          <w:color w:val="000000"/>
          <w:sz w:val="28"/>
          <w:szCs w:val="28"/>
        </w:rPr>
        <w:t>establecen el carácter normativo de la Carta Política y los principios de efectividad y de conservación del derecho</w:t>
      </w:r>
      <w:r w:rsidRPr="00DF77C8">
        <w:rPr>
          <w:rStyle w:val="Refdenotaalpie"/>
          <w:rFonts w:ascii="Times New Roman" w:hAnsi="Times New Roman"/>
          <w:color w:val="000000"/>
          <w:sz w:val="28"/>
          <w:szCs w:val="28"/>
        </w:rPr>
        <w:footnoteReference w:id="85"/>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En cumplimiento de los fines anotados, esta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ha procedido a intervenir de manera directa para agregar elementos normativos omitidos y que se requ</w:t>
      </w:r>
      <w:r w:rsidRPr="00DF77C8">
        <w:rPr>
          <w:rFonts w:ascii="Times New Roman" w:hAnsi="Times New Roman"/>
          <w:color w:val="000000"/>
          <w:sz w:val="28"/>
          <w:szCs w:val="28"/>
        </w:rPr>
        <w:t>erían</w:t>
      </w:r>
      <w:r w:rsidRPr="00DF77C8">
        <w:rPr>
          <w:rFonts w:ascii="Times New Roman" w:hAnsi="Times New Roman"/>
          <w:color w:val="000000"/>
          <w:sz w:val="28"/>
          <w:szCs w:val="28"/>
        </w:rPr>
        <w:t xml:space="preserve"> para hacer compatible su contenido con la Constitución</w:t>
      </w:r>
      <w:r w:rsidRPr="00DF77C8">
        <w:rPr>
          <w:rFonts w:ascii="Times New Roman" w:hAnsi="Times New Roman"/>
          <w:color w:val="000000"/>
          <w:sz w:val="28"/>
          <w:szCs w:val="28"/>
        </w:rPr>
        <w:t xml:space="preserve"> en materia penal, en </w:t>
      </w:r>
      <w:r w:rsidRPr="00DF77C8">
        <w:rPr>
          <w:rFonts w:ascii="Times New Roman" w:hAnsi="Times New Roman"/>
          <w:color w:val="000000"/>
          <w:sz w:val="28"/>
          <w:szCs w:val="28"/>
        </w:rPr>
        <w:t>fallos</w:t>
      </w:r>
      <w:r w:rsidRPr="00DF77C8">
        <w:rPr>
          <w:rFonts w:ascii="Times New Roman" w:hAnsi="Times New Roman"/>
          <w:color w:val="000000"/>
          <w:sz w:val="28"/>
          <w:szCs w:val="28"/>
        </w:rPr>
        <w:t xml:space="preserve"> como los siguientes: Sentencias C-878 de 2000, C-317 de 2002, C-02</w:t>
      </w:r>
      <w:r w:rsidRPr="00DF77C8">
        <w:rPr>
          <w:rFonts w:ascii="Times New Roman" w:hAnsi="Times New Roman"/>
          <w:color w:val="000000"/>
          <w:sz w:val="28"/>
          <w:szCs w:val="28"/>
        </w:rPr>
        <w:t>9 de 2009, C-100 de 2011 y C-192 de 2023</w:t>
      </w:r>
      <w:r w:rsidRPr="00DF77C8">
        <w:rPr>
          <w:rFonts w:ascii="Times New Roman" w:hAnsi="Times New Roman"/>
          <w:color w:val="000000"/>
          <w:sz w:val="28"/>
          <w:szCs w:val="28"/>
        </w:rPr>
        <w:t xml:space="preserve">. </w:t>
      </w:r>
    </w:p>
    <w:p w:rsidR="00BE5E6B" w:rsidRPr="00DF77C8" w:rsidRDefault="00DF77C8" w:rsidP="008A4B21">
      <w:pPr>
        <w:pStyle w:val="Prrafodelista"/>
        <w:pBdr>
          <w:top w:val="nil"/>
          <w:left w:val="nil"/>
          <w:bottom w:val="nil"/>
          <w:right w:val="nil"/>
          <w:between w:val="nil"/>
        </w:pBdr>
        <w:ind w:left="0" w:right="-26"/>
        <w:jc w:val="both"/>
        <w:rPr>
          <w:rFonts w:ascii="Times New Roman" w:hAnsi="Times New Roman"/>
          <w:color w:val="000000"/>
          <w:sz w:val="28"/>
          <w:szCs w:val="28"/>
        </w:rPr>
      </w:pPr>
    </w:p>
    <w:p w:rsidR="00016205" w:rsidRPr="00DF77C8" w:rsidRDefault="00DF77C8" w:rsidP="008A4B21">
      <w:pPr>
        <w:pStyle w:val="Prrafodelista"/>
        <w:numPr>
          <w:ilvl w:val="0"/>
          <w:numId w:val="2"/>
        </w:numPr>
        <w:pBdr>
          <w:top w:val="nil"/>
          <w:left w:val="nil"/>
          <w:bottom w:val="nil"/>
          <w:right w:val="nil"/>
          <w:between w:val="nil"/>
        </w:pBd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No obstante, </w:t>
      </w:r>
      <w:r w:rsidRPr="00DF77C8">
        <w:rPr>
          <w:rFonts w:ascii="Times New Roman" w:hAnsi="Times New Roman"/>
          <w:color w:val="000000"/>
          <w:sz w:val="28"/>
          <w:szCs w:val="28"/>
        </w:rPr>
        <w:t>también ha optado por proferir exhortos al legislador para que llene el vacío advertido</w:t>
      </w:r>
      <w:r w:rsidRPr="00DF77C8">
        <w:rPr>
          <w:rFonts w:ascii="Times New Roman" w:hAnsi="Times New Roman"/>
          <w:color w:val="000000"/>
          <w:sz w:val="28"/>
          <w:szCs w:val="28"/>
        </w:rPr>
        <w:t xml:space="preserve"> en algunos eventos</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En Sentencia C-330 de 2013, se puntualizó que:</w:t>
      </w:r>
    </w:p>
    <w:p w:rsidR="00A140F6" w:rsidRPr="00DF77C8" w:rsidRDefault="00DF77C8" w:rsidP="008A4B21">
      <w:pPr>
        <w:pStyle w:val="Prrafodelista"/>
        <w:pBdr>
          <w:top w:val="nil"/>
          <w:left w:val="nil"/>
          <w:bottom w:val="nil"/>
          <w:right w:val="nil"/>
          <w:between w:val="nil"/>
        </w:pBdr>
        <w:ind w:left="0" w:right="-26"/>
        <w:jc w:val="both"/>
        <w:rPr>
          <w:rFonts w:ascii="Times New Roman" w:hAnsi="Times New Roman"/>
          <w:color w:val="000000"/>
          <w:sz w:val="28"/>
          <w:szCs w:val="28"/>
        </w:rPr>
      </w:pPr>
    </w:p>
    <w:p w:rsidR="00A140F6" w:rsidRPr="00DF77C8" w:rsidRDefault="00DF77C8" w:rsidP="008A4B21">
      <w:pPr>
        <w:pBdr>
          <w:top w:val="nil"/>
          <w:left w:val="nil"/>
          <w:bottom w:val="nil"/>
          <w:right w:val="nil"/>
          <w:between w:val="nil"/>
        </w:pBdr>
        <w:ind w:left="567" w:right="-26"/>
        <w:jc w:val="both"/>
        <w:rPr>
          <w:rFonts w:ascii="Times New Roman" w:hAnsi="Times New Roman"/>
          <w:color w:val="000000"/>
          <w:sz w:val="28"/>
          <w:szCs w:val="28"/>
        </w:rPr>
      </w:pPr>
      <w:r w:rsidRPr="00DF77C8">
        <w:rPr>
          <w:rFonts w:ascii="Times New Roman" w:hAnsi="Times New Roman"/>
          <w:color w:val="000000"/>
          <w:sz w:val="28"/>
          <w:szCs w:val="28"/>
        </w:rPr>
        <w:t xml:space="preserve">“(…) al constatar la existencia de omisiones relativas, la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ha acudido, por regla general a decisiones aditivas, destinadas a incorporar en el entendimiento de la disposición los supuestos dejados de lado por el Legislador en la regulación, aunque también ha considerado procedente proferir exhortos al Legislador p</w:t>
      </w:r>
      <w:r w:rsidRPr="00DF77C8">
        <w:rPr>
          <w:rFonts w:ascii="Times New Roman" w:hAnsi="Times New Roman"/>
          <w:color w:val="000000"/>
          <w:sz w:val="28"/>
          <w:szCs w:val="28"/>
        </w:rPr>
        <w:t>ara que colme la laguna</w:t>
      </w:r>
      <w:r w:rsidRPr="00DF77C8">
        <w:rPr>
          <w:rFonts w:ascii="Times New Roman" w:hAnsi="Times New Roman"/>
          <w:sz w:val="28"/>
          <w:szCs w:val="28"/>
          <w:vertAlign w:val="superscript"/>
        </w:rPr>
        <w:footnoteReference w:id="86"/>
      </w:r>
      <w:r w:rsidRPr="00DF77C8">
        <w:rPr>
          <w:rFonts w:ascii="Times New Roman" w:hAnsi="Times New Roman"/>
          <w:color w:val="000000"/>
          <w:sz w:val="28"/>
          <w:szCs w:val="28"/>
        </w:rPr>
        <w:t>, cuando el supuesto normativo que hace falta en la regulación podría ser desarrollado de distintas maneras, de manera que el llamado (exhorto) preserva la competencia general de configuración del derecho del Congreso de la Repúblic</w:t>
      </w:r>
      <w:r w:rsidRPr="00DF77C8">
        <w:rPr>
          <w:rFonts w:ascii="Times New Roman" w:hAnsi="Times New Roman"/>
          <w:color w:val="000000"/>
          <w:sz w:val="28"/>
          <w:szCs w:val="28"/>
        </w:rPr>
        <w:t>a (…)”.</w:t>
      </w:r>
    </w:p>
    <w:p w:rsidR="00016205" w:rsidRPr="00DF77C8" w:rsidRDefault="00DF77C8" w:rsidP="008A4B21">
      <w:pPr>
        <w:pStyle w:val="Prrafodelista"/>
        <w:pBdr>
          <w:top w:val="nil"/>
          <w:left w:val="nil"/>
          <w:bottom w:val="nil"/>
          <w:right w:val="nil"/>
          <w:between w:val="nil"/>
        </w:pBdr>
        <w:ind w:left="0" w:right="-26"/>
        <w:jc w:val="both"/>
        <w:rPr>
          <w:rFonts w:ascii="Times New Roman" w:hAnsi="Times New Roman"/>
          <w:color w:val="000000"/>
          <w:sz w:val="28"/>
          <w:szCs w:val="28"/>
        </w:rPr>
      </w:pPr>
    </w:p>
    <w:p w:rsidR="00801F94" w:rsidRPr="00DF77C8" w:rsidRDefault="00DF77C8" w:rsidP="008A4B21">
      <w:pPr>
        <w:pStyle w:val="Prrafodelista"/>
        <w:numPr>
          <w:ilvl w:val="0"/>
          <w:numId w:val="2"/>
        </w:numPr>
        <w:pBdr>
          <w:top w:val="nil"/>
          <w:left w:val="nil"/>
          <w:bottom w:val="nil"/>
          <w:right w:val="nil"/>
          <w:between w:val="nil"/>
        </w:pBd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A la luz de las consideraciones expuestas, pasa la Corte a resolver el caso objeto de estudio. </w:t>
      </w:r>
    </w:p>
    <w:p w:rsidR="00DA6B10" w:rsidRPr="00DF77C8" w:rsidRDefault="00DF77C8" w:rsidP="008A4B21">
      <w:pPr>
        <w:pStyle w:val="Prrafodelista"/>
        <w:pBdr>
          <w:top w:val="nil"/>
          <w:left w:val="nil"/>
          <w:bottom w:val="nil"/>
          <w:right w:val="nil"/>
          <w:between w:val="nil"/>
        </w:pBdr>
        <w:tabs>
          <w:tab w:val="left" w:pos="567"/>
        </w:tabs>
        <w:ind w:left="0" w:right="-26"/>
        <w:jc w:val="both"/>
        <w:rPr>
          <w:rFonts w:ascii="Times New Roman" w:hAnsi="Times New Roman"/>
          <w:color w:val="000000"/>
          <w:sz w:val="28"/>
          <w:szCs w:val="28"/>
        </w:rPr>
      </w:pPr>
    </w:p>
    <w:p w:rsidR="00801F94" w:rsidRPr="00DF77C8" w:rsidRDefault="00DF77C8" w:rsidP="008A4B21">
      <w:pPr>
        <w:ind w:left="885" w:right="-26"/>
        <w:jc w:val="center"/>
        <w:rPr>
          <w:rFonts w:ascii="Times New Roman" w:hAnsi="Times New Roman"/>
          <w:b/>
          <w:sz w:val="28"/>
          <w:szCs w:val="28"/>
        </w:rPr>
      </w:pPr>
      <w:r w:rsidRPr="00DF77C8">
        <w:rPr>
          <w:rFonts w:ascii="Times New Roman" w:hAnsi="Times New Roman"/>
          <w:b/>
          <w:sz w:val="28"/>
          <w:szCs w:val="28"/>
        </w:rPr>
        <w:t xml:space="preserve">VIII. </w:t>
      </w:r>
      <w:r w:rsidRPr="00DF77C8">
        <w:rPr>
          <w:rFonts w:ascii="Times New Roman" w:hAnsi="Times New Roman"/>
          <w:b/>
          <w:sz w:val="28"/>
          <w:szCs w:val="28"/>
        </w:rPr>
        <w:t>CASO CONCRETO</w:t>
      </w:r>
    </w:p>
    <w:p w:rsidR="00801F94" w:rsidRPr="00DF77C8" w:rsidRDefault="00DF77C8" w:rsidP="008A4B21">
      <w:pPr>
        <w:ind w:left="420" w:right="-26"/>
        <w:jc w:val="center"/>
        <w:rPr>
          <w:rFonts w:ascii="Times New Roman" w:hAnsi="Times New Roman"/>
          <w:b/>
          <w:sz w:val="28"/>
          <w:szCs w:val="28"/>
        </w:rPr>
      </w:pPr>
    </w:p>
    <w:p w:rsidR="00123EB6"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color w:val="000000"/>
          <w:sz w:val="28"/>
          <w:szCs w:val="28"/>
        </w:rPr>
        <w:t>Procede entonces la Sala a analizar si el legislador, al</w:t>
      </w:r>
      <w:r w:rsidRPr="00DF77C8">
        <w:rPr>
          <w:rFonts w:ascii="Times New Roman" w:hAnsi="Times New Roman"/>
          <w:sz w:val="28"/>
          <w:szCs w:val="28"/>
        </w:rPr>
        <w:t xml:space="preserve"> no establecer de manera expresa la autoridad judicial competente para resolver los recursos de apelación formulados contra las providencias expedidas por </w:t>
      </w:r>
      <w:r w:rsidRPr="00DF77C8">
        <w:rPr>
          <w:rFonts w:ascii="Times New Roman" w:hAnsi="Times New Roman"/>
          <w:sz w:val="28"/>
          <w:szCs w:val="28"/>
        </w:rPr>
        <w:t xml:space="preserve">un </w:t>
      </w:r>
      <w:r w:rsidRPr="00DF77C8">
        <w:rPr>
          <w:rFonts w:ascii="Times New Roman" w:hAnsi="Times New Roman"/>
          <w:sz w:val="28"/>
          <w:szCs w:val="28"/>
        </w:rPr>
        <w:t xml:space="preserve">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ejerce la función de juez de c</w:t>
      </w:r>
      <w:r w:rsidRPr="00DF77C8">
        <w:rPr>
          <w:rFonts w:ascii="Times New Roman" w:hAnsi="Times New Roman"/>
          <w:sz w:val="28"/>
          <w:szCs w:val="28"/>
        </w:rPr>
        <w:t xml:space="preserve">ontrol de garantías, incurrió en una omisión legislativa relativa. A juicio del accionante, esta ausencia de regulación puede observarse </w:t>
      </w:r>
      <w:r w:rsidRPr="00DF77C8">
        <w:rPr>
          <w:rFonts w:ascii="Times New Roman" w:hAnsi="Times New Roman"/>
          <w:sz w:val="28"/>
          <w:szCs w:val="28"/>
        </w:rPr>
        <w:t>en</w:t>
      </w:r>
      <w:r w:rsidRPr="00DF77C8">
        <w:rPr>
          <w:rFonts w:ascii="Times New Roman" w:hAnsi="Times New Roman"/>
          <w:sz w:val="28"/>
          <w:szCs w:val="28"/>
        </w:rPr>
        <w:t xml:space="preserve"> lo dispuesto en el artículo 32 de la Ley 906 de 2004, que establece las funciones de la Sala Penal de la Corte Supre</w:t>
      </w:r>
      <w:r w:rsidRPr="00DF77C8">
        <w:rPr>
          <w:rFonts w:ascii="Times New Roman" w:hAnsi="Times New Roman"/>
          <w:sz w:val="28"/>
          <w:szCs w:val="28"/>
        </w:rPr>
        <w:t xml:space="preserve">ma de Justicia, </w:t>
      </w:r>
      <w:r w:rsidRPr="00DF77C8">
        <w:rPr>
          <w:rFonts w:ascii="Times New Roman" w:hAnsi="Times New Roman"/>
          <w:sz w:val="28"/>
          <w:szCs w:val="28"/>
        </w:rPr>
        <w:t xml:space="preserve">texto normativo que no le asigna la función de conocer </w:t>
      </w:r>
      <w:r w:rsidRPr="00DF77C8">
        <w:rPr>
          <w:rFonts w:ascii="Times New Roman" w:hAnsi="Times New Roman"/>
          <w:sz w:val="28"/>
          <w:szCs w:val="28"/>
        </w:rPr>
        <w:t>de</w:t>
      </w:r>
      <w:r w:rsidRPr="00DF77C8">
        <w:rPr>
          <w:rFonts w:ascii="Times New Roman" w:hAnsi="Times New Roman"/>
          <w:sz w:val="28"/>
          <w:szCs w:val="28"/>
        </w:rPr>
        <w:t xml:space="preserve">l </w:t>
      </w:r>
      <w:r w:rsidRPr="00DF77C8">
        <w:rPr>
          <w:rFonts w:ascii="Times New Roman" w:hAnsi="Times New Roman"/>
          <w:sz w:val="28"/>
          <w:szCs w:val="28"/>
        </w:rPr>
        <w:t xml:space="preserve"> recurso de apelación contra las decisiones que profiera</w:t>
      </w:r>
      <w:r w:rsidRPr="00DF77C8">
        <w:rPr>
          <w:rFonts w:ascii="Times New Roman" w:hAnsi="Times New Roman"/>
          <w:sz w:val="28"/>
          <w:szCs w:val="28"/>
        </w:rPr>
        <w:t xml:space="preserve"> el magistrado o la magistrada de la Sala Penal del Tribunal Superior de Bogotá como juez de control de garantías</w:t>
      </w:r>
      <w:r w:rsidRPr="00DF77C8">
        <w:rPr>
          <w:rFonts w:ascii="Times New Roman" w:hAnsi="Times New Roman"/>
          <w:sz w:val="28"/>
          <w:szCs w:val="28"/>
        </w:rPr>
        <w:t>, lo que sig</w:t>
      </w:r>
      <w:r w:rsidRPr="00DF77C8">
        <w:rPr>
          <w:rFonts w:ascii="Times New Roman" w:hAnsi="Times New Roman"/>
          <w:sz w:val="28"/>
          <w:szCs w:val="28"/>
        </w:rPr>
        <w:t xml:space="preserve">nifica que esta competencia no le </w:t>
      </w:r>
      <w:r w:rsidRPr="00DF77C8">
        <w:rPr>
          <w:rFonts w:ascii="Times New Roman" w:hAnsi="Times New Roman"/>
          <w:sz w:val="28"/>
          <w:szCs w:val="28"/>
        </w:rPr>
        <w:t>fue</w:t>
      </w:r>
      <w:r w:rsidRPr="00DF77C8">
        <w:rPr>
          <w:rFonts w:ascii="Times New Roman" w:hAnsi="Times New Roman"/>
          <w:sz w:val="28"/>
          <w:szCs w:val="28"/>
        </w:rPr>
        <w:t xml:space="preserve"> atribuida a la referida </w:t>
      </w:r>
      <w:r w:rsidRPr="00DF77C8">
        <w:rPr>
          <w:rFonts w:ascii="Times New Roman" w:hAnsi="Times New Roman"/>
          <w:sz w:val="28"/>
          <w:szCs w:val="28"/>
        </w:rPr>
        <w:t>C</w:t>
      </w:r>
      <w:r w:rsidRPr="00DF77C8">
        <w:rPr>
          <w:rFonts w:ascii="Times New Roman" w:hAnsi="Times New Roman"/>
          <w:sz w:val="28"/>
          <w:szCs w:val="28"/>
        </w:rPr>
        <w:t xml:space="preserve">orte, así como tampoco a otra autoridad. </w:t>
      </w:r>
    </w:p>
    <w:p w:rsidR="00123EB6"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cambio</w:t>
      </w:r>
      <w:r w:rsidRPr="00DF77C8">
        <w:rPr>
          <w:rFonts w:ascii="Times New Roman" w:hAnsi="Times New Roman"/>
          <w:sz w:val="28"/>
          <w:szCs w:val="28"/>
        </w:rPr>
        <w:t xml:space="preserve">, el actor evidencia que en el caso de las funciones atribuidas a los jueces penales del circuito en el artículo 36, numeral 1° del CPP, el </w:t>
      </w:r>
      <w:r w:rsidRPr="00DF77C8">
        <w:rPr>
          <w:rFonts w:ascii="Times New Roman" w:hAnsi="Times New Roman"/>
          <w:sz w:val="28"/>
          <w:szCs w:val="28"/>
        </w:rPr>
        <w:t>legislador sí atribuyó de manera expresa la función de conocer “[Del] recurso de apelación contra los autos proferidos por los jueces penales municipales o cuando ejerzan la función de control de garantías” y señala que no evidencia razón alguna para la in</w:t>
      </w:r>
      <w:r w:rsidRPr="00DF77C8">
        <w:rPr>
          <w:rFonts w:ascii="Times New Roman" w:hAnsi="Times New Roman"/>
          <w:sz w:val="28"/>
          <w:szCs w:val="28"/>
        </w:rPr>
        <w:t>troducción de este trato diferenciado</w:t>
      </w:r>
      <w:r w:rsidRPr="00DF77C8">
        <w:rPr>
          <w:rFonts w:ascii="Times New Roman" w:hAnsi="Times New Roman"/>
          <w:sz w:val="28"/>
          <w:szCs w:val="28"/>
        </w:rPr>
        <w:t>,</w:t>
      </w:r>
      <w:r w:rsidRPr="00DF77C8">
        <w:rPr>
          <w:rFonts w:ascii="Times New Roman" w:hAnsi="Times New Roman"/>
          <w:sz w:val="28"/>
          <w:szCs w:val="28"/>
        </w:rPr>
        <w:t xml:space="preserve"> pues en ambos casos, tanto para las personas indiciadas o investigadas con o sin fuero constitucional, se les debe garantizar la apelación de las decisiones adoptadas en sede de control de garantías ante un juez previ</w:t>
      </w:r>
      <w:r w:rsidRPr="00DF77C8">
        <w:rPr>
          <w:rFonts w:ascii="Times New Roman" w:hAnsi="Times New Roman"/>
          <w:sz w:val="28"/>
          <w:szCs w:val="28"/>
        </w:rPr>
        <w:t>amente determinado.</w:t>
      </w:r>
    </w:p>
    <w:p w:rsidR="00801F94" w:rsidRPr="00DF77C8" w:rsidRDefault="00DF77C8" w:rsidP="008A4B21">
      <w:pPr>
        <w:ind w:right="-26"/>
        <w:jc w:val="both"/>
        <w:rPr>
          <w:rFonts w:ascii="Times New Roman" w:hAnsi="Times New Roman"/>
          <w:sz w:val="28"/>
          <w:szCs w:val="28"/>
        </w:rPr>
      </w:pPr>
      <w:r w:rsidRPr="00DF77C8">
        <w:rPr>
          <w:rFonts w:ascii="Times New Roman" w:hAnsi="Times New Roman"/>
          <w:sz w:val="28"/>
          <w:szCs w:val="28"/>
        </w:rPr>
        <w:t xml:space="preserve">  </w:t>
      </w: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 la luz de lo expuesto, procede la Corte a analizar los elementos señalados en la jurisprudencia constitucional respecto al cargo por omisión legislativa planteado. </w:t>
      </w:r>
    </w:p>
    <w:p w:rsidR="00801F94" w:rsidRPr="00DF77C8" w:rsidRDefault="00DF77C8" w:rsidP="008A4B21">
      <w:pPr>
        <w:ind w:left="702" w:right="-26" w:hanging="702"/>
        <w:jc w:val="both"/>
        <w:rPr>
          <w:rFonts w:ascii="Times New Roman" w:hAnsi="Times New Roman"/>
          <w:color w:val="000000"/>
          <w:sz w:val="28"/>
          <w:szCs w:val="28"/>
        </w:rPr>
      </w:pPr>
    </w:p>
    <w:p w:rsidR="00801F94" w:rsidRPr="00DF77C8" w:rsidRDefault="00DF77C8" w:rsidP="008A4B21">
      <w:pPr>
        <w:tabs>
          <w:tab w:val="left" w:pos="546"/>
        </w:tabs>
        <w:ind w:right="-26"/>
        <w:jc w:val="both"/>
        <w:rPr>
          <w:rFonts w:ascii="Times New Roman" w:hAnsi="Times New Roman"/>
          <w:b/>
          <w:sz w:val="28"/>
          <w:szCs w:val="28"/>
        </w:rPr>
      </w:pPr>
      <w:r w:rsidRPr="00DF77C8">
        <w:rPr>
          <w:rFonts w:ascii="Times New Roman" w:hAnsi="Times New Roman"/>
          <w:b/>
          <w:sz w:val="28"/>
          <w:szCs w:val="28"/>
        </w:rPr>
        <w:t>Existencia de una norma frente a la cual se predica la omisión</w:t>
      </w:r>
    </w:p>
    <w:p w:rsidR="00801F94" w:rsidRPr="00DF77C8" w:rsidRDefault="00DF77C8" w:rsidP="008A4B21">
      <w:pPr>
        <w:ind w:left="702" w:right="-26" w:hanging="702"/>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efecto, </w:t>
      </w:r>
      <w:r w:rsidRPr="00DF77C8">
        <w:rPr>
          <w:rFonts w:ascii="Times New Roman" w:hAnsi="Times New Roman"/>
          <w:sz w:val="28"/>
          <w:szCs w:val="28"/>
        </w:rPr>
        <w:t>el</w:t>
      </w:r>
      <w:r w:rsidRPr="00DF77C8">
        <w:rPr>
          <w:rFonts w:ascii="Times New Roman" w:hAnsi="Times New Roman"/>
          <w:sz w:val="28"/>
          <w:szCs w:val="28"/>
        </w:rPr>
        <w:t xml:space="preserve"> artículo 32 de la Ley 906 de 2004 establece </w:t>
      </w:r>
      <w:r w:rsidRPr="00DF77C8">
        <w:rPr>
          <w:rFonts w:ascii="Times New Roman" w:hAnsi="Times New Roman"/>
          <w:sz w:val="28"/>
          <w:szCs w:val="28"/>
        </w:rPr>
        <w:t>las funciones</w:t>
      </w:r>
      <w:r w:rsidRPr="00DF77C8">
        <w:rPr>
          <w:rFonts w:ascii="Times New Roman" w:hAnsi="Times New Roman"/>
          <w:sz w:val="28"/>
          <w:szCs w:val="28"/>
        </w:rPr>
        <w:t xml:space="preserve"> adscritas a</w:t>
      </w:r>
      <w:r w:rsidRPr="00DF77C8">
        <w:rPr>
          <w:rFonts w:ascii="Times New Roman" w:hAnsi="Times New Roman"/>
          <w:sz w:val="28"/>
          <w:szCs w:val="28"/>
        </w:rPr>
        <w:t xml:space="preserve"> la Sala Penal de la Corte Suprema de Justicia</w:t>
      </w:r>
      <w:r w:rsidRPr="00DF77C8">
        <w:rPr>
          <w:rFonts w:ascii="Times New Roman" w:hAnsi="Times New Roman"/>
          <w:sz w:val="28"/>
          <w:szCs w:val="28"/>
        </w:rPr>
        <w:t xml:space="preserve">. </w:t>
      </w:r>
      <w:r w:rsidRPr="00DF77C8">
        <w:rPr>
          <w:rFonts w:ascii="Times New Roman" w:hAnsi="Times New Roman"/>
          <w:sz w:val="28"/>
          <w:szCs w:val="28"/>
        </w:rPr>
        <w:t>No obstante, no hace referencia expresa a la función de conocer</w:t>
      </w:r>
      <w:r w:rsidRPr="00DF77C8">
        <w:rPr>
          <w:rFonts w:ascii="Times New Roman" w:hAnsi="Times New Roman"/>
          <w:sz w:val="28"/>
          <w:szCs w:val="28"/>
        </w:rPr>
        <w:t xml:space="preserve"> de</w:t>
      </w:r>
      <w:r w:rsidRPr="00DF77C8">
        <w:rPr>
          <w:rFonts w:ascii="Times New Roman" w:hAnsi="Times New Roman"/>
          <w:sz w:val="28"/>
          <w:szCs w:val="28"/>
        </w:rPr>
        <w:t xml:space="preserve">l recurso de apelación </w:t>
      </w:r>
      <w:r w:rsidRPr="00DF77C8">
        <w:rPr>
          <w:rFonts w:ascii="Times New Roman" w:hAnsi="Times New Roman"/>
          <w:sz w:val="28"/>
          <w:szCs w:val="28"/>
        </w:rPr>
        <w:t xml:space="preserve">respecto a las decisiones que profiera </w:t>
      </w:r>
      <w:r w:rsidRPr="00DF77C8">
        <w:rPr>
          <w:rFonts w:ascii="Times New Roman" w:hAnsi="Times New Roman"/>
          <w:sz w:val="28"/>
          <w:szCs w:val="28"/>
        </w:rPr>
        <w:t>un</w:t>
      </w:r>
      <w:r w:rsidRPr="00DF77C8">
        <w:rPr>
          <w:rFonts w:ascii="Times New Roman" w:hAnsi="Times New Roman"/>
          <w:sz w:val="28"/>
          <w:szCs w:val="28"/>
        </w:rPr>
        <w:t xml:space="preserve">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como juez de control de garantías </w:t>
      </w:r>
      <w:r w:rsidRPr="00DF77C8">
        <w:rPr>
          <w:rFonts w:ascii="Times New Roman" w:hAnsi="Times New Roman"/>
          <w:sz w:val="28"/>
          <w:szCs w:val="28"/>
        </w:rPr>
        <w:t xml:space="preserve">en los casos </w:t>
      </w:r>
      <w:r w:rsidRPr="00DF77C8">
        <w:rPr>
          <w:rFonts w:ascii="Times New Roman" w:hAnsi="Times New Roman"/>
          <w:sz w:val="28"/>
          <w:szCs w:val="28"/>
        </w:rPr>
        <w:t>de aforados constitucional</w:t>
      </w:r>
      <w:r w:rsidRPr="00DF77C8">
        <w:rPr>
          <w:rFonts w:ascii="Times New Roman" w:hAnsi="Times New Roman"/>
          <w:sz w:val="28"/>
          <w:szCs w:val="28"/>
        </w:rPr>
        <w:t>es</w:t>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w:t>
      </w:r>
      <w:r w:rsidRPr="00DF77C8">
        <w:rPr>
          <w:rFonts w:ascii="Times New Roman" w:hAnsi="Times New Roman"/>
          <w:sz w:val="28"/>
          <w:szCs w:val="28"/>
        </w:rPr>
        <w:t>l reproche constitucional planteado se hace en relación, únicamente, con la función atribui</w:t>
      </w:r>
      <w:r w:rsidRPr="00DF77C8">
        <w:rPr>
          <w:rFonts w:ascii="Times New Roman" w:hAnsi="Times New Roman"/>
          <w:sz w:val="28"/>
          <w:szCs w:val="28"/>
        </w:rPr>
        <w:t xml:space="preserve">da en el parágrafo 1° del artículo 39 de ese mismo estatuto a un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para que ejerza la función de control de garantías y</w:t>
      </w:r>
      <w:r w:rsidRPr="00DF77C8">
        <w:rPr>
          <w:rFonts w:ascii="Times New Roman" w:hAnsi="Times New Roman"/>
          <w:sz w:val="28"/>
          <w:szCs w:val="28"/>
        </w:rPr>
        <w:t>,</w:t>
      </w:r>
      <w:r w:rsidRPr="00DF77C8">
        <w:rPr>
          <w:rFonts w:ascii="Times New Roman" w:hAnsi="Times New Roman"/>
          <w:sz w:val="28"/>
          <w:szCs w:val="28"/>
        </w:rPr>
        <w:t xml:space="preserve"> como ya se expuso, dicha competencia fue analizada por esta </w:t>
      </w:r>
      <w:r w:rsidRPr="00DF77C8">
        <w:rPr>
          <w:rFonts w:ascii="Times New Roman" w:hAnsi="Times New Roman"/>
          <w:sz w:val="28"/>
          <w:szCs w:val="28"/>
        </w:rPr>
        <w:t>Corporación</w:t>
      </w:r>
      <w:r w:rsidRPr="00DF77C8">
        <w:rPr>
          <w:rFonts w:ascii="Times New Roman" w:hAnsi="Times New Roman"/>
          <w:sz w:val="28"/>
          <w:szCs w:val="28"/>
        </w:rPr>
        <w:t xml:space="preserve"> mediante Sentencia C-5</w:t>
      </w:r>
      <w:r w:rsidRPr="00DF77C8">
        <w:rPr>
          <w:rFonts w:ascii="Times New Roman" w:hAnsi="Times New Roman"/>
          <w:sz w:val="28"/>
          <w:szCs w:val="28"/>
        </w:rPr>
        <w:t>91 de 2005, en la que se declaró la exequibilidad de ese parágrafo de manera condicionada bajo el entendido de que la función de control de garantías atribuida a esa autoridad judicial estaba referida a los funcionarios a los que hace alusión el numeral 5°</w:t>
      </w:r>
      <w:r w:rsidRPr="00DF77C8">
        <w:rPr>
          <w:rFonts w:ascii="Times New Roman" w:hAnsi="Times New Roman"/>
          <w:sz w:val="28"/>
          <w:szCs w:val="28"/>
        </w:rPr>
        <w:t>,</w:t>
      </w:r>
      <w:r w:rsidRPr="00DF77C8">
        <w:rPr>
          <w:rFonts w:ascii="Times New Roman" w:hAnsi="Times New Roman"/>
          <w:sz w:val="28"/>
          <w:szCs w:val="28"/>
        </w:rPr>
        <w:t xml:space="preserve"> del artículo 235 superior.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Esa disposición constitucional consagra que la Sala Especial de Primera Instancia de la Sala Penal de la Corte Suprema de Justicia, previa acusación por parte de la Fiscalía General de la Nación ante la Corte Suprema de Justi</w:t>
      </w:r>
      <w:r w:rsidRPr="00DF77C8">
        <w:rPr>
          <w:rFonts w:ascii="Times New Roman" w:hAnsi="Times New Roman"/>
          <w:sz w:val="28"/>
          <w:szCs w:val="28"/>
        </w:rPr>
        <w:t xml:space="preserve">cia, juzgará “al Vicepresidente de la República, a los Ministros del Despacho, al Procurador General, al Defensor del Pueblo, a los Agentes del Ministerio Público ante la Corte, ante el Consejo de Estado y ante los </w:t>
      </w:r>
      <w:r w:rsidRPr="00DF77C8">
        <w:rPr>
          <w:rFonts w:ascii="Times New Roman" w:hAnsi="Times New Roman"/>
          <w:sz w:val="28"/>
          <w:szCs w:val="28"/>
        </w:rPr>
        <w:t>Tribunal</w:t>
      </w:r>
      <w:r w:rsidRPr="00DF77C8">
        <w:rPr>
          <w:rFonts w:ascii="Times New Roman" w:hAnsi="Times New Roman"/>
          <w:sz w:val="28"/>
          <w:szCs w:val="28"/>
        </w:rPr>
        <w:t>es, Directores de los Departament</w:t>
      </w:r>
      <w:r w:rsidRPr="00DF77C8">
        <w:rPr>
          <w:rFonts w:ascii="Times New Roman" w:hAnsi="Times New Roman"/>
          <w:sz w:val="28"/>
          <w:szCs w:val="28"/>
        </w:rPr>
        <w:t xml:space="preserve">os Administrativos, al Contralor General de la República, a los Embajadores y Jefe de Misión Diplomática o Consular, a los Gobernadores, a los Magistrados de </w:t>
      </w:r>
      <w:r w:rsidRPr="00DF77C8">
        <w:rPr>
          <w:rFonts w:ascii="Times New Roman" w:hAnsi="Times New Roman"/>
          <w:sz w:val="28"/>
          <w:szCs w:val="28"/>
        </w:rPr>
        <w:t>Tribunal</w:t>
      </w:r>
      <w:r w:rsidRPr="00DF77C8">
        <w:rPr>
          <w:rFonts w:ascii="Times New Roman" w:hAnsi="Times New Roman"/>
          <w:sz w:val="28"/>
          <w:szCs w:val="28"/>
        </w:rPr>
        <w:t>es y a los Generales y Almirantes de la Fuerza Pública, por los hechos punibles que se les</w:t>
      </w:r>
      <w:r w:rsidRPr="00DF77C8">
        <w:rPr>
          <w:rFonts w:ascii="Times New Roman" w:hAnsi="Times New Roman"/>
          <w:sz w:val="28"/>
          <w:szCs w:val="28"/>
        </w:rPr>
        <w:t xml:space="preserve"> imputen”.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w:t>
      </w:r>
      <w:r w:rsidRPr="00DF77C8">
        <w:rPr>
          <w:rFonts w:ascii="Times New Roman" w:hAnsi="Times New Roman"/>
          <w:sz w:val="28"/>
          <w:szCs w:val="28"/>
        </w:rPr>
        <w:t>l ciudadano plantea que</w:t>
      </w:r>
      <w:r w:rsidRPr="00DF77C8">
        <w:rPr>
          <w:rFonts w:ascii="Times New Roman" w:hAnsi="Times New Roman"/>
          <w:sz w:val="28"/>
          <w:szCs w:val="28"/>
        </w:rPr>
        <w:t>,</w:t>
      </w:r>
      <w:r w:rsidRPr="00DF77C8">
        <w:rPr>
          <w:rFonts w:ascii="Times New Roman" w:hAnsi="Times New Roman"/>
          <w:sz w:val="28"/>
          <w:szCs w:val="28"/>
        </w:rPr>
        <w:t xml:space="preserve"> aunque existe una disposición legal que </w:t>
      </w:r>
      <w:r w:rsidRPr="00DF77C8">
        <w:rPr>
          <w:rFonts w:ascii="Times New Roman" w:hAnsi="Times New Roman"/>
          <w:sz w:val="28"/>
          <w:szCs w:val="28"/>
        </w:rPr>
        <w:t xml:space="preserve">señala los asuntos de los cuales debe conocer </w:t>
      </w:r>
      <w:r w:rsidRPr="00DF77C8">
        <w:rPr>
          <w:rFonts w:ascii="Times New Roman" w:hAnsi="Times New Roman"/>
          <w:sz w:val="28"/>
          <w:szCs w:val="28"/>
        </w:rPr>
        <w:t xml:space="preserve">la Sala Penal del órgano de cierre de la jurisdicción ordinaria, lo cierto es que omitió especificar que tenía </w:t>
      </w:r>
      <w:r w:rsidRPr="00DF77C8">
        <w:rPr>
          <w:rFonts w:ascii="Times New Roman" w:hAnsi="Times New Roman"/>
          <w:sz w:val="28"/>
          <w:szCs w:val="28"/>
        </w:rPr>
        <w:t xml:space="preserve">la competencia para resolver </w:t>
      </w:r>
      <w:r w:rsidRPr="00DF77C8">
        <w:rPr>
          <w:rFonts w:ascii="Times New Roman" w:hAnsi="Times New Roman"/>
          <w:sz w:val="28"/>
          <w:szCs w:val="28"/>
        </w:rPr>
        <w:t>el recurso</w:t>
      </w:r>
      <w:r w:rsidRPr="00DF77C8">
        <w:rPr>
          <w:rFonts w:ascii="Times New Roman" w:hAnsi="Times New Roman"/>
          <w:sz w:val="28"/>
          <w:szCs w:val="28"/>
        </w:rPr>
        <w:t xml:space="preserve"> de apelación</w:t>
      </w:r>
      <w:r w:rsidRPr="00DF77C8">
        <w:rPr>
          <w:rFonts w:ascii="Times New Roman" w:hAnsi="Times New Roman"/>
          <w:sz w:val="28"/>
          <w:szCs w:val="28"/>
        </w:rPr>
        <w:t xml:space="preserve"> </w:t>
      </w:r>
      <w:r w:rsidRPr="00DF77C8">
        <w:rPr>
          <w:rFonts w:ascii="Times New Roman" w:hAnsi="Times New Roman"/>
          <w:sz w:val="28"/>
          <w:szCs w:val="28"/>
        </w:rPr>
        <w:t>contra</w:t>
      </w:r>
      <w:r w:rsidRPr="00DF77C8">
        <w:rPr>
          <w:rFonts w:ascii="Times New Roman" w:hAnsi="Times New Roman"/>
          <w:sz w:val="28"/>
          <w:szCs w:val="28"/>
        </w:rPr>
        <w:t xml:space="preserve"> </w:t>
      </w:r>
      <w:r w:rsidRPr="00DF77C8">
        <w:rPr>
          <w:rFonts w:ascii="Times New Roman" w:hAnsi="Times New Roman"/>
          <w:sz w:val="28"/>
          <w:szCs w:val="28"/>
        </w:rPr>
        <w:t>las providencias</w:t>
      </w:r>
      <w:r w:rsidRPr="00DF77C8">
        <w:rPr>
          <w:rFonts w:ascii="Times New Roman" w:hAnsi="Times New Roman"/>
          <w:sz w:val="28"/>
          <w:szCs w:val="28"/>
        </w:rPr>
        <w:t xml:space="preserve"> proferid</w:t>
      </w:r>
      <w:r w:rsidRPr="00DF77C8">
        <w:rPr>
          <w:rFonts w:ascii="Times New Roman" w:hAnsi="Times New Roman"/>
          <w:sz w:val="28"/>
          <w:szCs w:val="28"/>
        </w:rPr>
        <w:t>a</w:t>
      </w:r>
      <w:r w:rsidRPr="00DF77C8">
        <w:rPr>
          <w:rFonts w:ascii="Times New Roman" w:hAnsi="Times New Roman"/>
          <w:sz w:val="28"/>
          <w:szCs w:val="28"/>
        </w:rPr>
        <w:t>s</w:t>
      </w:r>
      <w:r w:rsidRPr="00DF77C8">
        <w:rPr>
          <w:rFonts w:ascii="Times New Roman" w:hAnsi="Times New Roman"/>
          <w:sz w:val="28"/>
          <w:szCs w:val="28"/>
        </w:rPr>
        <w:t xml:space="preserve"> por el magistrado del </w:t>
      </w:r>
      <w:r w:rsidRPr="00DF77C8">
        <w:rPr>
          <w:rFonts w:ascii="Times New Roman" w:hAnsi="Times New Roman"/>
          <w:sz w:val="28"/>
          <w:szCs w:val="28"/>
        </w:rPr>
        <w:t>Tribunal</w:t>
      </w:r>
      <w:r w:rsidRPr="00DF77C8">
        <w:rPr>
          <w:rFonts w:ascii="Times New Roman" w:hAnsi="Times New Roman"/>
          <w:sz w:val="28"/>
          <w:szCs w:val="28"/>
        </w:rPr>
        <w:t xml:space="preserve"> cuando ejerce funciones de control de garantías respecto de los funcionarios que ostentan fuero constitucional. Esto, </w:t>
      </w:r>
      <w:r w:rsidRPr="00DF77C8">
        <w:rPr>
          <w:rFonts w:ascii="Times New Roman" w:hAnsi="Times New Roman"/>
          <w:sz w:val="28"/>
          <w:szCs w:val="28"/>
        </w:rPr>
        <w:t>debería hacerlo</w:t>
      </w:r>
      <w:r w:rsidRPr="00DF77C8">
        <w:rPr>
          <w:rFonts w:ascii="Times New Roman" w:hAnsi="Times New Roman"/>
          <w:sz w:val="28"/>
          <w:szCs w:val="28"/>
        </w:rPr>
        <w:t>,</w:t>
      </w:r>
      <w:r w:rsidRPr="00DF77C8">
        <w:rPr>
          <w:rFonts w:ascii="Times New Roman" w:hAnsi="Times New Roman"/>
          <w:sz w:val="28"/>
          <w:szCs w:val="28"/>
        </w:rPr>
        <w:t xml:space="preserve"> sostiene,</w:t>
      </w:r>
      <w:r w:rsidRPr="00DF77C8">
        <w:rPr>
          <w:rFonts w:ascii="Times New Roman" w:hAnsi="Times New Roman"/>
          <w:sz w:val="28"/>
          <w:szCs w:val="28"/>
        </w:rPr>
        <w:t xml:space="preserve"> </w:t>
      </w:r>
      <w:r w:rsidRPr="00DF77C8">
        <w:rPr>
          <w:rFonts w:ascii="Times New Roman" w:hAnsi="Times New Roman"/>
          <w:sz w:val="28"/>
          <w:szCs w:val="28"/>
        </w:rPr>
        <w:t xml:space="preserve">porque dicho órgano de cierre dentro de la jurisdicción ordinaria penal funge como superior funcional de los </w:t>
      </w:r>
      <w:r w:rsidRPr="00DF77C8">
        <w:rPr>
          <w:rFonts w:ascii="Times New Roman" w:hAnsi="Times New Roman"/>
          <w:sz w:val="28"/>
          <w:szCs w:val="28"/>
        </w:rPr>
        <w:t>Tribunal</w:t>
      </w:r>
      <w:r w:rsidRPr="00DF77C8">
        <w:rPr>
          <w:rFonts w:ascii="Times New Roman" w:hAnsi="Times New Roman"/>
          <w:sz w:val="28"/>
          <w:szCs w:val="28"/>
        </w:rPr>
        <w:t xml:space="preserve">es superiores de distrito judicial. </w:t>
      </w:r>
      <w:r w:rsidRPr="00DF77C8">
        <w:rPr>
          <w:rFonts w:ascii="Times New Roman" w:hAnsi="Times New Roman"/>
          <w:sz w:val="28"/>
          <w:szCs w:val="28"/>
        </w:rPr>
        <w:t xml:space="preserve">Esta </w:t>
      </w:r>
      <w:r w:rsidRPr="00DF77C8">
        <w:rPr>
          <w:rFonts w:ascii="Times New Roman" w:hAnsi="Times New Roman"/>
          <w:sz w:val="28"/>
          <w:szCs w:val="28"/>
        </w:rPr>
        <w:t>Corporación</w:t>
      </w:r>
      <w:r w:rsidRPr="00DF77C8">
        <w:rPr>
          <w:rFonts w:ascii="Times New Roman" w:hAnsi="Times New Roman"/>
          <w:sz w:val="28"/>
          <w:szCs w:val="28"/>
        </w:rPr>
        <w:t xml:space="preserve"> además evidencia </w:t>
      </w:r>
      <w:r w:rsidRPr="00DF77C8">
        <w:rPr>
          <w:rFonts w:ascii="Times New Roman" w:hAnsi="Times New Roman"/>
          <w:sz w:val="28"/>
          <w:szCs w:val="28"/>
        </w:rPr>
        <w:t>que de lo expuesto en el parágrafo primero del artículo 31</w:t>
      </w:r>
      <w:r w:rsidRPr="00DF77C8">
        <w:rPr>
          <w:rFonts w:ascii="Times New Roman" w:hAnsi="Times New Roman"/>
          <w:sz w:val="28"/>
          <w:szCs w:val="28"/>
        </w:rPr>
        <w:t xml:space="preserve"> del Código de Procedimiento Penal, las autoridades judiciales que excepcionalmente cumplen la función de control de garantías también ejercen jurisdicción penal.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 w:val="left" w:pos="851"/>
        </w:tabs>
        <w:ind w:left="0" w:right="-26" w:firstLine="0"/>
        <w:jc w:val="both"/>
        <w:rPr>
          <w:rFonts w:ascii="Times New Roman" w:hAnsi="Times New Roman"/>
          <w:sz w:val="28"/>
          <w:szCs w:val="28"/>
        </w:rPr>
      </w:pPr>
      <w:r w:rsidRPr="00DF77C8">
        <w:rPr>
          <w:rFonts w:ascii="Times New Roman" w:hAnsi="Times New Roman"/>
          <w:sz w:val="28"/>
          <w:szCs w:val="28"/>
        </w:rPr>
        <w:t xml:space="preserve">Por tanto, según lo expuesto por el </w:t>
      </w:r>
      <w:r w:rsidRPr="00DF77C8">
        <w:rPr>
          <w:rFonts w:ascii="Times New Roman" w:hAnsi="Times New Roman"/>
          <w:sz w:val="28"/>
          <w:szCs w:val="28"/>
        </w:rPr>
        <w:t>demandante,</w:t>
      </w:r>
      <w:r w:rsidRPr="00DF77C8">
        <w:rPr>
          <w:rFonts w:ascii="Times New Roman" w:hAnsi="Times New Roman"/>
          <w:sz w:val="28"/>
          <w:szCs w:val="28"/>
        </w:rPr>
        <w:t xml:space="preserve"> aunque existe una regulación legal por part</w:t>
      </w:r>
      <w:r w:rsidRPr="00DF77C8">
        <w:rPr>
          <w:rFonts w:ascii="Times New Roman" w:hAnsi="Times New Roman"/>
          <w:sz w:val="28"/>
          <w:szCs w:val="28"/>
        </w:rPr>
        <w:t>e del Congreso</w:t>
      </w:r>
      <w:r w:rsidRPr="00DF77C8">
        <w:rPr>
          <w:rFonts w:ascii="Times New Roman" w:hAnsi="Times New Roman"/>
          <w:sz w:val="28"/>
          <w:szCs w:val="28"/>
        </w:rPr>
        <w:t>,</w:t>
      </w:r>
      <w:r w:rsidRPr="00DF77C8">
        <w:rPr>
          <w:rFonts w:ascii="Times New Roman" w:hAnsi="Times New Roman"/>
          <w:sz w:val="28"/>
          <w:szCs w:val="28"/>
        </w:rPr>
        <w:t xml:space="preserve"> esta es incompleta, porque no le atribuye de manera expresa el conocimiento del recurso de apelación contra las providencias expedidas en sede de control de garantías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a la Corte Suprema de J</w:t>
      </w:r>
      <w:r w:rsidRPr="00DF77C8">
        <w:rPr>
          <w:rFonts w:ascii="Times New Roman" w:hAnsi="Times New Roman"/>
          <w:sz w:val="28"/>
          <w:szCs w:val="28"/>
        </w:rPr>
        <w:t>usticia, como su superior jerárquico, de acuerdo con lo previsto en el estatuto procesal penal.</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Lo anterior, en contraste con lo que acontece en el caso de las personas que no tienen fuero constitucional en los términos consagrados en el numeral 5° del ar</w:t>
      </w:r>
      <w:r w:rsidRPr="00DF77C8">
        <w:rPr>
          <w:rFonts w:ascii="Times New Roman" w:hAnsi="Times New Roman"/>
          <w:sz w:val="28"/>
          <w:szCs w:val="28"/>
        </w:rPr>
        <w:t xml:space="preserve">tículo 235 superior. </w:t>
      </w:r>
      <w:r w:rsidRPr="00DF77C8">
        <w:rPr>
          <w:rFonts w:ascii="Times New Roman" w:hAnsi="Times New Roman"/>
          <w:sz w:val="28"/>
          <w:szCs w:val="28"/>
        </w:rPr>
        <w:t xml:space="preserve">En este último caso, </w:t>
      </w:r>
      <w:r w:rsidRPr="00DF77C8">
        <w:rPr>
          <w:rFonts w:ascii="Times New Roman" w:hAnsi="Times New Roman"/>
          <w:sz w:val="28"/>
          <w:szCs w:val="28"/>
        </w:rPr>
        <w:t>el artículo 39 de la Ley 906 de 2004</w:t>
      </w:r>
      <w:r w:rsidRPr="00DF77C8">
        <w:rPr>
          <w:rFonts w:ascii="Times New Roman" w:hAnsi="Times New Roman"/>
          <w:sz w:val="28"/>
          <w:szCs w:val="28"/>
        </w:rPr>
        <w:t>,</w:t>
      </w:r>
      <w:r w:rsidRPr="00DF77C8">
        <w:rPr>
          <w:rFonts w:ascii="Times New Roman" w:hAnsi="Times New Roman"/>
          <w:sz w:val="28"/>
          <w:szCs w:val="28"/>
        </w:rPr>
        <w:t xml:space="preserve"> establece como regla general que el juez penal municipal ejercerá como juez de control de garantías y el artículo 36 de ese mismo estatuto, </w:t>
      </w:r>
      <w:r w:rsidRPr="00DF77C8">
        <w:rPr>
          <w:rFonts w:ascii="Times New Roman" w:hAnsi="Times New Roman"/>
          <w:sz w:val="28"/>
          <w:szCs w:val="28"/>
        </w:rPr>
        <w:t>indica</w:t>
      </w:r>
      <w:r w:rsidRPr="00DF77C8">
        <w:rPr>
          <w:rFonts w:ascii="Times New Roman" w:hAnsi="Times New Roman"/>
          <w:sz w:val="28"/>
          <w:szCs w:val="28"/>
        </w:rPr>
        <w:t xml:space="preserve"> de manera expresa que el juez</w:t>
      </w:r>
      <w:r w:rsidRPr="00DF77C8">
        <w:rPr>
          <w:rFonts w:ascii="Times New Roman" w:hAnsi="Times New Roman"/>
          <w:sz w:val="28"/>
          <w:szCs w:val="28"/>
        </w:rPr>
        <w:t xml:space="preserve"> penal del circuito conocerá “Del recurso de apelación contra los autos proferidos por los jueces penales municipales o cuando ejerzan la función de control de garantías”. </w:t>
      </w:r>
    </w:p>
    <w:p w:rsidR="00F515E6" w:rsidRPr="00DF77C8" w:rsidRDefault="00DF77C8" w:rsidP="008A4B21">
      <w:pPr>
        <w:pStyle w:val="Prrafodelista"/>
        <w:tabs>
          <w:tab w:val="left" w:pos="567"/>
        </w:tabs>
        <w:ind w:left="0" w:right="-26"/>
        <w:jc w:val="both"/>
        <w:rPr>
          <w:rFonts w:ascii="Times New Roman" w:hAnsi="Times New Roman"/>
          <w:sz w:val="28"/>
          <w:szCs w:val="28"/>
        </w:rPr>
      </w:pPr>
    </w:p>
    <w:p w:rsidR="00801F94" w:rsidRPr="00DF77C8" w:rsidRDefault="00DF77C8" w:rsidP="008A4B21">
      <w:pPr>
        <w:ind w:right="-26"/>
        <w:jc w:val="both"/>
        <w:rPr>
          <w:rFonts w:ascii="Times New Roman" w:hAnsi="Times New Roman"/>
          <w:b/>
          <w:color w:val="000000"/>
          <w:sz w:val="28"/>
          <w:szCs w:val="28"/>
        </w:rPr>
      </w:pPr>
      <w:r w:rsidRPr="00DF77C8">
        <w:rPr>
          <w:rFonts w:ascii="Times New Roman" w:hAnsi="Times New Roman"/>
          <w:b/>
          <w:color w:val="000000"/>
          <w:sz w:val="28"/>
          <w:szCs w:val="28"/>
        </w:rPr>
        <w:t xml:space="preserve">La disposición </w:t>
      </w:r>
      <w:r w:rsidRPr="00DF77C8">
        <w:rPr>
          <w:rFonts w:ascii="Times New Roman" w:hAnsi="Times New Roman"/>
          <w:b/>
          <w:sz w:val="28"/>
          <w:szCs w:val="28"/>
        </w:rPr>
        <w:t xml:space="preserve">respecto de la cual se predica la omisión (i) </w:t>
      </w:r>
      <w:r w:rsidRPr="00DF77C8">
        <w:rPr>
          <w:rFonts w:ascii="Times New Roman" w:hAnsi="Times New Roman"/>
          <w:b/>
          <w:color w:val="000000"/>
          <w:sz w:val="28"/>
          <w:szCs w:val="28"/>
        </w:rPr>
        <w:t>excluye</w:t>
      </w:r>
      <w:r w:rsidRPr="00DF77C8">
        <w:rPr>
          <w:rFonts w:ascii="Times New Roman" w:hAnsi="Times New Roman"/>
          <w:b/>
          <w:color w:val="000000"/>
          <w:sz w:val="28"/>
          <w:szCs w:val="28"/>
        </w:rPr>
        <w:t xml:space="preserve"> de</w:t>
      </w:r>
      <w:r w:rsidRPr="00DF77C8">
        <w:rPr>
          <w:rFonts w:ascii="Times New Roman" w:hAnsi="Times New Roman"/>
          <w:b/>
          <w:color w:val="000000"/>
          <w:sz w:val="28"/>
          <w:szCs w:val="28"/>
        </w:rPr>
        <w:t xml:space="preserve"> sus consecuencias jurídicas casos que son asimilables </w:t>
      </w:r>
      <w:r w:rsidRPr="00DF77C8">
        <w:rPr>
          <w:rFonts w:ascii="Times New Roman" w:hAnsi="Times New Roman"/>
          <w:b/>
          <w:color w:val="000000"/>
          <w:sz w:val="28"/>
          <w:szCs w:val="28"/>
        </w:rPr>
        <w:t>y</w:t>
      </w:r>
      <w:r w:rsidRPr="00DF77C8">
        <w:rPr>
          <w:rFonts w:ascii="Times New Roman" w:hAnsi="Times New Roman"/>
          <w:b/>
          <w:color w:val="000000"/>
          <w:sz w:val="28"/>
          <w:szCs w:val="28"/>
        </w:rPr>
        <w:t xml:space="preserve"> (ii) no incluy</w:t>
      </w:r>
      <w:r w:rsidRPr="00DF77C8">
        <w:rPr>
          <w:rFonts w:ascii="Times New Roman" w:hAnsi="Times New Roman"/>
          <w:b/>
          <w:sz w:val="28"/>
          <w:szCs w:val="28"/>
        </w:rPr>
        <w:t>e</w:t>
      </w:r>
      <w:r w:rsidRPr="00DF77C8">
        <w:rPr>
          <w:rFonts w:ascii="Times New Roman" w:hAnsi="Times New Roman"/>
          <w:b/>
          <w:color w:val="000000"/>
          <w:sz w:val="28"/>
          <w:szCs w:val="28"/>
        </w:rPr>
        <w:t xml:space="preserve"> </w:t>
      </w:r>
      <w:r w:rsidRPr="00DF77C8">
        <w:rPr>
          <w:rFonts w:ascii="Times New Roman" w:hAnsi="Times New Roman"/>
          <w:b/>
          <w:color w:val="000000"/>
          <w:sz w:val="28"/>
          <w:szCs w:val="28"/>
        </w:rPr>
        <w:t>un</w:t>
      </w:r>
      <w:r w:rsidRPr="00DF77C8">
        <w:rPr>
          <w:rFonts w:ascii="Times New Roman" w:hAnsi="Times New Roman"/>
          <w:b/>
          <w:color w:val="000000"/>
          <w:sz w:val="28"/>
          <w:szCs w:val="28"/>
        </w:rPr>
        <w:t xml:space="preserve"> elemento o ingrediente normativo</w:t>
      </w:r>
      <w:r w:rsidRPr="00DF77C8">
        <w:rPr>
          <w:rFonts w:ascii="Times New Roman" w:hAnsi="Times New Roman"/>
          <w:b/>
          <w:color w:val="000000"/>
          <w:sz w:val="28"/>
          <w:szCs w:val="28"/>
        </w:rPr>
        <w:t xml:space="preserve"> indispensable</w:t>
      </w:r>
      <w:r w:rsidRPr="00DF77C8">
        <w:rPr>
          <w:rFonts w:ascii="Times New Roman" w:hAnsi="Times New Roman"/>
          <w:b/>
          <w:color w:val="000000"/>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color w:val="000000"/>
          <w:sz w:val="28"/>
          <w:szCs w:val="28"/>
        </w:rPr>
        <w:t xml:space="preserve">En primer lugar, es importante </w:t>
      </w:r>
      <w:r w:rsidRPr="00DF77C8">
        <w:rPr>
          <w:rFonts w:ascii="Times New Roman" w:hAnsi="Times New Roman"/>
          <w:sz w:val="28"/>
          <w:szCs w:val="28"/>
        </w:rPr>
        <w:t xml:space="preserve">establecer una comparación respecto al sistema procesal aplicable a quienes tienen fuero </w:t>
      </w:r>
      <w:r w:rsidRPr="00DF77C8">
        <w:rPr>
          <w:rFonts w:ascii="Times New Roman" w:hAnsi="Times New Roman"/>
          <w:sz w:val="28"/>
          <w:szCs w:val="28"/>
        </w:rPr>
        <w:t>constitucional, en los términos del numeral 5°</w:t>
      </w:r>
      <w:r w:rsidRPr="00DF77C8">
        <w:rPr>
          <w:rFonts w:ascii="Times New Roman" w:hAnsi="Times New Roman"/>
          <w:sz w:val="28"/>
          <w:szCs w:val="28"/>
        </w:rPr>
        <w:t>,</w:t>
      </w:r>
      <w:r w:rsidRPr="00DF77C8">
        <w:rPr>
          <w:rFonts w:ascii="Times New Roman" w:hAnsi="Times New Roman"/>
          <w:sz w:val="28"/>
          <w:szCs w:val="28"/>
        </w:rPr>
        <w:t xml:space="preserve"> artículo 235 </w:t>
      </w:r>
      <w:r w:rsidRPr="00DF77C8">
        <w:rPr>
          <w:rFonts w:ascii="Times New Roman" w:hAnsi="Times New Roman"/>
          <w:sz w:val="28"/>
          <w:szCs w:val="28"/>
        </w:rPr>
        <w:t>superior</w:t>
      </w:r>
      <w:r w:rsidRPr="00DF77C8">
        <w:rPr>
          <w:rFonts w:ascii="Times New Roman" w:hAnsi="Times New Roman"/>
          <w:sz w:val="28"/>
          <w:szCs w:val="28"/>
        </w:rPr>
        <w:t>,</w:t>
      </w:r>
      <w:r w:rsidRPr="00DF77C8">
        <w:rPr>
          <w:rFonts w:ascii="Times New Roman" w:hAnsi="Times New Roman"/>
          <w:sz w:val="28"/>
          <w:szCs w:val="28"/>
        </w:rPr>
        <w:t xml:space="preserve"> y</w:t>
      </w:r>
      <w:r w:rsidRPr="00DF77C8">
        <w:rPr>
          <w:rFonts w:ascii="Times New Roman" w:hAnsi="Times New Roman"/>
          <w:sz w:val="28"/>
          <w:szCs w:val="28"/>
        </w:rPr>
        <w:t xml:space="preserve"> quienes no están cobijados por esta figura.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El Acto Legislativo 03 de 2002</w:t>
      </w:r>
      <w:r w:rsidRPr="00DF77C8">
        <w:rPr>
          <w:rFonts w:ascii="Times New Roman" w:hAnsi="Times New Roman"/>
          <w:sz w:val="28"/>
          <w:szCs w:val="28"/>
        </w:rPr>
        <w:t>,</w:t>
      </w:r>
      <w:r w:rsidRPr="00DF77C8">
        <w:rPr>
          <w:rFonts w:ascii="Times New Roman" w:hAnsi="Times New Roman"/>
          <w:sz w:val="28"/>
          <w:szCs w:val="28"/>
        </w:rPr>
        <w:t xml:space="preserve"> introdujo una reforma constitucional con el fin de implementar transitoriamente el nuevo sistema penal acusatorio en nuestro país, el cual fue desarrollado por el legislador mediante la expedición de la Ley 906 de 2004, modificada por la Ley 1142 de 2007.</w:t>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Desde la exposición de motivos de la iniciativa legislativa que dio origen al Código de Procedimiento Penal, puede evidenciarse el papel central que tiene la figura del juez de control de garantías en el sistema procesal que hoy nos rige:</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“De cara al n</w:t>
      </w:r>
      <w:r w:rsidRPr="00DF77C8">
        <w:rPr>
          <w:rFonts w:ascii="Times New Roman" w:hAnsi="Times New Roman"/>
          <w:sz w:val="28"/>
          <w:szCs w:val="28"/>
        </w:rPr>
        <w:t xml:space="preserve">uevo sistema no podría tolerarse que la fiscalía, a la cual se confiere el monopolio de la persecución penal </w:t>
      </w:r>
      <w:r w:rsidRPr="00DF77C8">
        <w:rPr>
          <w:rFonts w:ascii="Times New Roman" w:hAnsi="Times New Roman"/>
          <w:sz w:val="28"/>
          <w:szCs w:val="28"/>
        </w:rPr>
        <w:t>y,</w:t>
      </w:r>
      <w:r w:rsidRPr="00DF77C8">
        <w:rPr>
          <w:rFonts w:ascii="Times New Roman" w:hAnsi="Times New Roman"/>
          <w:sz w:val="28"/>
          <w:szCs w:val="28"/>
        </w:rPr>
        <w:t xml:space="preserve"> por ende, con amplios poderes para dirigir y coordinar la investigación criminal, pueda al mismo tiempo restringir, por iniciativa propia, derec</w:t>
      </w:r>
      <w:r w:rsidRPr="00DF77C8">
        <w:rPr>
          <w:rFonts w:ascii="Times New Roman" w:hAnsi="Times New Roman"/>
          <w:sz w:val="28"/>
          <w:szCs w:val="28"/>
        </w:rPr>
        <w:t>hos fundamentales de los ciudadanos o adoptar decisiones en torno de la responsabilidad de los presuntos infractores de la ley penal, pues con ello se convertiría en árbitro de sus propios actos.</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Por ello, en el proyecto se instituye un conjunto de actuac</w:t>
      </w:r>
      <w:r w:rsidRPr="00DF77C8">
        <w:rPr>
          <w:rFonts w:ascii="Times New Roman" w:hAnsi="Times New Roman"/>
          <w:sz w:val="28"/>
          <w:szCs w:val="28"/>
        </w:rPr>
        <w:t>iones que la fiscalía debe someter a autorización judicial previa o a revisión posterior, con el fin de establecer límites y controles al ejercicio del monopolio de la persecución penal, mecanismos estos previstos de manera escalonada a lo largo de la actu</w:t>
      </w:r>
      <w:r w:rsidRPr="00DF77C8">
        <w:rPr>
          <w:rFonts w:ascii="Times New Roman" w:hAnsi="Times New Roman"/>
          <w:sz w:val="28"/>
          <w:szCs w:val="28"/>
        </w:rPr>
        <w:t>ación y encomendados a los jueces de control de garantías.</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Función deferida a los jueces penales municipales, quienes apoyados en las reglas jurídicas hermenéuticas deberán establecer la proporcionalidad, razonabilidad, y necesidad de las medidas restrict</w:t>
      </w:r>
      <w:r w:rsidRPr="00DF77C8">
        <w:rPr>
          <w:rFonts w:ascii="Times New Roman" w:hAnsi="Times New Roman"/>
          <w:sz w:val="28"/>
          <w:szCs w:val="28"/>
        </w:rPr>
        <w:t>ivas de los derechos fundamentales solicitadas por la fiscalía, o evaluar la legalidad de las actuaciones objeto de control posterior”</w:t>
      </w:r>
      <w:r w:rsidRPr="00DF77C8">
        <w:rPr>
          <w:rFonts w:ascii="Times New Roman" w:hAnsi="Times New Roman"/>
          <w:sz w:val="28"/>
          <w:szCs w:val="28"/>
          <w:vertAlign w:val="superscript"/>
        </w:rPr>
        <w:footnoteReference w:id="87"/>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Cabe anotar que la función de control de garantías en el marco del proceso penal que se lleva a cabo a la luz de lo di</w:t>
      </w:r>
      <w:r w:rsidRPr="00DF77C8">
        <w:rPr>
          <w:rFonts w:ascii="Times New Roman" w:hAnsi="Times New Roman"/>
          <w:sz w:val="28"/>
          <w:szCs w:val="28"/>
        </w:rPr>
        <w:t xml:space="preserve">spuesto en la Ley 906 de 2004, fue confiada de manera preferente a los jueces penales municipales con las especificaciones contenidas en el artículo 39 de dicho estatuto procesal y además al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La</w:t>
      </w:r>
      <w:r w:rsidRPr="00DF77C8">
        <w:rPr>
          <w:rFonts w:ascii="Times New Roman" w:hAnsi="Times New Roman"/>
          <w:sz w:val="28"/>
          <w:szCs w:val="28"/>
        </w:rPr>
        <w:t xml:space="preserve"> función otorgada al magistrado del </w:t>
      </w:r>
      <w:r w:rsidRPr="00DF77C8">
        <w:rPr>
          <w:rFonts w:ascii="Times New Roman" w:hAnsi="Times New Roman"/>
          <w:sz w:val="28"/>
          <w:szCs w:val="28"/>
        </w:rPr>
        <w:t>Tribunal</w:t>
      </w:r>
      <w:r w:rsidRPr="00DF77C8">
        <w:rPr>
          <w:rFonts w:ascii="Times New Roman" w:hAnsi="Times New Roman"/>
          <w:sz w:val="28"/>
          <w:szCs w:val="28"/>
        </w:rPr>
        <w:t xml:space="preserve"> se introdujo en el informe de ponencia para primer debate del Código de Procedimiento Penal</w:t>
      </w:r>
      <w:r w:rsidRPr="00DF77C8">
        <w:rPr>
          <w:rFonts w:ascii="Times New Roman" w:hAnsi="Times New Roman"/>
          <w:sz w:val="28"/>
          <w:szCs w:val="28"/>
          <w:vertAlign w:val="superscript"/>
        </w:rPr>
        <w:footnoteReference w:id="88"/>
      </w:r>
      <w:r w:rsidRPr="00DF77C8">
        <w:rPr>
          <w:rFonts w:ascii="Times New Roman" w:hAnsi="Times New Roman"/>
          <w:sz w:val="28"/>
          <w:szCs w:val="28"/>
        </w:rPr>
        <w:t xml:space="preserve">, la cual se mantuvo inalterada durante todo el trámite legislativo que se surtió ante el Congreso de la República.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U</w:t>
      </w:r>
      <w:r w:rsidRPr="00DF77C8">
        <w:rPr>
          <w:rFonts w:ascii="Times New Roman" w:hAnsi="Times New Roman"/>
          <w:sz w:val="28"/>
          <w:szCs w:val="28"/>
        </w:rPr>
        <w:t>na primera conclusión que puede extraerse del anterior recuento es que la figura del juez de control de garantías es aplicable tanto para personas que tienen fuero constitucional como aquellas que no están amparad</w:t>
      </w:r>
      <w:r w:rsidRPr="00DF77C8">
        <w:rPr>
          <w:rFonts w:ascii="Times New Roman" w:hAnsi="Times New Roman"/>
          <w:sz w:val="28"/>
          <w:szCs w:val="28"/>
        </w:rPr>
        <w:t>a</w:t>
      </w:r>
      <w:r w:rsidRPr="00DF77C8">
        <w:rPr>
          <w:rFonts w:ascii="Times New Roman" w:hAnsi="Times New Roman"/>
          <w:sz w:val="28"/>
          <w:szCs w:val="28"/>
        </w:rPr>
        <w:t xml:space="preserve">s por esta figura jurídica.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segundo l</w:t>
      </w:r>
      <w:r w:rsidRPr="00DF77C8">
        <w:rPr>
          <w:rFonts w:ascii="Times New Roman" w:hAnsi="Times New Roman"/>
          <w:sz w:val="28"/>
          <w:szCs w:val="28"/>
        </w:rPr>
        <w:t xml:space="preserve">ugar, con el fin de determinar </w:t>
      </w:r>
      <w:r w:rsidRPr="00DF77C8">
        <w:rPr>
          <w:rFonts w:ascii="Times New Roman" w:hAnsi="Times New Roman"/>
          <w:sz w:val="28"/>
          <w:szCs w:val="28"/>
        </w:rPr>
        <w:t>si</w:t>
      </w:r>
      <w:r w:rsidRPr="00DF77C8">
        <w:rPr>
          <w:rFonts w:ascii="Times New Roman" w:hAnsi="Times New Roman"/>
          <w:sz w:val="28"/>
          <w:szCs w:val="28"/>
        </w:rPr>
        <w:t xml:space="preserve"> se trata de casos asimilables, es importante revisar las funciones asignadas a las dos autoridades judiciales que ejercen la función en sede de control de garantías. </w:t>
      </w:r>
      <w:r w:rsidRPr="00DF77C8">
        <w:rPr>
          <w:rFonts w:ascii="Times New Roman" w:hAnsi="Times New Roman"/>
          <w:sz w:val="28"/>
          <w:szCs w:val="28"/>
        </w:rPr>
        <w:t>La</w:t>
      </w:r>
      <w:r w:rsidRPr="00DF77C8">
        <w:rPr>
          <w:rFonts w:ascii="Times New Roman" w:hAnsi="Times New Roman"/>
          <w:sz w:val="28"/>
          <w:szCs w:val="28"/>
        </w:rPr>
        <w:t xml:space="preserve"> Sala observa que su labor se circunscribe a la etapa </w:t>
      </w:r>
      <w:r w:rsidRPr="00DF77C8">
        <w:rPr>
          <w:rFonts w:ascii="Times New Roman" w:hAnsi="Times New Roman"/>
          <w:sz w:val="28"/>
          <w:szCs w:val="28"/>
        </w:rPr>
        <w:t>de indagación y de investigación adelantada por la Fiscalía General de la Nación, bajo la misma normativa establecida en dicho</w:t>
      </w:r>
      <w:r w:rsidRPr="00DF77C8">
        <w:rPr>
          <w:rFonts w:ascii="Times New Roman" w:hAnsi="Times New Roman"/>
          <w:sz w:val="28"/>
          <w:szCs w:val="28"/>
        </w:rPr>
        <w:t xml:space="preserve"> código.</w:t>
      </w:r>
      <w:r w:rsidRPr="00DF77C8">
        <w:rPr>
          <w:rFonts w:ascii="Times New Roman" w:hAnsi="Times New Roman"/>
          <w:sz w:val="28"/>
          <w:szCs w:val="28"/>
        </w:rPr>
        <w:t xml:space="preserve"> Es decir, la Corte no observa que en esta etapa procesal anterior a la del desarrollo del juicio oral se establezca algún</w:t>
      </w:r>
      <w:r w:rsidRPr="00DF77C8">
        <w:rPr>
          <w:rFonts w:ascii="Times New Roman" w:hAnsi="Times New Roman"/>
          <w:sz w:val="28"/>
          <w:szCs w:val="28"/>
        </w:rPr>
        <w:t xml:space="preserve"> tipo de excepción en razón a que la función de control de garantías la desarrolle el juez penal municipal o el magistrado del </w:t>
      </w:r>
      <w:r w:rsidRPr="00DF77C8">
        <w:rPr>
          <w:rFonts w:ascii="Times New Roman" w:hAnsi="Times New Roman"/>
          <w:sz w:val="28"/>
          <w:szCs w:val="28"/>
        </w:rPr>
        <w:t>Tribunal</w:t>
      </w:r>
      <w:r w:rsidRPr="00DF77C8">
        <w:rPr>
          <w:rFonts w:ascii="Times New Roman" w:hAnsi="Times New Roman"/>
          <w:sz w:val="28"/>
          <w:szCs w:val="28"/>
        </w:rPr>
        <w:t xml:space="preserve"> respecto a los aforados constitucionales.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Al contrario, de la revisión de los antecedentes legislativos se observa que</w:t>
      </w:r>
      <w:r w:rsidRPr="00DF77C8">
        <w:rPr>
          <w:rFonts w:ascii="Times New Roman" w:hAnsi="Times New Roman"/>
          <w:sz w:val="28"/>
          <w:szCs w:val="28"/>
        </w:rPr>
        <w:t xml:space="preserve"> en términos de jurisdicción y competencia se hace referencia a los jueces que ejercen la función de control de garantías, juez o magistrado</w:t>
      </w:r>
      <w:r w:rsidRPr="00DF77C8">
        <w:rPr>
          <w:rFonts w:ascii="Times New Roman" w:hAnsi="Times New Roman"/>
          <w:sz w:val="28"/>
          <w:szCs w:val="28"/>
          <w:vertAlign w:val="superscript"/>
        </w:rPr>
        <w:footnoteReference w:id="89"/>
      </w:r>
      <w:r w:rsidRPr="00DF77C8">
        <w:rPr>
          <w:rFonts w:ascii="Times New Roman" w:hAnsi="Times New Roman"/>
          <w:sz w:val="28"/>
          <w:szCs w:val="28"/>
        </w:rPr>
        <w:t xml:space="preserve"> y en lo referente al ejercicio de los recursos ordinarios y extraordinarios el legislador no realizó ninguna difer</w:t>
      </w:r>
      <w:r w:rsidRPr="00DF77C8">
        <w:rPr>
          <w:rFonts w:ascii="Times New Roman" w:hAnsi="Times New Roman"/>
          <w:sz w:val="28"/>
          <w:szCs w:val="28"/>
        </w:rPr>
        <w:t xml:space="preserve">enciación más allá de las establecidas en la ley, en razón a la calidad del indagado o investigado ni tampoco estableció ninguna excepción respecto a las providencias expedidas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r w:rsidRPr="00DF77C8">
        <w:rPr>
          <w:rFonts w:ascii="Times New Roman" w:hAnsi="Times New Roman"/>
          <w:sz w:val="28"/>
          <w:szCs w:val="28"/>
          <w:vertAlign w:val="superscript"/>
        </w:rPr>
        <w:footnoteReference w:id="90"/>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este contexto, </w:t>
      </w:r>
      <w:r w:rsidRPr="00DF77C8">
        <w:rPr>
          <w:rFonts w:ascii="Times New Roman" w:hAnsi="Times New Roman"/>
          <w:sz w:val="28"/>
          <w:szCs w:val="28"/>
        </w:rPr>
        <w:t xml:space="preserve">las </w:t>
      </w:r>
      <w:r w:rsidRPr="00DF77C8">
        <w:rPr>
          <w:rFonts w:ascii="Times New Roman" w:hAnsi="Times New Roman"/>
          <w:sz w:val="28"/>
          <w:szCs w:val="28"/>
        </w:rPr>
        <w:t>funciones</w:t>
      </w:r>
      <w:r w:rsidRPr="00DF77C8">
        <w:rPr>
          <w:rFonts w:ascii="Times New Roman" w:hAnsi="Times New Roman"/>
          <w:sz w:val="28"/>
          <w:szCs w:val="28"/>
        </w:rPr>
        <w:t xml:space="preserve"> que ejerce</w:t>
      </w:r>
      <w:r w:rsidRPr="00DF77C8">
        <w:rPr>
          <w:rFonts w:ascii="Times New Roman" w:hAnsi="Times New Roman"/>
          <w:sz w:val="28"/>
          <w:szCs w:val="28"/>
        </w:rPr>
        <w:t xml:space="preserve">n un juez penal municipal y un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r w:rsidRPr="00DF77C8">
        <w:rPr>
          <w:rFonts w:ascii="Times New Roman" w:hAnsi="Times New Roman"/>
          <w:sz w:val="28"/>
          <w:szCs w:val="28"/>
        </w:rPr>
        <w:t xml:space="preserve"> cuando realizan </w:t>
      </w:r>
      <w:r w:rsidRPr="00DF77C8">
        <w:rPr>
          <w:rFonts w:ascii="Times New Roman" w:hAnsi="Times New Roman"/>
          <w:sz w:val="28"/>
          <w:szCs w:val="28"/>
        </w:rPr>
        <w:t xml:space="preserve"> control de garantías, respecto </w:t>
      </w:r>
      <w:r w:rsidRPr="00DF77C8">
        <w:rPr>
          <w:rFonts w:ascii="Times New Roman" w:hAnsi="Times New Roman"/>
          <w:sz w:val="28"/>
          <w:szCs w:val="28"/>
        </w:rPr>
        <w:t>de</w:t>
      </w:r>
      <w:r w:rsidRPr="00DF77C8">
        <w:rPr>
          <w:rFonts w:ascii="Times New Roman" w:hAnsi="Times New Roman"/>
          <w:sz w:val="28"/>
          <w:szCs w:val="28"/>
        </w:rPr>
        <w:t xml:space="preserve"> las medidas adoptadas por la Fiscalía General de la Nación y en algunos casos por la Policía J</w:t>
      </w:r>
      <w:r w:rsidRPr="00DF77C8">
        <w:rPr>
          <w:rFonts w:ascii="Times New Roman" w:hAnsi="Times New Roman"/>
          <w:sz w:val="28"/>
          <w:szCs w:val="28"/>
        </w:rPr>
        <w:t>udicial, tal como se encuentran plasmados en la Ley 906 de 2004, son l</w:t>
      </w:r>
      <w:r w:rsidRPr="00DF77C8">
        <w:rPr>
          <w:rFonts w:ascii="Times New Roman" w:hAnsi="Times New Roman"/>
          <w:sz w:val="28"/>
          <w:szCs w:val="28"/>
        </w:rPr>
        <w:t>a</w:t>
      </w:r>
      <w:r w:rsidRPr="00DF77C8">
        <w:rPr>
          <w:rFonts w:ascii="Times New Roman" w:hAnsi="Times New Roman"/>
          <w:sz w:val="28"/>
          <w:szCs w:val="28"/>
        </w:rPr>
        <w:t>s mism</w:t>
      </w:r>
      <w:r w:rsidRPr="00DF77C8">
        <w:rPr>
          <w:rFonts w:ascii="Times New Roman" w:hAnsi="Times New Roman"/>
          <w:sz w:val="28"/>
          <w:szCs w:val="28"/>
        </w:rPr>
        <w:t>a</w:t>
      </w:r>
      <w:r w:rsidRPr="00DF77C8">
        <w:rPr>
          <w:rFonts w:ascii="Times New Roman" w:hAnsi="Times New Roman"/>
          <w:sz w:val="28"/>
          <w:szCs w:val="28"/>
        </w:rPr>
        <w:t>s</w:t>
      </w:r>
      <w:r w:rsidRPr="00DF77C8">
        <w:rPr>
          <w:rFonts w:ascii="Times New Roman" w:hAnsi="Times New Roman"/>
          <w:sz w:val="28"/>
          <w:szCs w:val="28"/>
        </w:rPr>
        <w:t>,</w:t>
      </w:r>
      <w:r w:rsidRPr="00DF77C8">
        <w:rPr>
          <w:rFonts w:ascii="Times New Roman" w:hAnsi="Times New Roman"/>
          <w:sz w:val="28"/>
          <w:szCs w:val="28"/>
        </w:rPr>
        <w:t xml:space="preserve"> pues el legislador no estableció ninguna </w:t>
      </w:r>
      <w:r w:rsidRPr="00DF77C8">
        <w:rPr>
          <w:rFonts w:ascii="Times New Roman" w:hAnsi="Times New Roman"/>
          <w:sz w:val="28"/>
          <w:szCs w:val="28"/>
        </w:rPr>
        <w:t>diferenciación</w:t>
      </w:r>
      <w:r w:rsidRPr="00DF77C8">
        <w:rPr>
          <w:rFonts w:ascii="Times New Roman" w:hAnsi="Times New Roman"/>
          <w:sz w:val="28"/>
          <w:szCs w:val="28"/>
        </w:rPr>
        <w:t xml:space="preserve"> al respecto en esta fase del proceso (etapa preprocesal de indagación y la investigación).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ese sentido, como quedó</w:t>
      </w:r>
      <w:r w:rsidRPr="00DF77C8">
        <w:rPr>
          <w:rFonts w:ascii="Times New Roman" w:hAnsi="Times New Roman"/>
          <w:sz w:val="28"/>
          <w:szCs w:val="28"/>
        </w:rPr>
        <w:t xml:space="preserve"> visto, el juez y el magistrado con funciones de control de garantías ejerce</w:t>
      </w:r>
      <w:r w:rsidRPr="00DF77C8">
        <w:rPr>
          <w:rFonts w:ascii="Times New Roman" w:hAnsi="Times New Roman"/>
          <w:sz w:val="28"/>
          <w:szCs w:val="28"/>
        </w:rPr>
        <w:t>n</w:t>
      </w:r>
      <w:r w:rsidRPr="00DF77C8">
        <w:rPr>
          <w:rFonts w:ascii="Times New Roman" w:hAnsi="Times New Roman"/>
          <w:sz w:val="28"/>
          <w:szCs w:val="28"/>
        </w:rPr>
        <w:t xml:space="preserve"> control sobre la aplicación del principio de oportunidad; la aplicación excepcional de una prueba anticipada; la adopción de medidas necesarias para la protección de víctimas y t</w:t>
      </w:r>
      <w:r w:rsidRPr="00DF77C8">
        <w:rPr>
          <w:rFonts w:ascii="Times New Roman" w:hAnsi="Times New Roman"/>
          <w:sz w:val="28"/>
          <w:szCs w:val="28"/>
        </w:rPr>
        <w:t>estigos; la petición de medida de aseguramiento; la solicitud de medidas cautelares reales; la formulación de imputación; la adopción de medidas que impliquen afectación de los derechos fundamentales; un control posterior sobre los elementos recogidos en r</w:t>
      </w:r>
      <w:r w:rsidRPr="00DF77C8">
        <w:rPr>
          <w:rFonts w:ascii="Times New Roman" w:hAnsi="Times New Roman"/>
          <w:sz w:val="28"/>
          <w:szCs w:val="28"/>
        </w:rPr>
        <w:t xml:space="preserve">egistros, allanamientos e interceptación de comunicaciones y las capturas realizadas por la Fiscalía General de la Nación, entre otros asuntos similares.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tercer lugar, sobre la procedencia de los recursos ordinarios, el artículo </w:t>
      </w:r>
      <w:r w:rsidRPr="00DF77C8">
        <w:rPr>
          <w:rFonts w:ascii="Times New Roman" w:hAnsi="Times New Roman"/>
          <w:sz w:val="28"/>
          <w:szCs w:val="28"/>
        </w:rPr>
        <w:t xml:space="preserve">176 </w:t>
      </w:r>
      <w:r w:rsidRPr="00DF77C8">
        <w:rPr>
          <w:rFonts w:ascii="Times New Roman" w:hAnsi="Times New Roman"/>
          <w:sz w:val="28"/>
          <w:szCs w:val="28"/>
        </w:rPr>
        <w:t>del CPP establece</w:t>
      </w:r>
      <w:r w:rsidRPr="00DF77C8">
        <w:rPr>
          <w:rFonts w:ascii="Times New Roman" w:hAnsi="Times New Roman"/>
          <w:sz w:val="28"/>
          <w:szCs w:val="28"/>
        </w:rPr>
        <w:t xml:space="preserve"> que </w:t>
      </w:r>
      <w:r w:rsidRPr="00DF77C8">
        <w:rPr>
          <w:rFonts w:ascii="Times New Roman" w:hAnsi="Times New Roman"/>
          <w:sz w:val="28"/>
          <w:szCs w:val="28"/>
        </w:rPr>
        <w:t>“</w:t>
      </w:r>
      <w:r w:rsidRPr="00DF77C8">
        <w:rPr>
          <w:rFonts w:ascii="Times New Roman" w:hAnsi="Times New Roman"/>
          <w:b/>
          <w:bCs/>
          <w:sz w:val="28"/>
          <w:szCs w:val="28"/>
        </w:rPr>
        <w:t>La apelación procede, salvo los casos previstos en este código, contra los autos adoptados durante el desarrollo de las audiencias</w:t>
      </w:r>
      <w:r w:rsidRPr="00DF77C8">
        <w:rPr>
          <w:rFonts w:ascii="Times New Roman" w:hAnsi="Times New Roman"/>
          <w:sz w:val="28"/>
          <w:szCs w:val="28"/>
        </w:rPr>
        <w:t xml:space="preserve">, y contra la sentencia condenatoria o absolutoria” (negrilla fuera de texto) y el artículo </w:t>
      </w:r>
      <w:r w:rsidRPr="00DF77C8">
        <w:rPr>
          <w:rFonts w:ascii="Times New Roman" w:hAnsi="Times New Roman"/>
          <w:sz w:val="28"/>
          <w:szCs w:val="28"/>
        </w:rPr>
        <w:t>177 del Código de Procedimie</w:t>
      </w:r>
      <w:r w:rsidRPr="00DF77C8">
        <w:rPr>
          <w:rFonts w:ascii="Times New Roman" w:hAnsi="Times New Roman"/>
          <w:sz w:val="28"/>
          <w:szCs w:val="28"/>
        </w:rPr>
        <w:t>nto Penal</w:t>
      </w:r>
      <w:r w:rsidRPr="00DF77C8">
        <w:rPr>
          <w:rFonts w:ascii="Times New Roman" w:hAnsi="Times New Roman"/>
          <w:sz w:val="28"/>
          <w:szCs w:val="28"/>
        </w:rPr>
        <w:t xml:space="preserve">, </w:t>
      </w:r>
      <w:r w:rsidRPr="00DF77C8">
        <w:rPr>
          <w:rFonts w:ascii="Times New Roman" w:hAnsi="Times New Roman"/>
          <w:sz w:val="28"/>
          <w:szCs w:val="28"/>
        </w:rPr>
        <w:t xml:space="preserve">consagró la procedencia del recurso de apelación en el efecto devolutivo, respecto de las siguientes decisiones que adopta tanto el juez penal municipal como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“1. El auto que resuelve sobre la impos</w:t>
      </w:r>
      <w:r w:rsidRPr="00DF77C8">
        <w:rPr>
          <w:rFonts w:ascii="Times New Roman" w:hAnsi="Times New Roman"/>
          <w:sz w:val="28"/>
          <w:szCs w:val="28"/>
        </w:rPr>
        <w:t>ición, revocatoria o sustitución de una medida de aseguramiento.</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2. El auto que resuelve sobre la imposición de una medida cautelar que afecte bienes del imputado o acusado.</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3. El auto que resuelve sobre la legalización de captura.</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4. El auto que decide</w:t>
      </w:r>
      <w:r w:rsidRPr="00DF77C8">
        <w:rPr>
          <w:rFonts w:ascii="Times New Roman" w:hAnsi="Times New Roman"/>
          <w:sz w:val="28"/>
          <w:szCs w:val="28"/>
        </w:rPr>
        <w:t xml:space="preserve"> sobre el control de legalidad del diligenciamiento de las órdenes de allanamiento y registro, retención de correspondencia, interceptación de comunicaciones o recuperación de información dejada al navegar por Internet u otros medios similares.</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5. El auto</w:t>
      </w:r>
      <w:r w:rsidRPr="00DF77C8">
        <w:rPr>
          <w:rFonts w:ascii="Times New Roman" w:hAnsi="Times New Roman"/>
          <w:sz w:val="28"/>
          <w:szCs w:val="28"/>
        </w:rPr>
        <w:t xml:space="preserve"> que imprueba la aplicación del principio de oportunidad en la etapa de investigación; y</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6. El auto que admite la práctica de la prueba anticipada”.</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w:t>
      </w:r>
      <w:r w:rsidRPr="00DF77C8">
        <w:rPr>
          <w:rFonts w:ascii="Times New Roman" w:hAnsi="Times New Roman"/>
          <w:sz w:val="28"/>
          <w:szCs w:val="28"/>
        </w:rPr>
        <w:t>l legislador dispuso que si el recurso de apelación interpuesto contra los autos de las autoridades judi</w:t>
      </w:r>
      <w:r w:rsidRPr="00DF77C8">
        <w:rPr>
          <w:rFonts w:ascii="Times New Roman" w:hAnsi="Times New Roman"/>
          <w:sz w:val="28"/>
          <w:szCs w:val="28"/>
        </w:rPr>
        <w:t xml:space="preserve">ciales (dentro de las que se encuentran los jueces con función de control de garantías), fue sustentado en debida forma, deberá concederse inmediatamente ante </w:t>
      </w:r>
      <w:r w:rsidRPr="00DF77C8">
        <w:rPr>
          <w:rFonts w:ascii="Times New Roman" w:hAnsi="Times New Roman"/>
          <w:sz w:val="28"/>
          <w:szCs w:val="28"/>
        </w:rPr>
        <w:t>su superior</w:t>
      </w:r>
      <w:r w:rsidRPr="00DF77C8">
        <w:rPr>
          <w:rFonts w:ascii="Times New Roman" w:hAnsi="Times New Roman"/>
          <w:sz w:val="28"/>
          <w:szCs w:val="28"/>
        </w:rPr>
        <w:t xml:space="preserve"> en el efecto anotado en el artículo anterior. </w:t>
      </w:r>
    </w:p>
    <w:p w:rsidR="00801F94" w:rsidRPr="00DF77C8" w:rsidRDefault="00DF77C8" w:rsidP="008A4B21">
      <w:pPr>
        <w:ind w:left="566"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De igual manera, el artículo 20 de la</w:t>
      </w:r>
      <w:r w:rsidRPr="00DF77C8">
        <w:rPr>
          <w:rFonts w:ascii="Times New Roman" w:hAnsi="Times New Roman"/>
          <w:sz w:val="28"/>
          <w:szCs w:val="28"/>
        </w:rPr>
        <w:t xml:space="preserve"> Ley 906 de 2004 establece respecto a la doble instancia, que las sentencias y los autos relacionados con (i) la libertad del imputado o acusado, (ii) que afecten la práctica de las pruebas o (ii) que tengan efectos patrimoniales serán susceptibles del rec</w:t>
      </w:r>
      <w:r w:rsidRPr="00DF77C8">
        <w:rPr>
          <w:rFonts w:ascii="Times New Roman" w:hAnsi="Times New Roman"/>
          <w:sz w:val="28"/>
          <w:szCs w:val="28"/>
        </w:rPr>
        <w:t xml:space="preserve">urso de apelación, con las excepciones establecidas por el legislador.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Como se ve, en las disposiciones anteriormente señaladas, la Sala observa que no se estableció ninguna excepción para el ejercicio del recurso de apelación respecto </w:t>
      </w:r>
      <w:r w:rsidRPr="00DF77C8">
        <w:rPr>
          <w:rFonts w:ascii="Times New Roman" w:hAnsi="Times New Roman"/>
          <w:sz w:val="28"/>
          <w:szCs w:val="28"/>
        </w:rPr>
        <w:t>de</w:t>
      </w:r>
      <w:r w:rsidRPr="00DF77C8">
        <w:rPr>
          <w:rFonts w:ascii="Times New Roman" w:hAnsi="Times New Roman"/>
          <w:sz w:val="28"/>
          <w:szCs w:val="28"/>
        </w:rPr>
        <w:t xml:space="preserve"> las decisiones </w:t>
      </w:r>
      <w:r w:rsidRPr="00DF77C8">
        <w:rPr>
          <w:rFonts w:ascii="Times New Roman" w:hAnsi="Times New Roman"/>
          <w:sz w:val="28"/>
          <w:szCs w:val="28"/>
        </w:rPr>
        <w:t xml:space="preserve">proferidas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cuando ejerce la función de juez de control de garantías. </w:t>
      </w:r>
    </w:p>
    <w:p w:rsidR="00C429C6" w:rsidRPr="00DF77C8" w:rsidRDefault="00DF77C8" w:rsidP="008A4B21">
      <w:pPr>
        <w:pStyle w:val="Prrafodelista"/>
        <w:rPr>
          <w:rFonts w:ascii="Times New Roman" w:hAnsi="Times New Roman"/>
          <w:sz w:val="28"/>
          <w:szCs w:val="28"/>
        </w:rPr>
      </w:pPr>
    </w:p>
    <w:p w:rsidR="00C81278"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sz w:val="28"/>
          <w:szCs w:val="28"/>
        </w:rPr>
        <w:t>De la misma forma</w:t>
      </w:r>
      <w:r w:rsidRPr="00DF77C8">
        <w:rPr>
          <w:rFonts w:ascii="Times New Roman" w:hAnsi="Times New Roman"/>
          <w:sz w:val="28"/>
          <w:szCs w:val="28"/>
        </w:rPr>
        <w:t>,</w:t>
      </w:r>
      <w:r w:rsidRPr="00DF77C8">
        <w:rPr>
          <w:rFonts w:ascii="Times New Roman" w:hAnsi="Times New Roman"/>
          <w:sz w:val="28"/>
          <w:szCs w:val="28"/>
        </w:rPr>
        <w:t xml:space="preserve"> con respecto al </w:t>
      </w:r>
      <w:r w:rsidRPr="00DF77C8">
        <w:rPr>
          <w:rFonts w:ascii="Times New Roman" w:hAnsi="Times New Roman"/>
          <w:color w:val="000000"/>
          <w:sz w:val="28"/>
          <w:szCs w:val="28"/>
        </w:rPr>
        <w:t xml:space="preserve">parámetro de control constitucional para el análisis del cargo de omisión legislativa relativa expuesto </w:t>
      </w:r>
      <w:r w:rsidRPr="00DF77C8">
        <w:rPr>
          <w:rFonts w:ascii="Times New Roman" w:hAnsi="Times New Roman"/>
          <w:color w:val="000000"/>
          <w:sz w:val="28"/>
          <w:szCs w:val="28"/>
        </w:rPr>
        <w:t>por el demandante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la Sala plena considera que es preciso </w:t>
      </w:r>
      <w:r w:rsidRPr="00DF77C8">
        <w:rPr>
          <w:rFonts w:ascii="Times New Roman" w:hAnsi="Times New Roman"/>
          <w:color w:val="000000"/>
          <w:sz w:val="28"/>
          <w:szCs w:val="28"/>
        </w:rPr>
        <w:t>valorar</w:t>
      </w:r>
      <w:r w:rsidRPr="00DF77C8">
        <w:rPr>
          <w:rFonts w:ascii="Times New Roman" w:hAnsi="Times New Roman"/>
          <w:color w:val="000000"/>
          <w:sz w:val="28"/>
          <w:szCs w:val="28"/>
        </w:rPr>
        <w:t xml:space="preserve"> dos momentos</w:t>
      </w:r>
      <w:r w:rsidRPr="00DF77C8">
        <w:rPr>
          <w:rFonts w:ascii="Times New Roman" w:hAnsi="Times New Roman"/>
          <w:color w:val="000000"/>
          <w:sz w:val="28"/>
          <w:szCs w:val="28"/>
        </w:rPr>
        <w:t xml:space="preserve">: </w:t>
      </w:r>
      <w:r w:rsidRPr="00DF77C8">
        <w:rPr>
          <w:rFonts w:ascii="Times New Roman" w:hAnsi="Times New Roman"/>
          <w:i/>
          <w:iCs/>
          <w:color w:val="000000"/>
          <w:sz w:val="28"/>
          <w:szCs w:val="28"/>
        </w:rPr>
        <w:t>(i)</w:t>
      </w:r>
      <w:r w:rsidRPr="00DF77C8">
        <w:rPr>
          <w:rFonts w:ascii="Times New Roman" w:hAnsi="Times New Roman"/>
          <w:color w:val="000000"/>
          <w:sz w:val="28"/>
          <w:szCs w:val="28"/>
        </w:rPr>
        <w:t xml:space="preserve"> el anterior a la Sentencia C-792 de 2014</w:t>
      </w:r>
      <w:r w:rsidRPr="00DF77C8">
        <w:rPr>
          <w:rStyle w:val="Refdenotaalpie"/>
          <w:rFonts w:ascii="Times New Roman" w:hAnsi="Times New Roman"/>
          <w:color w:val="000000"/>
          <w:sz w:val="28"/>
          <w:szCs w:val="28"/>
        </w:rPr>
        <w:footnoteReference w:id="91"/>
      </w:r>
      <w:r w:rsidRPr="00DF77C8">
        <w:rPr>
          <w:rFonts w:ascii="Times New Roman" w:hAnsi="Times New Roman"/>
          <w:color w:val="000000"/>
          <w:sz w:val="28"/>
          <w:szCs w:val="28"/>
        </w:rPr>
        <w:t xml:space="preserve">, que conllevó la expedición del Acto Legislativo 01 de 2018, y </w:t>
      </w:r>
      <w:r w:rsidRPr="00DF77C8">
        <w:rPr>
          <w:rFonts w:ascii="Times New Roman" w:hAnsi="Times New Roman"/>
          <w:i/>
          <w:iCs/>
          <w:color w:val="000000"/>
          <w:sz w:val="28"/>
          <w:szCs w:val="28"/>
        </w:rPr>
        <w:t>(ii)</w:t>
      </w:r>
      <w:r w:rsidRPr="00DF77C8">
        <w:rPr>
          <w:rFonts w:ascii="Times New Roman" w:hAnsi="Times New Roman"/>
          <w:color w:val="000000"/>
          <w:sz w:val="28"/>
          <w:szCs w:val="28"/>
        </w:rPr>
        <w:t xml:space="preserve"> el posterior a dicha reforma constitucional, mediante la cual, para garantizar la doble conformidad, se crearon las Salas Especiales de la Sala de Casación Penal de la Corte Suprema de Ju</w:t>
      </w:r>
      <w:r w:rsidRPr="00DF77C8">
        <w:rPr>
          <w:rFonts w:ascii="Times New Roman" w:hAnsi="Times New Roman"/>
          <w:color w:val="000000"/>
          <w:sz w:val="28"/>
          <w:szCs w:val="28"/>
        </w:rPr>
        <w:t>sticia</w:t>
      </w:r>
      <w:r w:rsidRPr="00DF77C8">
        <w:rPr>
          <w:rStyle w:val="Refdenotaalpie"/>
          <w:rFonts w:ascii="Times New Roman" w:hAnsi="Times New Roman"/>
          <w:color w:val="000000"/>
          <w:sz w:val="28"/>
          <w:szCs w:val="28"/>
        </w:rPr>
        <w:footnoteReference w:id="92"/>
      </w:r>
      <w:r w:rsidRPr="00DF77C8">
        <w:rPr>
          <w:rFonts w:ascii="Times New Roman" w:hAnsi="Times New Roman"/>
          <w:color w:val="000000"/>
          <w:sz w:val="28"/>
          <w:szCs w:val="28"/>
        </w:rPr>
        <w:t xml:space="preserve">. </w:t>
      </w:r>
    </w:p>
    <w:p w:rsidR="003D08ED" w:rsidRPr="00DF77C8" w:rsidRDefault="00DF77C8" w:rsidP="008A4B21">
      <w:pPr>
        <w:pStyle w:val="Prrafodelista"/>
        <w:tabs>
          <w:tab w:val="left" w:pos="567"/>
        </w:tabs>
        <w:ind w:left="0" w:right="-26"/>
        <w:jc w:val="both"/>
        <w:rPr>
          <w:rFonts w:ascii="Times New Roman" w:hAnsi="Times New Roman"/>
          <w:color w:val="000000"/>
          <w:sz w:val="28"/>
          <w:szCs w:val="28"/>
        </w:rPr>
      </w:pPr>
    </w:p>
    <w:p w:rsidR="00C81278" w:rsidRPr="00DF77C8" w:rsidRDefault="00DF77C8" w:rsidP="008A4B21">
      <w:pPr>
        <w:pStyle w:val="Prrafodelista"/>
        <w:numPr>
          <w:ilvl w:val="0"/>
          <w:numId w:val="2"/>
        </w:numPr>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w:t>
      </w:r>
      <w:r w:rsidRPr="00DF77C8">
        <w:rPr>
          <w:rFonts w:ascii="Times New Roman" w:hAnsi="Times New Roman"/>
          <w:color w:val="000000"/>
          <w:sz w:val="28"/>
          <w:szCs w:val="28"/>
        </w:rPr>
        <w:t>esa primera etapa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la Corte encuentra</w:t>
      </w:r>
      <w:r w:rsidRPr="00DF77C8">
        <w:rPr>
          <w:rFonts w:ascii="Times New Roman" w:hAnsi="Times New Roman"/>
          <w:color w:val="000000"/>
          <w:sz w:val="28"/>
          <w:szCs w:val="28"/>
        </w:rPr>
        <w:t xml:space="preserve"> plausible la postura sostenida por la Sala de Casación Penal, en cuanto </w:t>
      </w:r>
      <w:r w:rsidRPr="00DF77C8">
        <w:rPr>
          <w:rFonts w:ascii="Times New Roman" w:hAnsi="Times New Roman"/>
          <w:color w:val="000000"/>
          <w:sz w:val="28"/>
          <w:szCs w:val="28"/>
        </w:rPr>
        <w:t xml:space="preserve">a </w:t>
      </w:r>
      <w:r w:rsidRPr="00DF77C8">
        <w:rPr>
          <w:rFonts w:ascii="Times New Roman" w:hAnsi="Times New Roman"/>
          <w:color w:val="000000"/>
          <w:sz w:val="28"/>
          <w:szCs w:val="28"/>
        </w:rPr>
        <w:t xml:space="preserve">que dicho </w:t>
      </w:r>
      <w:r w:rsidRPr="00DF77C8">
        <w:rPr>
          <w:rFonts w:ascii="Times New Roman" w:hAnsi="Times New Roman"/>
          <w:color w:val="000000"/>
          <w:sz w:val="28"/>
          <w:szCs w:val="28"/>
        </w:rPr>
        <w:t>T</w:t>
      </w:r>
      <w:r w:rsidRPr="00DF77C8">
        <w:rPr>
          <w:rFonts w:ascii="Times New Roman" w:hAnsi="Times New Roman"/>
          <w:color w:val="000000"/>
          <w:sz w:val="28"/>
          <w:szCs w:val="28"/>
        </w:rPr>
        <w:t>ribunal no era competente para conocer las apelaciones de los autos de garantías proferidos por el Tribunal Superior de</w:t>
      </w:r>
      <w:r w:rsidRPr="00DF77C8">
        <w:rPr>
          <w:rFonts w:ascii="Times New Roman" w:hAnsi="Times New Roman"/>
          <w:color w:val="000000"/>
          <w:sz w:val="28"/>
          <w:szCs w:val="28"/>
        </w:rPr>
        <w:t xml:space="preserve"> Bogotá, ya que dichas actuaciones se daban dentro de un proceso de única instancia y, de conocerlos, se generaba el impedimento consagrado en el numeral 1.º del artículo 250 de la Constitución Política.</w:t>
      </w:r>
    </w:p>
    <w:p w:rsidR="00C81278" w:rsidRPr="00DF77C8" w:rsidRDefault="00DF77C8" w:rsidP="008A4B21">
      <w:pPr>
        <w:pStyle w:val="Prrafodelista"/>
        <w:rPr>
          <w:rFonts w:ascii="Times New Roman" w:hAnsi="Times New Roman"/>
          <w:color w:val="000000"/>
          <w:sz w:val="28"/>
          <w:szCs w:val="28"/>
        </w:rPr>
      </w:pPr>
    </w:p>
    <w:p w:rsidR="00C81278" w:rsidRPr="00DF77C8" w:rsidRDefault="00DF77C8" w:rsidP="008A4B21">
      <w:pPr>
        <w:pStyle w:val="Prrafodelista"/>
        <w:numPr>
          <w:ilvl w:val="0"/>
          <w:numId w:val="2"/>
        </w:numPr>
        <w:ind w:left="0" w:firstLine="0"/>
        <w:jc w:val="both"/>
        <w:rPr>
          <w:rFonts w:ascii="Times New Roman" w:hAnsi="Times New Roman"/>
          <w:color w:val="000000"/>
          <w:sz w:val="28"/>
          <w:szCs w:val="28"/>
        </w:rPr>
      </w:pPr>
      <w:r w:rsidRPr="00DF77C8">
        <w:rPr>
          <w:rFonts w:ascii="Times New Roman" w:hAnsi="Times New Roman"/>
          <w:color w:val="000000"/>
          <w:sz w:val="28"/>
          <w:szCs w:val="28"/>
        </w:rPr>
        <w:t>No obstante, con el nuevo parámetro de control cons</w:t>
      </w:r>
      <w:r w:rsidRPr="00DF77C8">
        <w:rPr>
          <w:rFonts w:ascii="Times New Roman" w:hAnsi="Times New Roman"/>
          <w:color w:val="000000"/>
          <w:sz w:val="28"/>
          <w:szCs w:val="28"/>
        </w:rPr>
        <w:t xml:space="preserve">titucional, a partir del Acto Legislativo 01 de 2018, las anteriores premisas cambiaron, pues ya no se trata de procesos de única instancia y es </w:t>
      </w:r>
      <w:r w:rsidRPr="00DF77C8">
        <w:rPr>
          <w:rFonts w:ascii="Times New Roman" w:hAnsi="Times New Roman"/>
          <w:color w:val="000000"/>
          <w:sz w:val="28"/>
          <w:szCs w:val="28"/>
        </w:rPr>
        <w:t>admisible</w:t>
      </w:r>
      <w:r w:rsidRPr="00DF77C8">
        <w:rPr>
          <w:rFonts w:ascii="Times New Roman" w:hAnsi="Times New Roman"/>
          <w:color w:val="000000"/>
          <w:sz w:val="28"/>
          <w:szCs w:val="28"/>
        </w:rPr>
        <w:t xml:space="preserve"> que alguna de las Salas </w:t>
      </w:r>
      <w:r w:rsidRPr="00DF77C8">
        <w:rPr>
          <w:rFonts w:ascii="Times New Roman" w:hAnsi="Times New Roman"/>
          <w:color w:val="000000"/>
          <w:sz w:val="28"/>
          <w:szCs w:val="28"/>
        </w:rPr>
        <w:t xml:space="preserve">que conforman </w:t>
      </w:r>
      <w:r w:rsidRPr="00DF77C8">
        <w:rPr>
          <w:rFonts w:ascii="Times New Roman" w:hAnsi="Times New Roman"/>
          <w:color w:val="000000"/>
          <w:sz w:val="28"/>
          <w:szCs w:val="28"/>
        </w:rPr>
        <w:t xml:space="preserve">la Sala </w:t>
      </w:r>
      <w:r w:rsidRPr="00DF77C8">
        <w:rPr>
          <w:rFonts w:ascii="Times New Roman" w:hAnsi="Times New Roman"/>
          <w:color w:val="000000"/>
          <w:sz w:val="28"/>
          <w:szCs w:val="28"/>
        </w:rPr>
        <w:t xml:space="preserve">de Casación </w:t>
      </w:r>
      <w:r w:rsidRPr="00DF77C8">
        <w:rPr>
          <w:rFonts w:ascii="Times New Roman" w:hAnsi="Times New Roman"/>
          <w:color w:val="000000"/>
          <w:sz w:val="28"/>
          <w:szCs w:val="28"/>
        </w:rPr>
        <w:t>Penal de la Corte Suprema de Justicia pueda</w:t>
      </w:r>
      <w:r w:rsidRPr="00DF77C8">
        <w:rPr>
          <w:rFonts w:ascii="Times New Roman" w:hAnsi="Times New Roman"/>
          <w:color w:val="000000"/>
          <w:sz w:val="28"/>
          <w:szCs w:val="28"/>
        </w:rPr>
        <w:t xml:space="preserve"> conocer el recurso de apelación sin quedar impedida</w:t>
      </w:r>
      <w:r w:rsidRPr="00DF77C8">
        <w:rPr>
          <w:rFonts w:ascii="Times New Roman" w:hAnsi="Times New Roman"/>
          <w:color w:val="000000"/>
          <w:sz w:val="28"/>
          <w:szCs w:val="28"/>
        </w:rPr>
        <w:t>.</w:t>
      </w:r>
    </w:p>
    <w:p w:rsidR="00C81278" w:rsidRPr="00DF77C8" w:rsidRDefault="00DF77C8" w:rsidP="008A4B21">
      <w:pPr>
        <w:pStyle w:val="Prrafodelista"/>
        <w:rPr>
          <w:rFonts w:ascii="Times New Roman" w:hAnsi="Times New Roman"/>
          <w:color w:val="000000"/>
          <w:sz w:val="28"/>
          <w:szCs w:val="28"/>
        </w:rPr>
      </w:pPr>
    </w:p>
    <w:p w:rsidR="00C81278" w:rsidRPr="00DF77C8" w:rsidRDefault="00DF77C8" w:rsidP="008A4B21">
      <w:pPr>
        <w:pStyle w:val="Prrafodelista"/>
        <w:numPr>
          <w:ilvl w:val="0"/>
          <w:numId w:val="2"/>
        </w:numPr>
        <w:ind w:left="0" w:firstLine="0"/>
        <w:jc w:val="both"/>
        <w:rPr>
          <w:rFonts w:ascii="Times New Roman" w:hAnsi="Times New Roman"/>
          <w:color w:val="000000"/>
          <w:sz w:val="28"/>
          <w:szCs w:val="28"/>
        </w:rPr>
      </w:pPr>
      <w:r w:rsidRPr="00DF77C8">
        <w:rPr>
          <w:rFonts w:ascii="Times New Roman" w:hAnsi="Times New Roman"/>
          <w:color w:val="000000"/>
          <w:sz w:val="28"/>
          <w:szCs w:val="28"/>
        </w:rPr>
        <w:t xml:space="preserve">Para </w:t>
      </w:r>
      <w:r w:rsidRPr="00DF77C8">
        <w:rPr>
          <w:rFonts w:ascii="Times New Roman" w:hAnsi="Times New Roman"/>
          <w:color w:val="000000"/>
          <w:sz w:val="28"/>
          <w:szCs w:val="28"/>
        </w:rPr>
        <w:t>esta Corporación</w:t>
      </w:r>
      <w:r w:rsidRPr="00DF77C8">
        <w:rPr>
          <w:rFonts w:ascii="Times New Roman" w:hAnsi="Times New Roman"/>
          <w:color w:val="000000"/>
          <w:sz w:val="28"/>
          <w:szCs w:val="28"/>
        </w:rPr>
        <w:t>, ante el aludido cambio de parámetro</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es </w:t>
      </w:r>
      <w:r w:rsidRPr="00DF77C8">
        <w:rPr>
          <w:rFonts w:ascii="Times New Roman" w:hAnsi="Times New Roman"/>
          <w:color w:val="000000"/>
          <w:sz w:val="28"/>
          <w:szCs w:val="28"/>
        </w:rPr>
        <w:t>válido afirmar que los</w:t>
      </w:r>
      <w:r w:rsidRPr="00DF77C8">
        <w:rPr>
          <w:rFonts w:ascii="Times New Roman" w:hAnsi="Times New Roman"/>
          <w:color w:val="000000"/>
          <w:sz w:val="28"/>
          <w:szCs w:val="28"/>
        </w:rPr>
        <w:t xml:space="preserve"> procesos </w:t>
      </w:r>
      <w:r w:rsidRPr="00DF77C8">
        <w:rPr>
          <w:rFonts w:ascii="Times New Roman" w:hAnsi="Times New Roman"/>
          <w:color w:val="000000"/>
          <w:sz w:val="28"/>
          <w:szCs w:val="28"/>
        </w:rPr>
        <w:t>adelantados</w:t>
      </w:r>
      <w:r w:rsidRPr="00DF77C8">
        <w:rPr>
          <w:rFonts w:ascii="Times New Roman" w:hAnsi="Times New Roman"/>
          <w:color w:val="000000"/>
          <w:sz w:val="28"/>
          <w:szCs w:val="28"/>
        </w:rPr>
        <w:t xml:space="preserve"> contra aforados constitucionales y legales</w:t>
      </w:r>
      <w:r w:rsidRPr="00DF77C8">
        <w:rPr>
          <w:rFonts w:ascii="Times New Roman" w:hAnsi="Times New Roman"/>
          <w:color w:val="000000"/>
          <w:sz w:val="28"/>
          <w:szCs w:val="28"/>
        </w:rPr>
        <w:t xml:space="preserve"> son de doble instancia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y </w:t>
      </w:r>
      <w:r w:rsidRPr="00DF77C8">
        <w:rPr>
          <w:rFonts w:ascii="Times New Roman" w:hAnsi="Times New Roman"/>
          <w:color w:val="000000"/>
          <w:sz w:val="28"/>
          <w:szCs w:val="28"/>
        </w:rPr>
        <w:t xml:space="preserve">le corresponde </w:t>
      </w:r>
      <w:r w:rsidRPr="00DF77C8">
        <w:rPr>
          <w:rFonts w:ascii="Times New Roman" w:hAnsi="Times New Roman"/>
          <w:color w:val="000000"/>
          <w:sz w:val="28"/>
          <w:szCs w:val="28"/>
        </w:rPr>
        <w:t xml:space="preserve">a su </w:t>
      </w:r>
      <w:r w:rsidRPr="00DF77C8">
        <w:rPr>
          <w:rFonts w:ascii="Times New Roman" w:hAnsi="Times New Roman"/>
          <w:color w:val="000000"/>
          <w:sz w:val="28"/>
          <w:szCs w:val="28"/>
        </w:rPr>
        <w:t>superior</w:t>
      </w:r>
      <w:r w:rsidRPr="00DF77C8">
        <w:rPr>
          <w:rFonts w:ascii="Times New Roman" w:hAnsi="Times New Roman"/>
          <w:color w:val="000000"/>
          <w:sz w:val="28"/>
          <w:szCs w:val="28"/>
        </w:rPr>
        <w:t xml:space="preserve"> conocer de los recursos de apelación -en este caso </w:t>
      </w:r>
      <w:r w:rsidRPr="00DF77C8">
        <w:rPr>
          <w:rFonts w:ascii="Times New Roman" w:hAnsi="Times New Roman"/>
          <w:color w:val="000000"/>
          <w:sz w:val="28"/>
          <w:szCs w:val="28"/>
        </w:rPr>
        <w:t>a</w:t>
      </w:r>
      <w:r w:rsidRPr="00DF77C8">
        <w:rPr>
          <w:rFonts w:ascii="Times New Roman" w:hAnsi="Times New Roman"/>
          <w:color w:val="000000"/>
          <w:sz w:val="28"/>
          <w:szCs w:val="28"/>
        </w:rPr>
        <w:t xml:space="preserve"> la Sala Penal de la Corte Suprema de Justicia-</w:t>
      </w:r>
      <w:r w:rsidRPr="00DF77C8">
        <w:rPr>
          <w:rFonts w:ascii="Times New Roman" w:hAnsi="Times New Roman"/>
          <w:color w:val="000000"/>
          <w:sz w:val="28"/>
          <w:szCs w:val="28"/>
        </w:rPr>
        <w:t>.</w:t>
      </w:r>
    </w:p>
    <w:p w:rsidR="006303D9" w:rsidRPr="00DF77C8" w:rsidRDefault="00DF77C8" w:rsidP="008A4B21">
      <w:pPr>
        <w:pStyle w:val="Prrafodelista"/>
        <w:rPr>
          <w:rFonts w:ascii="Times New Roman" w:hAnsi="Times New Roman"/>
          <w:color w:val="000000"/>
          <w:sz w:val="28"/>
          <w:szCs w:val="28"/>
        </w:rPr>
      </w:pPr>
    </w:p>
    <w:p w:rsidR="00C81278" w:rsidRPr="00DF77C8" w:rsidRDefault="00DF77C8" w:rsidP="008A4B21">
      <w:pPr>
        <w:pStyle w:val="Prrafodelista"/>
        <w:numPr>
          <w:ilvl w:val="0"/>
          <w:numId w:val="2"/>
        </w:numPr>
        <w:ind w:left="0" w:firstLine="0"/>
        <w:jc w:val="both"/>
        <w:rPr>
          <w:rFonts w:ascii="Times New Roman" w:hAnsi="Times New Roman"/>
          <w:color w:val="000000"/>
          <w:sz w:val="28"/>
          <w:szCs w:val="28"/>
        </w:rPr>
      </w:pPr>
      <w:r w:rsidRPr="00DF77C8">
        <w:rPr>
          <w:rFonts w:ascii="Times New Roman" w:hAnsi="Times New Roman"/>
          <w:color w:val="000000"/>
          <w:sz w:val="28"/>
          <w:szCs w:val="28"/>
        </w:rPr>
        <w:t>La Ley 906 de 2004 regula el recurso de apelación en materia penal, como ya quedó visto, pero omite – por ser una norma anterior al A</w:t>
      </w:r>
      <w:r w:rsidRPr="00DF77C8">
        <w:rPr>
          <w:rFonts w:ascii="Times New Roman" w:hAnsi="Times New Roman"/>
          <w:color w:val="000000"/>
          <w:sz w:val="28"/>
          <w:szCs w:val="28"/>
        </w:rPr>
        <w:t>cto Legislat</w:t>
      </w:r>
      <w:r w:rsidRPr="00DF77C8">
        <w:rPr>
          <w:rFonts w:ascii="Times New Roman" w:hAnsi="Times New Roman"/>
          <w:color w:val="000000"/>
          <w:sz w:val="28"/>
          <w:szCs w:val="28"/>
        </w:rPr>
        <w:t>ivo</w:t>
      </w:r>
      <w:r w:rsidRPr="00DF77C8">
        <w:rPr>
          <w:rFonts w:ascii="Times New Roman" w:hAnsi="Times New Roman"/>
          <w:color w:val="000000"/>
          <w:sz w:val="28"/>
          <w:szCs w:val="28"/>
        </w:rPr>
        <w:t xml:space="preserve"> 01 de 2018 -señalar qué Sala de la Sala</w:t>
      </w:r>
      <w:r w:rsidRPr="00DF77C8">
        <w:rPr>
          <w:rFonts w:ascii="Times New Roman" w:hAnsi="Times New Roman"/>
          <w:color w:val="000000"/>
          <w:sz w:val="28"/>
          <w:szCs w:val="28"/>
        </w:rPr>
        <w:t xml:space="preserve"> de Casación</w:t>
      </w:r>
      <w:r w:rsidRPr="00DF77C8">
        <w:rPr>
          <w:rFonts w:ascii="Times New Roman" w:hAnsi="Times New Roman"/>
          <w:color w:val="000000"/>
          <w:sz w:val="28"/>
          <w:szCs w:val="28"/>
        </w:rPr>
        <w:t xml:space="preserve"> Penal de la Corte Suprema de Justicia debe conocer dicha impugnación y, en todo caso, no establece el funcionario judicial que debe asumir dicha competencia. </w:t>
      </w:r>
    </w:p>
    <w:p w:rsidR="009A67BD" w:rsidRPr="00DF77C8" w:rsidRDefault="00DF77C8" w:rsidP="008A4B21">
      <w:pPr>
        <w:pStyle w:val="Prrafodelista"/>
        <w:rPr>
          <w:rFonts w:ascii="Times New Roman" w:hAnsi="Times New Roman"/>
          <w:color w:val="000000"/>
          <w:sz w:val="28"/>
          <w:szCs w:val="28"/>
        </w:rPr>
      </w:pPr>
    </w:p>
    <w:p w:rsidR="00801F94" w:rsidRPr="00DF77C8" w:rsidRDefault="00DF77C8" w:rsidP="008A4B21">
      <w:pPr>
        <w:ind w:right="-26"/>
        <w:jc w:val="both"/>
        <w:rPr>
          <w:rFonts w:ascii="Times New Roman" w:hAnsi="Times New Roman"/>
          <w:b/>
          <w:color w:val="000000"/>
          <w:sz w:val="28"/>
          <w:szCs w:val="28"/>
        </w:rPr>
      </w:pPr>
      <w:r w:rsidRPr="00DF77C8">
        <w:rPr>
          <w:rFonts w:ascii="Times New Roman" w:hAnsi="Times New Roman"/>
          <w:b/>
          <w:sz w:val="28"/>
          <w:szCs w:val="28"/>
        </w:rPr>
        <w:t xml:space="preserve">Incumplimiento de un deber específico </w:t>
      </w:r>
      <w:r w:rsidRPr="00DF77C8">
        <w:rPr>
          <w:rFonts w:ascii="Times New Roman" w:hAnsi="Times New Roman"/>
          <w:b/>
          <w:sz w:val="28"/>
          <w:szCs w:val="28"/>
        </w:rPr>
        <w:t>impuesto por el Constituyente.</w:t>
      </w:r>
    </w:p>
    <w:p w:rsidR="00801F94" w:rsidRPr="00DF77C8" w:rsidRDefault="00DF77C8" w:rsidP="008A4B21">
      <w:pPr>
        <w:ind w:left="720" w:right="-26"/>
        <w:jc w:val="both"/>
        <w:rPr>
          <w:rFonts w:ascii="Times New Roman" w:hAnsi="Times New Roman"/>
          <w:b/>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La omisión legislativa relativa alegada incumple con mandatos específicos impuestos por el Constituyente establecidos en </w:t>
      </w:r>
      <w:r w:rsidRPr="00DF77C8">
        <w:rPr>
          <w:rFonts w:ascii="Times New Roman" w:hAnsi="Times New Roman"/>
          <w:sz w:val="28"/>
          <w:szCs w:val="28"/>
        </w:rPr>
        <w:t xml:space="preserve">los </w:t>
      </w:r>
      <w:r w:rsidRPr="00DF77C8">
        <w:rPr>
          <w:rFonts w:ascii="Times New Roman" w:hAnsi="Times New Roman"/>
          <w:sz w:val="28"/>
          <w:szCs w:val="28"/>
        </w:rPr>
        <w:t>artículo</w:t>
      </w:r>
      <w:r w:rsidRPr="00DF77C8">
        <w:rPr>
          <w:rFonts w:ascii="Times New Roman" w:hAnsi="Times New Roman"/>
          <w:sz w:val="28"/>
          <w:szCs w:val="28"/>
        </w:rPr>
        <w:t>s</w:t>
      </w:r>
      <w:r w:rsidRPr="00DF77C8">
        <w:rPr>
          <w:rFonts w:ascii="Times New Roman" w:hAnsi="Times New Roman"/>
          <w:sz w:val="28"/>
          <w:szCs w:val="28"/>
        </w:rPr>
        <w:t xml:space="preserve"> 13, 29</w:t>
      </w:r>
      <w:r w:rsidRPr="00DF77C8">
        <w:rPr>
          <w:rFonts w:ascii="Times New Roman" w:hAnsi="Times New Roman"/>
          <w:sz w:val="28"/>
          <w:szCs w:val="28"/>
        </w:rPr>
        <w:t xml:space="preserve">, </w:t>
      </w:r>
      <w:r w:rsidRPr="00DF77C8">
        <w:rPr>
          <w:rFonts w:ascii="Times New Roman" w:hAnsi="Times New Roman"/>
          <w:sz w:val="28"/>
          <w:szCs w:val="28"/>
        </w:rPr>
        <w:t>229</w:t>
      </w:r>
      <w:r w:rsidRPr="00DF77C8">
        <w:rPr>
          <w:rFonts w:ascii="Times New Roman" w:hAnsi="Times New Roman"/>
          <w:sz w:val="28"/>
          <w:szCs w:val="28"/>
        </w:rPr>
        <w:t>, 234</w:t>
      </w:r>
      <w:r w:rsidRPr="00DF77C8">
        <w:rPr>
          <w:rFonts w:ascii="Times New Roman" w:hAnsi="Times New Roman"/>
          <w:sz w:val="28"/>
          <w:szCs w:val="28"/>
        </w:rPr>
        <w:t xml:space="preserve"> y 235, numeral 2°,</w:t>
      </w:r>
      <w:r w:rsidRPr="00DF77C8">
        <w:rPr>
          <w:rFonts w:ascii="Times New Roman" w:hAnsi="Times New Roman"/>
          <w:sz w:val="28"/>
          <w:szCs w:val="28"/>
        </w:rPr>
        <w:t xml:space="preserve"> de la Constitución Política.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lo relacionado con </w:t>
      </w:r>
      <w:r w:rsidRPr="00DF77C8">
        <w:rPr>
          <w:rFonts w:ascii="Times New Roman" w:hAnsi="Times New Roman"/>
          <w:sz w:val="28"/>
          <w:szCs w:val="28"/>
        </w:rPr>
        <w:t xml:space="preserve">el principio de igualdad procesal, cabe recordar que, según reiterada jurisprudencia constitucional, el legislador puede contemplar el ejercicio de recursos respecto de ciertas actuaciones y excluirlo de otras, siempre y cuando </w:t>
      </w:r>
      <w:r w:rsidRPr="00DF77C8">
        <w:rPr>
          <w:rFonts w:ascii="Times New Roman" w:hAnsi="Times New Roman"/>
          <w:sz w:val="28"/>
          <w:szCs w:val="28"/>
        </w:rPr>
        <w:t>dé</w:t>
      </w:r>
      <w:r w:rsidRPr="00DF77C8">
        <w:rPr>
          <w:rFonts w:ascii="Times New Roman" w:hAnsi="Times New Roman"/>
          <w:sz w:val="28"/>
          <w:szCs w:val="28"/>
        </w:rPr>
        <w:t xml:space="preserve"> cuenta de las razones por</w:t>
      </w:r>
      <w:r w:rsidRPr="00DF77C8">
        <w:rPr>
          <w:rFonts w:ascii="Times New Roman" w:hAnsi="Times New Roman"/>
          <w:sz w:val="28"/>
          <w:szCs w:val="28"/>
        </w:rPr>
        <w:t xml:space="preserve"> las cuales introduce dicha distinción</w:t>
      </w:r>
      <w:r w:rsidRPr="00DF77C8">
        <w:rPr>
          <w:rFonts w:ascii="Times New Roman" w:hAnsi="Times New Roman"/>
          <w:sz w:val="28"/>
          <w:szCs w:val="28"/>
          <w:vertAlign w:val="superscript"/>
        </w:rPr>
        <w:footnoteReference w:id="93"/>
      </w:r>
      <w:r w:rsidRPr="00DF77C8">
        <w:rPr>
          <w:rFonts w:ascii="Times New Roman" w:hAnsi="Times New Roman"/>
          <w:sz w:val="28"/>
          <w:szCs w:val="28"/>
        </w:rPr>
        <w:t>, pues la amplia potestad con la que cuenta el legislador para estructurar el proceso en materia penal no puede confundirse con el ejercicio arbitrario de la misma</w:t>
      </w:r>
      <w:r w:rsidRPr="00DF77C8">
        <w:rPr>
          <w:rFonts w:ascii="Times New Roman" w:hAnsi="Times New Roman"/>
          <w:sz w:val="28"/>
          <w:szCs w:val="28"/>
          <w:vertAlign w:val="superscript"/>
        </w:rPr>
        <w:footnoteReference w:id="94"/>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El asunto objeto de estudio se centra fundamentalmente en la ausencia de regulación expresa por parte del legislador </w:t>
      </w:r>
      <w:r w:rsidRPr="00DF77C8">
        <w:rPr>
          <w:rFonts w:ascii="Times New Roman" w:hAnsi="Times New Roman"/>
          <w:sz w:val="28"/>
          <w:szCs w:val="28"/>
        </w:rPr>
        <w:t>sobre</w:t>
      </w:r>
      <w:r w:rsidRPr="00DF77C8">
        <w:rPr>
          <w:rFonts w:ascii="Times New Roman" w:hAnsi="Times New Roman"/>
          <w:sz w:val="28"/>
          <w:szCs w:val="28"/>
        </w:rPr>
        <w:t xml:space="preserve"> la autoridad judicial que debe conocer del recurso de apelación contra las providencias judiciales que expide el magistrado </w:t>
      </w:r>
      <w:r w:rsidRPr="00DF77C8">
        <w:rPr>
          <w:rFonts w:ascii="Times New Roman" w:hAnsi="Times New Roman"/>
          <w:sz w:val="28"/>
          <w:szCs w:val="28"/>
        </w:rPr>
        <w:t xml:space="preserve">del </w:t>
      </w:r>
      <w:r w:rsidRPr="00DF77C8">
        <w:rPr>
          <w:rFonts w:ascii="Times New Roman" w:hAnsi="Times New Roman"/>
          <w:sz w:val="28"/>
          <w:szCs w:val="28"/>
        </w:rPr>
        <w:t>Tribu</w:t>
      </w:r>
      <w:r w:rsidRPr="00DF77C8">
        <w:rPr>
          <w:rFonts w:ascii="Times New Roman" w:hAnsi="Times New Roman"/>
          <w:sz w:val="28"/>
          <w:szCs w:val="28"/>
        </w:rPr>
        <w:t>nal</w:t>
      </w:r>
      <w:r w:rsidRPr="00DF77C8">
        <w:rPr>
          <w:rFonts w:ascii="Times New Roman" w:hAnsi="Times New Roman"/>
          <w:sz w:val="28"/>
          <w:szCs w:val="28"/>
        </w:rPr>
        <w:t xml:space="preserve"> Superior de Bogotá </w:t>
      </w:r>
      <w:r w:rsidRPr="00DF77C8">
        <w:rPr>
          <w:rFonts w:ascii="Times New Roman" w:hAnsi="Times New Roman"/>
          <w:sz w:val="28"/>
          <w:szCs w:val="28"/>
        </w:rPr>
        <w:t>que ejerce la función de control de garantías</w:t>
      </w:r>
      <w:r w:rsidRPr="00DF77C8">
        <w:rPr>
          <w:rFonts w:ascii="Times New Roman" w:hAnsi="Times New Roman"/>
          <w:sz w:val="28"/>
          <w:szCs w:val="28"/>
        </w:rPr>
        <w:t xml:space="preserve">. Esta </w:t>
      </w:r>
      <w:r w:rsidRPr="00DF77C8">
        <w:rPr>
          <w:rFonts w:ascii="Times New Roman" w:hAnsi="Times New Roman"/>
          <w:sz w:val="28"/>
          <w:szCs w:val="28"/>
        </w:rPr>
        <w:t xml:space="preserve">atribución no se encuentra asignada a la Sala Penal de la Corte Suprema de Justicia, </w:t>
      </w:r>
      <w:r w:rsidRPr="00DF77C8">
        <w:rPr>
          <w:rFonts w:ascii="Times New Roman" w:hAnsi="Times New Roman"/>
          <w:sz w:val="28"/>
          <w:szCs w:val="28"/>
        </w:rPr>
        <w:t xml:space="preserve">a pesar de ser el </w:t>
      </w:r>
      <w:r w:rsidRPr="00DF77C8">
        <w:rPr>
          <w:rFonts w:ascii="Times New Roman" w:hAnsi="Times New Roman"/>
          <w:sz w:val="28"/>
          <w:szCs w:val="28"/>
        </w:rPr>
        <w:t>superior jerárquico</w:t>
      </w:r>
      <w:r w:rsidRPr="00DF77C8">
        <w:rPr>
          <w:rFonts w:ascii="Times New Roman" w:hAnsi="Times New Roman"/>
          <w:sz w:val="28"/>
          <w:szCs w:val="28"/>
        </w:rPr>
        <w:t xml:space="preserve"> o funcional</w:t>
      </w:r>
      <w:r w:rsidRPr="00DF77C8">
        <w:rPr>
          <w:rFonts w:ascii="Times New Roman" w:hAnsi="Times New Roman"/>
          <w:sz w:val="28"/>
          <w:szCs w:val="28"/>
        </w:rPr>
        <w:t xml:space="preserve"> de los </w:t>
      </w:r>
      <w:r w:rsidRPr="00DF77C8">
        <w:rPr>
          <w:rFonts w:ascii="Times New Roman" w:hAnsi="Times New Roman"/>
          <w:sz w:val="28"/>
          <w:szCs w:val="28"/>
        </w:rPr>
        <w:t>Tribunal</w:t>
      </w:r>
      <w:r w:rsidRPr="00DF77C8">
        <w:rPr>
          <w:rFonts w:ascii="Times New Roman" w:hAnsi="Times New Roman"/>
          <w:sz w:val="28"/>
          <w:szCs w:val="28"/>
        </w:rPr>
        <w:t xml:space="preserve">es superiores de distrito. </w:t>
      </w:r>
      <w:r w:rsidRPr="00DF77C8">
        <w:rPr>
          <w:rFonts w:ascii="Times New Roman" w:hAnsi="Times New Roman"/>
          <w:sz w:val="28"/>
          <w:szCs w:val="28"/>
        </w:rPr>
        <w:t>Lo a</w:t>
      </w:r>
      <w:r w:rsidRPr="00DF77C8">
        <w:rPr>
          <w:rFonts w:ascii="Times New Roman" w:hAnsi="Times New Roman"/>
          <w:sz w:val="28"/>
          <w:szCs w:val="28"/>
        </w:rPr>
        <w:t xml:space="preserve">nterior contrasta con lo que ocurre respecto a las </w:t>
      </w:r>
      <w:r w:rsidRPr="00DF77C8">
        <w:rPr>
          <w:rFonts w:ascii="Times New Roman" w:hAnsi="Times New Roman"/>
          <w:sz w:val="28"/>
          <w:szCs w:val="28"/>
        </w:rPr>
        <w:t xml:space="preserve">decisiones adoptadas por el juez penal municipal, pues el legislador consagró de manera expresa que los jueces penales del circuito deben resolver dichos recursos.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Esta diferencia en la regulación ocurre a pesar de que como </w:t>
      </w:r>
      <w:r w:rsidRPr="00DF77C8">
        <w:rPr>
          <w:rFonts w:ascii="Times New Roman" w:hAnsi="Times New Roman"/>
          <w:sz w:val="28"/>
          <w:szCs w:val="28"/>
        </w:rPr>
        <w:t xml:space="preserve">lo expone el mismo demandante y algunos intervinientes, tanto a las personas que tienen fuero constitucional como </w:t>
      </w:r>
      <w:r w:rsidRPr="00DF77C8">
        <w:rPr>
          <w:rFonts w:ascii="Times New Roman" w:hAnsi="Times New Roman"/>
          <w:sz w:val="28"/>
          <w:szCs w:val="28"/>
        </w:rPr>
        <w:t xml:space="preserve">a </w:t>
      </w:r>
      <w:r w:rsidRPr="00DF77C8">
        <w:rPr>
          <w:rFonts w:ascii="Times New Roman" w:hAnsi="Times New Roman"/>
          <w:sz w:val="28"/>
          <w:szCs w:val="28"/>
        </w:rPr>
        <w:t xml:space="preserve">quienes no gozan de esta prerrogativa se les aplica las mismas disposiciones en </w:t>
      </w:r>
      <w:r w:rsidRPr="00DF77C8">
        <w:rPr>
          <w:rFonts w:ascii="Times New Roman" w:hAnsi="Times New Roman"/>
          <w:sz w:val="28"/>
          <w:szCs w:val="28"/>
        </w:rPr>
        <w:t xml:space="preserve">desarrollo de la fase procesal de indagación y de investigación. Por tanto, según lo advirtió esta </w:t>
      </w:r>
      <w:r w:rsidRPr="00DF77C8">
        <w:rPr>
          <w:rFonts w:ascii="Times New Roman" w:hAnsi="Times New Roman"/>
          <w:sz w:val="28"/>
          <w:szCs w:val="28"/>
        </w:rPr>
        <w:t>Corporación</w:t>
      </w:r>
      <w:r w:rsidRPr="00DF77C8">
        <w:rPr>
          <w:rFonts w:ascii="Times New Roman" w:hAnsi="Times New Roman"/>
          <w:sz w:val="28"/>
          <w:szCs w:val="28"/>
        </w:rPr>
        <w:t xml:space="preserve">, de la lectura de las normas relacionadas con la función de control de garantías y que se encuentran en cabeza de los jueces penales municipales </w:t>
      </w:r>
      <w:r w:rsidRPr="00DF77C8">
        <w:rPr>
          <w:rFonts w:ascii="Times New Roman" w:hAnsi="Times New Roman"/>
          <w:sz w:val="28"/>
          <w:szCs w:val="28"/>
        </w:rPr>
        <w:t xml:space="preserve">y del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no se observa ninguna excepción en su aplicación en razón a la calidad del sujeto indagado o investigado</w:t>
      </w:r>
      <w:r w:rsidRPr="00DF77C8">
        <w:rPr>
          <w:rFonts w:ascii="Times New Roman" w:hAnsi="Times New Roman"/>
          <w:sz w:val="28"/>
          <w:szCs w:val="28"/>
        </w:rPr>
        <w:t>, lo cual desconoce lo dispuesto en el artículo 13 superior.</w:t>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Esta</w:t>
      </w:r>
      <w:r w:rsidRPr="00DF77C8">
        <w:rPr>
          <w:rFonts w:ascii="Times New Roman" w:hAnsi="Times New Roman"/>
          <w:sz w:val="28"/>
          <w:szCs w:val="28"/>
        </w:rPr>
        <w:t xml:space="preserve"> omisión</w:t>
      </w:r>
      <w:r w:rsidRPr="00DF77C8">
        <w:rPr>
          <w:rFonts w:ascii="Times New Roman" w:hAnsi="Times New Roman"/>
          <w:sz w:val="28"/>
          <w:szCs w:val="28"/>
        </w:rPr>
        <w:t>,</w:t>
      </w:r>
      <w:r w:rsidRPr="00DF77C8">
        <w:rPr>
          <w:rFonts w:ascii="Times New Roman" w:hAnsi="Times New Roman"/>
          <w:sz w:val="28"/>
          <w:szCs w:val="28"/>
        </w:rPr>
        <w:t xml:space="preserve"> conlleva de igual manera e</w:t>
      </w:r>
      <w:r w:rsidRPr="00DF77C8">
        <w:rPr>
          <w:rFonts w:ascii="Times New Roman" w:hAnsi="Times New Roman"/>
          <w:sz w:val="28"/>
          <w:szCs w:val="28"/>
        </w:rPr>
        <w:t>l desconocimiento del derecho al debido proceso de los aforados constitucionales a los que se refiere el numeral 5°</w:t>
      </w:r>
      <w:r w:rsidRPr="00DF77C8">
        <w:rPr>
          <w:rFonts w:ascii="Times New Roman" w:hAnsi="Times New Roman"/>
          <w:sz w:val="28"/>
          <w:szCs w:val="28"/>
        </w:rPr>
        <w:t>,</w:t>
      </w:r>
      <w:r w:rsidRPr="00DF77C8">
        <w:rPr>
          <w:rFonts w:ascii="Times New Roman" w:hAnsi="Times New Roman"/>
          <w:sz w:val="28"/>
          <w:szCs w:val="28"/>
        </w:rPr>
        <w:t xml:space="preserve"> del artículo 235 superior, en particular, su derecho a la defensa. </w:t>
      </w:r>
      <w:r w:rsidRPr="00DF77C8">
        <w:rPr>
          <w:rFonts w:ascii="Times New Roman" w:hAnsi="Times New Roman"/>
          <w:sz w:val="28"/>
          <w:szCs w:val="28"/>
        </w:rPr>
        <w:t>Esto se debe a que</w:t>
      </w:r>
      <w:r w:rsidRPr="00DF77C8">
        <w:rPr>
          <w:rFonts w:ascii="Times New Roman" w:hAnsi="Times New Roman"/>
          <w:sz w:val="28"/>
          <w:szCs w:val="28"/>
        </w:rPr>
        <w:t xml:space="preserve"> estas personas indagadas o investigadas por la Fiscal</w:t>
      </w:r>
      <w:r w:rsidRPr="00DF77C8">
        <w:rPr>
          <w:rFonts w:ascii="Times New Roman" w:hAnsi="Times New Roman"/>
          <w:sz w:val="28"/>
          <w:szCs w:val="28"/>
        </w:rPr>
        <w:t xml:space="preserve">ía General de la Nación no tienen la posibilidad de que el superior del juez de control de garantías </w:t>
      </w:r>
      <w:r w:rsidRPr="00DF77C8">
        <w:rPr>
          <w:rFonts w:ascii="Times New Roman" w:hAnsi="Times New Roman"/>
          <w:sz w:val="28"/>
          <w:szCs w:val="28"/>
        </w:rPr>
        <w:t>de</w:t>
      </w:r>
      <w:r w:rsidRPr="00DF77C8">
        <w:rPr>
          <w:rFonts w:ascii="Times New Roman" w:hAnsi="Times New Roman"/>
          <w:sz w:val="28"/>
          <w:szCs w:val="28"/>
        </w:rPr>
        <w:t xml:space="preserve"> su caso, resuelva los recursos de apelación contra decisiones relacionadas con la libertad</w:t>
      </w:r>
      <w:r w:rsidRPr="00DF77C8">
        <w:rPr>
          <w:rFonts w:ascii="Times New Roman" w:hAnsi="Times New Roman"/>
          <w:sz w:val="28"/>
          <w:szCs w:val="28"/>
        </w:rPr>
        <w:t>,</w:t>
      </w:r>
      <w:r w:rsidRPr="00DF77C8">
        <w:rPr>
          <w:rFonts w:ascii="Times New Roman" w:hAnsi="Times New Roman"/>
          <w:sz w:val="28"/>
          <w:szCs w:val="28"/>
        </w:rPr>
        <w:t xml:space="preserve"> como órdenes de captura y medidas de aseguramiento; con efectos patrimoniales, allanamientos, incautación de bienes; interceptación de comunicaciones, registros, entre otras o la imposición de medidas que afecten</w:t>
      </w:r>
      <w:r w:rsidRPr="00DF77C8">
        <w:rPr>
          <w:rFonts w:ascii="Times New Roman" w:hAnsi="Times New Roman"/>
          <w:sz w:val="28"/>
          <w:szCs w:val="28"/>
        </w:rPr>
        <w:t xml:space="preserve"> sus</w:t>
      </w:r>
      <w:r w:rsidRPr="00DF77C8">
        <w:rPr>
          <w:rFonts w:ascii="Times New Roman" w:hAnsi="Times New Roman"/>
          <w:sz w:val="28"/>
          <w:szCs w:val="28"/>
        </w:rPr>
        <w:t xml:space="preserve"> derechos fundamentales en esta etapa p</w:t>
      </w:r>
      <w:r w:rsidRPr="00DF77C8">
        <w:rPr>
          <w:rFonts w:ascii="Times New Roman" w:hAnsi="Times New Roman"/>
          <w:sz w:val="28"/>
          <w:szCs w:val="28"/>
        </w:rPr>
        <w:t>rocesal</w:t>
      </w:r>
      <w:r w:rsidRPr="00DF77C8">
        <w:rPr>
          <w:rFonts w:ascii="Times New Roman" w:hAnsi="Times New Roman"/>
          <w:sz w:val="28"/>
          <w:szCs w:val="28"/>
          <w:vertAlign w:val="superscript"/>
        </w:rPr>
        <w:footnoteReference w:id="95"/>
      </w:r>
      <w:r w:rsidRPr="00DF77C8">
        <w:rPr>
          <w:rFonts w:ascii="Times New Roman" w:hAnsi="Times New Roman"/>
          <w:sz w:val="28"/>
          <w:szCs w:val="28"/>
        </w:rPr>
        <w:t xml:space="preserve">. </w:t>
      </w:r>
    </w:p>
    <w:p w:rsidR="00801F94" w:rsidRPr="00DF77C8" w:rsidRDefault="00DF77C8" w:rsidP="008A4B21">
      <w:pPr>
        <w:ind w:left="72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Lo anterior también desconoce el mandato contenido en el artículo 229 de la Constitución</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sobre la tutela judicial efectiva, por cuanto el recurso de apelación contemplado frente a las decisiones que profiere la autoridad judicial que ejerce fu</w:t>
      </w:r>
      <w:r w:rsidRPr="00DF77C8">
        <w:rPr>
          <w:rFonts w:ascii="Times New Roman" w:hAnsi="Times New Roman"/>
          <w:sz w:val="28"/>
          <w:szCs w:val="28"/>
        </w:rPr>
        <w:t xml:space="preserve">nción de control de garantías no puede materializarse en el caso de los indiciados o investigados que tienen fuero constitucional en la etapa del juicio. Tal como lo establece esta </w:t>
      </w:r>
      <w:r w:rsidRPr="00DF77C8">
        <w:rPr>
          <w:rFonts w:ascii="Times New Roman" w:hAnsi="Times New Roman"/>
          <w:sz w:val="28"/>
          <w:szCs w:val="28"/>
        </w:rPr>
        <w:t>Corporación</w:t>
      </w:r>
      <w:r w:rsidRPr="00DF77C8">
        <w:rPr>
          <w:rFonts w:ascii="Times New Roman" w:hAnsi="Times New Roman"/>
          <w:sz w:val="28"/>
          <w:szCs w:val="28"/>
        </w:rPr>
        <w:t xml:space="preserve"> una vez establecido un recurso la persona debe estar en la posi</w:t>
      </w:r>
      <w:r w:rsidRPr="00DF77C8">
        <w:rPr>
          <w:rFonts w:ascii="Times New Roman" w:hAnsi="Times New Roman"/>
          <w:sz w:val="28"/>
          <w:szCs w:val="28"/>
        </w:rPr>
        <w:t>bilidad de hacer efectiva dicha garantía</w:t>
      </w:r>
      <w:r w:rsidRPr="00DF77C8">
        <w:rPr>
          <w:rFonts w:ascii="Times New Roman" w:hAnsi="Times New Roman"/>
          <w:sz w:val="28"/>
          <w:szCs w:val="28"/>
          <w:vertAlign w:val="superscript"/>
        </w:rPr>
        <w:footnoteReference w:id="96"/>
      </w:r>
      <w:r w:rsidRPr="00DF77C8">
        <w:rPr>
          <w:rFonts w:ascii="Times New Roman" w:hAnsi="Times New Roman"/>
          <w:sz w:val="28"/>
          <w:szCs w:val="28"/>
        </w:rPr>
        <w:t xml:space="preserv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Lo anterior, en consonancia con lo establecido en el artículo 25 de la Convención Americana sobre Derechos Humanos, </w:t>
      </w:r>
      <w:r w:rsidRPr="00DF77C8">
        <w:rPr>
          <w:rFonts w:ascii="Times New Roman" w:hAnsi="Times New Roman"/>
          <w:sz w:val="28"/>
          <w:szCs w:val="28"/>
        </w:rPr>
        <w:t>que forma parte del bloque de constitucionalidad en virtud de lo dispuesto por el artículo 93 s</w:t>
      </w:r>
      <w:r w:rsidRPr="00DF77C8">
        <w:rPr>
          <w:rFonts w:ascii="Times New Roman" w:hAnsi="Times New Roman"/>
          <w:sz w:val="28"/>
          <w:szCs w:val="28"/>
        </w:rPr>
        <w:t xml:space="preserve">uperior, </w:t>
      </w:r>
      <w:r w:rsidRPr="00DF77C8">
        <w:rPr>
          <w:rFonts w:ascii="Times New Roman" w:hAnsi="Times New Roman"/>
          <w:sz w:val="28"/>
          <w:szCs w:val="28"/>
        </w:rPr>
        <w:t>que establece que toda persona tiene derecho a un recurso efectivo y rápido que la proteja de actos que vulneren o puedan afectar sus derechos fundamentales y que una vez establecido el mismo en el ordenamiento jurídico corresponde asegurar su eje</w:t>
      </w:r>
      <w:r w:rsidRPr="00DF77C8">
        <w:rPr>
          <w:rFonts w:ascii="Times New Roman" w:hAnsi="Times New Roman"/>
          <w:sz w:val="28"/>
          <w:szCs w:val="28"/>
        </w:rPr>
        <w:t xml:space="preserve">rcicio ante la respectiva autoridad señalada en la ley. </w:t>
      </w:r>
    </w:p>
    <w:p w:rsidR="00801F94" w:rsidRPr="00DF77C8" w:rsidRDefault="00DF77C8" w:rsidP="008A4B21">
      <w:pPr>
        <w:ind w:right="-26"/>
        <w:jc w:val="both"/>
        <w:rPr>
          <w:rFonts w:ascii="Times New Roman" w:hAnsi="Times New Roman"/>
          <w:sz w:val="28"/>
          <w:szCs w:val="28"/>
        </w:rPr>
      </w:pPr>
    </w:p>
    <w:p w:rsidR="002E23EF"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Es importante anotar </w:t>
      </w:r>
      <w:r w:rsidRPr="00DF77C8">
        <w:rPr>
          <w:rFonts w:ascii="Times New Roman" w:hAnsi="Times New Roman"/>
          <w:sz w:val="28"/>
          <w:szCs w:val="28"/>
        </w:rPr>
        <w:t>que, en</w:t>
      </w:r>
      <w:r w:rsidRPr="00DF77C8">
        <w:rPr>
          <w:rFonts w:ascii="Times New Roman" w:hAnsi="Times New Roman"/>
          <w:sz w:val="28"/>
          <w:szCs w:val="28"/>
        </w:rPr>
        <w:t xml:space="preserve"> este caso, el recurso se encuentra consagrado en la ley, no obstante, el acceso al mismo se encuentra restringido respecto de quienes a la luz de la misma fase procesal consagrada en la Ley 906 de 2004, ostentan fuero constitucional por insuficiencia en s</w:t>
      </w:r>
      <w:r w:rsidRPr="00DF77C8">
        <w:rPr>
          <w:rFonts w:ascii="Times New Roman" w:hAnsi="Times New Roman"/>
          <w:sz w:val="28"/>
          <w:szCs w:val="28"/>
        </w:rPr>
        <w:t xml:space="preserve">u desarrollo legislativo. Esto, al no haberse atribuido dicha función de manera expresa </w:t>
      </w:r>
      <w:r w:rsidRPr="00DF77C8">
        <w:rPr>
          <w:rFonts w:ascii="Times New Roman" w:hAnsi="Times New Roman"/>
          <w:sz w:val="28"/>
          <w:szCs w:val="28"/>
        </w:rPr>
        <w:t>a</w:t>
      </w:r>
      <w:r w:rsidRPr="00DF77C8">
        <w:rPr>
          <w:rFonts w:ascii="Times New Roman" w:hAnsi="Times New Roman"/>
          <w:sz w:val="28"/>
          <w:szCs w:val="28"/>
        </w:rPr>
        <w:t xml:space="preserve"> la Sala Penal de la Corte Suprema de Justicia </w:t>
      </w:r>
      <w:r w:rsidRPr="00DF77C8">
        <w:rPr>
          <w:rFonts w:ascii="Times New Roman" w:hAnsi="Times New Roman"/>
          <w:sz w:val="28"/>
          <w:szCs w:val="28"/>
        </w:rPr>
        <w:t>que,</w:t>
      </w:r>
      <w:r w:rsidRPr="00DF77C8">
        <w:rPr>
          <w:rFonts w:ascii="Times New Roman" w:hAnsi="Times New Roman"/>
          <w:sz w:val="28"/>
          <w:szCs w:val="28"/>
        </w:rPr>
        <w:t xml:space="preserve"> para este caso, ostenta la calidad de superior jerárquico</w:t>
      </w:r>
      <w:r w:rsidRPr="00DF77C8">
        <w:rPr>
          <w:rFonts w:ascii="Times New Roman" w:hAnsi="Times New Roman"/>
          <w:sz w:val="28"/>
          <w:szCs w:val="28"/>
        </w:rPr>
        <w:t xml:space="preserve"> o funcional</w:t>
      </w:r>
      <w:r w:rsidRPr="00DF77C8">
        <w:rPr>
          <w:rFonts w:ascii="Times New Roman" w:hAnsi="Times New Roman"/>
          <w:sz w:val="28"/>
          <w:szCs w:val="28"/>
        </w:rPr>
        <w:t xml:space="preserve"> del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w:t>
      </w:r>
      <w:r w:rsidRPr="00DF77C8">
        <w:rPr>
          <w:rFonts w:ascii="Times New Roman" w:hAnsi="Times New Roman"/>
          <w:sz w:val="28"/>
          <w:szCs w:val="28"/>
        </w:rPr>
        <w:t xml:space="preserve">á. Dicha limitación ha sido entendida por esta </w:t>
      </w:r>
      <w:r w:rsidRPr="00DF77C8">
        <w:rPr>
          <w:rFonts w:ascii="Times New Roman" w:hAnsi="Times New Roman"/>
          <w:sz w:val="28"/>
          <w:szCs w:val="28"/>
        </w:rPr>
        <w:t>Corporación</w:t>
      </w:r>
      <w:r w:rsidRPr="00DF77C8">
        <w:rPr>
          <w:rFonts w:ascii="Times New Roman" w:hAnsi="Times New Roman"/>
          <w:sz w:val="28"/>
          <w:szCs w:val="28"/>
        </w:rPr>
        <w:t xml:space="preserve"> como una vulneración de la garantía fundamental del debido proceso por desconocimiento del acceso a la administración de justicia </w:t>
      </w:r>
      <w:r w:rsidRPr="00DF77C8">
        <w:rPr>
          <w:rFonts w:ascii="Times New Roman" w:hAnsi="Times New Roman"/>
          <w:sz w:val="28"/>
          <w:szCs w:val="28"/>
        </w:rPr>
        <w:t>y</w:t>
      </w:r>
      <w:r w:rsidRPr="00DF77C8">
        <w:rPr>
          <w:rFonts w:ascii="Times New Roman" w:hAnsi="Times New Roman"/>
          <w:sz w:val="28"/>
          <w:szCs w:val="28"/>
        </w:rPr>
        <w:t xml:space="preserve"> de la garantía de la doble instancia</w:t>
      </w:r>
      <w:r w:rsidRPr="00DF77C8">
        <w:rPr>
          <w:rFonts w:ascii="Times New Roman" w:hAnsi="Times New Roman"/>
          <w:sz w:val="28"/>
          <w:szCs w:val="28"/>
          <w:vertAlign w:val="superscript"/>
        </w:rPr>
        <w:footnoteReference w:id="97"/>
      </w:r>
      <w:r w:rsidRPr="00DF77C8">
        <w:rPr>
          <w:rFonts w:ascii="Times New Roman" w:hAnsi="Times New Roman"/>
          <w:sz w:val="28"/>
          <w:szCs w:val="28"/>
        </w:rPr>
        <w:t>.</w:t>
      </w:r>
    </w:p>
    <w:p w:rsidR="002E23EF" w:rsidRPr="00DF77C8" w:rsidRDefault="00DF77C8" w:rsidP="008A4B21">
      <w:pPr>
        <w:pStyle w:val="Prrafodelista"/>
        <w:rPr>
          <w:rFonts w:ascii="Times New Roman" w:hAnsi="Times New Roman"/>
          <w:sz w:val="28"/>
          <w:szCs w:val="28"/>
        </w:rPr>
      </w:pPr>
    </w:p>
    <w:p w:rsidR="009C6E42"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igual sentido, </w:t>
      </w:r>
      <w:r w:rsidRPr="00DF77C8">
        <w:rPr>
          <w:rFonts w:ascii="Times New Roman" w:hAnsi="Times New Roman"/>
          <w:sz w:val="28"/>
          <w:szCs w:val="28"/>
        </w:rPr>
        <w:t>el deb</w:t>
      </w:r>
      <w:r w:rsidRPr="00DF77C8">
        <w:rPr>
          <w:rFonts w:ascii="Times New Roman" w:hAnsi="Times New Roman"/>
          <w:sz w:val="28"/>
          <w:szCs w:val="28"/>
        </w:rPr>
        <w:t>er omitido tiene sustento en lo</w:t>
      </w:r>
      <w:r w:rsidRPr="00DF77C8">
        <w:rPr>
          <w:rFonts w:ascii="Times New Roman" w:hAnsi="Times New Roman"/>
          <w:sz w:val="28"/>
          <w:szCs w:val="28"/>
        </w:rPr>
        <w:t xml:space="preserve"> establecido </w:t>
      </w:r>
      <w:r w:rsidRPr="00DF77C8">
        <w:rPr>
          <w:rFonts w:ascii="Times New Roman" w:hAnsi="Times New Roman"/>
          <w:sz w:val="28"/>
          <w:szCs w:val="28"/>
        </w:rPr>
        <w:t>en</w:t>
      </w:r>
      <w:r w:rsidRPr="00DF77C8">
        <w:rPr>
          <w:rFonts w:ascii="Times New Roman" w:hAnsi="Times New Roman"/>
          <w:sz w:val="28"/>
          <w:szCs w:val="28"/>
        </w:rPr>
        <w:t xml:space="preserve"> el artículo 234</w:t>
      </w:r>
      <w:r w:rsidRPr="00DF77C8">
        <w:rPr>
          <w:rFonts w:ascii="Times New Roman" w:hAnsi="Times New Roman"/>
          <w:sz w:val="28"/>
          <w:szCs w:val="28"/>
        </w:rPr>
        <w:t xml:space="preserve"> </w:t>
      </w:r>
      <w:r w:rsidRPr="00DF77C8">
        <w:rPr>
          <w:rFonts w:ascii="Times New Roman" w:hAnsi="Times New Roman"/>
          <w:sz w:val="28"/>
          <w:szCs w:val="28"/>
        </w:rPr>
        <w:t>superior, el</w:t>
      </w:r>
      <w:r w:rsidRPr="00DF77C8">
        <w:rPr>
          <w:rFonts w:ascii="Times New Roman" w:hAnsi="Times New Roman"/>
          <w:sz w:val="28"/>
          <w:szCs w:val="28"/>
        </w:rPr>
        <w:t xml:space="preserve"> </w:t>
      </w:r>
      <w:r w:rsidRPr="00DF77C8">
        <w:rPr>
          <w:rFonts w:ascii="Times New Roman" w:hAnsi="Times New Roman"/>
          <w:sz w:val="28"/>
          <w:szCs w:val="28"/>
        </w:rPr>
        <w:t xml:space="preserve">cual </w:t>
      </w:r>
      <w:r w:rsidRPr="00DF77C8">
        <w:rPr>
          <w:rFonts w:ascii="Times New Roman" w:hAnsi="Times New Roman"/>
          <w:sz w:val="28"/>
          <w:szCs w:val="28"/>
        </w:rPr>
        <w:t xml:space="preserve">señala que </w:t>
      </w:r>
      <w:r w:rsidRPr="00DF77C8">
        <w:rPr>
          <w:rFonts w:ascii="Times New Roman" w:hAnsi="Times New Roman"/>
          <w:sz w:val="28"/>
          <w:szCs w:val="28"/>
        </w:rPr>
        <w:t>“</w:t>
      </w:r>
      <w:r w:rsidRPr="00DF77C8">
        <w:rPr>
          <w:rFonts w:ascii="Times New Roman" w:hAnsi="Times New Roman"/>
          <w:sz w:val="28"/>
          <w:szCs w:val="28"/>
        </w:rPr>
        <w:t>[L]a Corte Suprema de Justicia es el máximo Tribunal de la Jurisdicción Ordinaria y se compondrá del número impar de Magistrados que determine la ley. Esta dividir</w:t>
      </w:r>
      <w:r w:rsidRPr="00DF77C8">
        <w:rPr>
          <w:rFonts w:ascii="Times New Roman" w:hAnsi="Times New Roman"/>
          <w:sz w:val="28"/>
          <w:szCs w:val="28"/>
        </w:rPr>
        <w:t xml:space="preserve">á la Corte en Salas y Salas Especiales, </w:t>
      </w:r>
      <w:r w:rsidRPr="00DF77C8">
        <w:rPr>
          <w:rFonts w:ascii="Times New Roman" w:hAnsi="Times New Roman"/>
          <w:b/>
          <w:bCs/>
          <w:sz w:val="28"/>
          <w:szCs w:val="28"/>
        </w:rPr>
        <w:t>señalará a cada una de ellas los asuntos que deba conocer separadamente</w:t>
      </w:r>
      <w:r w:rsidRPr="00DF77C8">
        <w:rPr>
          <w:rFonts w:ascii="Times New Roman" w:hAnsi="Times New Roman"/>
          <w:sz w:val="28"/>
          <w:szCs w:val="28"/>
        </w:rPr>
        <w:t xml:space="preserve"> y determinará aquellos en que deba intervenir la Corte en pleno</w:t>
      </w:r>
      <w:r w:rsidRPr="00DF77C8">
        <w:rPr>
          <w:rFonts w:ascii="Times New Roman" w:hAnsi="Times New Roman"/>
          <w:sz w:val="28"/>
          <w:szCs w:val="28"/>
        </w:rPr>
        <w:t>”.</w:t>
      </w:r>
      <w:r w:rsidRPr="00DF77C8">
        <w:rPr>
          <w:rFonts w:ascii="Times New Roman" w:hAnsi="Times New Roman"/>
          <w:sz w:val="28"/>
          <w:szCs w:val="28"/>
        </w:rPr>
        <w:t xml:space="preserve"> (</w:t>
      </w:r>
      <w:r w:rsidRPr="00DF77C8">
        <w:rPr>
          <w:rFonts w:ascii="Times New Roman" w:hAnsi="Times New Roman"/>
          <w:sz w:val="28"/>
          <w:szCs w:val="28"/>
        </w:rPr>
        <w:t>N</w:t>
      </w:r>
      <w:r w:rsidRPr="00DF77C8">
        <w:rPr>
          <w:rFonts w:ascii="Times New Roman" w:hAnsi="Times New Roman"/>
          <w:sz w:val="28"/>
          <w:szCs w:val="28"/>
        </w:rPr>
        <w:t xml:space="preserve">egrilla fuera de texto). </w:t>
      </w:r>
    </w:p>
    <w:p w:rsidR="009C6E42" w:rsidRPr="00DF77C8" w:rsidRDefault="00DF77C8" w:rsidP="008A4B21">
      <w:pPr>
        <w:pStyle w:val="Prrafodelista"/>
        <w:tabs>
          <w:tab w:val="left" w:pos="567"/>
        </w:tabs>
        <w:ind w:left="1518"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De este artículo constitucional se desprende que </w:t>
      </w:r>
      <w:r w:rsidRPr="00DF77C8">
        <w:rPr>
          <w:rFonts w:ascii="Times New Roman" w:hAnsi="Times New Roman"/>
          <w:sz w:val="28"/>
          <w:szCs w:val="28"/>
        </w:rPr>
        <w:t>es la ley la que debe fijar las competencias de cada una de las Salas Especiales que componen la Sala Penal de la Corte Suprema de Justicia. No obstante, a pesar de este deber constitucional, en el Código de Procedimiento Penal no se desarroll</w:t>
      </w:r>
      <w:r w:rsidRPr="00DF77C8">
        <w:rPr>
          <w:rFonts w:ascii="Times New Roman" w:hAnsi="Times New Roman"/>
          <w:sz w:val="28"/>
          <w:szCs w:val="28"/>
        </w:rPr>
        <w:t>ó</w:t>
      </w:r>
      <w:r w:rsidRPr="00DF77C8">
        <w:rPr>
          <w:rFonts w:ascii="Times New Roman" w:hAnsi="Times New Roman"/>
          <w:sz w:val="28"/>
          <w:szCs w:val="28"/>
        </w:rPr>
        <w:t xml:space="preserve"> la competen</w:t>
      </w:r>
      <w:r w:rsidRPr="00DF77C8">
        <w:rPr>
          <w:rFonts w:ascii="Times New Roman" w:hAnsi="Times New Roman"/>
          <w:sz w:val="28"/>
          <w:szCs w:val="28"/>
        </w:rPr>
        <w:t xml:space="preserve">cia respecto a cuál de las Salas Especiales le corresponde conocer </w:t>
      </w:r>
      <w:r w:rsidRPr="00DF77C8">
        <w:rPr>
          <w:rFonts w:ascii="Times New Roman" w:hAnsi="Times New Roman"/>
          <w:sz w:val="28"/>
          <w:szCs w:val="28"/>
        </w:rPr>
        <w:t>d</w:t>
      </w:r>
      <w:r w:rsidRPr="00DF77C8">
        <w:rPr>
          <w:rFonts w:ascii="Times New Roman" w:hAnsi="Times New Roman"/>
          <w:sz w:val="28"/>
          <w:szCs w:val="28"/>
        </w:rPr>
        <w:t xml:space="preserve">el recurso de apelación </w:t>
      </w:r>
      <w:r w:rsidRPr="00DF77C8">
        <w:rPr>
          <w:rFonts w:ascii="Times New Roman" w:hAnsi="Times New Roman"/>
          <w:sz w:val="28"/>
          <w:szCs w:val="28"/>
        </w:rPr>
        <w:t xml:space="preserve">contra </w:t>
      </w:r>
      <w:r w:rsidRPr="00DF77C8">
        <w:rPr>
          <w:rFonts w:ascii="Times New Roman" w:hAnsi="Times New Roman"/>
          <w:sz w:val="28"/>
          <w:szCs w:val="28"/>
        </w:rPr>
        <w:t xml:space="preserve">los </w:t>
      </w:r>
      <w:r w:rsidRPr="00DF77C8">
        <w:rPr>
          <w:rFonts w:ascii="Times New Roman" w:hAnsi="Times New Roman"/>
          <w:sz w:val="28"/>
          <w:szCs w:val="28"/>
        </w:rPr>
        <w:t>autos proferidos por el Tribunal Superior de Bogotá como juez de garantías.</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Asimismo, </w:t>
      </w:r>
      <w:r w:rsidRPr="00DF77C8">
        <w:rPr>
          <w:rFonts w:ascii="Times New Roman" w:hAnsi="Times New Roman"/>
          <w:sz w:val="28"/>
          <w:szCs w:val="28"/>
        </w:rPr>
        <w:t xml:space="preserve">esta Sala coincide con lo expuesto por la </w:t>
      </w:r>
      <w:r w:rsidRPr="00DF77C8">
        <w:rPr>
          <w:rFonts w:ascii="Times New Roman" w:hAnsi="Times New Roman"/>
          <w:sz w:val="28"/>
          <w:szCs w:val="28"/>
        </w:rPr>
        <w:t xml:space="preserve">Universidad Pontificia Bolivariana </w:t>
      </w:r>
      <w:r w:rsidRPr="00DF77C8">
        <w:rPr>
          <w:rFonts w:ascii="Times New Roman" w:hAnsi="Times New Roman"/>
          <w:sz w:val="28"/>
          <w:szCs w:val="28"/>
        </w:rPr>
        <w:t xml:space="preserve">en el sentido de que también se desconoce un deber específico impuesto al legislador en </w:t>
      </w:r>
      <w:r w:rsidRPr="00DF77C8">
        <w:rPr>
          <w:rFonts w:ascii="Times New Roman" w:hAnsi="Times New Roman"/>
          <w:sz w:val="28"/>
          <w:szCs w:val="28"/>
        </w:rPr>
        <w:t xml:space="preserve">el artículo 235, numeral 2°, </w:t>
      </w:r>
      <w:r w:rsidRPr="00DF77C8">
        <w:rPr>
          <w:rFonts w:ascii="Times New Roman" w:hAnsi="Times New Roman"/>
          <w:sz w:val="28"/>
          <w:szCs w:val="28"/>
        </w:rPr>
        <w:t xml:space="preserve">de la Constitución, </w:t>
      </w:r>
      <w:r w:rsidRPr="00DF77C8">
        <w:rPr>
          <w:rFonts w:ascii="Times New Roman" w:hAnsi="Times New Roman"/>
          <w:sz w:val="28"/>
          <w:szCs w:val="28"/>
        </w:rPr>
        <w:t>atinente a</w:t>
      </w:r>
      <w:r w:rsidRPr="00DF77C8">
        <w:rPr>
          <w:rFonts w:ascii="Times New Roman" w:hAnsi="Times New Roman"/>
          <w:sz w:val="28"/>
          <w:szCs w:val="28"/>
        </w:rPr>
        <w:t xml:space="preserve"> regular las atribuciones de la Corte Suprema de Justicia con el fin de “</w:t>
      </w:r>
      <w:r w:rsidRPr="00DF77C8">
        <w:rPr>
          <w:rFonts w:ascii="Times New Roman" w:hAnsi="Times New Roman"/>
          <w:sz w:val="28"/>
          <w:szCs w:val="28"/>
        </w:rPr>
        <w:t>(</w:t>
      </w:r>
      <w:r w:rsidRPr="00DF77C8">
        <w:rPr>
          <w:rFonts w:ascii="Times New Roman" w:hAnsi="Times New Roman"/>
          <w:sz w:val="28"/>
          <w:szCs w:val="28"/>
        </w:rPr>
        <w:t>c)</w:t>
      </w:r>
      <w:r w:rsidRPr="00DF77C8">
        <w:rPr>
          <w:rFonts w:ascii="Times New Roman" w:hAnsi="Times New Roman"/>
          <w:sz w:val="28"/>
          <w:szCs w:val="28"/>
        </w:rPr>
        <w:t xml:space="preserve">onocer del derecho de impugnación y del recurso de apelación en materia penal, conforme lo determine la ley”.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0"/>
          <w:tab w:val="left" w:pos="567"/>
        </w:tabs>
        <w:ind w:left="0" w:right="-26" w:firstLine="0"/>
        <w:jc w:val="both"/>
        <w:rPr>
          <w:rFonts w:ascii="Times New Roman" w:hAnsi="Times New Roman"/>
          <w:sz w:val="28"/>
          <w:szCs w:val="28"/>
        </w:rPr>
      </w:pPr>
      <w:r w:rsidRPr="00DF77C8">
        <w:rPr>
          <w:rFonts w:ascii="Times New Roman" w:hAnsi="Times New Roman"/>
          <w:sz w:val="28"/>
          <w:szCs w:val="28"/>
        </w:rPr>
        <w:t>No obstante</w:t>
      </w:r>
      <w:r w:rsidRPr="00DF77C8">
        <w:rPr>
          <w:rFonts w:ascii="Times New Roman" w:hAnsi="Times New Roman"/>
          <w:sz w:val="28"/>
          <w:szCs w:val="28"/>
        </w:rPr>
        <w:t xml:space="preserve">, como el legislador goza de una amplia libertad para regular lo relacionado con trámites y recursos en materia penal, es </w:t>
      </w:r>
      <w:r w:rsidRPr="00DF77C8">
        <w:rPr>
          <w:rFonts w:ascii="Times New Roman" w:hAnsi="Times New Roman"/>
          <w:sz w:val="28"/>
          <w:szCs w:val="28"/>
        </w:rPr>
        <w:t>importante examinar si en uso de esta potestad no excedió los límites de razonabilidad y proporcionalidad que debe observar en este tipo de eventos.</w:t>
      </w:r>
    </w:p>
    <w:p w:rsidR="00801F94" w:rsidRPr="00DF77C8" w:rsidRDefault="00DF77C8" w:rsidP="008A4B21">
      <w:pPr>
        <w:ind w:left="720" w:right="-26"/>
        <w:jc w:val="both"/>
        <w:rPr>
          <w:rFonts w:ascii="Times New Roman" w:hAnsi="Times New Roman"/>
          <w:b/>
          <w:sz w:val="28"/>
          <w:szCs w:val="28"/>
        </w:rPr>
      </w:pPr>
    </w:p>
    <w:p w:rsidR="00801F94" w:rsidRPr="00DF77C8" w:rsidRDefault="00DF77C8" w:rsidP="008A4B21">
      <w:pPr>
        <w:ind w:right="-26"/>
        <w:jc w:val="both"/>
        <w:rPr>
          <w:rFonts w:ascii="Times New Roman" w:hAnsi="Times New Roman"/>
          <w:b/>
          <w:color w:val="000000"/>
          <w:sz w:val="28"/>
          <w:szCs w:val="28"/>
        </w:rPr>
      </w:pPr>
      <w:r w:rsidRPr="00DF77C8">
        <w:rPr>
          <w:rFonts w:ascii="Times New Roman" w:hAnsi="Times New Roman"/>
          <w:b/>
          <w:color w:val="000000"/>
          <w:sz w:val="28"/>
          <w:szCs w:val="28"/>
        </w:rPr>
        <w:t xml:space="preserve">En el presente caso no existe una razón suficiente que justifique la </w:t>
      </w:r>
      <w:r w:rsidRPr="00DF77C8">
        <w:rPr>
          <w:rFonts w:ascii="Times New Roman" w:hAnsi="Times New Roman"/>
          <w:b/>
          <w:sz w:val="28"/>
          <w:szCs w:val="28"/>
        </w:rPr>
        <w:t xml:space="preserve">falta de precisión del legislador en </w:t>
      </w:r>
      <w:r w:rsidRPr="00DF77C8">
        <w:rPr>
          <w:rFonts w:ascii="Times New Roman" w:hAnsi="Times New Roman"/>
          <w:b/>
          <w:sz w:val="28"/>
          <w:szCs w:val="28"/>
        </w:rPr>
        <w:t>torno a la autoridad judicial que debe conocer del recurso de apelación y atribuirle de manera expresa la competencia para resolverlo</w:t>
      </w:r>
      <w:r w:rsidRPr="00DF77C8">
        <w:rPr>
          <w:rFonts w:ascii="Times New Roman" w:hAnsi="Times New Roman"/>
          <w:b/>
          <w:color w:val="000000"/>
          <w:sz w:val="28"/>
          <w:szCs w:val="28"/>
        </w:rPr>
        <w:t>.</w:t>
      </w:r>
    </w:p>
    <w:p w:rsidR="00801F94" w:rsidRPr="00DF77C8" w:rsidRDefault="00DF77C8" w:rsidP="008A4B21">
      <w:pPr>
        <w:ind w:left="702" w:right="-26" w:hanging="702"/>
        <w:jc w:val="both"/>
        <w:rPr>
          <w:rFonts w:ascii="Times New Roman" w:hAnsi="Times New Roman"/>
          <w:color w:val="000000"/>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w:t>
      </w:r>
      <w:r w:rsidRPr="00DF77C8">
        <w:rPr>
          <w:rFonts w:ascii="Times New Roman" w:hAnsi="Times New Roman"/>
          <w:sz w:val="28"/>
          <w:szCs w:val="28"/>
        </w:rPr>
        <w:t>Corte</w:t>
      </w:r>
      <w:r w:rsidRPr="00DF77C8">
        <w:rPr>
          <w:rFonts w:ascii="Times New Roman" w:hAnsi="Times New Roman"/>
          <w:color w:val="000000"/>
          <w:sz w:val="28"/>
          <w:szCs w:val="28"/>
        </w:rPr>
        <w:t xml:space="preserve"> considera que la omisión del legislador </w:t>
      </w:r>
      <w:r w:rsidRPr="00DF77C8">
        <w:rPr>
          <w:rFonts w:ascii="Times New Roman" w:hAnsi="Times New Roman"/>
          <w:sz w:val="28"/>
          <w:szCs w:val="28"/>
        </w:rPr>
        <w:t xml:space="preserve">al no determinar de manera expresa la autoridad judicial que en calidad de superior jerárquico </w:t>
      </w:r>
      <w:r w:rsidRPr="00DF77C8">
        <w:rPr>
          <w:rFonts w:ascii="Times New Roman" w:hAnsi="Times New Roman"/>
          <w:sz w:val="28"/>
          <w:szCs w:val="28"/>
        </w:rPr>
        <w:t xml:space="preserve">o funcional </w:t>
      </w:r>
      <w:r w:rsidRPr="00DF77C8">
        <w:rPr>
          <w:rFonts w:ascii="Times New Roman" w:hAnsi="Times New Roman"/>
          <w:sz w:val="28"/>
          <w:szCs w:val="28"/>
        </w:rPr>
        <w:t xml:space="preserve">debe resolver los recursos de apelación contra las providencias expedidas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w:t>
      </w:r>
      <w:r w:rsidRPr="00DF77C8">
        <w:rPr>
          <w:rFonts w:ascii="Times New Roman" w:hAnsi="Times New Roman"/>
          <w:sz w:val="28"/>
          <w:szCs w:val="28"/>
        </w:rPr>
        <w:t xml:space="preserve"> en sede de control de gar</w:t>
      </w:r>
      <w:r w:rsidRPr="00DF77C8">
        <w:rPr>
          <w:rFonts w:ascii="Times New Roman" w:hAnsi="Times New Roman"/>
          <w:sz w:val="28"/>
          <w:szCs w:val="28"/>
        </w:rPr>
        <w:t>antías</w:t>
      </w:r>
      <w:r w:rsidRPr="00DF77C8">
        <w:rPr>
          <w:rFonts w:ascii="Times New Roman" w:hAnsi="Times New Roman"/>
          <w:sz w:val="28"/>
          <w:szCs w:val="28"/>
        </w:rPr>
        <w:t>, esto es, la Sala Penal de la Corte Suprema de Justicia</w:t>
      </w:r>
      <w:r w:rsidRPr="00DF77C8">
        <w:rPr>
          <w:rFonts w:ascii="Times New Roman" w:hAnsi="Times New Roman"/>
          <w:color w:val="000000"/>
          <w:sz w:val="28"/>
          <w:szCs w:val="28"/>
        </w:rPr>
        <w:t>, desconoce el derecho a la igualdad</w:t>
      </w:r>
      <w:r w:rsidRPr="00DF77C8">
        <w:rPr>
          <w:rFonts w:ascii="Times New Roman" w:hAnsi="Times New Roman"/>
          <w:sz w:val="28"/>
          <w:szCs w:val="28"/>
        </w:rPr>
        <w:t>, al debido proceso y de acceso a la administración de justicia</w:t>
      </w:r>
      <w:r w:rsidRPr="00DF77C8">
        <w:rPr>
          <w:rFonts w:ascii="Times New Roman" w:hAnsi="Times New Roman"/>
          <w:color w:val="000000"/>
          <w:sz w:val="28"/>
          <w:szCs w:val="28"/>
        </w:rPr>
        <w:t xml:space="preserve">, en razón a que </w:t>
      </w:r>
      <w:r w:rsidRPr="00DF77C8">
        <w:rPr>
          <w:rFonts w:ascii="Times New Roman" w:hAnsi="Times New Roman"/>
          <w:sz w:val="28"/>
          <w:szCs w:val="28"/>
        </w:rPr>
        <w:t>dicha</w:t>
      </w:r>
      <w:r w:rsidRPr="00DF77C8">
        <w:rPr>
          <w:rFonts w:ascii="Times New Roman" w:hAnsi="Times New Roman"/>
          <w:color w:val="000000"/>
          <w:sz w:val="28"/>
          <w:szCs w:val="28"/>
        </w:rPr>
        <w:t xml:space="preserve"> exclusión no está justificada objetivamente.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Tal como lo sostiene el d</w:t>
      </w:r>
      <w:r w:rsidRPr="00DF77C8">
        <w:rPr>
          <w:rFonts w:ascii="Times New Roman" w:hAnsi="Times New Roman"/>
          <w:sz w:val="28"/>
          <w:szCs w:val="28"/>
        </w:rPr>
        <w:t>emandante, la fase procesal en la cual actúan tanto el juez penal municipal como el magistrado con funciones de control de garantías se desarrolla en el marco de una misma estructura procesal, sigue el mismo modelo del sistema penal acusatorio que fue intr</w:t>
      </w:r>
      <w:r w:rsidRPr="00DF77C8">
        <w:rPr>
          <w:rFonts w:ascii="Times New Roman" w:hAnsi="Times New Roman"/>
          <w:sz w:val="28"/>
          <w:szCs w:val="28"/>
        </w:rPr>
        <w:t>oducido mediante el Acto Legislativo 03 de 2002 y desarrollado por la Ley 906 de 2004. El actor agregó que la única diferenciación entre los sujetos indagados e investigados se da en razón al fuero que ostentan los funcionarios a los que hace alusión el nu</w:t>
      </w:r>
      <w:r w:rsidRPr="00DF77C8">
        <w:rPr>
          <w:rFonts w:ascii="Times New Roman" w:hAnsi="Times New Roman"/>
          <w:sz w:val="28"/>
          <w:szCs w:val="28"/>
        </w:rPr>
        <w:t>meral 5°</w:t>
      </w:r>
      <w:r w:rsidRPr="00DF77C8">
        <w:rPr>
          <w:rFonts w:ascii="Times New Roman" w:hAnsi="Times New Roman"/>
          <w:sz w:val="28"/>
          <w:szCs w:val="28"/>
        </w:rPr>
        <w:t xml:space="preserve">, </w:t>
      </w:r>
      <w:r w:rsidRPr="00DF77C8">
        <w:rPr>
          <w:rFonts w:ascii="Times New Roman" w:hAnsi="Times New Roman"/>
          <w:sz w:val="28"/>
          <w:szCs w:val="28"/>
        </w:rPr>
        <w:t xml:space="preserve">del artículo 235 de la Constitución. </w:t>
      </w:r>
      <w:r w:rsidRPr="00DF77C8">
        <w:rPr>
          <w:rFonts w:ascii="Times New Roman" w:hAnsi="Times New Roman"/>
          <w:sz w:val="28"/>
          <w:szCs w:val="28"/>
        </w:rPr>
        <w:t>A</w:t>
      </w:r>
      <w:r w:rsidRPr="00DF77C8">
        <w:rPr>
          <w:rFonts w:ascii="Times New Roman" w:hAnsi="Times New Roman"/>
          <w:sz w:val="28"/>
          <w:szCs w:val="28"/>
        </w:rPr>
        <w:t>dvirtió que dicha fase procesal tiene sustento en los mismos principios, debe surtir las mismas etapas y opera bajo las mismas normas. Sumado a que, en ambos casos</w:t>
      </w:r>
      <w:r w:rsidRPr="00DF77C8">
        <w:rPr>
          <w:rFonts w:ascii="Times New Roman" w:hAnsi="Times New Roman"/>
          <w:sz w:val="28"/>
          <w:szCs w:val="28"/>
        </w:rPr>
        <w:t>,</w:t>
      </w:r>
      <w:r w:rsidRPr="00DF77C8">
        <w:rPr>
          <w:rFonts w:ascii="Times New Roman" w:hAnsi="Times New Roman"/>
          <w:sz w:val="28"/>
          <w:szCs w:val="28"/>
        </w:rPr>
        <w:t xml:space="preserve"> la Fiscalía General de la Nación es quien e</w:t>
      </w:r>
      <w:r w:rsidRPr="00DF77C8">
        <w:rPr>
          <w:rFonts w:ascii="Times New Roman" w:hAnsi="Times New Roman"/>
          <w:sz w:val="28"/>
          <w:szCs w:val="28"/>
        </w:rPr>
        <w:t xml:space="preserve">jerce la acción penal mediante la indagación, la investigación y la acusación ante los jueces competentes de los presuntos infractores de la ley penal, tengan o no la calidad de aforados. </w:t>
      </w:r>
    </w:p>
    <w:p w:rsidR="00675A03" w:rsidRPr="00DF77C8" w:rsidRDefault="00DF77C8" w:rsidP="008A4B21">
      <w:pPr>
        <w:pStyle w:val="Prrafodelista"/>
        <w:ind w:left="0"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Tanto el </w:t>
      </w:r>
      <w:r w:rsidRPr="00DF77C8">
        <w:rPr>
          <w:rFonts w:ascii="Times New Roman" w:hAnsi="Times New Roman"/>
          <w:sz w:val="28"/>
          <w:szCs w:val="28"/>
        </w:rPr>
        <w:t xml:space="preserve">actor </w:t>
      </w:r>
      <w:r w:rsidRPr="00DF77C8">
        <w:rPr>
          <w:rFonts w:ascii="Times New Roman" w:hAnsi="Times New Roman"/>
          <w:sz w:val="28"/>
          <w:szCs w:val="28"/>
        </w:rPr>
        <w:t>como los intervinientes niegan que existen procesos</w:t>
      </w:r>
      <w:r w:rsidRPr="00DF77C8">
        <w:rPr>
          <w:rFonts w:ascii="Times New Roman" w:hAnsi="Times New Roman"/>
          <w:sz w:val="28"/>
          <w:szCs w:val="28"/>
        </w:rPr>
        <w:t xml:space="preserve"> con características distintas que tienen normas específicas para su desarrollo. Sin embargo, afirman que en el asunto objeto de análisis tanto el juez penal municipal como el magistrado de la Sala Penal del </w:t>
      </w:r>
      <w:r w:rsidRPr="00DF77C8">
        <w:rPr>
          <w:rFonts w:ascii="Times New Roman" w:hAnsi="Times New Roman"/>
          <w:sz w:val="28"/>
          <w:szCs w:val="28"/>
        </w:rPr>
        <w:t>Tribunal</w:t>
      </w:r>
      <w:r w:rsidRPr="00DF77C8">
        <w:rPr>
          <w:rFonts w:ascii="Times New Roman" w:hAnsi="Times New Roman"/>
          <w:sz w:val="28"/>
          <w:szCs w:val="28"/>
        </w:rPr>
        <w:t xml:space="preserve"> Superior del Distrito Judicial de Bogot</w:t>
      </w:r>
      <w:r w:rsidRPr="00DF77C8">
        <w:rPr>
          <w:rFonts w:ascii="Times New Roman" w:hAnsi="Times New Roman"/>
          <w:sz w:val="28"/>
          <w:szCs w:val="28"/>
        </w:rPr>
        <w:t xml:space="preserve">á ejercen la función de control de garantías y asumen estructuralmente el mismo papel.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Al respecto, tanto el Ministerio de Justicia y del Derecho como la Academia Colombiana de Jurisprudencia afirmaron que ante la ausencia de una justificación expresa po</w:t>
      </w:r>
      <w:r w:rsidRPr="00DF77C8">
        <w:rPr>
          <w:rFonts w:ascii="Times New Roman" w:hAnsi="Times New Roman"/>
          <w:sz w:val="28"/>
          <w:szCs w:val="28"/>
        </w:rPr>
        <w:t xml:space="preserve">r parte del legislador para no atribuir la competencia en una autoridad judicial que resuelva el recurso de apelación contra las decisiones del magistrado, </w:t>
      </w:r>
      <w:r w:rsidRPr="00DF77C8">
        <w:rPr>
          <w:rFonts w:ascii="Times New Roman" w:hAnsi="Times New Roman"/>
          <w:sz w:val="28"/>
          <w:szCs w:val="28"/>
        </w:rPr>
        <w:t xml:space="preserve">la justificación </w:t>
      </w:r>
      <w:r w:rsidRPr="00DF77C8">
        <w:rPr>
          <w:rFonts w:ascii="Times New Roman" w:hAnsi="Times New Roman"/>
          <w:sz w:val="28"/>
          <w:szCs w:val="28"/>
        </w:rPr>
        <w:t xml:space="preserve">podría tener sustento en que los procesos adelantados contra los aforados constitucionales se surten en única instancia.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Sin embargo, a su juicio, dicha razón carecería de sustento luego del pronunciamiento de esta </w:t>
      </w:r>
      <w:r w:rsidRPr="00DF77C8">
        <w:rPr>
          <w:rFonts w:ascii="Times New Roman" w:hAnsi="Times New Roman"/>
          <w:sz w:val="28"/>
          <w:szCs w:val="28"/>
        </w:rPr>
        <w:t>Corporación</w:t>
      </w:r>
      <w:r w:rsidRPr="00DF77C8">
        <w:rPr>
          <w:rFonts w:ascii="Times New Roman" w:hAnsi="Times New Roman"/>
          <w:sz w:val="28"/>
          <w:szCs w:val="28"/>
        </w:rPr>
        <w:t xml:space="preserve"> mediante Sentencia C-792 de</w:t>
      </w:r>
      <w:r w:rsidRPr="00DF77C8">
        <w:rPr>
          <w:rFonts w:ascii="Times New Roman" w:hAnsi="Times New Roman"/>
          <w:sz w:val="28"/>
          <w:szCs w:val="28"/>
        </w:rPr>
        <w:t xml:space="preserve"> 2014, que declaró la exequibilidad condicionada de varios apartes de la Ley 906 de 2004, bajo el entendido de excluir el sentido negativo de dichas disposiciones en cuanto excluían la posibilidad de impugnar el fallo condenatorio que se dictaba en los pro</w:t>
      </w:r>
      <w:r w:rsidRPr="00DF77C8">
        <w:rPr>
          <w:rFonts w:ascii="Times New Roman" w:hAnsi="Times New Roman"/>
          <w:sz w:val="28"/>
          <w:szCs w:val="28"/>
        </w:rPr>
        <w:t>cesos de única instancia:</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ind w:left="566" w:right="-26"/>
        <w:jc w:val="both"/>
        <w:rPr>
          <w:rFonts w:ascii="Times New Roman" w:hAnsi="Times New Roman"/>
          <w:sz w:val="28"/>
          <w:szCs w:val="28"/>
        </w:rPr>
      </w:pPr>
      <w:r w:rsidRPr="00DF77C8">
        <w:rPr>
          <w:rFonts w:ascii="Times New Roman" w:hAnsi="Times New Roman"/>
          <w:sz w:val="28"/>
          <w:szCs w:val="28"/>
        </w:rPr>
        <w:t xml:space="preserve">“(...) por un lado, la facultad para atacar el único fallo incriminatorio que se dicta en juicios penales de única instancia, y por otro, la facultad para impugnar las sentencias que revocan un fallo absolutorio de primera </w:t>
      </w:r>
      <w:r w:rsidRPr="00DF77C8">
        <w:rPr>
          <w:rFonts w:ascii="Times New Roman" w:hAnsi="Times New Roman"/>
          <w:sz w:val="28"/>
          <w:szCs w:val="28"/>
        </w:rPr>
        <w:t>instancia e imponen por primera vez una condena en la segunda, en los juicios de doble instancia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Es decir, la razón que suponen algunos intervinientes respecto a la actuación del legislador para no atribuir el conocimiento del recurso de apelación</w:t>
      </w:r>
      <w:r w:rsidRPr="00DF77C8">
        <w:rPr>
          <w:rFonts w:ascii="Times New Roman" w:hAnsi="Times New Roman"/>
          <w:sz w:val="28"/>
          <w:szCs w:val="28"/>
        </w:rPr>
        <w:t xml:space="preserve"> en cabeza de una autoridad judicial específica, que para este caso sería la Sala Penal de la Corte Suprema de Justicia, por ser el superior de los </w:t>
      </w:r>
      <w:r w:rsidRPr="00DF77C8">
        <w:rPr>
          <w:rFonts w:ascii="Times New Roman" w:hAnsi="Times New Roman"/>
          <w:sz w:val="28"/>
          <w:szCs w:val="28"/>
        </w:rPr>
        <w:t>Tribunal</w:t>
      </w:r>
      <w:r w:rsidRPr="00DF77C8">
        <w:rPr>
          <w:rFonts w:ascii="Times New Roman" w:hAnsi="Times New Roman"/>
          <w:sz w:val="28"/>
          <w:szCs w:val="28"/>
        </w:rPr>
        <w:t>es judiciales de distrito, estaría fundamentada en que el proceso penal adelantado contra los funcio</w:t>
      </w:r>
      <w:r w:rsidRPr="00DF77C8">
        <w:rPr>
          <w:rFonts w:ascii="Times New Roman" w:hAnsi="Times New Roman"/>
          <w:sz w:val="28"/>
          <w:szCs w:val="28"/>
        </w:rPr>
        <w:t xml:space="preserve">narios que ostentan esta prerrogativa no tiene acceso a la doble instancia. </w:t>
      </w:r>
      <w:r w:rsidRPr="00DF77C8">
        <w:rPr>
          <w:rFonts w:ascii="Times New Roman" w:hAnsi="Times New Roman"/>
          <w:sz w:val="28"/>
          <w:szCs w:val="28"/>
        </w:rPr>
        <w:t>Esta c</w:t>
      </w:r>
      <w:r w:rsidRPr="00DF77C8">
        <w:rPr>
          <w:rFonts w:ascii="Times New Roman" w:hAnsi="Times New Roman"/>
          <w:sz w:val="28"/>
          <w:szCs w:val="28"/>
        </w:rPr>
        <w:t xml:space="preserve">uestión, a su juicio, no tendría el mismo peso que tenía a la luz de la jurisprudencia consolidada antes de expedirse la sentencia C-792 de 2014, luego de la cual se expidió </w:t>
      </w:r>
      <w:r w:rsidRPr="00DF77C8">
        <w:rPr>
          <w:rFonts w:ascii="Times New Roman" w:hAnsi="Times New Roman"/>
          <w:sz w:val="28"/>
          <w:szCs w:val="28"/>
        </w:rPr>
        <w:t>el Acto Legislativo 01 de 2018, que implementó el derecho a la doble instancia y a impugnar la primera sentencia condenatoria</w:t>
      </w:r>
      <w:r w:rsidRPr="00DF77C8">
        <w:rPr>
          <w:rFonts w:ascii="Times New Roman" w:hAnsi="Times New Roman"/>
          <w:sz w:val="28"/>
          <w:szCs w:val="28"/>
        </w:rPr>
        <w:t xml:space="preserve">, conclusión que comparte esta Corporación como quedó expuesto en </w:t>
      </w:r>
      <w:r w:rsidRPr="00DF77C8">
        <w:rPr>
          <w:rFonts w:ascii="Times New Roman" w:hAnsi="Times New Roman"/>
          <w:sz w:val="28"/>
          <w:szCs w:val="28"/>
        </w:rPr>
        <w:t>los fundamentos jurídicos 25</w:t>
      </w:r>
      <w:r w:rsidRPr="00DF77C8">
        <w:rPr>
          <w:rFonts w:ascii="Times New Roman" w:hAnsi="Times New Roman"/>
          <w:sz w:val="28"/>
          <w:szCs w:val="28"/>
        </w:rPr>
        <w:t>7</w:t>
      </w:r>
      <w:r w:rsidRPr="00DF77C8">
        <w:rPr>
          <w:rFonts w:ascii="Times New Roman" w:hAnsi="Times New Roman"/>
          <w:sz w:val="28"/>
          <w:szCs w:val="28"/>
        </w:rPr>
        <w:t xml:space="preserve"> y siguientes</w:t>
      </w:r>
      <w:r w:rsidRPr="00DF77C8">
        <w:rPr>
          <w:rFonts w:ascii="Times New Roman" w:hAnsi="Times New Roman"/>
          <w:sz w:val="28"/>
          <w:szCs w:val="28"/>
        </w:rPr>
        <w:t>.</w:t>
      </w:r>
    </w:p>
    <w:p w:rsidR="00801F94" w:rsidRPr="00DF77C8" w:rsidRDefault="00DF77C8" w:rsidP="008A4B21">
      <w:pPr>
        <w:ind w:right="-26"/>
        <w:jc w:val="both"/>
        <w:rPr>
          <w:rFonts w:ascii="Times New Roman" w:hAnsi="Times New Roman"/>
          <w:sz w:val="28"/>
          <w:szCs w:val="28"/>
        </w:rPr>
      </w:pPr>
    </w:p>
    <w:p w:rsidR="00C5155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Adicionalmente</w:t>
      </w:r>
      <w:r w:rsidRPr="00DF77C8">
        <w:rPr>
          <w:rFonts w:ascii="Times New Roman" w:hAnsi="Times New Roman"/>
          <w:sz w:val="28"/>
          <w:szCs w:val="28"/>
        </w:rPr>
        <w:t xml:space="preserve">, </w:t>
      </w:r>
      <w:r w:rsidRPr="00DF77C8">
        <w:rPr>
          <w:rFonts w:ascii="Times New Roman" w:hAnsi="Times New Roman"/>
          <w:sz w:val="28"/>
          <w:szCs w:val="28"/>
        </w:rPr>
        <w:t>la S</w:t>
      </w:r>
      <w:r w:rsidRPr="00DF77C8">
        <w:rPr>
          <w:rFonts w:ascii="Times New Roman" w:hAnsi="Times New Roman"/>
          <w:sz w:val="28"/>
          <w:szCs w:val="28"/>
        </w:rPr>
        <w:t>ala plena</w:t>
      </w:r>
      <w:r w:rsidRPr="00DF77C8">
        <w:rPr>
          <w:rFonts w:ascii="Times New Roman" w:hAnsi="Times New Roman"/>
          <w:sz w:val="28"/>
          <w:szCs w:val="28"/>
        </w:rPr>
        <w:t xml:space="preserve"> considera que </w:t>
      </w:r>
      <w:r w:rsidRPr="00DF77C8">
        <w:rPr>
          <w:rFonts w:ascii="Times New Roman" w:hAnsi="Times New Roman"/>
          <w:sz w:val="28"/>
          <w:szCs w:val="28"/>
        </w:rPr>
        <w:t>de acuerdo con la jurisprudencia constitucional</w:t>
      </w:r>
      <w:r w:rsidRPr="00DF77C8">
        <w:rPr>
          <w:rFonts w:ascii="Times New Roman" w:hAnsi="Times New Roman"/>
          <w:sz w:val="28"/>
          <w:szCs w:val="28"/>
        </w:rPr>
        <w:t xml:space="preserve"> y tal como lo</w:t>
      </w:r>
      <w:r w:rsidRPr="00DF77C8">
        <w:rPr>
          <w:rFonts w:ascii="Times New Roman" w:hAnsi="Times New Roman"/>
          <w:sz w:val="28"/>
          <w:szCs w:val="28"/>
        </w:rPr>
        <w:t xml:space="preserve"> </w:t>
      </w:r>
      <w:r w:rsidRPr="00DF77C8">
        <w:rPr>
          <w:rFonts w:ascii="Times New Roman" w:hAnsi="Times New Roman"/>
          <w:sz w:val="28"/>
          <w:szCs w:val="28"/>
        </w:rPr>
        <w:t>señaló</w:t>
      </w:r>
      <w:r w:rsidRPr="00DF77C8">
        <w:rPr>
          <w:rFonts w:ascii="Times New Roman" w:hAnsi="Times New Roman"/>
          <w:sz w:val="28"/>
          <w:szCs w:val="28"/>
        </w:rPr>
        <w:t xml:space="preserve"> la representante legal de la Fundación Jurídica Proyecto Inocencia, si el legislador pretendía limitar el ejercicio del recurso de apelación respecto a las decisiones expedidas por el magistrado que ejerce función de control de garantías </w:t>
      </w:r>
      <w:r w:rsidRPr="00DF77C8">
        <w:rPr>
          <w:rFonts w:ascii="Times New Roman" w:hAnsi="Times New Roman"/>
          <w:sz w:val="28"/>
          <w:szCs w:val="28"/>
        </w:rPr>
        <w:t>frente a</w:t>
      </w:r>
      <w:r w:rsidRPr="00DF77C8">
        <w:rPr>
          <w:rFonts w:ascii="Times New Roman" w:hAnsi="Times New Roman"/>
          <w:sz w:val="28"/>
          <w:szCs w:val="28"/>
        </w:rPr>
        <w:t xml:space="preserve"> los afor</w:t>
      </w:r>
      <w:r w:rsidRPr="00DF77C8">
        <w:rPr>
          <w:rFonts w:ascii="Times New Roman" w:hAnsi="Times New Roman"/>
          <w:sz w:val="28"/>
          <w:szCs w:val="28"/>
        </w:rPr>
        <w:t>ados constitucionales debió explicitar las razones por las cuales operaba dicha restricción, lo cual no aconteció en este caso.</w:t>
      </w:r>
      <w:r w:rsidRPr="00DF77C8">
        <w:rPr>
          <w:rFonts w:ascii="Times New Roman" w:hAnsi="Times New Roman"/>
          <w:sz w:val="28"/>
          <w:szCs w:val="28"/>
        </w:rPr>
        <w:t xml:space="preserve"> </w:t>
      </w:r>
      <w:r w:rsidRPr="00DF77C8">
        <w:rPr>
          <w:rFonts w:ascii="Times New Roman" w:hAnsi="Times New Roman"/>
          <w:sz w:val="28"/>
          <w:szCs w:val="28"/>
        </w:rPr>
        <w:t xml:space="preserve">Por tanto, una interpretación al respecto podría desconocer la propia voluntad del legislador en torno </w:t>
      </w:r>
      <w:r w:rsidRPr="00DF77C8">
        <w:rPr>
          <w:rFonts w:ascii="Times New Roman" w:hAnsi="Times New Roman"/>
          <w:sz w:val="28"/>
          <w:szCs w:val="28"/>
        </w:rPr>
        <w:t>al ejercicio</w:t>
      </w:r>
      <w:r w:rsidRPr="00DF77C8">
        <w:rPr>
          <w:rFonts w:ascii="Times New Roman" w:hAnsi="Times New Roman"/>
          <w:sz w:val="28"/>
          <w:szCs w:val="28"/>
        </w:rPr>
        <w:t xml:space="preserve"> del recurso </w:t>
      </w:r>
      <w:r w:rsidRPr="00DF77C8">
        <w:rPr>
          <w:rFonts w:ascii="Times New Roman" w:hAnsi="Times New Roman"/>
          <w:sz w:val="28"/>
          <w:szCs w:val="28"/>
        </w:rPr>
        <w:t>de apelación</w:t>
      </w:r>
      <w:r w:rsidRPr="00DF77C8">
        <w:rPr>
          <w:rFonts w:ascii="Times New Roman" w:hAnsi="Times New Roman"/>
          <w:sz w:val="28"/>
          <w:szCs w:val="28"/>
        </w:rPr>
        <w:t xml:space="preserve">, autoridad que como se vio en párrafos precedentes no introdujo ningún tipo de excepción para su materialización en razón a la calidad del sujeto indagado o investigado. </w:t>
      </w:r>
      <w:r w:rsidRPr="00DF77C8">
        <w:rPr>
          <w:rFonts w:ascii="Times New Roman" w:hAnsi="Times New Roman"/>
          <w:sz w:val="28"/>
          <w:szCs w:val="28"/>
        </w:rPr>
        <w:t>Razón por la cual</w:t>
      </w:r>
      <w:r w:rsidRPr="00DF77C8">
        <w:rPr>
          <w:rFonts w:ascii="Times New Roman" w:hAnsi="Times New Roman"/>
          <w:sz w:val="28"/>
          <w:szCs w:val="28"/>
        </w:rPr>
        <w:t>, si</w:t>
      </w:r>
      <w:r w:rsidRPr="00DF77C8">
        <w:rPr>
          <w:rFonts w:ascii="Times New Roman" w:hAnsi="Times New Roman"/>
          <w:sz w:val="28"/>
          <w:szCs w:val="28"/>
        </w:rPr>
        <w:t xml:space="preserve"> el Congreso</w:t>
      </w:r>
      <w:r w:rsidRPr="00DF77C8">
        <w:rPr>
          <w:rFonts w:ascii="Times New Roman" w:hAnsi="Times New Roman"/>
          <w:sz w:val="28"/>
          <w:szCs w:val="28"/>
        </w:rPr>
        <w:t xml:space="preserve"> pretend</w:t>
      </w:r>
      <w:r w:rsidRPr="00DF77C8">
        <w:rPr>
          <w:rFonts w:ascii="Times New Roman" w:hAnsi="Times New Roman"/>
          <w:sz w:val="28"/>
          <w:szCs w:val="28"/>
        </w:rPr>
        <w:t>ía</w:t>
      </w:r>
      <w:r w:rsidRPr="00DF77C8">
        <w:rPr>
          <w:rFonts w:ascii="Times New Roman" w:hAnsi="Times New Roman"/>
          <w:sz w:val="28"/>
          <w:szCs w:val="28"/>
        </w:rPr>
        <w:t xml:space="preserve"> restringir su acceso al mismo</w:t>
      </w:r>
      <w:r w:rsidRPr="00DF77C8">
        <w:rPr>
          <w:rFonts w:ascii="Times New Roman" w:hAnsi="Times New Roman"/>
          <w:sz w:val="28"/>
          <w:szCs w:val="28"/>
        </w:rPr>
        <w:t>,</w:t>
      </w:r>
      <w:r w:rsidRPr="00DF77C8">
        <w:rPr>
          <w:rFonts w:ascii="Times New Roman" w:hAnsi="Times New Roman"/>
          <w:sz w:val="28"/>
          <w:szCs w:val="28"/>
        </w:rPr>
        <w:t xml:space="preserve"> debió justificarlo. </w:t>
      </w:r>
    </w:p>
    <w:p w:rsidR="00C51554" w:rsidRPr="00DF77C8" w:rsidRDefault="00DF77C8" w:rsidP="008A4B21">
      <w:pPr>
        <w:pStyle w:val="Prrafodelista"/>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En ese sentido,</w:t>
      </w:r>
      <w:r w:rsidRPr="00DF77C8">
        <w:rPr>
          <w:rFonts w:ascii="Times New Roman" w:hAnsi="Times New Roman"/>
          <w:sz w:val="28"/>
          <w:szCs w:val="28"/>
        </w:rPr>
        <w:t xml:space="preserve"> de la revisión de los antecedentes legislativos que dio origen a la Ley 906 de 2004, el legislador guardó silencio. En esa medida, no es posible verificar las razones por las cuales el Congreso no atribuyó de manera </w:t>
      </w:r>
      <w:r w:rsidRPr="00DF77C8">
        <w:rPr>
          <w:rFonts w:ascii="Times New Roman" w:hAnsi="Times New Roman"/>
          <w:sz w:val="28"/>
          <w:szCs w:val="28"/>
        </w:rPr>
        <w:t xml:space="preserve">expresa la función de revisar los recursos de apelación contra las decisiones proferidas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en sede de control de garantías, que según lo preceptúa el artículo 178 del CPP, estaría en cabeza de su superior je</w:t>
      </w:r>
      <w:r w:rsidRPr="00DF77C8">
        <w:rPr>
          <w:rFonts w:ascii="Times New Roman" w:hAnsi="Times New Roman"/>
          <w:sz w:val="28"/>
          <w:szCs w:val="28"/>
        </w:rPr>
        <w:t>rárquico</w:t>
      </w:r>
      <w:r w:rsidRPr="00DF77C8">
        <w:rPr>
          <w:rFonts w:ascii="Times New Roman" w:hAnsi="Times New Roman"/>
          <w:sz w:val="28"/>
          <w:szCs w:val="28"/>
        </w:rPr>
        <w:t xml:space="preserve"> o funcional</w:t>
      </w:r>
      <w:r w:rsidRPr="00DF77C8">
        <w:rPr>
          <w:rFonts w:ascii="Times New Roman" w:hAnsi="Times New Roman"/>
          <w:sz w:val="28"/>
          <w:szCs w:val="28"/>
        </w:rPr>
        <w:t xml:space="preserve">: la Sala Penal de la Corte Suprema de Justicia.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426"/>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Cabe recordar </w:t>
      </w:r>
      <w:r w:rsidRPr="00DF77C8">
        <w:rPr>
          <w:rFonts w:ascii="Times New Roman" w:hAnsi="Times New Roman"/>
          <w:sz w:val="28"/>
          <w:szCs w:val="28"/>
        </w:rPr>
        <w:t>que,</w:t>
      </w:r>
      <w:r w:rsidRPr="00DF77C8">
        <w:rPr>
          <w:rFonts w:ascii="Times New Roman" w:hAnsi="Times New Roman"/>
          <w:sz w:val="28"/>
          <w:szCs w:val="28"/>
        </w:rPr>
        <w:t xml:space="preserve"> si la intención del legislador era introducir un tratamiento diferenciado entre quienes gozan de fuero constitucional y quienes no ostentan dicha calidad, </w:t>
      </w:r>
      <w:r w:rsidRPr="00DF77C8">
        <w:rPr>
          <w:rFonts w:ascii="Times New Roman" w:hAnsi="Times New Roman"/>
          <w:sz w:val="28"/>
          <w:szCs w:val="28"/>
        </w:rPr>
        <w:t xml:space="preserve">debió </w:t>
      </w:r>
      <w:r w:rsidRPr="00DF77C8">
        <w:rPr>
          <w:rFonts w:ascii="Times New Roman" w:hAnsi="Times New Roman"/>
          <w:sz w:val="28"/>
          <w:szCs w:val="28"/>
        </w:rPr>
        <w:t>sustentarlo</w:t>
      </w:r>
      <w:r w:rsidRPr="00DF77C8">
        <w:rPr>
          <w:rFonts w:ascii="Times New Roman" w:hAnsi="Times New Roman"/>
          <w:sz w:val="28"/>
          <w:szCs w:val="28"/>
        </w:rPr>
        <w:t>.</w:t>
      </w:r>
      <w:r w:rsidRPr="00DF77C8">
        <w:rPr>
          <w:rFonts w:ascii="Times New Roman" w:hAnsi="Times New Roman"/>
          <w:sz w:val="28"/>
          <w:szCs w:val="28"/>
        </w:rPr>
        <w:t xml:space="preserve"> La exigencia del deber de sustentación se deriva del principio democrático, del principio de proporcionalidad y del principio de igualdad.</w:t>
      </w:r>
      <w:r w:rsidRPr="00DF77C8">
        <w:rPr>
          <w:rFonts w:ascii="Times New Roman" w:hAnsi="Times New Roman"/>
          <w:sz w:val="28"/>
          <w:szCs w:val="28"/>
        </w:rPr>
        <w:t xml:space="preserve"> </w:t>
      </w:r>
      <w:r w:rsidRPr="00DF77C8">
        <w:rPr>
          <w:rFonts w:ascii="Times New Roman" w:hAnsi="Times New Roman"/>
          <w:sz w:val="28"/>
          <w:szCs w:val="28"/>
        </w:rPr>
        <w:t>Así las cosas</w:t>
      </w:r>
      <w:r w:rsidRPr="00DF77C8">
        <w:rPr>
          <w:rFonts w:ascii="Times New Roman" w:hAnsi="Times New Roman"/>
          <w:sz w:val="28"/>
          <w:szCs w:val="28"/>
        </w:rPr>
        <w:t>, no pueden constatarse las razones constitucionales por las cuales la ley adscribió de man</w:t>
      </w:r>
      <w:r w:rsidRPr="00DF77C8">
        <w:rPr>
          <w:rFonts w:ascii="Times New Roman" w:hAnsi="Times New Roman"/>
          <w:sz w:val="28"/>
          <w:szCs w:val="28"/>
        </w:rPr>
        <w:t>era expresa la atribución de resolver los recursos de apelación</w:t>
      </w:r>
      <w:r w:rsidRPr="00DF77C8">
        <w:rPr>
          <w:rFonts w:ascii="Times New Roman" w:hAnsi="Times New Roman"/>
          <w:sz w:val="28"/>
          <w:szCs w:val="28"/>
        </w:rPr>
        <w:t>,</w:t>
      </w:r>
      <w:r w:rsidRPr="00DF77C8">
        <w:rPr>
          <w:rFonts w:ascii="Times New Roman" w:hAnsi="Times New Roman"/>
          <w:sz w:val="28"/>
          <w:szCs w:val="28"/>
        </w:rPr>
        <w:t xml:space="preserve"> contra las decisiones que profiera el juez penal municipal </w:t>
      </w:r>
      <w:r w:rsidRPr="00DF77C8">
        <w:rPr>
          <w:rFonts w:ascii="Times New Roman" w:hAnsi="Times New Roman"/>
          <w:sz w:val="28"/>
          <w:szCs w:val="28"/>
        </w:rPr>
        <w:t>en sede de control de garantías, a</w:t>
      </w:r>
      <w:r w:rsidRPr="00DF77C8">
        <w:rPr>
          <w:rFonts w:ascii="Times New Roman" w:hAnsi="Times New Roman"/>
          <w:sz w:val="28"/>
          <w:szCs w:val="28"/>
        </w:rPr>
        <w:t xml:space="preserve"> los jueces penales del circuito y guardó silencio respecto de la atribución de esta función contr</w:t>
      </w:r>
      <w:r w:rsidRPr="00DF77C8">
        <w:rPr>
          <w:rFonts w:ascii="Times New Roman" w:hAnsi="Times New Roman"/>
          <w:sz w:val="28"/>
          <w:szCs w:val="28"/>
        </w:rPr>
        <w:t xml:space="preserve">a las decisiones proferidas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en sede de control de garantías. Lo anterior genera un tratamiento diferenciado el cual, al no estar debidamente sustentado quebranta el derecho a la igualdad de trato.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567"/>
        </w:tabs>
        <w:ind w:left="0" w:right="-26" w:firstLine="0"/>
        <w:jc w:val="both"/>
        <w:rPr>
          <w:rFonts w:ascii="Times New Roman" w:hAnsi="Times New Roman"/>
          <w:sz w:val="28"/>
          <w:szCs w:val="28"/>
        </w:rPr>
      </w:pPr>
      <w:r w:rsidRPr="00DF77C8">
        <w:rPr>
          <w:rFonts w:ascii="Times New Roman" w:hAnsi="Times New Roman"/>
          <w:sz w:val="28"/>
          <w:szCs w:val="28"/>
        </w:rPr>
        <w:t>Asimismo, es importante re</w:t>
      </w:r>
      <w:r w:rsidRPr="00DF77C8">
        <w:rPr>
          <w:rFonts w:ascii="Times New Roman" w:hAnsi="Times New Roman"/>
          <w:sz w:val="28"/>
          <w:szCs w:val="28"/>
        </w:rPr>
        <w:t xml:space="preserve">cordar lo dispuesto en la Sentencia C-103 de 2005, respecto a algunos presupuestos que esta </w:t>
      </w:r>
      <w:r w:rsidRPr="00DF77C8">
        <w:rPr>
          <w:rFonts w:ascii="Times New Roman" w:hAnsi="Times New Roman"/>
          <w:sz w:val="28"/>
          <w:szCs w:val="28"/>
        </w:rPr>
        <w:t>Corporación</w:t>
      </w:r>
      <w:r w:rsidRPr="00DF77C8">
        <w:rPr>
          <w:rFonts w:ascii="Times New Roman" w:hAnsi="Times New Roman"/>
          <w:sz w:val="28"/>
          <w:szCs w:val="28"/>
        </w:rPr>
        <w:t xml:space="preserve"> ha considerado relevantes para analizar medidas legislativas que restringen el acceso a recursos judiciales: </w:t>
      </w:r>
    </w:p>
    <w:p w:rsidR="00801F94" w:rsidRPr="00DF77C8" w:rsidRDefault="00DF77C8" w:rsidP="008A4B21">
      <w:pPr>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b/>
          <w:sz w:val="28"/>
          <w:szCs w:val="28"/>
        </w:rPr>
        <w:t>E</w:t>
      </w:r>
      <w:r w:rsidRPr="00DF77C8">
        <w:rPr>
          <w:rFonts w:ascii="Times New Roman" w:hAnsi="Times New Roman"/>
          <w:b/>
          <w:color w:val="000000"/>
          <w:sz w:val="28"/>
          <w:szCs w:val="28"/>
        </w:rPr>
        <w:t>n primer lugar</w:t>
      </w:r>
      <w:r w:rsidRPr="00DF77C8">
        <w:rPr>
          <w:rFonts w:ascii="Times New Roman" w:hAnsi="Times New Roman"/>
          <w:color w:val="000000"/>
          <w:sz w:val="28"/>
          <w:szCs w:val="28"/>
        </w:rPr>
        <w:t>, la exclusión de la doble</w:t>
      </w:r>
      <w:r w:rsidRPr="00DF77C8">
        <w:rPr>
          <w:rFonts w:ascii="Times New Roman" w:hAnsi="Times New Roman"/>
          <w:color w:val="000000"/>
          <w:sz w:val="28"/>
          <w:szCs w:val="28"/>
        </w:rPr>
        <w:t xml:space="preserve"> instancia debe ser excepcional. </w:t>
      </w:r>
      <w:r w:rsidRPr="00DF77C8">
        <w:rPr>
          <w:rFonts w:ascii="Times New Roman" w:hAnsi="Times New Roman"/>
          <w:color w:val="000000"/>
          <w:sz w:val="28"/>
          <w:szCs w:val="28"/>
        </w:rPr>
        <w:t xml:space="preserve">Esta Sala </w:t>
      </w:r>
      <w:r w:rsidRPr="00DF77C8">
        <w:rPr>
          <w:rFonts w:ascii="Times New Roman" w:hAnsi="Times New Roman"/>
          <w:color w:val="000000"/>
          <w:sz w:val="28"/>
          <w:szCs w:val="28"/>
        </w:rPr>
        <w:t xml:space="preserve">encuentra que este criterio se encuentra </w:t>
      </w:r>
      <w:r w:rsidRPr="00DF77C8">
        <w:rPr>
          <w:rFonts w:ascii="Times New Roman" w:hAnsi="Times New Roman"/>
          <w:sz w:val="28"/>
          <w:szCs w:val="28"/>
        </w:rPr>
        <w:t xml:space="preserve">acreditado por cuanto el recurso de apelación no podría </w:t>
      </w:r>
      <w:r w:rsidRPr="00DF77C8">
        <w:rPr>
          <w:rFonts w:ascii="Times New Roman" w:hAnsi="Times New Roman"/>
          <w:sz w:val="28"/>
          <w:szCs w:val="28"/>
        </w:rPr>
        <w:t>ejercerse solo en</w:t>
      </w:r>
      <w:r w:rsidRPr="00DF77C8">
        <w:rPr>
          <w:rFonts w:ascii="Times New Roman" w:hAnsi="Times New Roman"/>
          <w:sz w:val="28"/>
          <w:szCs w:val="28"/>
        </w:rPr>
        <w:t xml:space="preserve"> el caso de los indiciados o investigados que tienen fuero constitucional en la etapa de juicio. De esa forma, la restricción de acceso y materialización del mismo sólo </w:t>
      </w:r>
      <w:r w:rsidRPr="00DF77C8">
        <w:rPr>
          <w:rFonts w:ascii="Times New Roman" w:hAnsi="Times New Roman"/>
          <w:sz w:val="28"/>
          <w:szCs w:val="28"/>
        </w:rPr>
        <w:t xml:space="preserve">se </w:t>
      </w:r>
      <w:r w:rsidRPr="00DF77C8">
        <w:rPr>
          <w:rFonts w:ascii="Times New Roman" w:hAnsi="Times New Roman"/>
          <w:sz w:val="28"/>
          <w:szCs w:val="28"/>
        </w:rPr>
        <w:t>predica</w:t>
      </w:r>
      <w:r w:rsidRPr="00DF77C8">
        <w:rPr>
          <w:rFonts w:ascii="Times New Roman" w:hAnsi="Times New Roman"/>
          <w:sz w:val="28"/>
          <w:szCs w:val="28"/>
        </w:rPr>
        <w:t xml:space="preserve"> </w:t>
      </w:r>
      <w:r w:rsidRPr="00DF77C8">
        <w:rPr>
          <w:rFonts w:ascii="Times New Roman" w:hAnsi="Times New Roman"/>
          <w:sz w:val="28"/>
          <w:szCs w:val="28"/>
        </w:rPr>
        <w:t>respecto de este grupo específico de personas.</w:t>
      </w:r>
    </w:p>
    <w:p w:rsidR="00801F94" w:rsidRPr="00DF77C8" w:rsidRDefault="00DF77C8" w:rsidP="008A4B21">
      <w:pPr>
        <w:tabs>
          <w:tab w:val="left" w:pos="-3261"/>
        </w:tabs>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b/>
          <w:color w:val="000000"/>
          <w:sz w:val="28"/>
          <w:szCs w:val="28"/>
        </w:rPr>
        <w:t>En segundo lugar</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en cuanto</w:t>
      </w:r>
      <w:r w:rsidRPr="00DF77C8">
        <w:rPr>
          <w:rFonts w:ascii="Times New Roman" w:hAnsi="Times New Roman"/>
          <w:color w:val="000000"/>
          <w:sz w:val="28"/>
          <w:szCs w:val="28"/>
        </w:rPr>
        <w:t xml:space="preserve"> a la existencia de otros recursos</w:t>
      </w:r>
      <w:r w:rsidRPr="00DF77C8">
        <w:rPr>
          <w:rFonts w:ascii="Times New Roman" w:hAnsi="Times New Roman"/>
          <w:sz w:val="28"/>
          <w:szCs w:val="28"/>
        </w:rPr>
        <w:t>, acciones u oportunidades procesales que garanticen adecuadamente el derecho de defensa y el derecho de acceso a la administración de justicia de quienes se vean afectados por lo actuado o por lo decidido, en este caso, n</w:t>
      </w:r>
      <w:r w:rsidRPr="00DF77C8">
        <w:rPr>
          <w:rFonts w:ascii="Times New Roman" w:hAnsi="Times New Roman"/>
          <w:sz w:val="28"/>
          <w:szCs w:val="28"/>
        </w:rPr>
        <w:t>o se acredita. Esto, porque si bien, el artículo 176 del CPP contempla que, por regla general, procede el recurso de reposición para todas las decisiones, el cual se resolverá de manera oral e inmediata en la respectiva audiencia, lo cierto es que en los e</w:t>
      </w:r>
      <w:r w:rsidRPr="00DF77C8">
        <w:rPr>
          <w:rFonts w:ascii="Times New Roman" w:hAnsi="Times New Roman"/>
          <w:sz w:val="28"/>
          <w:szCs w:val="28"/>
        </w:rPr>
        <w:t>ventos en los que este proceda respecto de las decisiones proferidas por el magistrado con función de control de garantías, la finalidad que se persigue con la interposición del recurso de apelación no lograría concretarse. Puesto que la doble instancia ti</w:t>
      </w:r>
      <w:r w:rsidRPr="00DF77C8">
        <w:rPr>
          <w:rFonts w:ascii="Times New Roman" w:hAnsi="Times New Roman"/>
          <w:sz w:val="28"/>
          <w:szCs w:val="28"/>
        </w:rPr>
        <w:t xml:space="preserve">ene por objeto que la decisión sea revisada por un funcionario de la misma naturaleza y de más alta jerarquía con propósitos de corrección. </w:t>
      </w:r>
    </w:p>
    <w:p w:rsidR="00801F94" w:rsidRPr="00DF77C8" w:rsidRDefault="00DF77C8" w:rsidP="008A4B21">
      <w:pPr>
        <w:tabs>
          <w:tab w:val="left" w:pos="-3261"/>
        </w:tabs>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En esa medida, las decisiones adoptadas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con funciones de control de garantías quedarían en firme una vez finalizada la audiencia, esto es, no existe la posibilidad de que se amplíe la deliberación en torno a lo decidido, con el fin de evitar posibles errores judiciales.</w:t>
      </w:r>
    </w:p>
    <w:p w:rsidR="00801F94" w:rsidRPr="00DF77C8" w:rsidRDefault="00DF77C8" w:rsidP="008A4B21">
      <w:pPr>
        <w:tabs>
          <w:tab w:val="left" w:pos="-3261"/>
        </w:tabs>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b/>
          <w:color w:val="000000"/>
          <w:sz w:val="28"/>
          <w:szCs w:val="28"/>
        </w:rPr>
        <w:t>En t</w:t>
      </w:r>
      <w:r w:rsidRPr="00DF77C8">
        <w:rPr>
          <w:rFonts w:ascii="Times New Roman" w:hAnsi="Times New Roman"/>
          <w:b/>
          <w:color w:val="000000"/>
          <w:sz w:val="28"/>
          <w:szCs w:val="28"/>
        </w:rPr>
        <w:t>ercer lugar</w:t>
      </w:r>
      <w:r w:rsidRPr="00DF77C8">
        <w:rPr>
          <w:rFonts w:ascii="Times New Roman" w:hAnsi="Times New Roman"/>
          <w:color w:val="000000"/>
          <w:sz w:val="28"/>
          <w:szCs w:val="28"/>
        </w:rPr>
        <w:t xml:space="preserve">, </w:t>
      </w:r>
      <w:r w:rsidRPr="00DF77C8">
        <w:rPr>
          <w:rFonts w:ascii="Times New Roman" w:hAnsi="Times New Roman"/>
          <w:sz w:val="28"/>
          <w:szCs w:val="28"/>
        </w:rPr>
        <w:t>no se observa que l</w:t>
      </w:r>
      <w:r w:rsidRPr="00DF77C8">
        <w:rPr>
          <w:rFonts w:ascii="Times New Roman" w:hAnsi="Times New Roman"/>
          <w:color w:val="000000"/>
          <w:sz w:val="28"/>
          <w:szCs w:val="28"/>
        </w:rPr>
        <w:t>a exclusión de la doble instancia</w:t>
      </w:r>
      <w:r w:rsidRPr="00DF77C8">
        <w:rPr>
          <w:rFonts w:ascii="Times New Roman" w:hAnsi="Times New Roman"/>
          <w:sz w:val="28"/>
          <w:szCs w:val="28"/>
        </w:rPr>
        <w:t xml:space="preserve"> en este caso específico persiga </w:t>
      </w:r>
      <w:r w:rsidRPr="00DF77C8">
        <w:rPr>
          <w:rFonts w:ascii="Times New Roman" w:hAnsi="Times New Roman"/>
          <w:color w:val="000000"/>
          <w:sz w:val="28"/>
          <w:szCs w:val="28"/>
        </w:rPr>
        <w:t xml:space="preserve">el logro de una finalidad constitucionalmente legítima. </w:t>
      </w:r>
      <w:r w:rsidRPr="00DF77C8">
        <w:rPr>
          <w:rFonts w:ascii="Times New Roman" w:hAnsi="Times New Roman"/>
          <w:color w:val="000000"/>
          <w:sz w:val="28"/>
          <w:szCs w:val="28"/>
        </w:rPr>
        <w:t>C</w:t>
      </w:r>
      <w:r w:rsidRPr="00DF77C8">
        <w:rPr>
          <w:rFonts w:ascii="Times New Roman" w:hAnsi="Times New Roman"/>
          <w:color w:val="000000"/>
          <w:sz w:val="28"/>
          <w:szCs w:val="28"/>
        </w:rPr>
        <w:t>omo se anotó en p</w:t>
      </w:r>
      <w:r w:rsidRPr="00DF77C8">
        <w:rPr>
          <w:rFonts w:ascii="Times New Roman" w:hAnsi="Times New Roman"/>
          <w:sz w:val="28"/>
          <w:szCs w:val="28"/>
        </w:rPr>
        <w:t>árrafos precedentes, el legislador no indicó de manera expresa las razones para intr</w:t>
      </w:r>
      <w:r w:rsidRPr="00DF77C8">
        <w:rPr>
          <w:rFonts w:ascii="Times New Roman" w:hAnsi="Times New Roman"/>
          <w:sz w:val="28"/>
          <w:szCs w:val="28"/>
        </w:rPr>
        <w:t xml:space="preserve">oducir una diferencia de trato entre las personas indiciadas o investigadas respecto a la posibilidad de hacer efectiva la garantía de la doble instancia ante el superior del juez o magistrado con funciones de control de garantías. </w:t>
      </w:r>
    </w:p>
    <w:p w:rsidR="00801F94" w:rsidRPr="00DF77C8" w:rsidRDefault="00DF77C8" w:rsidP="008A4B21">
      <w:pPr>
        <w:tabs>
          <w:tab w:val="left" w:pos="-3261"/>
        </w:tabs>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Como ya se expuso, la </w:t>
      </w:r>
      <w:r w:rsidRPr="00DF77C8">
        <w:rPr>
          <w:rFonts w:ascii="Times New Roman" w:hAnsi="Times New Roman"/>
          <w:sz w:val="28"/>
          <w:szCs w:val="28"/>
        </w:rPr>
        <w:t xml:space="preserve">Corte Suprema de Justicia al resolver los recursos de queja contra la decisión del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que niega el recurso de apelación contra sus decisiones, considera que los mismos se encuentran bien denegados por dos razones: la</w:t>
      </w:r>
      <w:r w:rsidRPr="00DF77C8">
        <w:rPr>
          <w:rFonts w:ascii="Times New Roman" w:hAnsi="Times New Roman"/>
          <w:sz w:val="28"/>
          <w:szCs w:val="28"/>
        </w:rPr>
        <w:t xml:space="preserve"> primera, porque la Sala Penal de esa </w:t>
      </w:r>
      <w:r w:rsidRPr="00DF77C8">
        <w:rPr>
          <w:rFonts w:ascii="Times New Roman" w:hAnsi="Times New Roman"/>
          <w:sz w:val="28"/>
          <w:szCs w:val="28"/>
        </w:rPr>
        <w:t>Corporación</w:t>
      </w:r>
      <w:r w:rsidRPr="00DF77C8">
        <w:rPr>
          <w:rFonts w:ascii="Times New Roman" w:hAnsi="Times New Roman"/>
          <w:sz w:val="28"/>
          <w:szCs w:val="28"/>
        </w:rPr>
        <w:t xml:space="preserve"> no tiene competencia legal ni constitucional para asumir el conocimiento de dichos recursos</w:t>
      </w:r>
      <w:r w:rsidRPr="00DF77C8">
        <w:rPr>
          <w:rStyle w:val="Refdenotaalpie"/>
          <w:rFonts w:ascii="Times New Roman" w:hAnsi="Times New Roman"/>
          <w:sz w:val="28"/>
          <w:szCs w:val="28"/>
        </w:rPr>
        <w:footnoteReference w:id="98"/>
      </w:r>
      <w:r w:rsidRPr="00DF77C8">
        <w:rPr>
          <w:rFonts w:ascii="Times New Roman" w:hAnsi="Times New Roman"/>
          <w:sz w:val="28"/>
          <w:szCs w:val="28"/>
        </w:rPr>
        <w:t xml:space="preserve"> y, la segunda, porque la ausencia de regulación sobre la autoridad judicial que debe conocer de los mismos consti</w:t>
      </w:r>
      <w:r w:rsidRPr="00DF77C8">
        <w:rPr>
          <w:rFonts w:ascii="Times New Roman" w:hAnsi="Times New Roman"/>
          <w:sz w:val="28"/>
          <w:szCs w:val="28"/>
        </w:rPr>
        <w:t>tuye una excepción a la doble instancia que válidamente puede introducir el legislador, como en este caso, donde de otorgarse dicha función de control de garantías la Sala Penal de la Corte Suprema de Justicia quedaría impedida para conocer el fondo del as</w:t>
      </w:r>
      <w:r w:rsidRPr="00DF77C8">
        <w:rPr>
          <w:rFonts w:ascii="Times New Roman" w:hAnsi="Times New Roman"/>
          <w:sz w:val="28"/>
          <w:szCs w:val="28"/>
        </w:rPr>
        <w:t>unto</w:t>
      </w:r>
      <w:r w:rsidRPr="00DF77C8">
        <w:rPr>
          <w:rStyle w:val="Refdenotaalpie"/>
          <w:rFonts w:ascii="Times New Roman" w:hAnsi="Times New Roman"/>
          <w:sz w:val="28"/>
          <w:szCs w:val="28"/>
        </w:rPr>
        <w:footnoteReference w:id="99"/>
      </w:r>
      <w:r w:rsidRPr="00DF77C8">
        <w:rPr>
          <w:rFonts w:ascii="Times New Roman" w:hAnsi="Times New Roman"/>
          <w:sz w:val="28"/>
          <w:szCs w:val="28"/>
        </w:rPr>
        <w:t>.</w:t>
      </w:r>
    </w:p>
    <w:p w:rsidR="00B01E7F" w:rsidRPr="00DF77C8" w:rsidRDefault="00DF77C8" w:rsidP="008A4B21">
      <w:pPr>
        <w:pStyle w:val="Prrafodelista"/>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sz w:val="28"/>
          <w:szCs w:val="28"/>
        </w:rPr>
        <w:t>Con todo</w:t>
      </w:r>
      <w:r w:rsidRPr="00DF77C8">
        <w:rPr>
          <w:rFonts w:ascii="Times New Roman" w:hAnsi="Times New Roman"/>
          <w:sz w:val="28"/>
          <w:szCs w:val="28"/>
        </w:rPr>
        <w:t xml:space="preserve">, </w:t>
      </w:r>
      <w:r w:rsidRPr="00DF77C8">
        <w:rPr>
          <w:rFonts w:ascii="Times New Roman" w:hAnsi="Times New Roman"/>
          <w:sz w:val="28"/>
          <w:szCs w:val="28"/>
        </w:rPr>
        <w:t>ninguna de las razones antes mencionadas puede</w:t>
      </w:r>
      <w:r w:rsidRPr="00DF77C8">
        <w:rPr>
          <w:rFonts w:ascii="Times New Roman" w:hAnsi="Times New Roman"/>
          <w:sz w:val="28"/>
          <w:szCs w:val="28"/>
        </w:rPr>
        <w:t xml:space="preserve"> ser objeto de verificación porque no fueron abordadas de manera expresa por el legislador. </w:t>
      </w:r>
    </w:p>
    <w:p w:rsidR="00801F94" w:rsidRPr="00DF77C8" w:rsidRDefault="00DF77C8" w:rsidP="008A4B21">
      <w:pPr>
        <w:tabs>
          <w:tab w:val="left" w:pos="-3261"/>
        </w:tabs>
        <w:ind w:right="-26"/>
        <w:jc w:val="both"/>
        <w:rPr>
          <w:rFonts w:ascii="Times New Roman" w:hAnsi="Times New Roman"/>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color w:val="000000"/>
          <w:sz w:val="28"/>
          <w:szCs w:val="28"/>
        </w:rPr>
      </w:pPr>
      <w:r w:rsidRPr="00DF77C8">
        <w:rPr>
          <w:rFonts w:ascii="Times New Roman" w:hAnsi="Times New Roman"/>
          <w:b/>
          <w:color w:val="000000"/>
          <w:sz w:val="28"/>
          <w:szCs w:val="28"/>
        </w:rPr>
        <w:t>Por último</w:t>
      </w:r>
      <w:r w:rsidRPr="00DF77C8">
        <w:rPr>
          <w:rFonts w:ascii="Times New Roman" w:hAnsi="Times New Roman"/>
          <w:color w:val="000000"/>
          <w:sz w:val="28"/>
          <w:szCs w:val="28"/>
        </w:rPr>
        <w:t xml:space="preserve">, como la omisión </w:t>
      </w:r>
      <w:r w:rsidRPr="00DF77C8">
        <w:rPr>
          <w:rFonts w:ascii="Times New Roman" w:hAnsi="Times New Roman"/>
          <w:sz w:val="28"/>
          <w:szCs w:val="28"/>
        </w:rPr>
        <w:t>legislativa relativa alegada</w:t>
      </w:r>
      <w:r w:rsidRPr="00DF77C8">
        <w:rPr>
          <w:rFonts w:ascii="Times New Roman" w:hAnsi="Times New Roman"/>
          <w:color w:val="000000"/>
          <w:sz w:val="28"/>
          <w:szCs w:val="28"/>
        </w:rPr>
        <w:t xml:space="preserve"> no tiene </w:t>
      </w:r>
      <w:r w:rsidRPr="00DF77C8">
        <w:rPr>
          <w:rFonts w:ascii="Times New Roman" w:hAnsi="Times New Roman"/>
          <w:sz w:val="28"/>
          <w:szCs w:val="28"/>
        </w:rPr>
        <w:t xml:space="preserve">justificación constitucional </w:t>
      </w:r>
      <w:r w:rsidRPr="00DF77C8">
        <w:rPr>
          <w:rFonts w:ascii="Times New Roman" w:hAnsi="Times New Roman"/>
          <w:sz w:val="28"/>
          <w:szCs w:val="28"/>
        </w:rPr>
        <w:t>deviene en discriminatoria</w:t>
      </w:r>
      <w:r w:rsidRPr="00DF77C8">
        <w:rPr>
          <w:rFonts w:ascii="Times New Roman" w:hAnsi="Times New Roman"/>
          <w:color w:val="000000"/>
          <w:sz w:val="28"/>
          <w:szCs w:val="28"/>
        </w:rPr>
        <w:t xml:space="preserve">, pues frente a situaciones </w:t>
      </w:r>
      <w:r w:rsidRPr="00DF77C8">
        <w:rPr>
          <w:rFonts w:ascii="Times New Roman" w:hAnsi="Times New Roman"/>
          <w:sz w:val="28"/>
          <w:szCs w:val="28"/>
        </w:rPr>
        <w:t xml:space="preserve">comparables no se observan </w:t>
      </w:r>
      <w:r w:rsidRPr="00DF77C8">
        <w:rPr>
          <w:rFonts w:ascii="Times New Roman" w:hAnsi="Times New Roman"/>
          <w:color w:val="000000"/>
          <w:sz w:val="28"/>
          <w:szCs w:val="28"/>
        </w:rPr>
        <w:t>criterios de razonabilidad</w:t>
      </w:r>
      <w:r w:rsidRPr="00DF77C8">
        <w:rPr>
          <w:rFonts w:ascii="Times New Roman" w:hAnsi="Times New Roman"/>
          <w:color w:val="000000"/>
          <w:sz w:val="28"/>
          <w:szCs w:val="28"/>
        </w:rPr>
        <w:t xml:space="preserve"> ni</w:t>
      </w:r>
      <w:r w:rsidRPr="00DF77C8">
        <w:rPr>
          <w:rFonts w:ascii="Times New Roman" w:hAnsi="Times New Roman"/>
          <w:color w:val="000000"/>
          <w:sz w:val="28"/>
          <w:szCs w:val="28"/>
        </w:rPr>
        <w:t xml:space="preserve"> suficiencia </w:t>
      </w:r>
      <w:r w:rsidRPr="00DF77C8">
        <w:rPr>
          <w:rFonts w:ascii="Times New Roman" w:hAnsi="Times New Roman"/>
          <w:sz w:val="28"/>
          <w:szCs w:val="28"/>
        </w:rPr>
        <w:t>para</w:t>
      </w:r>
      <w:r w:rsidRPr="00DF77C8">
        <w:rPr>
          <w:rFonts w:ascii="Times New Roman" w:hAnsi="Times New Roman"/>
          <w:color w:val="000000"/>
          <w:sz w:val="28"/>
          <w:szCs w:val="28"/>
        </w:rPr>
        <w:t xml:space="preserve"> exclu</w:t>
      </w:r>
      <w:r w:rsidRPr="00DF77C8">
        <w:rPr>
          <w:rFonts w:ascii="Times New Roman" w:hAnsi="Times New Roman"/>
          <w:sz w:val="28"/>
          <w:szCs w:val="28"/>
        </w:rPr>
        <w:t>ir a los indagados o investigados que ostentan fuero constitucional de la posibilidad de acceder materialmente al recurso d</w:t>
      </w:r>
      <w:r w:rsidRPr="00DF77C8">
        <w:rPr>
          <w:rFonts w:ascii="Times New Roman" w:hAnsi="Times New Roman"/>
          <w:sz w:val="28"/>
          <w:szCs w:val="28"/>
        </w:rPr>
        <w:t>e apelación consagrado en los eventos dispuestos por el legislador para controvertir ante el superior</w:t>
      </w:r>
      <w:r w:rsidRPr="00DF77C8">
        <w:rPr>
          <w:rFonts w:ascii="Times New Roman" w:hAnsi="Times New Roman"/>
          <w:sz w:val="28"/>
          <w:szCs w:val="28"/>
        </w:rPr>
        <w:t xml:space="preserve"> </w:t>
      </w:r>
      <w:r w:rsidRPr="00DF77C8">
        <w:rPr>
          <w:rFonts w:ascii="Times New Roman" w:hAnsi="Times New Roman"/>
          <w:sz w:val="28"/>
          <w:szCs w:val="28"/>
        </w:rPr>
        <w:t>del magistrado de control de garantías los puntos de su inconformidad</w:t>
      </w:r>
      <w:r w:rsidRPr="00DF77C8">
        <w:rPr>
          <w:rFonts w:ascii="Times New Roman" w:hAnsi="Times New Roman"/>
          <w:sz w:val="28"/>
          <w:szCs w:val="28"/>
        </w:rPr>
        <w:t xml:space="preserve">. </w:t>
      </w:r>
      <w:r w:rsidRPr="00DF77C8">
        <w:rPr>
          <w:rFonts w:ascii="Times New Roman" w:hAnsi="Times New Roman"/>
          <w:sz w:val="28"/>
          <w:szCs w:val="28"/>
        </w:rPr>
        <w:t>Esto,</w:t>
      </w:r>
      <w:r w:rsidRPr="00DF77C8">
        <w:rPr>
          <w:rFonts w:ascii="Times New Roman" w:hAnsi="Times New Roman"/>
          <w:sz w:val="28"/>
          <w:szCs w:val="28"/>
        </w:rPr>
        <w:t xml:space="preserve"> genera un</w:t>
      </w:r>
      <w:r w:rsidRPr="00DF77C8">
        <w:rPr>
          <w:rFonts w:ascii="Times New Roman" w:hAnsi="Times New Roman"/>
          <w:sz w:val="28"/>
          <w:szCs w:val="28"/>
        </w:rPr>
        <w:t xml:space="preserve"> grave impacto en sus garantías constitucionales, pues como quedó visto, las decisiones en sede de control de garantías tienen el potencial de restringir y afectar la libertad mediante las distintas medidas de aseguramiento que incluye la orden de captura;</w:t>
      </w:r>
      <w:r w:rsidRPr="00DF77C8">
        <w:rPr>
          <w:rFonts w:ascii="Times New Roman" w:hAnsi="Times New Roman"/>
          <w:sz w:val="28"/>
          <w:szCs w:val="28"/>
        </w:rPr>
        <w:t xml:space="preserve"> </w:t>
      </w:r>
      <w:r w:rsidRPr="00DF77C8">
        <w:rPr>
          <w:rFonts w:ascii="Times New Roman" w:hAnsi="Times New Roman"/>
          <w:sz w:val="28"/>
          <w:szCs w:val="28"/>
        </w:rPr>
        <w:t xml:space="preserve">la potencial </w:t>
      </w:r>
      <w:r w:rsidRPr="00DF77C8">
        <w:rPr>
          <w:rFonts w:ascii="Times New Roman" w:hAnsi="Times New Roman"/>
          <w:sz w:val="28"/>
          <w:szCs w:val="28"/>
        </w:rPr>
        <w:t>afecta</w:t>
      </w:r>
      <w:r w:rsidRPr="00DF77C8">
        <w:rPr>
          <w:rFonts w:ascii="Times New Roman" w:hAnsi="Times New Roman"/>
          <w:sz w:val="28"/>
          <w:szCs w:val="28"/>
        </w:rPr>
        <w:t>ción de</w:t>
      </w:r>
      <w:r w:rsidRPr="00DF77C8">
        <w:rPr>
          <w:rFonts w:ascii="Times New Roman" w:hAnsi="Times New Roman"/>
          <w:sz w:val="28"/>
          <w:szCs w:val="28"/>
        </w:rPr>
        <w:t xml:space="preserve"> sus derechos fundamentales y también su patrimonio</w:t>
      </w:r>
      <w:r w:rsidRPr="00DF77C8">
        <w:rPr>
          <w:rFonts w:ascii="Times New Roman" w:hAnsi="Times New Roman"/>
          <w:sz w:val="28"/>
          <w:szCs w:val="28"/>
        </w:rPr>
        <w:t>; p</w:t>
      </w:r>
      <w:r w:rsidRPr="00DF77C8">
        <w:rPr>
          <w:rFonts w:ascii="Times New Roman" w:hAnsi="Times New Roman"/>
          <w:sz w:val="28"/>
          <w:szCs w:val="28"/>
        </w:rPr>
        <w:t xml:space="preserve">rovidencias que, en </w:t>
      </w:r>
      <w:r w:rsidRPr="00DF77C8">
        <w:rPr>
          <w:rFonts w:ascii="Times New Roman" w:hAnsi="Times New Roman"/>
          <w:sz w:val="28"/>
          <w:szCs w:val="28"/>
        </w:rPr>
        <w:t>este evento</w:t>
      </w:r>
      <w:r w:rsidRPr="00DF77C8">
        <w:rPr>
          <w:rFonts w:ascii="Times New Roman" w:hAnsi="Times New Roman"/>
          <w:sz w:val="28"/>
          <w:szCs w:val="28"/>
        </w:rPr>
        <w:t xml:space="preserve">, quedan en firme al término de las respectivas audiencias celebradas por el magistrado del </w:t>
      </w:r>
      <w:r w:rsidRPr="00DF77C8">
        <w:rPr>
          <w:rFonts w:ascii="Times New Roman" w:hAnsi="Times New Roman"/>
          <w:sz w:val="28"/>
          <w:szCs w:val="28"/>
        </w:rPr>
        <w:t>Tribunal</w:t>
      </w:r>
      <w:r w:rsidRPr="00DF77C8">
        <w:rPr>
          <w:rFonts w:ascii="Times New Roman" w:hAnsi="Times New Roman"/>
          <w:sz w:val="28"/>
          <w:szCs w:val="28"/>
        </w:rPr>
        <w:t xml:space="preserve"> Superior de Bogotá. </w:t>
      </w:r>
      <w:r w:rsidRPr="00DF77C8">
        <w:rPr>
          <w:rFonts w:ascii="Times New Roman" w:hAnsi="Times New Roman"/>
          <w:color w:val="000000"/>
          <w:sz w:val="28"/>
          <w:szCs w:val="28"/>
        </w:rPr>
        <w:t xml:space="preserve"> </w:t>
      </w:r>
    </w:p>
    <w:p w:rsidR="00B40412" w:rsidRPr="00DF77C8" w:rsidRDefault="00DF77C8" w:rsidP="008A4B21">
      <w:pPr>
        <w:pStyle w:val="Prrafodelista"/>
        <w:tabs>
          <w:tab w:val="left" w:pos="-3261"/>
        </w:tabs>
        <w:ind w:left="885" w:right="-26"/>
        <w:jc w:val="both"/>
        <w:rPr>
          <w:rFonts w:ascii="Times New Roman" w:hAnsi="Times New Roman"/>
          <w:color w:val="000000"/>
          <w:sz w:val="28"/>
          <w:szCs w:val="28"/>
        </w:rPr>
      </w:pPr>
    </w:p>
    <w:p w:rsidR="00801F94" w:rsidRPr="00DF77C8" w:rsidRDefault="00DF77C8" w:rsidP="008A4B21">
      <w:pPr>
        <w:tabs>
          <w:tab w:val="left" w:pos="-3261"/>
          <w:tab w:val="left" w:pos="993"/>
        </w:tabs>
        <w:ind w:right="-26"/>
        <w:jc w:val="both"/>
        <w:rPr>
          <w:rFonts w:ascii="Times New Roman" w:hAnsi="Times New Roman"/>
          <w:b/>
          <w:color w:val="000000"/>
          <w:sz w:val="28"/>
          <w:szCs w:val="28"/>
        </w:rPr>
      </w:pPr>
      <w:r w:rsidRPr="00DF77C8">
        <w:rPr>
          <w:rFonts w:ascii="Times New Roman" w:hAnsi="Times New Roman"/>
          <w:b/>
          <w:sz w:val="28"/>
          <w:szCs w:val="28"/>
        </w:rPr>
        <w:t>Existencia de una de</w:t>
      </w:r>
      <w:r w:rsidRPr="00DF77C8">
        <w:rPr>
          <w:rFonts w:ascii="Times New Roman" w:hAnsi="Times New Roman"/>
          <w:b/>
          <w:sz w:val="28"/>
          <w:szCs w:val="28"/>
        </w:rPr>
        <w:t xml:space="preserve">sigualdad negativa </w:t>
      </w:r>
    </w:p>
    <w:p w:rsidR="00801F94" w:rsidRPr="00DF77C8" w:rsidRDefault="00DF77C8" w:rsidP="008A4B21">
      <w:pPr>
        <w:tabs>
          <w:tab w:val="left" w:pos="-3261"/>
          <w:tab w:val="left" w:pos="993"/>
        </w:tabs>
        <w:ind w:left="720" w:right="-26"/>
        <w:jc w:val="both"/>
        <w:rPr>
          <w:rFonts w:ascii="Times New Roman" w:hAnsi="Times New Roman"/>
          <w:b/>
          <w:sz w:val="28"/>
          <w:szCs w:val="28"/>
        </w:rPr>
      </w:pPr>
      <w:r w:rsidRPr="00DF77C8">
        <w:rPr>
          <w:rFonts w:ascii="Times New Roman" w:hAnsi="Times New Roman"/>
          <w:b/>
          <w:sz w:val="28"/>
          <w:szCs w:val="28"/>
        </w:rPr>
        <w:t xml:space="preserve"> </w:t>
      </w: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ausencia de justificación genera para los indiciados o investigados que tienen fuero constitucional, </w:t>
      </w:r>
      <w:r w:rsidRPr="00DF77C8">
        <w:rPr>
          <w:rFonts w:ascii="Times New Roman" w:hAnsi="Times New Roman"/>
          <w:color w:val="000000"/>
          <w:sz w:val="28"/>
          <w:szCs w:val="28"/>
        </w:rPr>
        <w:t>según lo dispuesto en e</w:t>
      </w:r>
      <w:r w:rsidRPr="00DF77C8">
        <w:rPr>
          <w:rFonts w:ascii="Times New Roman" w:hAnsi="Times New Roman"/>
          <w:color w:val="000000"/>
          <w:sz w:val="28"/>
          <w:szCs w:val="28"/>
        </w:rPr>
        <w:t xml:space="preserve">l artículo 235, numeral </w:t>
      </w:r>
      <w:r w:rsidRPr="00DF77C8">
        <w:rPr>
          <w:rFonts w:ascii="Times New Roman" w:hAnsi="Times New Roman"/>
          <w:color w:val="000000"/>
          <w:sz w:val="28"/>
          <w:szCs w:val="28"/>
        </w:rPr>
        <w:t>5</w:t>
      </w:r>
      <w:r w:rsidRPr="00DF77C8">
        <w:rPr>
          <w:rFonts w:ascii="Times New Roman" w:hAnsi="Times New Roman"/>
          <w:color w:val="000000"/>
          <w:sz w:val="28"/>
          <w:szCs w:val="28"/>
        </w:rPr>
        <w:t>°</w:t>
      </w:r>
      <w:r w:rsidRPr="00DF77C8">
        <w:rPr>
          <w:rFonts w:ascii="Times New Roman" w:hAnsi="Times New Roman"/>
          <w:sz w:val="28"/>
          <w:szCs w:val="28"/>
        </w:rPr>
        <w:t>,</w:t>
      </w:r>
      <w:r w:rsidRPr="00DF77C8">
        <w:rPr>
          <w:rFonts w:ascii="Times New Roman" w:hAnsi="Times New Roman"/>
          <w:color w:val="000000"/>
          <w:sz w:val="28"/>
          <w:szCs w:val="28"/>
        </w:rPr>
        <w:t xml:space="preserve"> de la Constitución, una desigualdad negativa frente a los indiciados o procesados que no tienen fuero constitucional respecto a la posibilidad de ejercer efectivamente ante una autoridad judicial determinada el recurso de apelación contra las decisiones p</w:t>
      </w:r>
      <w:r w:rsidRPr="00DF77C8">
        <w:rPr>
          <w:rFonts w:ascii="Times New Roman" w:hAnsi="Times New Roman"/>
          <w:color w:val="000000"/>
          <w:sz w:val="28"/>
          <w:szCs w:val="28"/>
        </w:rPr>
        <w:t>roferidas en sede de control de garantías.</w:t>
      </w:r>
    </w:p>
    <w:p w:rsidR="00801F94" w:rsidRPr="00DF77C8" w:rsidRDefault="00DF77C8" w:rsidP="008A4B21">
      <w:pPr>
        <w:tabs>
          <w:tab w:val="left" w:pos="-3261"/>
        </w:tabs>
        <w:ind w:left="702" w:right="-26"/>
        <w:jc w:val="both"/>
        <w:rPr>
          <w:rFonts w:ascii="Times New Roman" w:hAnsi="Times New Roman"/>
          <w:color w:val="000000"/>
          <w:sz w:val="28"/>
          <w:szCs w:val="28"/>
        </w:rPr>
      </w:pPr>
    </w:p>
    <w:p w:rsidR="00801F94"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sz w:val="28"/>
          <w:szCs w:val="28"/>
        </w:rPr>
      </w:pPr>
      <w:r w:rsidRPr="00DF77C8">
        <w:rPr>
          <w:rFonts w:ascii="Times New Roman" w:hAnsi="Times New Roman"/>
          <w:sz w:val="28"/>
          <w:szCs w:val="28"/>
        </w:rPr>
        <w:t xml:space="preserve">La Sala </w:t>
      </w:r>
      <w:r w:rsidRPr="00DF77C8">
        <w:rPr>
          <w:rFonts w:ascii="Times New Roman" w:hAnsi="Times New Roman"/>
          <w:sz w:val="28"/>
          <w:szCs w:val="28"/>
        </w:rPr>
        <w:t>considera</w:t>
      </w:r>
      <w:r w:rsidRPr="00DF77C8">
        <w:rPr>
          <w:rFonts w:ascii="Times New Roman" w:hAnsi="Times New Roman"/>
          <w:sz w:val="28"/>
          <w:szCs w:val="28"/>
        </w:rPr>
        <w:t xml:space="preserve"> que </w:t>
      </w:r>
      <w:r w:rsidRPr="00DF77C8">
        <w:rPr>
          <w:rFonts w:ascii="Times New Roman" w:hAnsi="Times New Roman"/>
          <w:sz w:val="28"/>
          <w:szCs w:val="28"/>
        </w:rPr>
        <w:t>la existencia de la doble instancia en la hipótesis objeto de análisis no limita la</w:t>
      </w:r>
      <w:r w:rsidRPr="00DF77C8">
        <w:rPr>
          <w:rFonts w:ascii="Times New Roman" w:hAnsi="Times New Roman"/>
          <w:sz w:val="28"/>
          <w:szCs w:val="28"/>
        </w:rPr>
        <w:t xml:space="preserve"> garantía del fuero. Por esta razón, no puede invocarse la existencia</w:t>
      </w:r>
      <w:r w:rsidRPr="00DF77C8">
        <w:rPr>
          <w:rFonts w:ascii="Times New Roman" w:hAnsi="Times New Roman"/>
          <w:sz w:val="28"/>
          <w:szCs w:val="28"/>
        </w:rPr>
        <w:t xml:space="preserve"> de</w:t>
      </w:r>
      <w:r w:rsidRPr="00DF77C8">
        <w:rPr>
          <w:rFonts w:ascii="Times New Roman" w:hAnsi="Times New Roman"/>
          <w:sz w:val="28"/>
          <w:szCs w:val="28"/>
        </w:rPr>
        <w:t xml:space="preserve"> </w:t>
      </w:r>
      <w:r w:rsidRPr="00DF77C8">
        <w:rPr>
          <w:rFonts w:ascii="Times New Roman" w:hAnsi="Times New Roman"/>
          <w:sz w:val="28"/>
          <w:szCs w:val="28"/>
        </w:rPr>
        <w:t>esta prerrogativa</w:t>
      </w:r>
      <w:r w:rsidRPr="00DF77C8">
        <w:rPr>
          <w:rFonts w:ascii="Times New Roman" w:hAnsi="Times New Roman"/>
          <w:sz w:val="28"/>
          <w:szCs w:val="28"/>
        </w:rPr>
        <w:t xml:space="preserve"> a favor de un grupo de funcionarios a quienes se les aplican las mismas reglas en la fase procesal en la que la Fiscalía General de la Nación ejerce la acción penal</w:t>
      </w:r>
      <w:r w:rsidRPr="00DF77C8">
        <w:rPr>
          <w:rFonts w:ascii="Times New Roman" w:hAnsi="Times New Roman"/>
          <w:sz w:val="28"/>
          <w:szCs w:val="28"/>
        </w:rPr>
        <w:t xml:space="preserve"> </w:t>
      </w:r>
      <w:r w:rsidRPr="00DF77C8">
        <w:rPr>
          <w:rFonts w:ascii="Times New Roman" w:hAnsi="Times New Roman"/>
          <w:sz w:val="28"/>
          <w:szCs w:val="28"/>
        </w:rPr>
        <w:t>respecto de aquéllos que no gozan de esta prerrogativa</w:t>
      </w:r>
      <w:r w:rsidRPr="00DF77C8">
        <w:rPr>
          <w:rFonts w:ascii="Times New Roman" w:hAnsi="Times New Roman"/>
          <w:sz w:val="28"/>
          <w:szCs w:val="28"/>
        </w:rPr>
        <w:t xml:space="preserve">, como razón suficiente para </w:t>
      </w:r>
      <w:r w:rsidRPr="00DF77C8">
        <w:rPr>
          <w:rFonts w:ascii="Times New Roman" w:hAnsi="Times New Roman"/>
          <w:sz w:val="28"/>
          <w:szCs w:val="28"/>
        </w:rPr>
        <w:t>eliminar la garantía de la doble instancia en la etapa de indagación o investigación.</w:t>
      </w:r>
    </w:p>
    <w:p w:rsidR="00801F94" w:rsidRPr="00DF77C8" w:rsidRDefault="00DF77C8" w:rsidP="008A4B21">
      <w:pPr>
        <w:tabs>
          <w:tab w:val="left" w:pos="-3261"/>
        </w:tabs>
        <w:ind w:right="-26"/>
        <w:jc w:val="both"/>
        <w:rPr>
          <w:rFonts w:ascii="Times New Roman" w:hAnsi="Times New Roman"/>
          <w:sz w:val="28"/>
          <w:szCs w:val="28"/>
        </w:rPr>
      </w:pPr>
    </w:p>
    <w:p w:rsidR="00392CC9" w:rsidRPr="00DF77C8" w:rsidRDefault="00DF77C8" w:rsidP="008A4B21">
      <w:pPr>
        <w:pStyle w:val="Prrafodelista"/>
        <w:numPr>
          <w:ilvl w:val="0"/>
          <w:numId w:val="2"/>
        </w:numPr>
        <w:tabs>
          <w:tab w:val="left" w:pos="-3261"/>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En suma, la Corte constata que la omisión del legislador excedió el límite material en ejercicio de su potestad, lo que generó la desigualdad negativa que se viene expon</w:t>
      </w:r>
      <w:r w:rsidRPr="00DF77C8">
        <w:rPr>
          <w:rFonts w:ascii="Times New Roman" w:hAnsi="Times New Roman"/>
          <w:color w:val="000000"/>
          <w:sz w:val="28"/>
          <w:szCs w:val="28"/>
        </w:rPr>
        <w:t>iendo</w:t>
      </w:r>
      <w:r w:rsidRPr="00DF77C8">
        <w:rPr>
          <w:rFonts w:ascii="Times New Roman" w:hAnsi="Times New Roman"/>
          <w:sz w:val="28"/>
          <w:szCs w:val="28"/>
        </w:rPr>
        <w:t xml:space="preserve">. </w:t>
      </w:r>
      <w:r w:rsidRPr="00DF77C8">
        <w:rPr>
          <w:rFonts w:ascii="Times New Roman" w:hAnsi="Times New Roman"/>
          <w:color w:val="000000"/>
          <w:sz w:val="28"/>
          <w:szCs w:val="28"/>
        </w:rPr>
        <w:t xml:space="preserve">    </w:t>
      </w:r>
    </w:p>
    <w:p w:rsidR="00E9482D" w:rsidRPr="00DF77C8" w:rsidRDefault="00DF77C8" w:rsidP="008A4B21">
      <w:pPr>
        <w:rPr>
          <w:rFonts w:ascii="Times New Roman" w:hAnsi="Times New Roman"/>
          <w:color w:val="000000"/>
          <w:sz w:val="28"/>
          <w:szCs w:val="28"/>
        </w:rPr>
      </w:pPr>
    </w:p>
    <w:p w:rsidR="00E9482D" w:rsidRPr="00DF77C8" w:rsidRDefault="00DF77C8" w:rsidP="008A4B21">
      <w:pPr>
        <w:pStyle w:val="Prrafodelista"/>
        <w:tabs>
          <w:tab w:val="left" w:pos="567"/>
        </w:tabs>
        <w:ind w:left="0" w:right="-26"/>
        <w:jc w:val="both"/>
        <w:rPr>
          <w:rFonts w:ascii="Times New Roman" w:hAnsi="Times New Roman"/>
          <w:i/>
          <w:iCs/>
          <w:color w:val="000000"/>
          <w:sz w:val="28"/>
          <w:szCs w:val="28"/>
        </w:rPr>
      </w:pPr>
      <w:r w:rsidRPr="00DF77C8">
        <w:rPr>
          <w:rFonts w:ascii="Times New Roman" w:hAnsi="Times New Roman"/>
          <w:i/>
          <w:iCs/>
          <w:color w:val="000000"/>
          <w:sz w:val="28"/>
          <w:szCs w:val="28"/>
        </w:rPr>
        <w:t>Cuestiones adicionales a abordar en el proceso objeto de estudio</w:t>
      </w:r>
    </w:p>
    <w:p w:rsidR="00E9482D" w:rsidRPr="00DF77C8" w:rsidRDefault="00DF77C8" w:rsidP="008A4B21">
      <w:pPr>
        <w:pStyle w:val="Prrafodelista"/>
        <w:rPr>
          <w:rFonts w:ascii="Times New Roman" w:hAnsi="Times New Roman"/>
          <w:color w:val="000000"/>
          <w:sz w:val="28"/>
          <w:szCs w:val="28"/>
        </w:rPr>
      </w:pPr>
    </w:p>
    <w:p w:rsidR="00E9482D" w:rsidRPr="00DF77C8" w:rsidRDefault="00DF77C8" w:rsidP="008A4B21">
      <w:pPr>
        <w:pStyle w:val="Prrafodelista"/>
        <w:numPr>
          <w:ilvl w:val="0"/>
          <w:numId w:val="2"/>
        </w:numPr>
        <w:tabs>
          <w:tab w:val="left" w:pos="0"/>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Por otra parte, esta Sala considera importante referirse a lo expuesto por la Universidad de Medellín y el Viceprocurador General de la Nación, en el sentido de que en este caso</w:t>
      </w:r>
      <w:r w:rsidRPr="00DF77C8">
        <w:rPr>
          <w:rFonts w:ascii="Times New Roman" w:hAnsi="Times New Roman"/>
          <w:color w:val="000000"/>
          <w:sz w:val="28"/>
          <w:szCs w:val="28"/>
        </w:rPr>
        <w:t xml:space="preserve"> la atribución de la competencia para conocer del recurso de apelación en la hipótesis que se viene planteando podría ser desarrollada por algunos magistrados del Tribunal Superior de Bogotá. Esto es, que el legislador pueda establecer los magistrados de d</w:t>
      </w:r>
      <w:r w:rsidRPr="00DF77C8">
        <w:rPr>
          <w:rFonts w:ascii="Times New Roman" w:hAnsi="Times New Roman"/>
          <w:color w:val="000000"/>
          <w:sz w:val="28"/>
          <w:szCs w:val="28"/>
        </w:rPr>
        <w:t>icho Tribunal que ejercerían la función de control de garantías en primera y en segunda instancia.</w:t>
      </w:r>
    </w:p>
    <w:p w:rsidR="00E9482D" w:rsidRPr="00DF77C8" w:rsidRDefault="00DF77C8" w:rsidP="008A4B21">
      <w:pPr>
        <w:pStyle w:val="Prrafodelista"/>
        <w:tabs>
          <w:tab w:val="left" w:pos="851"/>
        </w:tabs>
        <w:ind w:left="0" w:right="-26"/>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Así mismo, debe referirse la Sala a lo afirmado por el viceprocurador acerca de que los jueces que ejercen funciones de control de garantías son jueces constitucionales que no se encuentran sujetos a la distribución orgánica y jerárquica de la jurisdicción</w:t>
      </w:r>
      <w:r w:rsidRPr="00DF77C8">
        <w:rPr>
          <w:rFonts w:ascii="Times New Roman" w:hAnsi="Times New Roman"/>
          <w:color w:val="000000"/>
          <w:sz w:val="28"/>
          <w:szCs w:val="28"/>
        </w:rPr>
        <w:t xml:space="preserve"> ordinaria, razón por lo cual no es necesario que la Corte Suprema de Justicia resuelva el instrumento de impugnación de la decisión adoptada por el juez de control de garantías. </w:t>
      </w:r>
    </w:p>
    <w:p w:rsidR="00E9482D" w:rsidRPr="00DF77C8" w:rsidRDefault="00DF77C8" w:rsidP="008A4B21">
      <w:pPr>
        <w:pStyle w:val="Prrafodelista"/>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En primer lugar, esta Sala considera que según lo dispuesto en los artículo</w:t>
      </w:r>
      <w:r w:rsidRPr="00DF77C8">
        <w:rPr>
          <w:rFonts w:ascii="Times New Roman" w:hAnsi="Times New Roman"/>
          <w:color w:val="000000"/>
          <w:sz w:val="28"/>
          <w:szCs w:val="28"/>
        </w:rPr>
        <w:t>s 30 y 31 del Código de Procedimiento Penal</w:t>
      </w:r>
      <w:r w:rsidRPr="00DF77C8">
        <w:rPr>
          <w:rStyle w:val="Refdenotaalpie"/>
          <w:rFonts w:ascii="Times New Roman" w:hAnsi="Times New Roman"/>
          <w:color w:val="000000"/>
          <w:sz w:val="28"/>
          <w:szCs w:val="28"/>
        </w:rPr>
        <w:footnoteReference w:id="100"/>
      </w:r>
      <w:r w:rsidRPr="00DF77C8">
        <w:rPr>
          <w:rFonts w:ascii="Times New Roman" w:hAnsi="Times New Roman"/>
          <w:color w:val="000000"/>
          <w:sz w:val="28"/>
          <w:szCs w:val="28"/>
        </w:rPr>
        <w:t>, los jueces que excepcionalmente cumplen funciones de control de garantías también ejercen jurisdicción penal. En consecuencia, los jueces de control de garantías en los términos antes anotados sí integran dicha</w:t>
      </w:r>
      <w:r w:rsidRPr="00DF77C8">
        <w:rPr>
          <w:rFonts w:ascii="Times New Roman" w:hAnsi="Times New Roman"/>
          <w:color w:val="000000"/>
          <w:sz w:val="28"/>
          <w:szCs w:val="28"/>
        </w:rPr>
        <w:t xml:space="preserve"> jurisdicción</w:t>
      </w:r>
      <w:r w:rsidRPr="00DF77C8">
        <w:rPr>
          <w:rStyle w:val="Refdenotaalpie"/>
          <w:rFonts w:ascii="Times New Roman" w:hAnsi="Times New Roman"/>
          <w:color w:val="000000"/>
          <w:sz w:val="28"/>
          <w:szCs w:val="28"/>
        </w:rPr>
        <w:footnoteReference w:id="101"/>
      </w:r>
      <w:r w:rsidRPr="00DF77C8">
        <w:rPr>
          <w:rFonts w:ascii="Times New Roman" w:hAnsi="Times New Roman"/>
          <w:color w:val="000000"/>
          <w:sz w:val="28"/>
          <w:szCs w:val="28"/>
        </w:rPr>
        <w:t xml:space="preserve">. </w:t>
      </w:r>
    </w:p>
    <w:p w:rsidR="00E9482D" w:rsidRPr="00DF77C8" w:rsidRDefault="00DF77C8" w:rsidP="008A4B21">
      <w:pPr>
        <w:pStyle w:val="Prrafodelista"/>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Desde esa perspectiva, según la Sentencia C-873 de 2003, que citó la Sentencia C-543 de 1992, “el principio democrático de la autonomía funcional del juez, hoy expresamente reconocido en la Carta Política, busca evitar que las decisiones </w:t>
      </w:r>
      <w:r w:rsidRPr="00DF77C8">
        <w:rPr>
          <w:rFonts w:ascii="Times New Roman" w:hAnsi="Times New Roman"/>
          <w:color w:val="000000"/>
          <w:sz w:val="28"/>
          <w:szCs w:val="28"/>
        </w:rPr>
        <w:t>judiciales sean el resultado de mandatos o presiones sobre el funcionario que las adopta. A</w:t>
      </w:r>
      <w:r w:rsidRPr="00DF77C8">
        <w:rPr>
          <w:rFonts w:ascii="Times New Roman" w:hAnsi="Times New Roman"/>
          <w:color w:val="000000"/>
          <w:sz w:val="28"/>
          <w:szCs w:val="28"/>
        </w:rPr>
        <w:t>u</w:t>
      </w:r>
      <w:r w:rsidRPr="00DF77C8">
        <w:rPr>
          <w:rFonts w:ascii="Times New Roman" w:hAnsi="Times New Roman"/>
          <w:color w:val="000000"/>
          <w:sz w:val="28"/>
          <w:szCs w:val="28"/>
        </w:rPr>
        <w:t xml:space="preserve">n cuando el superior debe efectuar el estudio de una sentencia apelada o consultada (art. 31 de la Constitución), </w:t>
      </w:r>
      <w:r w:rsidRPr="00DF77C8">
        <w:rPr>
          <w:rFonts w:ascii="Times New Roman" w:hAnsi="Times New Roman"/>
          <w:color w:val="000000"/>
          <w:sz w:val="28"/>
          <w:szCs w:val="28"/>
          <w:u w:val="single"/>
        </w:rPr>
        <w:t xml:space="preserve">aquél no está autorizado por las disposiciones </w:t>
      </w:r>
      <w:r w:rsidRPr="00DF77C8">
        <w:rPr>
          <w:rFonts w:ascii="Times New Roman" w:hAnsi="Times New Roman"/>
          <w:color w:val="000000"/>
          <w:sz w:val="28"/>
          <w:szCs w:val="28"/>
          <w:u w:val="single"/>
        </w:rPr>
        <w:t>sobre competencia funcional para impartir órdenes a su inferior</w:t>
      </w:r>
      <w:r w:rsidRPr="00DF77C8">
        <w:rPr>
          <w:rFonts w:ascii="Times New Roman" w:hAnsi="Times New Roman"/>
          <w:color w:val="000000"/>
          <w:sz w:val="28"/>
          <w:szCs w:val="28"/>
        </w:rPr>
        <w:t xml:space="preserve"> respecto al sentido del fallo, sino que, en la hipótesis de hallar motivos suficientes para su revocatoria, debe sustituir la providencia dictada por la que estima se ajusta a las prescripcion</w:t>
      </w:r>
      <w:r w:rsidRPr="00DF77C8">
        <w:rPr>
          <w:rFonts w:ascii="Times New Roman" w:hAnsi="Times New Roman"/>
          <w:color w:val="000000"/>
          <w:sz w:val="28"/>
          <w:szCs w:val="28"/>
        </w:rPr>
        <w:t xml:space="preserve">es legales pero sin imponer su criterio personal en relación con el asunto controvertido” (Subraya fuera de texto). </w:t>
      </w:r>
    </w:p>
    <w:p w:rsidR="00E9482D" w:rsidRPr="00DF77C8" w:rsidRDefault="00DF77C8" w:rsidP="008A4B21">
      <w:pPr>
        <w:pStyle w:val="Prrafodelista"/>
        <w:tabs>
          <w:tab w:val="left" w:pos="851"/>
        </w:tabs>
        <w:ind w:left="0" w:right="-26"/>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Al respecto, la Corte considera que es en este contexto que debe analizarse la sujeción del magistrado que ejerce control de garantías res</w:t>
      </w:r>
      <w:r w:rsidRPr="00DF77C8">
        <w:rPr>
          <w:rFonts w:ascii="Times New Roman" w:hAnsi="Times New Roman"/>
          <w:color w:val="000000"/>
          <w:sz w:val="28"/>
          <w:szCs w:val="28"/>
        </w:rPr>
        <w:t xml:space="preserve">pecto al órgano de cierre de la jurisdicción ordinaria. Como puede verse ello también ocurre en el caso de los jueces penales municipales con control de garantías, cuyo recurso de apelación es conocido por los jueces penales del circuito. </w:t>
      </w:r>
    </w:p>
    <w:p w:rsidR="00E9482D" w:rsidRPr="00DF77C8" w:rsidRDefault="00DF77C8" w:rsidP="008A4B21">
      <w:pPr>
        <w:pStyle w:val="Prrafodelista"/>
        <w:tabs>
          <w:tab w:val="left" w:pos="851"/>
        </w:tabs>
        <w:ind w:left="0" w:right="-26"/>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De acuerdo con </w:t>
      </w:r>
      <w:r w:rsidRPr="00DF77C8">
        <w:rPr>
          <w:rFonts w:ascii="Times New Roman" w:hAnsi="Times New Roman"/>
          <w:color w:val="000000"/>
          <w:sz w:val="28"/>
          <w:szCs w:val="28"/>
        </w:rPr>
        <w:t xml:space="preserve">lo anterior, y teniendo en cuenta los órganos de administración de justicia en lo penal, puede concluirse que el superior jerárquico </w:t>
      </w:r>
      <w:r w:rsidRPr="00DF77C8">
        <w:rPr>
          <w:rFonts w:ascii="Times New Roman" w:hAnsi="Times New Roman"/>
          <w:color w:val="000000"/>
          <w:sz w:val="28"/>
          <w:szCs w:val="28"/>
        </w:rPr>
        <w:t xml:space="preserve">o funcional </w:t>
      </w:r>
      <w:r w:rsidRPr="00DF77C8">
        <w:rPr>
          <w:rFonts w:ascii="Times New Roman" w:hAnsi="Times New Roman"/>
          <w:color w:val="000000"/>
          <w:sz w:val="28"/>
          <w:szCs w:val="28"/>
        </w:rPr>
        <w:t>del magistrado del Tribunal Superior de Bogotá con funciones de control de garantías es la Sala Penal de la Cor</w:t>
      </w:r>
      <w:r w:rsidRPr="00DF77C8">
        <w:rPr>
          <w:rFonts w:ascii="Times New Roman" w:hAnsi="Times New Roman"/>
          <w:color w:val="000000"/>
          <w:sz w:val="28"/>
          <w:szCs w:val="28"/>
        </w:rPr>
        <w:t xml:space="preserve">te Suprema de Justicia.   </w:t>
      </w:r>
    </w:p>
    <w:p w:rsidR="00E9482D" w:rsidRPr="00DF77C8" w:rsidRDefault="00DF77C8" w:rsidP="008A4B21">
      <w:pPr>
        <w:pStyle w:val="Prrafodelista"/>
        <w:tabs>
          <w:tab w:val="left" w:pos="720"/>
        </w:tabs>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En segundo lugar, es importante recordar que el con respecto a la naturaleza del recurso de apelación la jurisprudencia ha señalado de manera reiterada que este medio de impugnación “hace parte de la garantía general y universal</w:t>
      </w:r>
      <w:r w:rsidRPr="00DF77C8">
        <w:rPr>
          <w:rFonts w:ascii="Times New Roman" w:hAnsi="Times New Roman"/>
          <w:color w:val="000000"/>
          <w:sz w:val="28"/>
          <w:szCs w:val="28"/>
        </w:rPr>
        <w:t xml:space="preserve"> de impugnación que se reconoce a quienes han intervenido o están legitimados para intervenir en la causa para obtener la tutela de un interés jurídico propio, </w:t>
      </w:r>
      <w:r w:rsidRPr="00DF77C8">
        <w:rPr>
          <w:rFonts w:ascii="Times New Roman" w:hAnsi="Times New Roman"/>
          <w:b/>
          <w:bCs/>
          <w:color w:val="000000"/>
          <w:sz w:val="28"/>
          <w:szCs w:val="28"/>
        </w:rPr>
        <w:t>con el fin de que el juez de grado superior revise y corrija los defectos, vicios o errores jurí</w:t>
      </w:r>
      <w:r w:rsidRPr="00DF77C8">
        <w:rPr>
          <w:rFonts w:ascii="Times New Roman" w:hAnsi="Times New Roman"/>
          <w:b/>
          <w:bCs/>
          <w:color w:val="000000"/>
          <w:sz w:val="28"/>
          <w:szCs w:val="28"/>
        </w:rPr>
        <w:t>dicos</w:t>
      </w:r>
      <w:r w:rsidRPr="00DF77C8">
        <w:rPr>
          <w:rFonts w:ascii="Times New Roman" w:hAnsi="Times New Roman"/>
          <w:color w:val="000000"/>
          <w:sz w:val="28"/>
          <w:szCs w:val="28"/>
        </w:rPr>
        <w:t xml:space="preserve"> del procedimiento o de la sentencia en que hubiere podido incurrir el a-quo. Su procedencia se determina en los estatutos procesales, atendiendo a la naturaleza propia del proceso y de la providencia y la calidad o el monto del agravio inferido a la </w:t>
      </w:r>
      <w:r w:rsidRPr="00DF77C8">
        <w:rPr>
          <w:rFonts w:ascii="Times New Roman" w:hAnsi="Times New Roman"/>
          <w:color w:val="000000"/>
          <w:sz w:val="28"/>
          <w:szCs w:val="28"/>
        </w:rPr>
        <w:t>respectiva parte” (Negrilla fuera de texto).</w:t>
      </w:r>
    </w:p>
    <w:p w:rsidR="00E9482D" w:rsidRPr="00DF77C8" w:rsidRDefault="00DF77C8" w:rsidP="008A4B21">
      <w:pPr>
        <w:pStyle w:val="Prrafodelista"/>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Igualmente, la Sala Penal de la Corte Suprema de Justicia explicó que “la apelación, como</w:t>
      </w:r>
      <w:r w:rsidRPr="00DF77C8">
        <w:rPr>
          <w:rFonts w:ascii="Times New Roman" w:hAnsi="Times New Roman"/>
          <w:b/>
          <w:bCs/>
          <w:color w:val="000000"/>
          <w:sz w:val="28"/>
          <w:szCs w:val="28"/>
        </w:rPr>
        <w:t xml:space="preserve"> una de las formas de acceder a la segunda instancia</w:t>
      </w:r>
      <w:r w:rsidRPr="00DF77C8">
        <w:rPr>
          <w:rFonts w:ascii="Times New Roman" w:hAnsi="Times New Roman"/>
          <w:color w:val="000000"/>
          <w:sz w:val="28"/>
          <w:szCs w:val="28"/>
        </w:rPr>
        <w:t>, no ha sido instituida a manera un nuevo juicio fáctico y jurídico c</w:t>
      </w:r>
      <w:r w:rsidRPr="00DF77C8">
        <w:rPr>
          <w:rFonts w:ascii="Times New Roman" w:hAnsi="Times New Roman"/>
          <w:color w:val="000000"/>
          <w:sz w:val="28"/>
          <w:szCs w:val="28"/>
        </w:rPr>
        <w:t xml:space="preserve">on prescindencia de lo ya resuelto por el a quo, sino como </w:t>
      </w:r>
      <w:r w:rsidRPr="00DF77C8">
        <w:rPr>
          <w:rFonts w:ascii="Times New Roman" w:hAnsi="Times New Roman"/>
          <w:b/>
          <w:bCs/>
          <w:color w:val="000000"/>
          <w:sz w:val="28"/>
          <w:szCs w:val="28"/>
        </w:rPr>
        <w:t>instrumento de control de juridicidad y acierto de las decisiones adoptadas por los funcionarios de primer grado</w:t>
      </w:r>
      <w:r w:rsidRPr="00DF77C8">
        <w:rPr>
          <w:rFonts w:ascii="Times New Roman" w:hAnsi="Times New Roman"/>
          <w:color w:val="000000"/>
          <w:sz w:val="28"/>
          <w:szCs w:val="28"/>
        </w:rPr>
        <w:t>, limitada, por tanto, a revisar los aspectos sobre los que la parte que a dicho meca</w:t>
      </w:r>
      <w:r w:rsidRPr="00DF77C8">
        <w:rPr>
          <w:rFonts w:ascii="Times New Roman" w:hAnsi="Times New Roman"/>
          <w:color w:val="000000"/>
          <w:sz w:val="28"/>
          <w:szCs w:val="28"/>
        </w:rPr>
        <w:t>nismo acude, manifieste inconformidad”</w:t>
      </w:r>
      <w:r w:rsidRPr="00DF77C8">
        <w:rPr>
          <w:rStyle w:val="Refdenotaalpie"/>
          <w:rFonts w:ascii="Times New Roman" w:hAnsi="Times New Roman"/>
          <w:color w:val="000000"/>
          <w:sz w:val="28"/>
          <w:szCs w:val="28"/>
        </w:rPr>
        <w:footnoteReference w:id="102"/>
      </w:r>
      <w:r w:rsidRPr="00DF77C8">
        <w:rPr>
          <w:rFonts w:ascii="Times New Roman" w:hAnsi="Times New Roman"/>
          <w:color w:val="000000"/>
          <w:sz w:val="28"/>
          <w:szCs w:val="28"/>
        </w:rPr>
        <w:t xml:space="preserve"> (Negrilla fuera de texto).</w:t>
      </w:r>
    </w:p>
    <w:p w:rsidR="00E9482D" w:rsidRPr="00DF77C8" w:rsidRDefault="00DF77C8" w:rsidP="008A4B21">
      <w:pPr>
        <w:pStyle w:val="Prrafodelista"/>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La anterior decisión fue reiterada en Sentencia C-047 de 2006, que también hizo referencia al alcance de este recurso y reiteró que su conocimiento le corresponde asumirlo al superior jerá</w:t>
      </w:r>
      <w:r w:rsidRPr="00DF77C8">
        <w:rPr>
          <w:rFonts w:ascii="Times New Roman" w:hAnsi="Times New Roman"/>
          <w:color w:val="000000"/>
          <w:sz w:val="28"/>
          <w:szCs w:val="28"/>
        </w:rPr>
        <w:t>rquico de la autoridad judicial que adoptó la decisión en primera instancia, pues uno de los objetivos que esta herramienta jurídica persigue es que pueda ejercerse un control con fines de corrección</w:t>
      </w:r>
      <w:r w:rsidRPr="00DF77C8">
        <w:rPr>
          <w:rStyle w:val="Refdenotaalpie"/>
          <w:rFonts w:ascii="Times New Roman" w:hAnsi="Times New Roman"/>
          <w:color w:val="000000"/>
          <w:sz w:val="28"/>
          <w:szCs w:val="28"/>
        </w:rPr>
        <w:footnoteReference w:id="103"/>
      </w:r>
      <w:r w:rsidRPr="00DF77C8">
        <w:rPr>
          <w:rFonts w:ascii="Times New Roman" w:hAnsi="Times New Roman"/>
          <w:color w:val="000000"/>
          <w:sz w:val="28"/>
          <w:szCs w:val="28"/>
        </w:rPr>
        <w:t xml:space="preserve"> para obtener una decisión justa:</w:t>
      </w:r>
    </w:p>
    <w:p w:rsidR="00E9482D" w:rsidRPr="00DF77C8" w:rsidRDefault="00DF77C8" w:rsidP="008A4B21">
      <w:pPr>
        <w:rPr>
          <w:rFonts w:ascii="Times New Roman" w:hAnsi="Times New Roman"/>
          <w:color w:val="000000"/>
          <w:sz w:val="28"/>
          <w:szCs w:val="28"/>
        </w:rPr>
      </w:pPr>
    </w:p>
    <w:p w:rsidR="00E9482D" w:rsidRPr="00DF77C8" w:rsidRDefault="00DF77C8" w:rsidP="008A4B21">
      <w:pPr>
        <w:ind w:left="567"/>
        <w:jc w:val="both"/>
        <w:rPr>
          <w:rFonts w:ascii="Times New Roman" w:hAnsi="Times New Roman"/>
          <w:color w:val="000000"/>
          <w:sz w:val="28"/>
          <w:szCs w:val="28"/>
        </w:rPr>
      </w:pPr>
      <w:r w:rsidRPr="00DF77C8">
        <w:rPr>
          <w:rFonts w:ascii="Times New Roman" w:hAnsi="Times New Roman"/>
          <w:color w:val="000000"/>
          <w:sz w:val="28"/>
          <w:szCs w:val="28"/>
        </w:rPr>
        <w:t>“La segunda instancia</w:t>
      </w:r>
      <w:r w:rsidRPr="00DF77C8">
        <w:rPr>
          <w:rFonts w:ascii="Times New Roman" w:hAnsi="Times New Roman"/>
          <w:color w:val="000000"/>
          <w:sz w:val="28"/>
          <w:szCs w:val="28"/>
        </w:rPr>
        <w:t xml:space="preserve"> no da lugar a un proceso autónomo en el que se repita de manera íntegra el juicio, sino que se trata de la oportunidad prevista por el legislador </w:t>
      </w:r>
      <w:r w:rsidRPr="00DF77C8">
        <w:rPr>
          <w:rFonts w:ascii="Times New Roman" w:hAnsi="Times New Roman"/>
          <w:b/>
          <w:bCs/>
          <w:color w:val="000000"/>
          <w:sz w:val="28"/>
          <w:szCs w:val="28"/>
        </w:rPr>
        <w:t>para que el superior jerárquico controle la corrección de la decisión adoptada en primera instancia</w:t>
      </w:r>
      <w:r w:rsidRPr="00DF77C8">
        <w:rPr>
          <w:rFonts w:ascii="Times New Roman" w:hAnsi="Times New Roman"/>
          <w:color w:val="000000"/>
          <w:sz w:val="28"/>
          <w:szCs w:val="28"/>
        </w:rPr>
        <w:t>. Ello sig</w:t>
      </w:r>
      <w:r w:rsidRPr="00DF77C8">
        <w:rPr>
          <w:rFonts w:ascii="Times New Roman" w:hAnsi="Times New Roman"/>
          <w:color w:val="000000"/>
          <w:sz w:val="28"/>
          <w:szCs w:val="28"/>
        </w:rPr>
        <w:t>nifica, tal como se desprende de lo dispuesto en el artículo 179 de la Ley 906 de 2004 y de consolidada jurisprudencia sobre el particular, que el superior actúa sobre los aspectos impugnados (…)</w:t>
      </w:r>
    </w:p>
    <w:p w:rsidR="00E9482D" w:rsidRPr="00DF77C8" w:rsidRDefault="00DF77C8" w:rsidP="008A4B21">
      <w:pPr>
        <w:ind w:left="567"/>
        <w:jc w:val="both"/>
        <w:rPr>
          <w:rFonts w:ascii="Times New Roman" w:hAnsi="Times New Roman"/>
          <w:color w:val="000000"/>
          <w:sz w:val="28"/>
          <w:szCs w:val="28"/>
        </w:rPr>
      </w:pPr>
    </w:p>
    <w:p w:rsidR="00E9482D" w:rsidRPr="00DF77C8" w:rsidRDefault="00DF77C8" w:rsidP="008A4B21">
      <w:pPr>
        <w:ind w:left="567"/>
        <w:jc w:val="both"/>
        <w:rPr>
          <w:rFonts w:ascii="Times New Roman" w:hAnsi="Times New Roman"/>
          <w:color w:val="000000"/>
          <w:sz w:val="28"/>
          <w:szCs w:val="28"/>
        </w:rPr>
      </w:pPr>
      <w:r w:rsidRPr="00DF77C8">
        <w:rPr>
          <w:rFonts w:ascii="Times New Roman" w:hAnsi="Times New Roman"/>
          <w:color w:val="000000"/>
          <w:sz w:val="28"/>
          <w:szCs w:val="28"/>
        </w:rPr>
        <w:t>La apelación (…) Se trata no de un nuevo juicio en el que d</w:t>
      </w:r>
      <w:r w:rsidRPr="00DF77C8">
        <w:rPr>
          <w:rFonts w:ascii="Times New Roman" w:hAnsi="Times New Roman"/>
          <w:color w:val="000000"/>
          <w:sz w:val="28"/>
          <w:szCs w:val="28"/>
        </w:rPr>
        <w:t>eba repetirse íntegramente la acusación y la defensa, sino de la continuación del proceso en una instancia de control que se ha previsto como garantía interna orientada a obtener una decisión justa (…)” (Negrilla fuera de texto).</w:t>
      </w:r>
    </w:p>
    <w:p w:rsidR="00E9482D" w:rsidRPr="00DF77C8" w:rsidRDefault="00DF77C8" w:rsidP="008A4B21">
      <w:pPr>
        <w:ind w:left="567"/>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Bajo esta línea argumentativa, la Sentencia C-406 de 2021, señaló que: “el derecho a apelar contenido en el Artículo 31 de la Constitución implica la denominada garantía de la doble instancia. Esta, ha interpretado hasta ahora, </w:t>
      </w:r>
      <w:r w:rsidRPr="00DF77C8">
        <w:rPr>
          <w:rFonts w:ascii="Times New Roman" w:hAnsi="Times New Roman"/>
          <w:b/>
          <w:bCs/>
          <w:color w:val="000000"/>
          <w:sz w:val="28"/>
          <w:szCs w:val="28"/>
        </w:rPr>
        <w:t>tiene la finalidad de que la</w:t>
      </w:r>
      <w:r w:rsidRPr="00DF77C8">
        <w:rPr>
          <w:rFonts w:ascii="Times New Roman" w:hAnsi="Times New Roman"/>
          <w:b/>
          <w:bCs/>
          <w:color w:val="000000"/>
          <w:sz w:val="28"/>
          <w:szCs w:val="28"/>
        </w:rPr>
        <w:t>s decisiones judiciales de primera instancia, independientemente de su sentido, sean revisadas por un superior jerárquico con propósitos de corrección</w:t>
      </w:r>
      <w:r w:rsidRPr="00DF77C8">
        <w:rPr>
          <w:rFonts w:ascii="Times New Roman" w:hAnsi="Times New Roman"/>
          <w:color w:val="000000"/>
          <w:sz w:val="28"/>
          <w:szCs w:val="28"/>
        </w:rPr>
        <w:t xml:space="preserve">, sin importar que los fallos resultantes sean coincidentes. Implica, ante todo, </w:t>
      </w:r>
      <w:r w:rsidRPr="00DF77C8">
        <w:rPr>
          <w:rFonts w:ascii="Times New Roman" w:hAnsi="Times New Roman"/>
          <w:b/>
          <w:bCs/>
          <w:color w:val="000000"/>
          <w:sz w:val="28"/>
          <w:szCs w:val="28"/>
        </w:rPr>
        <w:t xml:space="preserve">dos fases procesales que </w:t>
      </w:r>
      <w:r w:rsidRPr="00DF77C8">
        <w:rPr>
          <w:rFonts w:ascii="Times New Roman" w:hAnsi="Times New Roman"/>
          <w:b/>
          <w:bCs/>
          <w:color w:val="000000"/>
          <w:sz w:val="28"/>
          <w:szCs w:val="28"/>
        </w:rPr>
        <w:t>finalizan con fallos dictados por jueces de distinta jerarquía</w:t>
      </w:r>
      <w:r w:rsidRPr="00DF77C8">
        <w:rPr>
          <w:rFonts w:ascii="Times New Roman" w:hAnsi="Times New Roman"/>
          <w:color w:val="000000"/>
          <w:sz w:val="28"/>
          <w:szCs w:val="28"/>
        </w:rPr>
        <w:t>. En tanto principio, es válida la introducción de excepciones, siempre que estas no sean arbitrarias” (Negrilla fuera de texto).</w:t>
      </w:r>
    </w:p>
    <w:p w:rsidR="00E9482D" w:rsidRPr="00DF77C8" w:rsidRDefault="00DF77C8" w:rsidP="008A4B21">
      <w:pPr>
        <w:pStyle w:val="Prrafodelista"/>
        <w:tabs>
          <w:tab w:val="left" w:pos="567"/>
        </w:tabs>
        <w:ind w:left="0" w:right="-26"/>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De igual manera, es importante recordar que el artículo 178 del</w:t>
      </w:r>
      <w:r w:rsidRPr="00DF77C8">
        <w:rPr>
          <w:rFonts w:ascii="Times New Roman" w:hAnsi="Times New Roman"/>
          <w:color w:val="000000"/>
          <w:sz w:val="28"/>
          <w:szCs w:val="28"/>
        </w:rPr>
        <w:t xml:space="preserve"> Código de Procedimiento penal dispone que el recurso de apelación contra autos se concederá </w:t>
      </w:r>
      <w:r w:rsidRPr="00DF77C8">
        <w:rPr>
          <w:rFonts w:ascii="Times New Roman" w:hAnsi="Times New Roman"/>
          <w:b/>
          <w:bCs/>
          <w:color w:val="000000"/>
          <w:sz w:val="28"/>
          <w:szCs w:val="28"/>
        </w:rPr>
        <w:t>ante el superior de quien los dicta</w:t>
      </w:r>
      <w:r w:rsidRPr="00DF77C8">
        <w:rPr>
          <w:rFonts w:ascii="Times New Roman" w:hAnsi="Times New Roman"/>
          <w:color w:val="000000"/>
          <w:sz w:val="28"/>
          <w:szCs w:val="28"/>
        </w:rPr>
        <w:t>.</w:t>
      </w:r>
    </w:p>
    <w:p w:rsidR="00E9482D" w:rsidRPr="00DF77C8" w:rsidRDefault="00DF77C8" w:rsidP="008A4B21">
      <w:pPr>
        <w:pStyle w:val="Prrafodelista"/>
        <w:tabs>
          <w:tab w:val="left" w:pos="567"/>
        </w:tabs>
        <w:ind w:left="0" w:right="-26"/>
        <w:jc w:val="both"/>
        <w:rPr>
          <w:rFonts w:ascii="Times New Roman" w:hAnsi="Times New Roman"/>
          <w:color w:val="000000"/>
          <w:sz w:val="28"/>
          <w:szCs w:val="28"/>
        </w:rPr>
      </w:pPr>
    </w:p>
    <w:p w:rsidR="00E9482D"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En consonancia con lo expuesto, la finalidad del recurso de apelación consagrado por el legislador respecto a las providencia</w:t>
      </w:r>
      <w:r w:rsidRPr="00DF77C8">
        <w:rPr>
          <w:rFonts w:ascii="Times New Roman" w:hAnsi="Times New Roman"/>
          <w:color w:val="000000"/>
          <w:sz w:val="28"/>
          <w:szCs w:val="28"/>
        </w:rPr>
        <w:t>s que expida el juez de control de garantías no se cumpliría a través de otro mecanismo jurídico que pudiera surtirse ante los demás magistrados del Tribunal Superior del Distrito Judicial de Bogotá, pues la concreción de la doble instancia se fundamenta e</w:t>
      </w:r>
      <w:r w:rsidRPr="00DF77C8">
        <w:rPr>
          <w:rFonts w:ascii="Times New Roman" w:hAnsi="Times New Roman"/>
          <w:color w:val="000000"/>
          <w:sz w:val="28"/>
          <w:szCs w:val="28"/>
        </w:rPr>
        <w:t xml:space="preserve">n que otro funcionario de la misma naturaleza independiente e imparcial y de superior jerarquía, revise con propósitos de corrección las decisiones contrarias a los intereses de las partes, condiciones que no se cumplirían en la hipótesis planteada por el </w:t>
      </w:r>
      <w:r w:rsidRPr="00DF77C8">
        <w:rPr>
          <w:rFonts w:ascii="Times New Roman" w:hAnsi="Times New Roman"/>
          <w:color w:val="000000"/>
          <w:sz w:val="28"/>
          <w:szCs w:val="28"/>
        </w:rPr>
        <w:t>interviniente y el Ministerio Público. Por tanto, las decisiones adoptadas en primera instancia por el magistrado o la magistrada de la Sala Penal del Tribunal Superior de Bogotá en sede de control de garantías, deben ser revisadas por una instancia superi</w:t>
      </w:r>
      <w:r w:rsidRPr="00DF77C8">
        <w:rPr>
          <w:rFonts w:ascii="Times New Roman" w:hAnsi="Times New Roman"/>
          <w:color w:val="000000"/>
          <w:sz w:val="28"/>
          <w:szCs w:val="28"/>
        </w:rPr>
        <w:t>or, en este caso, por la Sala Penal de la Corte Suprema de Justicia.</w:t>
      </w:r>
    </w:p>
    <w:p w:rsidR="00401D21" w:rsidRPr="00DF77C8" w:rsidRDefault="00DF77C8" w:rsidP="008A4B21">
      <w:pPr>
        <w:pStyle w:val="Prrafodelista"/>
        <w:rPr>
          <w:rFonts w:ascii="Times New Roman" w:hAnsi="Times New Roman"/>
          <w:color w:val="000000"/>
          <w:sz w:val="28"/>
          <w:szCs w:val="28"/>
        </w:rPr>
      </w:pPr>
    </w:p>
    <w:p w:rsidR="00801F94" w:rsidRPr="00DF77C8" w:rsidRDefault="00DF77C8" w:rsidP="008A4B21">
      <w:pPr>
        <w:tabs>
          <w:tab w:val="left" w:pos="-3261"/>
        </w:tabs>
        <w:ind w:right="-26"/>
        <w:jc w:val="both"/>
        <w:rPr>
          <w:rFonts w:ascii="Times New Roman" w:hAnsi="Times New Roman"/>
          <w:b/>
          <w:color w:val="000000"/>
          <w:sz w:val="28"/>
          <w:szCs w:val="28"/>
        </w:rPr>
      </w:pPr>
      <w:r w:rsidRPr="00DF77C8">
        <w:rPr>
          <w:rFonts w:ascii="Times New Roman" w:hAnsi="Times New Roman"/>
          <w:b/>
          <w:color w:val="000000"/>
          <w:sz w:val="28"/>
          <w:szCs w:val="28"/>
        </w:rPr>
        <w:t>Del remedio constitucional a adoptar</w:t>
      </w:r>
      <w:r w:rsidRPr="00DF77C8">
        <w:rPr>
          <w:rFonts w:ascii="Times New Roman" w:hAnsi="Times New Roman"/>
          <w:b/>
          <w:color w:val="000000"/>
          <w:sz w:val="28"/>
          <w:szCs w:val="28"/>
        </w:rPr>
        <w:t xml:space="preserve">   </w:t>
      </w:r>
    </w:p>
    <w:p w:rsidR="00801F94" w:rsidRPr="00DF77C8" w:rsidRDefault="00DF77C8" w:rsidP="008A4B21">
      <w:pPr>
        <w:tabs>
          <w:tab w:val="left" w:pos="1276"/>
        </w:tabs>
        <w:ind w:left="702" w:right="-26" w:hanging="702"/>
        <w:jc w:val="both"/>
        <w:rPr>
          <w:rFonts w:ascii="Times New Roman" w:hAnsi="Times New Roman"/>
          <w:color w:val="000000"/>
          <w:sz w:val="28"/>
          <w:szCs w:val="28"/>
        </w:rPr>
      </w:pPr>
    </w:p>
    <w:p w:rsidR="00FD7120"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Para la Sala la</w:t>
      </w:r>
      <w:r w:rsidRPr="00DF77C8">
        <w:rPr>
          <w:rFonts w:ascii="Times New Roman" w:hAnsi="Times New Roman"/>
          <w:color w:val="000000"/>
          <w:sz w:val="28"/>
          <w:szCs w:val="28"/>
        </w:rPr>
        <w:t xml:space="preserve"> omisión legislativa relativa advertida conlleva la necesidad de </w:t>
      </w:r>
      <w:r w:rsidRPr="00DF77C8">
        <w:rPr>
          <w:rFonts w:ascii="Times New Roman" w:hAnsi="Times New Roman"/>
          <w:color w:val="000000"/>
          <w:sz w:val="28"/>
          <w:szCs w:val="28"/>
        </w:rPr>
        <w:t xml:space="preserve">expedir una sentencia integradora para </w:t>
      </w:r>
      <w:r w:rsidRPr="00DF77C8">
        <w:rPr>
          <w:rFonts w:ascii="Times New Roman" w:hAnsi="Times New Roman"/>
          <w:color w:val="000000"/>
          <w:sz w:val="28"/>
          <w:szCs w:val="28"/>
        </w:rPr>
        <w:t>remediar l</w:t>
      </w:r>
      <w:r w:rsidRPr="00DF77C8">
        <w:rPr>
          <w:rFonts w:ascii="Times New Roman" w:hAnsi="Times New Roman"/>
          <w:color w:val="000000"/>
          <w:sz w:val="28"/>
          <w:szCs w:val="28"/>
        </w:rPr>
        <w:t xml:space="preserve">a discriminación </w:t>
      </w:r>
      <w:r w:rsidRPr="00DF77C8">
        <w:rPr>
          <w:rFonts w:ascii="Times New Roman" w:hAnsi="Times New Roman"/>
          <w:color w:val="000000"/>
          <w:sz w:val="28"/>
          <w:szCs w:val="28"/>
        </w:rPr>
        <w:t>que se de</w:t>
      </w:r>
      <w:r w:rsidRPr="00DF77C8">
        <w:rPr>
          <w:rFonts w:ascii="Times New Roman" w:hAnsi="Times New Roman"/>
          <w:color w:val="000000"/>
          <w:sz w:val="28"/>
          <w:szCs w:val="28"/>
        </w:rPr>
        <w:t>riva</w:t>
      </w:r>
      <w:r w:rsidRPr="00DF77C8">
        <w:rPr>
          <w:rFonts w:ascii="Times New Roman" w:hAnsi="Times New Roman"/>
          <w:color w:val="000000"/>
          <w:sz w:val="28"/>
          <w:szCs w:val="28"/>
        </w:rPr>
        <w:t xml:space="preserve"> de la norma jurídica acusada, al no establecer de manera expresa la autoridad judicial que debe resolver el recurso de apelación contra los autos que profiere el magistrado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como juez de control de garantías de los aforados constitucionales del artículo 235, numeral 5°, superior, a diferencia de lo que ocurre frente a los sujetos indagados o procesados sin fuero constitucional.</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Ello, con la finalidad de ase</w:t>
      </w:r>
      <w:r w:rsidRPr="00DF77C8">
        <w:rPr>
          <w:rFonts w:ascii="Times New Roman" w:hAnsi="Times New Roman"/>
          <w:color w:val="000000"/>
          <w:sz w:val="28"/>
          <w:szCs w:val="28"/>
        </w:rPr>
        <w:t xml:space="preserve">gurar la vigencia de sus derechos fundamentales a la igualdad, al debido proceso y al acceso a la administración de justicia.  </w:t>
      </w:r>
    </w:p>
    <w:p w:rsidR="009A1243" w:rsidRPr="00DF77C8" w:rsidRDefault="00DF77C8" w:rsidP="008A4B21">
      <w:pPr>
        <w:pStyle w:val="Prrafodelista"/>
        <w:tabs>
          <w:tab w:val="left" w:pos="567"/>
        </w:tabs>
        <w:ind w:left="0" w:right="-26"/>
        <w:jc w:val="both"/>
        <w:rPr>
          <w:rFonts w:ascii="Times New Roman" w:hAnsi="Times New Roman"/>
          <w:color w:val="000000"/>
          <w:sz w:val="28"/>
          <w:szCs w:val="28"/>
        </w:rPr>
      </w:pPr>
    </w:p>
    <w:p w:rsidR="009A1243"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De </w:t>
      </w:r>
      <w:r w:rsidRPr="00DF77C8">
        <w:rPr>
          <w:rFonts w:ascii="Times New Roman" w:hAnsi="Times New Roman"/>
          <w:color w:val="000000"/>
          <w:sz w:val="28"/>
          <w:szCs w:val="28"/>
        </w:rPr>
        <w:t>conform</w:t>
      </w:r>
      <w:r w:rsidRPr="00DF77C8">
        <w:rPr>
          <w:rFonts w:ascii="Times New Roman" w:hAnsi="Times New Roman"/>
          <w:color w:val="000000"/>
          <w:sz w:val="28"/>
          <w:szCs w:val="28"/>
        </w:rPr>
        <w:t>idad</w:t>
      </w:r>
      <w:r w:rsidRPr="00DF77C8">
        <w:rPr>
          <w:rFonts w:ascii="Times New Roman" w:hAnsi="Times New Roman"/>
          <w:color w:val="000000"/>
          <w:sz w:val="28"/>
          <w:szCs w:val="28"/>
        </w:rPr>
        <w:t xml:space="preserve"> con lo establecido en el artículo 234 </w:t>
      </w:r>
      <w:r w:rsidRPr="00DF77C8">
        <w:rPr>
          <w:rFonts w:ascii="Times New Roman" w:hAnsi="Times New Roman"/>
          <w:color w:val="000000"/>
          <w:sz w:val="28"/>
          <w:szCs w:val="28"/>
        </w:rPr>
        <w:t>superior</w:t>
      </w:r>
      <w:r w:rsidRPr="00DF77C8">
        <w:rPr>
          <w:rFonts w:ascii="Times New Roman" w:hAnsi="Times New Roman"/>
          <w:color w:val="000000"/>
          <w:sz w:val="28"/>
          <w:szCs w:val="28"/>
        </w:rPr>
        <w:t xml:space="preserve"> y en el numeral 2º del artículo 235 de la Constitución Política q</w:t>
      </w:r>
      <w:r w:rsidRPr="00DF77C8">
        <w:rPr>
          <w:rFonts w:ascii="Times New Roman" w:hAnsi="Times New Roman"/>
          <w:color w:val="000000"/>
          <w:sz w:val="28"/>
          <w:szCs w:val="28"/>
        </w:rPr>
        <w:t xml:space="preserve">ue establece que le corresponde a la Corte Suprema de Justicia </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[c]onocer del derecho de impugnación y </w:t>
      </w:r>
      <w:r w:rsidRPr="00DF77C8">
        <w:rPr>
          <w:rFonts w:ascii="Times New Roman" w:hAnsi="Times New Roman"/>
          <w:b/>
          <w:bCs/>
          <w:color w:val="000000"/>
          <w:sz w:val="28"/>
          <w:szCs w:val="28"/>
        </w:rPr>
        <w:t>del recurso de apelación en materia penal,</w:t>
      </w:r>
      <w:r w:rsidRPr="00DF77C8">
        <w:rPr>
          <w:rFonts w:ascii="Times New Roman" w:hAnsi="Times New Roman"/>
          <w:color w:val="000000"/>
          <w:sz w:val="28"/>
          <w:szCs w:val="28"/>
        </w:rPr>
        <w:t xml:space="preserve"> </w:t>
      </w:r>
      <w:r w:rsidRPr="00DF77C8">
        <w:rPr>
          <w:rFonts w:ascii="Times New Roman" w:hAnsi="Times New Roman"/>
          <w:b/>
          <w:bCs/>
          <w:color w:val="000000"/>
          <w:sz w:val="28"/>
          <w:szCs w:val="28"/>
        </w:rPr>
        <w:t>conforme lo determine la ley</w:t>
      </w:r>
      <w:r w:rsidRPr="00DF77C8">
        <w:rPr>
          <w:rFonts w:ascii="Times New Roman" w:hAnsi="Times New Roman"/>
          <w:color w:val="000000"/>
          <w:sz w:val="28"/>
          <w:szCs w:val="28"/>
        </w:rPr>
        <w:t>” (N</w:t>
      </w:r>
      <w:r w:rsidRPr="00DF77C8">
        <w:rPr>
          <w:rFonts w:ascii="Times New Roman" w:hAnsi="Times New Roman"/>
          <w:color w:val="000000"/>
          <w:sz w:val="28"/>
          <w:szCs w:val="28"/>
        </w:rPr>
        <w:t>egrilla fuera de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texto</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al legislador</w:t>
      </w:r>
      <w:r w:rsidRPr="00DF77C8">
        <w:rPr>
          <w:rFonts w:ascii="Times New Roman" w:hAnsi="Times New Roman"/>
          <w:color w:val="000000"/>
          <w:sz w:val="28"/>
          <w:szCs w:val="28"/>
        </w:rPr>
        <w:t xml:space="preserve"> le compete señalar a que Sala de la Corte Suprema de Justicia le corresponde </w:t>
      </w:r>
      <w:r w:rsidRPr="00DF77C8">
        <w:rPr>
          <w:rFonts w:ascii="Times New Roman" w:hAnsi="Times New Roman"/>
          <w:color w:val="000000"/>
          <w:sz w:val="28"/>
          <w:szCs w:val="28"/>
        </w:rPr>
        <w:t xml:space="preserve">asumir </w:t>
      </w:r>
      <w:r w:rsidRPr="00DF77C8">
        <w:rPr>
          <w:rFonts w:ascii="Times New Roman" w:hAnsi="Times New Roman"/>
          <w:color w:val="000000"/>
          <w:sz w:val="28"/>
          <w:szCs w:val="28"/>
        </w:rPr>
        <w:t>dicha competencia.</w:t>
      </w:r>
    </w:p>
    <w:p w:rsidR="00FD7120" w:rsidRPr="00DF77C8" w:rsidRDefault="00DF77C8" w:rsidP="008A4B21">
      <w:pPr>
        <w:pStyle w:val="Prrafodelista"/>
        <w:tabs>
          <w:tab w:val="left" w:pos="851"/>
        </w:tabs>
        <w:ind w:left="0" w:right="-26"/>
        <w:jc w:val="both"/>
        <w:rPr>
          <w:rFonts w:ascii="Times New Roman" w:hAnsi="Times New Roman"/>
          <w:color w:val="000000"/>
          <w:sz w:val="28"/>
          <w:szCs w:val="28"/>
        </w:rPr>
      </w:pPr>
    </w:p>
    <w:p w:rsidR="00392CC9"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Lo anterior,</w:t>
      </w:r>
      <w:r w:rsidRPr="00DF77C8">
        <w:rPr>
          <w:rFonts w:ascii="Times New Roman" w:hAnsi="Times New Roman"/>
          <w:color w:val="000000"/>
          <w:sz w:val="28"/>
          <w:szCs w:val="28"/>
        </w:rPr>
        <w:t xml:space="preserve"> implica una división de funciones al interior de dicha entidad</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como lo advirtieron varios intervinientes, de manera que, el magistrado</w:t>
      </w:r>
      <w:r w:rsidRPr="00DF77C8">
        <w:rPr>
          <w:rFonts w:ascii="Times New Roman" w:hAnsi="Times New Roman"/>
          <w:color w:val="000000"/>
          <w:sz w:val="28"/>
          <w:szCs w:val="28"/>
        </w:rPr>
        <w:t xml:space="preserve"> o </w:t>
      </w:r>
      <w:r w:rsidRPr="00DF77C8">
        <w:rPr>
          <w:rFonts w:ascii="Times New Roman" w:hAnsi="Times New Roman"/>
          <w:color w:val="000000"/>
          <w:sz w:val="28"/>
          <w:szCs w:val="28"/>
        </w:rPr>
        <w:t>la magistrada de la Sala Penal de la Corte Suprema de Justicia</w:t>
      </w:r>
      <w:r w:rsidRPr="00DF77C8">
        <w:rPr>
          <w:rFonts w:ascii="Times New Roman" w:hAnsi="Times New Roman"/>
          <w:color w:val="000000"/>
          <w:sz w:val="28"/>
          <w:szCs w:val="28"/>
        </w:rPr>
        <w:t xml:space="preserve"> que </w:t>
      </w:r>
      <w:r w:rsidRPr="00DF77C8">
        <w:rPr>
          <w:rFonts w:ascii="Times New Roman" w:hAnsi="Times New Roman"/>
          <w:color w:val="000000"/>
          <w:sz w:val="28"/>
          <w:szCs w:val="28"/>
        </w:rPr>
        <w:t>resolvió el recurso de apelación</w:t>
      </w:r>
      <w:r w:rsidRPr="00DF77C8">
        <w:rPr>
          <w:rFonts w:ascii="Times New Roman" w:hAnsi="Times New Roman"/>
          <w:color w:val="000000"/>
          <w:sz w:val="28"/>
          <w:szCs w:val="28"/>
        </w:rPr>
        <w:t xml:space="preserve"> en sede de control de garantías pueda apartarse de estudiar el fondo del asunto sin que llegue a desestructurarse </w:t>
      </w:r>
      <w:r w:rsidRPr="00DF77C8">
        <w:rPr>
          <w:rFonts w:ascii="Times New Roman" w:hAnsi="Times New Roman"/>
          <w:color w:val="000000"/>
          <w:sz w:val="28"/>
          <w:szCs w:val="28"/>
        </w:rPr>
        <w:t>su</w:t>
      </w:r>
      <w:r w:rsidRPr="00DF77C8">
        <w:rPr>
          <w:rFonts w:ascii="Times New Roman" w:hAnsi="Times New Roman"/>
          <w:color w:val="000000"/>
          <w:sz w:val="28"/>
          <w:szCs w:val="28"/>
        </w:rPr>
        <w:t xml:space="preserve"> composición en la etapa de juicio</w:t>
      </w:r>
      <w:r w:rsidRPr="00DF77C8">
        <w:rPr>
          <w:rFonts w:ascii="Times New Roman" w:hAnsi="Times New Roman"/>
          <w:color w:val="000000"/>
          <w:sz w:val="28"/>
          <w:szCs w:val="28"/>
        </w:rPr>
        <w:t xml:space="preserve"> respecto a los aforados del artículo 235, numeral 5°, de la Constitución</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w:t>
      </w:r>
    </w:p>
    <w:p w:rsidR="0053123D" w:rsidRPr="00DF77C8" w:rsidRDefault="00DF77C8" w:rsidP="0053123D">
      <w:pPr>
        <w:pStyle w:val="Prrafodelista"/>
        <w:rPr>
          <w:rFonts w:ascii="Times New Roman" w:hAnsi="Times New Roman"/>
          <w:color w:val="000000"/>
          <w:sz w:val="28"/>
          <w:szCs w:val="28"/>
        </w:rPr>
      </w:pPr>
    </w:p>
    <w:p w:rsidR="0053123D" w:rsidRPr="00DF77C8" w:rsidRDefault="00DF77C8" w:rsidP="0053123D">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Corresponderá entonces conocer a los magistrados de la Sala de Casación Penal de la Corte Suprema de Justicia, en forma unipersonal, de la función de control de garantías en segunda instancia </w:t>
      </w:r>
      <w:r w:rsidRPr="00DF77C8">
        <w:rPr>
          <w:rFonts w:ascii="Times New Roman" w:hAnsi="Times New Roman"/>
          <w:color w:val="000000"/>
          <w:sz w:val="28"/>
          <w:szCs w:val="28"/>
        </w:rPr>
        <w:t>de los</w:t>
      </w:r>
      <w:r w:rsidRPr="00DF77C8">
        <w:rPr>
          <w:rFonts w:ascii="Times New Roman" w:hAnsi="Times New Roman"/>
          <w:color w:val="000000"/>
          <w:sz w:val="28"/>
          <w:szCs w:val="28"/>
        </w:rPr>
        <w:t xml:space="preserve"> aforados, sin perjuicio de que aquella, en todos los even</w:t>
      </w:r>
      <w:r w:rsidRPr="00DF77C8">
        <w:rPr>
          <w:rFonts w:ascii="Times New Roman" w:hAnsi="Times New Roman"/>
          <w:color w:val="000000"/>
          <w:sz w:val="28"/>
          <w:szCs w:val="28"/>
        </w:rPr>
        <w:t>tos, pueda delegar dicha función en los magistrados de las salas especiales de Instrucción o de Primera Instancia, bajo criterios que preserven la garantía del juez imparcial y la celeridad en la actuación.</w:t>
      </w:r>
    </w:p>
    <w:p w:rsidR="00DF4D5C" w:rsidRPr="00DF77C8" w:rsidRDefault="00DF77C8" w:rsidP="008A4B21">
      <w:pPr>
        <w:pStyle w:val="Prrafodelista"/>
        <w:rPr>
          <w:rFonts w:ascii="Times New Roman" w:hAnsi="Times New Roman"/>
          <w:color w:val="000000"/>
          <w:sz w:val="28"/>
          <w:szCs w:val="28"/>
        </w:rPr>
      </w:pPr>
    </w:p>
    <w:p w:rsidR="0001477C"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En consecuencia, </w:t>
      </w:r>
      <w:r w:rsidRPr="00DF77C8">
        <w:rPr>
          <w:rFonts w:ascii="Times New Roman" w:hAnsi="Times New Roman"/>
          <w:color w:val="000000"/>
          <w:sz w:val="28"/>
          <w:szCs w:val="28"/>
        </w:rPr>
        <w:t xml:space="preserve">este Tribunal </w:t>
      </w:r>
      <w:r w:rsidRPr="00DF77C8">
        <w:rPr>
          <w:rFonts w:ascii="Times New Roman" w:hAnsi="Times New Roman"/>
          <w:color w:val="000000"/>
          <w:sz w:val="28"/>
          <w:szCs w:val="28"/>
        </w:rPr>
        <w:t xml:space="preserve">declarará la </w:t>
      </w:r>
      <w:r w:rsidRPr="00DF77C8">
        <w:rPr>
          <w:rFonts w:ascii="Times New Roman" w:hAnsi="Times New Roman"/>
          <w:b/>
          <w:bCs/>
          <w:color w:val="000000"/>
          <w:sz w:val="28"/>
          <w:szCs w:val="28"/>
        </w:rPr>
        <w:t>EXEQ</w:t>
      </w:r>
      <w:r w:rsidRPr="00DF77C8">
        <w:rPr>
          <w:rFonts w:ascii="Times New Roman" w:hAnsi="Times New Roman"/>
          <w:b/>
          <w:bCs/>
          <w:color w:val="000000"/>
          <w:sz w:val="28"/>
          <w:szCs w:val="28"/>
        </w:rPr>
        <w:t>UIBILIDAD</w:t>
      </w:r>
      <w:r w:rsidRPr="00DF77C8">
        <w:rPr>
          <w:rFonts w:ascii="Times New Roman" w:hAnsi="Times New Roman"/>
          <w:color w:val="000000"/>
          <w:sz w:val="28"/>
          <w:szCs w:val="28"/>
        </w:rPr>
        <w:t xml:space="preserve"> del artículo 32 de la Ley 906 de 2004, condicionada a que se entienda que, mientras el legislador no define la materia, el recurso de apelación contra las decisiones del magistrado o de la magistrada de la Sala Penal del Tribunal Superior de Bogotá que ac</w:t>
      </w:r>
      <w:r w:rsidRPr="00DF77C8">
        <w:rPr>
          <w:rFonts w:ascii="Times New Roman" w:hAnsi="Times New Roman"/>
          <w:color w:val="000000"/>
          <w:sz w:val="28"/>
          <w:szCs w:val="28"/>
        </w:rPr>
        <w:t>túa en sede de control de garantías será conocido por un magistrado o magistrada de la instancia de la Sala de Casación Penal de Corte Suprema de Justicia (Sala de Instrucción, Sala de Juzgamiento o Sala de Casación) que la Sala de Casación Penal de la Cor</w:t>
      </w:r>
      <w:r w:rsidRPr="00DF77C8">
        <w:rPr>
          <w:rFonts w:ascii="Times New Roman" w:hAnsi="Times New Roman"/>
          <w:color w:val="000000"/>
          <w:sz w:val="28"/>
          <w:szCs w:val="28"/>
        </w:rPr>
        <w:t>te Suprema de Justicia decida, magistrado (a) que posteriormente no participará del conocimiento del expediente correspondiente, de acuerdo con lo expuesto en la parte motiva de esta providencia.</w:t>
      </w:r>
    </w:p>
    <w:p w:rsidR="008410BE" w:rsidRPr="00DF77C8" w:rsidRDefault="00DF77C8" w:rsidP="008A4B21">
      <w:pPr>
        <w:pStyle w:val="Prrafodelista"/>
        <w:rPr>
          <w:rFonts w:ascii="Times New Roman" w:hAnsi="Times New Roman"/>
          <w:color w:val="000000"/>
          <w:sz w:val="28"/>
          <w:szCs w:val="28"/>
        </w:rPr>
      </w:pPr>
    </w:p>
    <w:p w:rsidR="008D5693" w:rsidRPr="00DF77C8" w:rsidRDefault="00DF77C8" w:rsidP="008A4B21">
      <w:pPr>
        <w:pStyle w:val="Prrafodelista"/>
        <w:numPr>
          <w:ilvl w:val="0"/>
          <w:numId w:val="2"/>
        </w:numPr>
        <w:tabs>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La</w:t>
      </w:r>
      <w:r w:rsidRPr="00DF77C8">
        <w:rPr>
          <w:rFonts w:ascii="Times New Roman" w:hAnsi="Times New Roman"/>
          <w:color w:val="000000"/>
          <w:sz w:val="28"/>
          <w:szCs w:val="28"/>
        </w:rPr>
        <w:t xml:space="preserve"> omisión legislativa relativa advertida, </w:t>
      </w:r>
      <w:r w:rsidRPr="00DF77C8">
        <w:rPr>
          <w:rFonts w:ascii="Times New Roman" w:hAnsi="Times New Roman"/>
          <w:color w:val="000000"/>
          <w:sz w:val="28"/>
          <w:szCs w:val="28"/>
        </w:rPr>
        <w:t>implica que</w:t>
      </w:r>
      <w:r w:rsidRPr="00DF77C8">
        <w:rPr>
          <w:rFonts w:ascii="Times New Roman" w:hAnsi="Times New Roman"/>
          <w:color w:val="000000"/>
          <w:sz w:val="28"/>
          <w:szCs w:val="28"/>
        </w:rPr>
        <w:t xml:space="preserve"> la C</w:t>
      </w:r>
      <w:r w:rsidRPr="00DF77C8">
        <w:rPr>
          <w:rFonts w:ascii="Times New Roman" w:hAnsi="Times New Roman"/>
          <w:color w:val="000000"/>
          <w:sz w:val="28"/>
          <w:szCs w:val="28"/>
        </w:rPr>
        <w:t xml:space="preserve">orte Suprema de Justicia asuma </w:t>
      </w:r>
      <w:r w:rsidRPr="00DF77C8">
        <w:rPr>
          <w:rFonts w:ascii="Times New Roman" w:hAnsi="Times New Roman"/>
          <w:color w:val="000000"/>
          <w:sz w:val="28"/>
          <w:szCs w:val="28"/>
        </w:rPr>
        <w:t xml:space="preserve">en adelante </w:t>
      </w:r>
      <w:r w:rsidRPr="00DF77C8">
        <w:rPr>
          <w:rFonts w:ascii="Times New Roman" w:hAnsi="Times New Roman"/>
          <w:color w:val="000000"/>
          <w:sz w:val="28"/>
          <w:szCs w:val="28"/>
        </w:rPr>
        <w:t xml:space="preserve">el conocimiento del recurso de apelación contra los autos proferidos por el magistrado o la magistrada de la Sala Penal del </w:t>
      </w:r>
      <w:r w:rsidRPr="00DF77C8">
        <w:rPr>
          <w:rFonts w:ascii="Times New Roman" w:hAnsi="Times New Roman"/>
          <w:color w:val="000000"/>
          <w:sz w:val="28"/>
          <w:szCs w:val="28"/>
        </w:rPr>
        <w:t>Tribunal</w:t>
      </w:r>
      <w:r w:rsidRPr="00DF77C8">
        <w:rPr>
          <w:rFonts w:ascii="Times New Roman" w:hAnsi="Times New Roman"/>
          <w:color w:val="000000"/>
          <w:sz w:val="28"/>
          <w:szCs w:val="28"/>
        </w:rPr>
        <w:t xml:space="preserve"> Superior de Bogotá cuando actúa como juez de control de garantías, en aplicación</w:t>
      </w:r>
      <w:r w:rsidRPr="00DF77C8">
        <w:rPr>
          <w:rFonts w:ascii="Times New Roman" w:hAnsi="Times New Roman"/>
          <w:color w:val="000000"/>
          <w:sz w:val="28"/>
          <w:szCs w:val="28"/>
        </w:rPr>
        <w:t xml:space="preserve"> de lo dispuesto en los artículos 13, 29 y 229 superiores, sin que en ningún caso pueda afectarse la composición de dicha Sala en la etapa de juicio respecto a los aforados constitucionales a que hace referencia el artículo 235, numeral 5°, de la Constituc</w:t>
      </w:r>
      <w:r w:rsidRPr="00DF77C8">
        <w:rPr>
          <w:rFonts w:ascii="Times New Roman" w:hAnsi="Times New Roman"/>
          <w:color w:val="000000"/>
          <w:sz w:val="28"/>
          <w:szCs w:val="28"/>
        </w:rPr>
        <w:t>ión</w:t>
      </w:r>
      <w:r w:rsidRPr="00DF77C8">
        <w:rPr>
          <w:rStyle w:val="Refdenotaalpie"/>
          <w:rFonts w:ascii="Times New Roman" w:hAnsi="Times New Roman"/>
          <w:color w:val="000000"/>
          <w:sz w:val="28"/>
          <w:szCs w:val="28"/>
        </w:rPr>
        <w:footnoteReference w:id="104"/>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Esto es, de acuerdo con la organización interna que la Sala Penal de la Corte Suprema de Justicia disponga realizar, el magistrado o la magistrada que conozca de dicho recurso no podrá participar del conocimiento del proceso en la etapa de juicio que</w:t>
      </w:r>
      <w:r w:rsidRPr="00DF77C8">
        <w:rPr>
          <w:rFonts w:ascii="Times New Roman" w:hAnsi="Times New Roman"/>
          <w:color w:val="000000"/>
          <w:sz w:val="28"/>
          <w:szCs w:val="28"/>
        </w:rPr>
        <w:t xml:space="preserve"> se surte ante esa misma </w:t>
      </w:r>
      <w:r w:rsidRPr="00DF77C8">
        <w:rPr>
          <w:rFonts w:ascii="Times New Roman" w:hAnsi="Times New Roman"/>
          <w:color w:val="000000"/>
          <w:sz w:val="28"/>
          <w:szCs w:val="28"/>
        </w:rPr>
        <w:t>Corporación</w:t>
      </w:r>
      <w:r w:rsidRPr="00DF77C8">
        <w:rPr>
          <w:rFonts w:ascii="Times New Roman" w:hAnsi="Times New Roman"/>
          <w:color w:val="000000"/>
          <w:sz w:val="28"/>
          <w:szCs w:val="28"/>
        </w:rPr>
        <w:t xml:space="preserve">. </w:t>
      </w:r>
    </w:p>
    <w:p w:rsidR="008D5693" w:rsidRPr="00DF77C8" w:rsidRDefault="00DF77C8" w:rsidP="008A4B21">
      <w:pPr>
        <w:rPr>
          <w:rFonts w:ascii="Times New Roman" w:hAnsi="Times New Roman"/>
          <w:color w:val="000000"/>
          <w:sz w:val="28"/>
          <w:szCs w:val="28"/>
        </w:rPr>
      </w:pPr>
    </w:p>
    <w:p w:rsidR="00DE4443" w:rsidRPr="00DF77C8" w:rsidRDefault="00DF77C8" w:rsidP="008A4B21">
      <w:pPr>
        <w:jc w:val="both"/>
        <w:rPr>
          <w:rFonts w:ascii="Times New Roman" w:hAnsi="Times New Roman"/>
          <w:i/>
          <w:iCs/>
          <w:color w:val="000000"/>
          <w:sz w:val="28"/>
          <w:szCs w:val="28"/>
        </w:rPr>
      </w:pPr>
      <w:r w:rsidRPr="00DF77C8">
        <w:rPr>
          <w:rFonts w:ascii="Times New Roman" w:hAnsi="Times New Roman"/>
          <w:i/>
          <w:iCs/>
          <w:color w:val="000000"/>
          <w:sz w:val="28"/>
          <w:szCs w:val="28"/>
        </w:rPr>
        <w:t xml:space="preserve">Los efectos retroactivos de la decisión </w:t>
      </w:r>
    </w:p>
    <w:p w:rsidR="00E9482D" w:rsidRPr="00DF77C8" w:rsidRDefault="00DF77C8" w:rsidP="008A4B21">
      <w:pPr>
        <w:jc w:val="both"/>
        <w:rPr>
          <w:rFonts w:ascii="Times New Roman" w:hAnsi="Times New Roman"/>
          <w:i/>
          <w:iCs/>
          <w:color w:val="000000"/>
          <w:sz w:val="28"/>
          <w:szCs w:val="28"/>
        </w:rPr>
      </w:pPr>
    </w:p>
    <w:p w:rsidR="005714E7" w:rsidRPr="00DF77C8" w:rsidRDefault="00DF77C8" w:rsidP="008A4B21">
      <w:pPr>
        <w:pStyle w:val="Prrafodelista"/>
        <w:numPr>
          <w:ilvl w:val="0"/>
          <w:numId w:val="2"/>
        </w:numPr>
        <w:tabs>
          <w:tab w:val="left" w:pos="426"/>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El artículo 45 de la Ley </w:t>
      </w:r>
      <w:r w:rsidRPr="00DF77C8">
        <w:rPr>
          <w:rFonts w:ascii="Times New Roman" w:hAnsi="Times New Roman"/>
          <w:color w:val="000000"/>
          <w:sz w:val="28"/>
          <w:szCs w:val="28"/>
        </w:rPr>
        <w:t xml:space="preserve">270 de 1996 (Ley </w:t>
      </w:r>
      <w:r w:rsidRPr="00DF77C8">
        <w:rPr>
          <w:rFonts w:ascii="Times New Roman" w:hAnsi="Times New Roman"/>
          <w:color w:val="000000"/>
          <w:sz w:val="28"/>
          <w:szCs w:val="28"/>
        </w:rPr>
        <w:t>Estatutaria de Administración de Justicia</w:t>
      </w:r>
      <w:r w:rsidRPr="00DF77C8">
        <w:rPr>
          <w:rFonts w:ascii="Times New Roman" w:hAnsi="Times New Roman"/>
          <w:color w:val="000000"/>
          <w:sz w:val="28"/>
          <w:szCs w:val="28"/>
        </w:rPr>
        <w:t xml:space="preserve">) establece que por regla general los efectos de las decisiones adoptadas por esta Corporación </w:t>
      </w:r>
      <w:r w:rsidRPr="00DF77C8">
        <w:rPr>
          <w:rFonts w:ascii="Times New Roman" w:hAnsi="Times New Roman"/>
          <w:color w:val="000000"/>
          <w:sz w:val="28"/>
          <w:szCs w:val="28"/>
        </w:rPr>
        <w:t xml:space="preserve">cuando ejerce el control abstracto de constitucionalidad </w:t>
      </w:r>
      <w:r w:rsidRPr="00DF77C8">
        <w:rPr>
          <w:rFonts w:ascii="Times New Roman" w:hAnsi="Times New Roman"/>
          <w:color w:val="000000"/>
          <w:sz w:val="28"/>
          <w:szCs w:val="28"/>
        </w:rPr>
        <w:t xml:space="preserve">surtirán efectos hacia </w:t>
      </w:r>
      <w:r w:rsidRPr="00DF77C8">
        <w:rPr>
          <w:rFonts w:ascii="Times New Roman" w:hAnsi="Times New Roman"/>
          <w:color w:val="000000"/>
          <w:sz w:val="28"/>
          <w:szCs w:val="28"/>
        </w:rPr>
        <w:t xml:space="preserve">el </w:t>
      </w:r>
      <w:r w:rsidRPr="00DF77C8">
        <w:rPr>
          <w:rFonts w:ascii="Times New Roman" w:hAnsi="Times New Roman"/>
          <w:color w:val="000000"/>
          <w:sz w:val="28"/>
          <w:szCs w:val="28"/>
        </w:rPr>
        <w:t>futuro</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No obstante,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también precisa </w:t>
      </w:r>
      <w:r w:rsidRPr="00DF77C8">
        <w:rPr>
          <w:rFonts w:ascii="Times New Roman" w:hAnsi="Times New Roman"/>
          <w:color w:val="000000"/>
          <w:sz w:val="28"/>
          <w:szCs w:val="28"/>
        </w:rPr>
        <w:t>que,</w:t>
      </w:r>
      <w:r w:rsidRPr="00DF77C8">
        <w:rPr>
          <w:rFonts w:ascii="Times New Roman" w:hAnsi="Times New Roman"/>
          <w:color w:val="000000"/>
          <w:sz w:val="28"/>
          <w:szCs w:val="28"/>
        </w:rPr>
        <w:t xml:space="preserve"> de manera excepcional</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este Tribunal puede modular los efectos de </w:t>
      </w:r>
      <w:r w:rsidRPr="00DF77C8">
        <w:rPr>
          <w:rFonts w:ascii="Times New Roman" w:hAnsi="Times New Roman"/>
          <w:color w:val="000000"/>
          <w:sz w:val="28"/>
          <w:szCs w:val="28"/>
        </w:rPr>
        <w:t xml:space="preserve">las sentencias de </w:t>
      </w:r>
      <w:r w:rsidRPr="00DF77C8">
        <w:rPr>
          <w:rFonts w:ascii="Times New Roman" w:hAnsi="Times New Roman"/>
          <w:color w:val="000000"/>
          <w:sz w:val="28"/>
          <w:szCs w:val="28"/>
        </w:rPr>
        <w:t xml:space="preserve">inexequibilidad </w:t>
      </w:r>
      <w:r w:rsidRPr="00DF77C8">
        <w:rPr>
          <w:rFonts w:ascii="Times New Roman" w:hAnsi="Times New Roman"/>
          <w:color w:val="000000"/>
          <w:sz w:val="28"/>
          <w:szCs w:val="28"/>
        </w:rPr>
        <w:t>ya sea en torno a su contenido o a sus efectos temporales</w:t>
      </w:r>
      <w:r w:rsidRPr="00DF77C8">
        <w:rPr>
          <w:rStyle w:val="Refdenotaalpie"/>
          <w:rFonts w:ascii="Times New Roman" w:hAnsi="Times New Roman"/>
          <w:color w:val="000000"/>
          <w:sz w:val="28"/>
          <w:szCs w:val="28"/>
        </w:rPr>
        <w:footnoteReference w:id="105"/>
      </w:r>
      <w:r w:rsidRPr="00DF77C8">
        <w:rPr>
          <w:rFonts w:ascii="Times New Roman" w:hAnsi="Times New Roman"/>
          <w:color w:val="000000"/>
          <w:sz w:val="28"/>
          <w:szCs w:val="28"/>
        </w:rPr>
        <w:t>.</w:t>
      </w:r>
    </w:p>
    <w:p w:rsidR="005714E7" w:rsidRPr="00DF77C8" w:rsidRDefault="00DF77C8" w:rsidP="008A4B21">
      <w:pPr>
        <w:pStyle w:val="Prrafodelista"/>
        <w:tabs>
          <w:tab w:val="left" w:pos="426"/>
          <w:tab w:val="left" w:pos="567"/>
        </w:tabs>
        <w:ind w:left="0" w:right="-26"/>
        <w:jc w:val="both"/>
        <w:rPr>
          <w:rFonts w:ascii="Times New Roman" w:hAnsi="Times New Roman"/>
          <w:color w:val="000000"/>
          <w:sz w:val="28"/>
          <w:szCs w:val="28"/>
        </w:rPr>
      </w:pPr>
    </w:p>
    <w:p w:rsidR="00BA2298" w:rsidRPr="00DF77C8" w:rsidRDefault="00DF77C8" w:rsidP="008A4B21">
      <w:pPr>
        <w:pStyle w:val="Prrafodelista"/>
        <w:numPr>
          <w:ilvl w:val="0"/>
          <w:numId w:val="2"/>
        </w:numPr>
        <w:tabs>
          <w:tab w:val="left" w:pos="426"/>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 xml:space="preserve">La facultad </w:t>
      </w:r>
      <w:r w:rsidRPr="00DF77C8">
        <w:rPr>
          <w:rFonts w:ascii="Times New Roman" w:hAnsi="Times New Roman"/>
          <w:color w:val="000000"/>
          <w:sz w:val="28"/>
          <w:szCs w:val="28"/>
        </w:rPr>
        <w:t xml:space="preserve">para determinar los efectos de sus propias decisiones, según lo estableció desde sus inicios este </w:t>
      </w:r>
      <w:r w:rsidRPr="00DF77C8">
        <w:rPr>
          <w:rFonts w:ascii="Times New Roman" w:hAnsi="Times New Roman"/>
          <w:color w:val="000000"/>
          <w:sz w:val="28"/>
          <w:szCs w:val="28"/>
        </w:rPr>
        <w:t>Tribunal</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nace </w:t>
      </w:r>
      <w:r w:rsidRPr="00DF77C8">
        <w:rPr>
          <w:rFonts w:ascii="Times New Roman" w:hAnsi="Times New Roman"/>
          <w:color w:val="000000"/>
          <w:sz w:val="28"/>
          <w:szCs w:val="28"/>
        </w:rPr>
        <w:t xml:space="preserve">de la misión que le fue consagrada en </w:t>
      </w:r>
      <w:r w:rsidRPr="00DF77C8">
        <w:rPr>
          <w:rFonts w:ascii="Times New Roman" w:hAnsi="Times New Roman"/>
          <w:color w:val="000000"/>
          <w:sz w:val="28"/>
          <w:szCs w:val="28"/>
        </w:rPr>
        <w:t xml:space="preserve">el artículo </w:t>
      </w:r>
      <w:r w:rsidRPr="00DF77C8">
        <w:rPr>
          <w:rFonts w:ascii="Times New Roman" w:hAnsi="Times New Roman"/>
          <w:color w:val="000000"/>
          <w:sz w:val="28"/>
          <w:szCs w:val="28"/>
        </w:rPr>
        <w:t>241 de la C</w:t>
      </w:r>
      <w:r w:rsidRPr="00DF77C8">
        <w:rPr>
          <w:rFonts w:ascii="Times New Roman" w:hAnsi="Times New Roman"/>
          <w:color w:val="000000"/>
          <w:sz w:val="28"/>
          <w:szCs w:val="28"/>
        </w:rPr>
        <w:t>arta</w:t>
      </w:r>
      <w:r w:rsidRPr="00DF77C8">
        <w:rPr>
          <w:rFonts w:ascii="Times New Roman" w:hAnsi="Times New Roman"/>
          <w:color w:val="000000"/>
          <w:sz w:val="28"/>
          <w:szCs w:val="28"/>
        </w:rPr>
        <w:t xml:space="preserve"> Política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como guardiana </w:t>
      </w:r>
      <w:r w:rsidRPr="00DF77C8">
        <w:rPr>
          <w:rFonts w:ascii="Times New Roman" w:hAnsi="Times New Roman"/>
          <w:color w:val="000000"/>
          <w:sz w:val="28"/>
          <w:szCs w:val="28"/>
        </w:rPr>
        <w:t>“</w:t>
      </w:r>
      <w:r w:rsidRPr="00DF77C8">
        <w:rPr>
          <w:rFonts w:ascii="Times New Roman" w:hAnsi="Times New Roman"/>
          <w:color w:val="000000"/>
          <w:sz w:val="28"/>
          <w:szCs w:val="28"/>
        </w:rPr>
        <w:t>de la integridad y supremacía de la Constitución</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y para cumplirla “</w:t>
      </w:r>
      <w:r w:rsidRPr="00DF77C8">
        <w:rPr>
          <w:rFonts w:ascii="Times New Roman" w:hAnsi="Times New Roman"/>
          <w:color w:val="000000"/>
          <w:sz w:val="28"/>
          <w:szCs w:val="28"/>
        </w:rPr>
        <w:t>el paso previo e indispensable es la interpretación que se hace en la sentencia qu</w:t>
      </w:r>
      <w:r w:rsidRPr="00DF77C8">
        <w:rPr>
          <w:rFonts w:ascii="Times New Roman" w:hAnsi="Times New Roman"/>
          <w:color w:val="000000"/>
          <w:sz w:val="28"/>
          <w:szCs w:val="28"/>
        </w:rPr>
        <w:t xml:space="preserve">e debe señalar sus propios efectos. No hay que olvidar que, según el artículo 5 de la Constitución, el Estado reconoce la primacía de los derechos inalienables de la persona, </w:t>
      </w:r>
      <w:r w:rsidRPr="00DF77C8">
        <w:rPr>
          <w:rFonts w:ascii="Times New Roman" w:hAnsi="Times New Roman"/>
          <w:color w:val="000000"/>
          <w:sz w:val="28"/>
          <w:szCs w:val="28"/>
        </w:rPr>
        <w:t>reconocimiento obligatorio</w:t>
      </w:r>
      <w:r w:rsidRPr="00DF77C8">
        <w:rPr>
          <w:rFonts w:ascii="Times New Roman" w:hAnsi="Times New Roman"/>
          <w:color w:val="000000"/>
          <w:sz w:val="28"/>
          <w:szCs w:val="28"/>
        </w:rPr>
        <w:t xml:space="preserve"> para la Corte Constitucional como para todas las </w:t>
      </w:r>
      <w:r w:rsidRPr="00DF77C8">
        <w:rPr>
          <w:rFonts w:ascii="Times New Roman" w:hAnsi="Times New Roman"/>
          <w:color w:val="000000"/>
          <w:sz w:val="28"/>
          <w:szCs w:val="28"/>
        </w:rPr>
        <w:t>autor</w:t>
      </w:r>
      <w:r w:rsidRPr="00DF77C8">
        <w:rPr>
          <w:rFonts w:ascii="Times New Roman" w:hAnsi="Times New Roman"/>
          <w:color w:val="000000"/>
          <w:sz w:val="28"/>
          <w:szCs w:val="28"/>
        </w:rPr>
        <w:t>idades</w:t>
      </w:r>
      <w:r w:rsidRPr="00DF77C8">
        <w:rPr>
          <w:rFonts w:ascii="Times New Roman" w:hAnsi="Times New Roman"/>
          <w:color w:val="000000"/>
          <w:sz w:val="28"/>
          <w:szCs w:val="28"/>
        </w:rPr>
        <w:t>,</w:t>
      </w:r>
      <w:r w:rsidRPr="00DF77C8">
        <w:rPr>
          <w:rFonts w:ascii="Times New Roman" w:hAnsi="Times New Roman"/>
          <w:color w:val="000000"/>
          <w:sz w:val="28"/>
          <w:szCs w:val="28"/>
        </w:rPr>
        <w:t xml:space="preserve"> pero con mayor fuerza</w:t>
      </w:r>
      <w:r w:rsidRPr="00DF77C8">
        <w:rPr>
          <w:rFonts w:ascii="Times New Roman" w:hAnsi="Times New Roman"/>
          <w:color w:val="000000"/>
          <w:sz w:val="28"/>
          <w:szCs w:val="28"/>
        </w:rPr>
        <w:t>”</w:t>
      </w:r>
      <w:r w:rsidRPr="00DF77C8">
        <w:rPr>
          <w:rStyle w:val="Refdenotaalpie"/>
          <w:rFonts w:ascii="Times New Roman" w:hAnsi="Times New Roman"/>
          <w:color w:val="000000"/>
          <w:sz w:val="28"/>
          <w:szCs w:val="28"/>
        </w:rPr>
        <w:footnoteReference w:id="106"/>
      </w:r>
      <w:r w:rsidRPr="00DF77C8">
        <w:rPr>
          <w:rFonts w:ascii="Times New Roman" w:hAnsi="Times New Roman"/>
          <w:color w:val="000000"/>
          <w:sz w:val="28"/>
          <w:szCs w:val="28"/>
        </w:rPr>
        <w:t>.</w:t>
      </w:r>
    </w:p>
    <w:p w:rsidR="00BA2298" w:rsidRPr="00DF77C8" w:rsidRDefault="00DF77C8" w:rsidP="008A4B21">
      <w:pPr>
        <w:pStyle w:val="Prrafodelista"/>
        <w:rPr>
          <w:rFonts w:ascii="Times New Roman" w:hAnsi="Times New Roman"/>
          <w:color w:val="000000"/>
          <w:sz w:val="28"/>
          <w:szCs w:val="28"/>
        </w:rPr>
      </w:pPr>
    </w:p>
    <w:p w:rsidR="008410BE" w:rsidRPr="00DF77C8" w:rsidRDefault="00DF77C8" w:rsidP="008A4B21">
      <w:pPr>
        <w:pStyle w:val="Prrafodelista"/>
        <w:numPr>
          <w:ilvl w:val="0"/>
          <w:numId w:val="2"/>
        </w:numPr>
        <w:tabs>
          <w:tab w:val="left" w:pos="426"/>
          <w:tab w:val="left" w:pos="567"/>
        </w:tabs>
        <w:ind w:left="0" w:right="-26" w:firstLine="0"/>
        <w:jc w:val="both"/>
        <w:rPr>
          <w:rFonts w:ascii="Times New Roman" w:hAnsi="Times New Roman"/>
          <w:color w:val="000000"/>
          <w:sz w:val="28"/>
          <w:szCs w:val="28"/>
        </w:rPr>
      </w:pPr>
      <w:r w:rsidRPr="00DF77C8">
        <w:rPr>
          <w:rFonts w:ascii="Times New Roman" w:hAnsi="Times New Roman"/>
          <w:color w:val="000000"/>
          <w:sz w:val="28"/>
          <w:szCs w:val="28"/>
        </w:rPr>
        <w:t>En el asunto objeto de estudio la Sala plena considera que debe retrotraer los efectos de la declaratoria de exequibilidad condicionada</w:t>
      </w:r>
      <w:r w:rsidRPr="00DF77C8">
        <w:rPr>
          <w:rFonts w:ascii="Times New Roman" w:hAnsi="Times New Roman"/>
          <w:color w:val="000000"/>
          <w:sz w:val="28"/>
          <w:szCs w:val="28"/>
        </w:rPr>
        <w:t xml:space="preserve"> en </w:t>
      </w:r>
      <w:r w:rsidRPr="00DF77C8">
        <w:rPr>
          <w:rFonts w:ascii="Times New Roman" w:hAnsi="Times New Roman"/>
          <w:color w:val="000000"/>
          <w:sz w:val="28"/>
          <w:szCs w:val="28"/>
        </w:rPr>
        <w:t>virtud</w:t>
      </w:r>
      <w:r w:rsidRPr="00DF77C8">
        <w:rPr>
          <w:rFonts w:ascii="Times New Roman" w:hAnsi="Times New Roman"/>
          <w:color w:val="000000"/>
          <w:sz w:val="28"/>
          <w:szCs w:val="28"/>
        </w:rPr>
        <w:t xml:space="preserve"> de</w:t>
      </w:r>
      <w:r w:rsidRPr="00DF77C8">
        <w:rPr>
          <w:rFonts w:ascii="Times New Roman" w:hAnsi="Times New Roman"/>
          <w:color w:val="000000"/>
          <w:sz w:val="28"/>
          <w:szCs w:val="28"/>
        </w:rPr>
        <w:t xml:space="preserve"> los principios constitucionales de supremacía de la Constitución y de</w:t>
      </w:r>
      <w:r w:rsidRPr="00DF77C8">
        <w:rPr>
          <w:rFonts w:ascii="Times New Roman" w:hAnsi="Times New Roman"/>
          <w:color w:val="000000"/>
          <w:sz w:val="28"/>
          <w:szCs w:val="28"/>
        </w:rPr>
        <w:t xml:space="preserve"> favorabilidad</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con el fin de </w:t>
      </w:r>
      <w:r w:rsidRPr="00DF77C8">
        <w:rPr>
          <w:rFonts w:ascii="Times New Roman" w:hAnsi="Times New Roman"/>
          <w:color w:val="000000"/>
          <w:sz w:val="28"/>
          <w:szCs w:val="28"/>
        </w:rPr>
        <w:t>proteger garantías</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de gran valor en nuestro ordenamiento jurídico como la libertad</w:t>
      </w:r>
      <w:r w:rsidRPr="00DF77C8">
        <w:rPr>
          <w:rFonts w:ascii="Times New Roman" w:hAnsi="Times New Roman"/>
          <w:color w:val="000000"/>
          <w:sz w:val="28"/>
          <w:szCs w:val="28"/>
        </w:rPr>
        <w:t>, el acceso a la administración de justicia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el debido proceso</w:t>
      </w:r>
      <w:r w:rsidRPr="00DF77C8">
        <w:rPr>
          <w:rFonts w:ascii="Times New Roman" w:hAnsi="Times New Roman"/>
          <w:color w:val="000000"/>
          <w:sz w:val="28"/>
          <w:szCs w:val="28"/>
        </w:rPr>
        <w:t xml:space="preserve"> y el derecho a la defensa</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respecto de</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 xml:space="preserve">los procesos que se encuentren en trámite, </w:t>
      </w:r>
      <w:r w:rsidRPr="00DF77C8">
        <w:rPr>
          <w:rFonts w:ascii="Times New Roman" w:hAnsi="Times New Roman"/>
          <w:color w:val="000000"/>
          <w:sz w:val="28"/>
          <w:szCs w:val="28"/>
        </w:rPr>
        <w:t xml:space="preserve">y en los que se hayan adoptado providencias por el magistrado o magistrada de la Sala Penal del Tribunal Superior de Bogotá actuando como </w:t>
      </w:r>
      <w:r w:rsidRPr="00DF77C8">
        <w:rPr>
          <w:rFonts w:ascii="Times New Roman" w:hAnsi="Times New Roman"/>
          <w:color w:val="000000"/>
          <w:sz w:val="28"/>
          <w:szCs w:val="28"/>
        </w:rPr>
        <w:t>J</w:t>
      </w:r>
      <w:r w:rsidRPr="00DF77C8">
        <w:rPr>
          <w:rFonts w:ascii="Times New Roman" w:hAnsi="Times New Roman"/>
          <w:color w:val="000000"/>
          <w:sz w:val="28"/>
          <w:szCs w:val="28"/>
        </w:rPr>
        <w:t>uez de control de garantías</w:t>
      </w:r>
      <w:r w:rsidRPr="00DF77C8">
        <w:rPr>
          <w:rFonts w:ascii="Times New Roman" w:hAnsi="Times New Roman"/>
          <w:color w:val="000000"/>
          <w:sz w:val="28"/>
          <w:szCs w:val="28"/>
        </w:rPr>
        <w:t xml:space="preserve"> y,</w:t>
      </w:r>
      <w:r w:rsidRPr="00DF77C8">
        <w:rPr>
          <w:rFonts w:ascii="Times New Roman" w:hAnsi="Times New Roman"/>
          <w:color w:val="000000"/>
          <w:sz w:val="28"/>
          <w:szCs w:val="28"/>
        </w:rPr>
        <w:t xml:space="preserve"> que se encuentren vigentes, </w:t>
      </w:r>
      <w:r w:rsidRPr="00DF77C8">
        <w:rPr>
          <w:rFonts w:ascii="Times New Roman" w:hAnsi="Times New Roman"/>
          <w:color w:val="000000"/>
          <w:sz w:val="28"/>
          <w:szCs w:val="28"/>
        </w:rPr>
        <w:t xml:space="preserve">con el fin de que </w:t>
      </w:r>
      <w:r w:rsidRPr="00DF77C8">
        <w:rPr>
          <w:rFonts w:ascii="Times New Roman" w:hAnsi="Times New Roman"/>
          <w:color w:val="000000"/>
          <w:sz w:val="28"/>
          <w:szCs w:val="28"/>
        </w:rPr>
        <w:t xml:space="preserve">esas decisiones </w:t>
      </w:r>
      <w:r w:rsidRPr="00DF77C8">
        <w:rPr>
          <w:rFonts w:ascii="Times New Roman" w:hAnsi="Times New Roman"/>
          <w:color w:val="000000"/>
          <w:sz w:val="28"/>
          <w:szCs w:val="28"/>
        </w:rPr>
        <w:t xml:space="preserve">también </w:t>
      </w:r>
      <w:r w:rsidRPr="00DF77C8">
        <w:rPr>
          <w:rFonts w:ascii="Times New Roman" w:hAnsi="Times New Roman"/>
          <w:color w:val="000000"/>
          <w:sz w:val="28"/>
          <w:szCs w:val="28"/>
        </w:rPr>
        <w:t xml:space="preserve">puedan ser susceptibles del recurso de apelación. </w:t>
      </w:r>
    </w:p>
    <w:p w:rsidR="00253A85" w:rsidRPr="00DF77C8" w:rsidRDefault="00DF77C8" w:rsidP="008A4B21">
      <w:pPr>
        <w:widowControl w:val="0"/>
        <w:ind w:left="702" w:right="-26"/>
        <w:jc w:val="center"/>
        <w:rPr>
          <w:rFonts w:ascii="Times New Roman" w:hAnsi="Times New Roman"/>
          <w:b/>
          <w:sz w:val="28"/>
          <w:szCs w:val="28"/>
        </w:rPr>
      </w:pPr>
    </w:p>
    <w:p w:rsidR="00801F94" w:rsidRPr="00DF77C8" w:rsidRDefault="00DF77C8" w:rsidP="008A4B21">
      <w:pPr>
        <w:widowControl w:val="0"/>
        <w:ind w:left="702" w:right="-26"/>
        <w:jc w:val="center"/>
        <w:rPr>
          <w:rFonts w:ascii="Times New Roman" w:hAnsi="Times New Roman"/>
          <w:b/>
          <w:sz w:val="28"/>
          <w:szCs w:val="28"/>
        </w:rPr>
      </w:pPr>
      <w:r w:rsidRPr="00DF77C8">
        <w:rPr>
          <w:rFonts w:ascii="Times New Roman" w:hAnsi="Times New Roman"/>
          <w:b/>
          <w:sz w:val="28"/>
          <w:szCs w:val="28"/>
        </w:rPr>
        <w:t>DECISIÓN</w:t>
      </w:r>
    </w:p>
    <w:p w:rsidR="00801F94" w:rsidRPr="00DF77C8" w:rsidRDefault="00DF77C8" w:rsidP="008A4B21">
      <w:pPr>
        <w:widowControl w:val="0"/>
        <w:jc w:val="both"/>
        <w:rPr>
          <w:rFonts w:ascii="Times New Roman" w:hAnsi="Times New Roman"/>
          <w:sz w:val="28"/>
          <w:szCs w:val="28"/>
        </w:rPr>
      </w:pPr>
    </w:p>
    <w:p w:rsidR="00801F94" w:rsidRPr="00DF77C8" w:rsidRDefault="00DF77C8" w:rsidP="008A4B21">
      <w:pPr>
        <w:tabs>
          <w:tab w:val="left" w:pos="-3261"/>
          <w:tab w:val="left" w:pos="1080"/>
        </w:tabs>
        <w:ind w:right="20"/>
        <w:jc w:val="both"/>
        <w:rPr>
          <w:rFonts w:ascii="Times New Roman" w:hAnsi="Times New Roman"/>
          <w:color w:val="000000"/>
          <w:sz w:val="28"/>
          <w:szCs w:val="28"/>
        </w:rPr>
      </w:pPr>
      <w:r w:rsidRPr="00DF77C8">
        <w:rPr>
          <w:rFonts w:ascii="Times New Roman" w:hAnsi="Times New Roman"/>
          <w:color w:val="000000"/>
          <w:sz w:val="28"/>
          <w:szCs w:val="28"/>
        </w:rPr>
        <w:t xml:space="preserve">En mérito de lo expuesto, </w:t>
      </w:r>
      <w:r w:rsidRPr="00DF77C8">
        <w:rPr>
          <w:rFonts w:ascii="Times New Roman" w:hAnsi="Times New Roman"/>
          <w:b/>
          <w:color w:val="000000"/>
          <w:sz w:val="28"/>
          <w:szCs w:val="28"/>
        </w:rPr>
        <w:t>la Sala Plena de la Corte Constitucional</w:t>
      </w:r>
      <w:r w:rsidRPr="00DF77C8">
        <w:rPr>
          <w:rFonts w:ascii="Times New Roman" w:hAnsi="Times New Roman"/>
          <w:color w:val="000000"/>
          <w:sz w:val="28"/>
          <w:szCs w:val="28"/>
        </w:rPr>
        <w:t xml:space="preserve"> de la República de Colombia, administrando justicia en nombre del pueblo y por mandato de la Constitución,</w:t>
      </w:r>
    </w:p>
    <w:p w:rsidR="00801F94" w:rsidRPr="00DF77C8" w:rsidRDefault="00DF77C8" w:rsidP="008A4B21">
      <w:pPr>
        <w:tabs>
          <w:tab w:val="left" w:pos="-3261"/>
          <w:tab w:val="left" w:pos="1080"/>
        </w:tabs>
        <w:ind w:right="20"/>
        <w:jc w:val="both"/>
        <w:rPr>
          <w:rFonts w:ascii="Times New Roman" w:hAnsi="Times New Roman"/>
          <w:color w:val="000000"/>
          <w:sz w:val="28"/>
          <w:szCs w:val="28"/>
        </w:rPr>
      </w:pPr>
    </w:p>
    <w:p w:rsidR="00801F94" w:rsidRPr="00DF77C8" w:rsidRDefault="00DF77C8" w:rsidP="008A4B21">
      <w:pPr>
        <w:widowControl w:val="0"/>
        <w:pBdr>
          <w:top w:val="nil"/>
          <w:left w:val="nil"/>
          <w:bottom w:val="nil"/>
          <w:right w:val="nil"/>
          <w:between w:val="nil"/>
        </w:pBdr>
        <w:jc w:val="center"/>
        <w:rPr>
          <w:rFonts w:ascii="Times New Roman" w:hAnsi="Times New Roman"/>
          <w:b/>
          <w:color w:val="000000"/>
          <w:sz w:val="28"/>
          <w:szCs w:val="28"/>
        </w:rPr>
      </w:pPr>
      <w:r w:rsidRPr="00DF77C8">
        <w:rPr>
          <w:rFonts w:ascii="Times New Roman" w:hAnsi="Times New Roman"/>
          <w:b/>
          <w:color w:val="000000"/>
          <w:sz w:val="28"/>
          <w:szCs w:val="28"/>
        </w:rPr>
        <w:t>RESUELVE</w:t>
      </w:r>
    </w:p>
    <w:p w:rsidR="00F54B4E" w:rsidRPr="00DF77C8" w:rsidRDefault="00DF77C8" w:rsidP="008A4B21">
      <w:pPr>
        <w:widowControl w:val="0"/>
        <w:pBdr>
          <w:top w:val="nil"/>
          <w:left w:val="nil"/>
          <w:bottom w:val="nil"/>
          <w:right w:val="nil"/>
          <w:between w:val="nil"/>
        </w:pBdr>
        <w:jc w:val="center"/>
        <w:rPr>
          <w:rFonts w:ascii="Times New Roman" w:hAnsi="Times New Roman"/>
          <w:b/>
          <w:color w:val="000000"/>
          <w:sz w:val="28"/>
          <w:szCs w:val="28"/>
        </w:rPr>
      </w:pPr>
    </w:p>
    <w:p w:rsidR="001B44D2" w:rsidRPr="00DF77C8" w:rsidRDefault="00DF77C8" w:rsidP="008A4B21">
      <w:pPr>
        <w:widowControl w:val="0"/>
        <w:pBdr>
          <w:top w:val="nil"/>
          <w:left w:val="nil"/>
          <w:bottom w:val="nil"/>
          <w:right w:val="nil"/>
          <w:between w:val="nil"/>
        </w:pBdr>
        <w:jc w:val="both"/>
        <w:rPr>
          <w:rFonts w:ascii="Times New Roman" w:hAnsi="Times New Roman"/>
          <w:color w:val="000000"/>
          <w:sz w:val="28"/>
          <w:szCs w:val="28"/>
        </w:rPr>
      </w:pPr>
      <w:r w:rsidRPr="00DF77C8">
        <w:rPr>
          <w:rFonts w:ascii="Times New Roman" w:hAnsi="Times New Roman"/>
          <w:b/>
          <w:color w:val="000000"/>
          <w:sz w:val="28"/>
          <w:szCs w:val="28"/>
        </w:rPr>
        <w:t>PRIMERO.</w:t>
      </w:r>
      <w:r w:rsidRPr="00DF77C8">
        <w:rPr>
          <w:rFonts w:ascii="Times New Roman" w:hAnsi="Times New Roman"/>
          <w:color w:val="000000"/>
          <w:sz w:val="28"/>
          <w:szCs w:val="28"/>
        </w:rPr>
        <w:t xml:space="preserve"> </w:t>
      </w:r>
      <w:r w:rsidRPr="00DF77C8">
        <w:rPr>
          <w:rFonts w:ascii="Times New Roman" w:hAnsi="Times New Roman"/>
          <w:color w:val="000000"/>
          <w:sz w:val="28"/>
          <w:szCs w:val="28"/>
        </w:rPr>
        <w:t>Declarar la EXEQUIBILIDAD del artículo 32 de la Ley 906 de 2004, condicionada a que se entienda que, mientras el legislador no defina la materia, el recurso de apelación contra las decisiones del magistrado o magistrada de la Sala Penal del Tribunal Superi</w:t>
      </w:r>
      <w:r w:rsidRPr="00DF77C8">
        <w:rPr>
          <w:rFonts w:ascii="Times New Roman" w:hAnsi="Times New Roman"/>
          <w:color w:val="000000"/>
          <w:sz w:val="28"/>
          <w:szCs w:val="28"/>
        </w:rPr>
        <w:t xml:space="preserve">or de Bogotá que actúa en sede de control de garantías será conocido por un magistrado o magistrada de la Sala Penal de Corte Suprema de Justicia (Sala de Instrucción, Sala Especial de Primera Instancia o Sala de Casación) que la Sala de Casación Penal de </w:t>
      </w:r>
      <w:r w:rsidRPr="00DF77C8">
        <w:rPr>
          <w:rFonts w:ascii="Times New Roman" w:hAnsi="Times New Roman"/>
          <w:color w:val="000000"/>
          <w:sz w:val="28"/>
          <w:szCs w:val="28"/>
        </w:rPr>
        <w:t>la Corte Suprema de Justicia decida, magistrado (a) que, posteriormente, no participará del conocimiento del expediente correspondiente, de acuerdo con lo expuesto en la parte motiva de esta providencia.</w:t>
      </w:r>
    </w:p>
    <w:p w:rsidR="001B44D2" w:rsidRPr="00DF77C8" w:rsidRDefault="00DF77C8" w:rsidP="008A4B21">
      <w:pPr>
        <w:widowControl w:val="0"/>
        <w:pBdr>
          <w:top w:val="nil"/>
          <w:left w:val="nil"/>
          <w:bottom w:val="nil"/>
          <w:right w:val="nil"/>
          <w:between w:val="nil"/>
        </w:pBdr>
        <w:jc w:val="both"/>
        <w:rPr>
          <w:rFonts w:ascii="Times New Roman" w:hAnsi="Times New Roman"/>
          <w:color w:val="000000"/>
          <w:sz w:val="28"/>
          <w:szCs w:val="28"/>
        </w:rPr>
      </w:pPr>
    </w:p>
    <w:p w:rsidR="00BD64B8" w:rsidRPr="00DF77C8" w:rsidRDefault="00DF77C8" w:rsidP="008A4B21">
      <w:pPr>
        <w:widowControl w:val="0"/>
        <w:pBdr>
          <w:top w:val="nil"/>
          <w:left w:val="nil"/>
          <w:bottom w:val="nil"/>
          <w:right w:val="nil"/>
          <w:between w:val="nil"/>
        </w:pBdr>
        <w:jc w:val="both"/>
        <w:rPr>
          <w:rFonts w:ascii="Times New Roman" w:hAnsi="Times New Roman"/>
          <w:color w:val="000000"/>
          <w:sz w:val="28"/>
          <w:szCs w:val="28"/>
        </w:rPr>
      </w:pPr>
      <w:r w:rsidRPr="00DF77C8">
        <w:rPr>
          <w:rFonts w:ascii="Times New Roman" w:hAnsi="Times New Roman"/>
          <w:color w:val="000000"/>
          <w:sz w:val="28"/>
          <w:szCs w:val="28"/>
        </w:rPr>
        <w:t>En los procesos que a la fecha de notificación de e</w:t>
      </w:r>
      <w:r w:rsidRPr="00DF77C8">
        <w:rPr>
          <w:rFonts w:ascii="Times New Roman" w:hAnsi="Times New Roman"/>
          <w:color w:val="000000"/>
          <w:sz w:val="28"/>
          <w:szCs w:val="28"/>
        </w:rPr>
        <w:t>sta decisión se encuentren en trámite y, en los cuales se hayan adoptado providencias dictadas por un magistrado o magistrada de la Sala Penal del Tribunal Superior de Bogotá actuando como Juez de control de garantías, podrá interponerse el recurso de apel</w:t>
      </w:r>
      <w:r w:rsidRPr="00DF77C8">
        <w:rPr>
          <w:rFonts w:ascii="Times New Roman" w:hAnsi="Times New Roman"/>
          <w:color w:val="000000"/>
          <w:sz w:val="28"/>
          <w:szCs w:val="28"/>
        </w:rPr>
        <w:t>ación.</w:t>
      </w:r>
    </w:p>
    <w:p w:rsidR="001B44D2" w:rsidRPr="00DF77C8" w:rsidRDefault="00DF77C8" w:rsidP="008A4B21">
      <w:pPr>
        <w:widowControl w:val="0"/>
        <w:pBdr>
          <w:top w:val="nil"/>
          <w:left w:val="nil"/>
          <w:bottom w:val="nil"/>
          <w:right w:val="nil"/>
          <w:between w:val="nil"/>
        </w:pBdr>
        <w:jc w:val="both"/>
        <w:rPr>
          <w:rFonts w:ascii="Times New Roman" w:hAnsi="Times New Roman"/>
          <w:b/>
          <w:color w:val="000000"/>
          <w:sz w:val="28"/>
          <w:szCs w:val="28"/>
        </w:rPr>
      </w:pPr>
    </w:p>
    <w:p w:rsidR="00801F94" w:rsidRPr="00DF77C8" w:rsidRDefault="00DF77C8" w:rsidP="008A4B21">
      <w:pPr>
        <w:tabs>
          <w:tab w:val="left" w:pos="-3261"/>
        </w:tabs>
        <w:ind w:right="20"/>
        <w:jc w:val="both"/>
        <w:rPr>
          <w:rFonts w:ascii="Times New Roman" w:hAnsi="Times New Roman"/>
          <w:color w:val="000000"/>
          <w:sz w:val="28"/>
          <w:szCs w:val="28"/>
        </w:rPr>
      </w:pPr>
      <w:r w:rsidRPr="00DF77C8">
        <w:rPr>
          <w:rFonts w:ascii="Times New Roman" w:hAnsi="Times New Roman"/>
          <w:color w:val="000000"/>
          <w:sz w:val="28"/>
          <w:szCs w:val="28"/>
        </w:rPr>
        <w:t>Cópiese, notifíquese, comuníquese, cúmplase y archívese el expediente.</w:t>
      </w:r>
    </w:p>
    <w:p w:rsidR="00BA01A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JOSE FERNANDO REYES CUARTAS</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Presidente</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NATALIA ÁNGEL CABO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JUAN CARLOS CORTÉS GONZÁLEZ</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DIANA FAJARDO RIVERA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Ausente con permiso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VLADIMIR FERNÁNDEZ ANDRADE</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JORGE ENRIQUE IBÁÑEZ NAJAR</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ANTONIO JOSÉ LIZARAZO OCAMPO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Magistrado</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PAOLA ANDREA MENESES MOSQUERA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CRISTINA PARDO SCHLESINGER</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Magistrada</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ANDREA LILIANA ROMERO LOPEZ</w:t>
      </w:r>
    </w:p>
    <w:p w:rsidR="00F8560F" w:rsidRPr="00DF77C8" w:rsidRDefault="00DF77C8" w:rsidP="000B7D08">
      <w:pPr>
        <w:pBdr>
          <w:top w:val="nil"/>
          <w:left w:val="nil"/>
          <w:bottom w:val="nil"/>
          <w:right w:val="nil"/>
          <w:between w:val="nil"/>
        </w:pBdr>
        <w:tabs>
          <w:tab w:val="left" w:pos="284"/>
        </w:tabs>
        <w:jc w:val="center"/>
        <w:rPr>
          <w:rFonts w:ascii="Times New Roman" w:hAnsi="Times New Roman"/>
          <w:sz w:val="28"/>
          <w:szCs w:val="28"/>
        </w:rPr>
      </w:pPr>
      <w:r w:rsidRPr="00DF77C8">
        <w:rPr>
          <w:rFonts w:ascii="Times New Roman" w:hAnsi="Times New Roman"/>
          <w:sz w:val="28"/>
          <w:szCs w:val="28"/>
        </w:rPr>
        <w:t>Secretaria General</w:t>
      </w:r>
    </w:p>
    <w:sectPr w:rsidR="00F8560F" w:rsidRPr="00DF77C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F77C8">
      <w:pPr>
        <w:spacing w:after="0" w:line="240" w:lineRule="auto"/>
      </w:pPr>
      <w:r>
        <w:separator/>
      </w:r>
    </w:p>
  </w:endnote>
  <w:endnote w:type="continuationSeparator" w:id="0">
    <w:p w:rsidR="00000000" w:rsidRDefault="00DF7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F77C8">
      <w:pPr>
        <w:spacing w:after="0" w:line="240" w:lineRule="auto"/>
      </w:pPr>
      <w:r>
        <w:separator/>
      </w:r>
    </w:p>
  </w:footnote>
  <w:footnote w:type="continuationSeparator" w:id="0">
    <w:p w:rsidR="00000000" w:rsidRDefault="00DF77C8">
      <w:pPr>
        <w:spacing w:after="0" w:line="240" w:lineRule="auto"/>
      </w:pPr>
      <w:r>
        <w:continuationSeparator/>
      </w:r>
    </w:p>
  </w:footnote>
  <w:footnote w:id="1">
    <w:p w:rsidR="001F2EFA" w:rsidRPr="006A5B3B" w:rsidRDefault="00DF77C8">
      <w:pPr>
        <w:pBdr>
          <w:top w:val="nil"/>
          <w:left w:val="nil"/>
          <w:bottom w:val="nil"/>
          <w:right w:val="nil"/>
          <w:between w:val="nil"/>
        </w:pBdr>
        <w:jc w:val="both"/>
        <w:rPr>
          <w:rFonts w:ascii="Times New Roman" w:hAnsi="Times New Roman"/>
          <w:color w:val="000000"/>
          <w:sz w:val="20"/>
          <w:szCs w:val="20"/>
        </w:rPr>
      </w:pPr>
      <w:r w:rsidRPr="006A5B3B">
        <w:rPr>
          <w:rFonts w:ascii="Times New Roman" w:hAnsi="Times New Roman"/>
          <w:sz w:val="20"/>
          <w:szCs w:val="20"/>
          <w:vertAlign w:val="superscript"/>
        </w:rPr>
        <w:footnoteRef/>
      </w:r>
      <w:r w:rsidRPr="006A5B3B">
        <w:rPr>
          <w:rFonts w:ascii="Times New Roman" w:hAnsi="Times New Roman"/>
          <w:color w:val="000000"/>
          <w:sz w:val="20"/>
          <w:szCs w:val="20"/>
        </w:rPr>
        <w:t xml:space="preserve"> De igual manera, en esa misma providencia se ofició a la Corte Suprema de Justicia para que allegara a la Corte Constitucional y con destino a este proceso “las providencias expedidas en los últimos seis meses o las que considere pertinentes y sean recien</w:t>
      </w:r>
      <w:r w:rsidRPr="006A5B3B">
        <w:rPr>
          <w:rFonts w:ascii="Times New Roman" w:hAnsi="Times New Roman"/>
          <w:color w:val="000000"/>
          <w:sz w:val="20"/>
          <w:szCs w:val="20"/>
        </w:rPr>
        <w:t>tes, en relación con la procedencia o improcedencia del recurso de apelación respecto de los autos que profiere el magistrado del Tribunal Superior del Distrito Judicial de Bogotá cuando ejerce la función de Juez de Control de Garantías; y (ii) el sustento</w:t>
      </w:r>
      <w:r w:rsidRPr="006A5B3B">
        <w:rPr>
          <w:rFonts w:ascii="Times New Roman" w:hAnsi="Times New Roman"/>
          <w:color w:val="000000"/>
          <w:sz w:val="20"/>
          <w:szCs w:val="20"/>
        </w:rPr>
        <w:t xml:space="preserve"> legal o jurisprudencial en que se fundamenta para abordar dicho análisis”. También la magistrada sustanciadora aclaró en este mismo auto que las cuestiones adicionales planteadas por el demandante en el escrito de corrección de la demanda no podrían ser v</w:t>
      </w:r>
      <w:r w:rsidRPr="006A5B3B">
        <w:rPr>
          <w:rFonts w:ascii="Times New Roman" w:hAnsi="Times New Roman"/>
          <w:color w:val="000000"/>
          <w:sz w:val="20"/>
          <w:szCs w:val="20"/>
        </w:rPr>
        <w:t>aloradas en esta instancia, pues constituían nuevos elementos de juicio en torno a los cuales la magistrada no tuvo la oportunidad de referirse en el auto expedido el 7 de septiembre de los corrientes. En particular,</w:t>
      </w:r>
      <w:r w:rsidRPr="006A5B3B">
        <w:rPr>
          <w:rFonts w:ascii="Times New Roman" w:hAnsi="Times New Roman"/>
          <w:color w:val="000000"/>
          <w:sz w:val="20"/>
          <w:szCs w:val="20"/>
        </w:rPr>
        <w:t xml:space="preserve"> </w:t>
      </w:r>
      <w:r w:rsidRPr="006A5B3B">
        <w:rPr>
          <w:rFonts w:ascii="Times New Roman" w:hAnsi="Times New Roman"/>
          <w:color w:val="000000"/>
          <w:sz w:val="20"/>
          <w:szCs w:val="20"/>
        </w:rPr>
        <w:t xml:space="preserve">en el fundamento jurídico 20, sobre la </w:t>
      </w:r>
      <w:r w:rsidRPr="006A5B3B">
        <w:rPr>
          <w:rFonts w:ascii="Times New Roman" w:hAnsi="Times New Roman"/>
          <w:color w:val="000000"/>
          <w:sz w:val="20"/>
          <w:szCs w:val="20"/>
        </w:rPr>
        <w:t xml:space="preserve">extensión del cargo formulado por omisión legislativa relativa frente a otros magistrados que ejercen como jueces con función de control de garantías, puesto que el ciudadano desde el escrito inicial de la demanda se refirió específicamente a la hipótesis </w:t>
      </w:r>
      <w:r w:rsidRPr="006A5B3B">
        <w:rPr>
          <w:rFonts w:ascii="Times New Roman" w:hAnsi="Times New Roman"/>
          <w:color w:val="000000"/>
          <w:sz w:val="20"/>
          <w:szCs w:val="20"/>
        </w:rPr>
        <w:t>del magistrado de la Sala Penal del Tribunal Superior del Distrito Judicial de Bogotá que ejerce como juez con función de control de garantías.</w:t>
      </w:r>
    </w:p>
  </w:footnote>
  <w:footnote w:id="2">
    <w:p w:rsidR="001F2EFA" w:rsidRPr="00C60650" w:rsidRDefault="00DF77C8">
      <w:pPr>
        <w:pBdr>
          <w:top w:val="nil"/>
          <w:left w:val="nil"/>
          <w:bottom w:val="nil"/>
          <w:right w:val="nil"/>
          <w:between w:val="nil"/>
        </w:pBdr>
        <w:rPr>
          <w:rFonts w:ascii="Times New Roman" w:hAnsi="Times New Roman"/>
          <w:color w:val="000000"/>
          <w:sz w:val="20"/>
          <w:szCs w:val="20"/>
        </w:rPr>
      </w:pPr>
      <w:r w:rsidRPr="00C60650">
        <w:rPr>
          <w:rFonts w:ascii="Times New Roman" w:hAnsi="Times New Roman"/>
          <w:sz w:val="20"/>
          <w:szCs w:val="20"/>
          <w:vertAlign w:val="superscript"/>
        </w:rPr>
        <w:footnoteRef/>
      </w:r>
      <w:r w:rsidRPr="00C60650">
        <w:rPr>
          <w:rFonts w:ascii="Times New Roman" w:hAnsi="Times New Roman"/>
          <w:color w:val="000000"/>
          <w:sz w:val="20"/>
          <w:szCs w:val="20"/>
        </w:rPr>
        <w:t xml:space="preserve"> Escrito de demanda, folio 4</w:t>
      </w:r>
    </w:p>
  </w:footnote>
  <w:footnote w:id="3">
    <w:p w:rsidR="001F2EFA" w:rsidRPr="00C60650" w:rsidRDefault="00DF77C8">
      <w:pPr>
        <w:pBdr>
          <w:top w:val="nil"/>
          <w:left w:val="nil"/>
          <w:bottom w:val="nil"/>
          <w:right w:val="nil"/>
          <w:between w:val="nil"/>
        </w:pBdr>
        <w:jc w:val="both"/>
        <w:rPr>
          <w:rFonts w:ascii="Times New Roman" w:hAnsi="Times New Roman"/>
          <w:color w:val="000000"/>
          <w:sz w:val="20"/>
          <w:szCs w:val="20"/>
        </w:rPr>
      </w:pPr>
      <w:r w:rsidRPr="00C60650">
        <w:rPr>
          <w:rFonts w:ascii="Times New Roman" w:hAnsi="Times New Roman"/>
          <w:sz w:val="20"/>
          <w:szCs w:val="20"/>
          <w:vertAlign w:val="superscript"/>
        </w:rPr>
        <w:footnoteRef/>
      </w:r>
      <w:r w:rsidRPr="00C60650">
        <w:rPr>
          <w:rFonts w:ascii="Times New Roman" w:hAnsi="Times New Roman"/>
          <w:color w:val="000000"/>
          <w:sz w:val="20"/>
          <w:szCs w:val="20"/>
        </w:rPr>
        <w:t xml:space="preserve"> Con relación a este punto, el ciudadano realizó la siguiente aclaración en el es</w:t>
      </w:r>
      <w:r w:rsidRPr="00C60650">
        <w:rPr>
          <w:rFonts w:ascii="Times New Roman" w:hAnsi="Times New Roman"/>
          <w:color w:val="000000"/>
          <w:sz w:val="20"/>
          <w:szCs w:val="20"/>
        </w:rPr>
        <w:t>crito de demanda, folio 5: “La referencia al numeral 4 del artículo 235 de la Constitución Política debe entenderse hoy al numeral 5, en razón a que la fecha de la Sentencia C-591 de 2005 M.P. Clara Inés Vargas Hernández corresponde al nueve (9) de junio d</w:t>
      </w:r>
      <w:r w:rsidRPr="00C60650">
        <w:rPr>
          <w:rFonts w:ascii="Times New Roman" w:hAnsi="Times New Roman"/>
          <w:color w:val="000000"/>
          <w:sz w:val="20"/>
          <w:szCs w:val="20"/>
        </w:rPr>
        <w:t>e dos mil cinco (2005), momento para el cual no existía la modificación introducida al artículo 235 de la Constitución Política por el artículo 3 del Acto Legislativo 1 de 2018, 'por medio del cual se modifican los artículos 186, 234 y 235 de la Constituci</w:t>
      </w:r>
      <w:r w:rsidRPr="00C60650">
        <w:rPr>
          <w:rFonts w:ascii="Times New Roman" w:hAnsi="Times New Roman"/>
          <w:color w:val="000000"/>
          <w:sz w:val="20"/>
          <w:szCs w:val="20"/>
        </w:rPr>
        <w:t xml:space="preserve">ón Política y se implementan el derecho a la doble instancia y a impugnar la primera sentencia condenatoria', publicado en el Diario Oficial No. 50.480 de 18 de enero de 2018”. </w:t>
      </w:r>
    </w:p>
  </w:footnote>
  <w:footnote w:id="4">
    <w:p w:rsidR="001F2EFA" w:rsidRPr="005C3532" w:rsidRDefault="00DF77C8">
      <w:pPr>
        <w:pBdr>
          <w:top w:val="nil"/>
          <w:left w:val="nil"/>
          <w:bottom w:val="nil"/>
          <w:right w:val="nil"/>
          <w:between w:val="nil"/>
        </w:pBdr>
        <w:jc w:val="both"/>
        <w:rPr>
          <w:rFonts w:ascii="Times New Roman" w:hAnsi="Times New Roman"/>
          <w:color w:val="000000"/>
          <w:sz w:val="20"/>
          <w:szCs w:val="20"/>
        </w:rPr>
      </w:pPr>
      <w:r w:rsidRPr="005C3532">
        <w:rPr>
          <w:rFonts w:ascii="Times New Roman" w:hAnsi="Times New Roman"/>
          <w:sz w:val="20"/>
          <w:szCs w:val="20"/>
          <w:vertAlign w:val="superscript"/>
        </w:rPr>
        <w:footnoteRef/>
      </w:r>
      <w:r w:rsidRPr="005C3532">
        <w:rPr>
          <w:rFonts w:ascii="Times New Roman" w:hAnsi="Times New Roman"/>
          <w:color w:val="000000"/>
          <w:sz w:val="20"/>
          <w:szCs w:val="20"/>
        </w:rPr>
        <w:t xml:space="preserve"> Artículos 36 y 37 del Código de Procedimiento Penal</w:t>
      </w:r>
    </w:p>
  </w:footnote>
  <w:footnote w:id="5">
    <w:p w:rsidR="001F2EFA" w:rsidRPr="005C3532" w:rsidRDefault="00DF77C8">
      <w:pPr>
        <w:pBdr>
          <w:top w:val="nil"/>
          <w:left w:val="nil"/>
          <w:bottom w:val="nil"/>
          <w:right w:val="nil"/>
          <w:between w:val="nil"/>
        </w:pBdr>
        <w:jc w:val="both"/>
        <w:rPr>
          <w:rFonts w:ascii="Times New Roman" w:hAnsi="Times New Roman"/>
          <w:color w:val="000000"/>
          <w:sz w:val="20"/>
          <w:szCs w:val="20"/>
        </w:rPr>
      </w:pPr>
      <w:r w:rsidRPr="005C3532">
        <w:rPr>
          <w:rFonts w:ascii="Times New Roman" w:hAnsi="Times New Roman"/>
          <w:sz w:val="20"/>
          <w:szCs w:val="20"/>
          <w:vertAlign w:val="superscript"/>
        </w:rPr>
        <w:footnoteRef/>
      </w:r>
      <w:r w:rsidRPr="005C3532">
        <w:rPr>
          <w:rFonts w:ascii="Times New Roman" w:hAnsi="Times New Roman"/>
          <w:color w:val="000000"/>
          <w:sz w:val="20"/>
          <w:szCs w:val="20"/>
        </w:rPr>
        <w:t xml:space="preserve"> “ARTÍCULO 177. EFECTOS. &lt;Artículo modificado por el artículo 13 de la Ley 1142 de 2007. El nuevo texto es el siguiente:&gt; La apelación se concederá (…) En el efecto devolutivo, en cuyo caso no se suspenderá el cumplimiento de la decisión apelada ni el curs</w:t>
      </w:r>
      <w:r w:rsidRPr="005C3532">
        <w:rPr>
          <w:rFonts w:ascii="Times New Roman" w:hAnsi="Times New Roman"/>
          <w:color w:val="000000"/>
          <w:sz w:val="20"/>
          <w:szCs w:val="20"/>
        </w:rPr>
        <w:t>o de la actuación:</w:t>
      </w:r>
    </w:p>
    <w:p w:rsidR="001F2EFA" w:rsidRPr="0067567C"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1. El auto que resuelve sobre la imposición, revocatoria o sustitución de una medida de aseguramiento.</w:t>
      </w:r>
    </w:p>
    <w:p w:rsidR="001F2EFA" w:rsidRPr="004F4F3D"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2. El auto que resuelve sobre la imposición de una medida cautelar que afecte bienes del imputado o acusado.</w:t>
      </w:r>
    </w:p>
    <w:p w:rsidR="001F2EFA" w:rsidRPr="004F4F3D"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3. El auto que resuelv</w:t>
      </w:r>
      <w:r w:rsidRPr="004F4F3D">
        <w:rPr>
          <w:rFonts w:ascii="Times New Roman" w:hAnsi="Times New Roman"/>
          <w:color w:val="000000"/>
          <w:sz w:val="20"/>
          <w:szCs w:val="20"/>
        </w:rPr>
        <w:t>e sobre la legalización de captura.</w:t>
      </w:r>
    </w:p>
    <w:p w:rsidR="001F2EFA" w:rsidRPr="004F4F3D"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 xml:space="preserve">4. El auto que decide sobre el control de legalidad del diligenciamiento de las órdenes de allanamiento y registro, retención de correspondencia, interceptación de comunicaciones o recuperación de información dejada al </w:t>
      </w:r>
      <w:r w:rsidRPr="004F4F3D">
        <w:rPr>
          <w:rFonts w:ascii="Times New Roman" w:hAnsi="Times New Roman"/>
          <w:color w:val="000000"/>
          <w:sz w:val="20"/>
          <w:szCs w:val="20"/>
        </w:rPr>
        <w:t>navegar por Internet u otros medios similares.</w:t>
      </w:r>
    </w:p>
    <w:p w:rsidR="001F2EFA" w:rsidRPr="004F4F3D"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5. El auto que imprueba la aplicación del principio de oportunidad en la etapa de investigación; y</w:t>
      </w:r>
    </w:p>
    <w:p w:rsidR="001F2EFA" w:rsidRPr="004F4F3D" w:rsidRDefault="00DF77C8">
      <w:pPr>
        <w:pBdr>
          <w:top w:val="nil"/>
          <w:left w:val="nil"/>
          <w:bottom w:val="nil"/>
          <w:right w:val="nil"/>
          <w:between w:val="nil"/>
        </w:pBdr>
        <w:jc w:val="both"/>
        <w:rPr>
          <w:rFonts w:ascii="Times New Roman" w:hAnsi="Times New Roman"/>
          <w:color w:val="000000"/>
          <w:sz w:val="20"/>
          <w:szCs w:val="20"/>
        </w:rPr>
      </w:pPr>
    </w:p>
    <w:p w:rsidR="001F2EFA" w:rsidRPr="004F4F3D" w:rsidRDefault="00DF77C8">
      <w:pPr>
        <w:pBdr>
          <w:top w:val="nil"/>
          <w:left w:val="nil"/>
          <w:bottom w:val="nil"/>
          <w:right w:val="nil"/>
          <w:between w:val="nil"/>
        </w:pBdr>
        <w:jc w:val="both"/>
        <w:rPr>
          <w:rFonts w:ascii="Times New Roman" w:hAnsi="Times New Roman"/>
          <w:color w:val="000000"/>
          <w:sz w:val="20"/>
          <w:szCs w:val="20"/>
        </w:rPr>
      </w:pPr>
      <w:r w:rsidRPr="004F4F3D">
        <w:rPr>
          <w:rFonts w:ascii="Times New Roman" w:hAnsi="Times New Roman"/>
          <w:color w:val="000000"/>
          <w:sz w:val="20"/>
          <w:szCs w:val="20"/>
        </w:rPr>
        <w:t>6. El auto que admite la práctica de la prueba anticipada”.</w:t>
      </w:r>
    </w:p>
  </w:footnote>
  <w:footnote w:id="6">
    <w:p w:rsidR="001F2EFA" w:rsidRPr="004F4F3D" w:rsidRDefault="00DF77C8">
      <w:pPr>
        <w:pBdr>
          <w:top w:val="nil"/>
          <w:left w:val="nil"/>
          <w:bottom w:val="nil"/>
          <w:right w:val="nil"/>
          <w:between w:val="nil"/>
        </w:pBdr>
        <w:rPr>
          <w:rFonts w:ascii="Times New Roman" w:hAnsi="Times New Roman"/>
          <w:color w:val="000000"/>
          <w:sz w:val="20"/>
          <w:szCs w:val="20"/>
        </w:rPr>
      </w:pPr>
      <w:r w:rsidRPr="004F4F3D">
        <w:rPr>
          <w:rFonts w:ascii="Times New Roman" w:hAnsi="Times New Roman"/>
          <w:sz w:val="20"/>
          <w:szCs w:val="20"/>
          <w:vertAlign w:val="superscript"/>
        </w:rPr>
        <w:footnoteRef/>
      </w:r>
      <w:r w:rsidRPr="004F4F3D">
        <w:rPr>
          <w:rFonts w:ascii="Times New Roman" w:hAnsi="Times New Roman"/>
          <w:color w:val="000000"/>
          <w:sz w:val="20"/>
          <w:szCs w:val="20"/>
        </w:rPr>
        <w:t xml:space="preserve"> Escrito de demanda, folio 10</w:t>
      </w:r>
    </w:p>
  </w:footnote>
  <w:footnote w:id="7">
    <w:p w:rsidR="001F2EFA" w:rsidRPr="004F4F3D" w:rsidRDefault="00DF77C8">
      <w:pPr>
        <w:pBdr>
          <w:top w:val="nil"/>
          <w:left w:val="nil"/>
          <w:bottom w:val="nil"/>
          <w:right w:val="nil"/>
          <w:between w:val="nil"/>
        </w:pBdr>
        <w:rPr>
          <w:rFonts w:ascii="Times New Roman" w:hAnsi="Times New Roman"/>
          <w:color w:val="000000"/>
          <w:sz w:val="20"/>
          <w:szCs w:val="20"/>
        </w:rPr>
      </w:pPr>
      <w:r w:rsidRPr="004F4F3D">
        <w:rPr>
          <w:rFonts w:ascii="Times New Roman" w:hAnsi="Times New Roman"/>
          <w:sz w:val="20"/>
          <w:szCs w:val="20"/>
          <w:vertAlign w:val="superscript"/>
        </w:rPr>
        <w:footnoteRef/>
      </w:r>
      <w:r w:rsidRPr="004F4F3D">
        <w:rPr>
          <w:rFonts w:ascii="Times New Roman" w:hAnsi="Times New Roman"/>
          <w:color w:val="000000"/>
          <w:sz w:val="20"/>
          <w:szCs w:val="20"/>
        </w:rPr>
        <w:t xml:space="preserve"> </w:t>
      </w:r>
      <w:r>
        <w:rPr>
          <w:rFonts w:ascii="Times New Roman" w:hAnsi="Times New Roman"/>
          <w:i/>
          <w:color w:val="000000"/>
          <w:sz w:val="20"/>
          <w:szCs w:val="20"/>
        </w:rPr>
        <w:t>Ibidem</w:t>
      </w:r>
    </w:p>
  </w:footnote>
  <w:footnote w:id="8">
    <w:p w:rsidR="001F2EFA" w:rsidRDefault="00DF77C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hAnsi="Times New Roman"/>
          <w:i/>
          <w:color w:val="000000"/>
          <w:sz w:val="20"/>
          <w:szCs w:val="20"/>
        </w:rPr>
        <w:t>Ibidem</w:t>
      </w:r>
      <w:r>
        <w:rPr>
          <w:rFonts w:ascii="Times New Roman" w:hAnsi="Times New Roman"/>
          <w:color w:val="000000"/>
          <w:sz w:val="20"/>
          <w:szCs w:val="20"/>
        </w:rPr>
        <w:t>, folio 14</w:t>
      </w:r>
    </w:p>
  </w:footnote>
  <w:footnote w:id="9">
    <w:p w:rsidR="001F2EFA" w:rsidRDefault="00DF77C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hAnsi="Times New Roman"/>
          <w:i/>
          <w:color w:val="000000"/>
          <w:sz w:val="20"/>
          <w:szCs w:val="20"/>
        </w:rPr>
        <w:t>Ibidem</w:t>
      </w:r>
      <w:r>
        <w:rPr>
          <w:rFonts w:ascii="Times New Roman" w:hAnsi="Times New Roman"/>
          <w:color w:val="000000"/>
          <w:sz w:val="20"/>
          <w:szCs w:val="20"/>
        </w:rPr>
        <w:t>, folio 21</w:t>
      </w:r>
    </w:p>
  </w:footnote>
  <w:footnote w:id="10">
    <w:p w:rsidR="001F2EFA" w:rsidRDefault="00DF77C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hAnsi="Times New Roman"/>
          <w:i/>
          <w:color w:val="000000"/>
          <w:sz w:val="20"/>
          <w:szCs w:val="20"/>
        </w:rPr>
        <w:t>Ibidem</w:t>
      </w:r>
    </w:p>
  </w:footnote>
  <w:footnote w:id="11">
    <w:p w:rsidR="001F2EFA" w:rsidRPr="006F4B2C" w:rsidRDefault="00DF77C8">
      <w:pPr>
        <w:pBdr>
          <w:top w:val="nil"/>
          <w:left w:val="nil"/>
          <w:bottom w:val="nil"/>
          <w:right w:val="nil"/>
          <w:between w:val="nil"/>
        </w:pBdr>
        <w:jc w:val="both"/>
        <w:rPr>
          <w:rFonts w:ascii="Times New Roman" w:hAnsi="Times New Roman"/>
          <w:color w:val="000000"/>
          <w:sz w:val="20"/>
          <w:szCs w:val="20"/>
        </w:rPr>
      </w:pPr>
      <w:r w:rsidRPr="006F4B2C">
        <w:rPr>
          <w:rFonts w:ascii="Times New Roman" w:hAnsi="Times New Roman"/>
          <w:sz w:val="20"/>
          <w:szCs w:val="20"/>
          <w:vertAlign w:val="superscript"/>
        </w:rPr>
        <w:footnoteRef/>
      </w:r>
      <w:r w:rsidRPr="006F4B2C">
        <w:rPr>
          <w:rFonts w:ascii="Times New Roman" w:hAnsi="Times New Roman"/>
          <w:color w:val="000000"/>
          <w:sz w:val="20"/>
          <w:szCs w:val="20"/>
        </w:rPr>
        <w:t xml:space="preserve"> “ARTÍCULO 32. COMPETENCIA FUNCIONAL DE LOS MAGISTRADOS DE LOS TRIBUNALES SUPERIORES DE DISTRITO JUDICIAL EN MATERIA DE JUSTICIA Y LA PAZ. &lt;Artículo modificado por el artículo 28 de la Ley 1592 de 2012. El nuevo text</w:t>
      </w:r>
      <w:r w:rsidRPr="006F4B2C">
        <w:rPr>
          <w:rFonts w:ascii="Times New Roman" w:hAnsi="Times New Roman"/>
          <w:color w:val="000000"/>
          <w:sz w:val="20"/>
          <w:szCs w:val="20"/>
        </w:rPr>
        <w:t>o es el siguiente:&gt; Además de las competencias establecidas en otras leyes, los Tribunales Superiores de Distrito Judicial designados por el Consejo Superior de la Judicatura serán competentes para adelantar la etapa de juzgamiento de los procesos de los q</w:t>
      </w:r>
      <w:r w:rsidRPr="006F4B2C">
        <w:rPr>
          <w:rFonts w:ascii="Times New Roman" w:hAnsi="Times New Roman"/>
          <w:color w:val="000000"/>
          <w:sz w:val="20"/>
          <w:szCs w:val="20"/>
        </w:rPr>
        <w:t>ue trata la presente ley.</w:t>
      </w:r>
    </w:p>
    <w:p w:rsidR="001F2EFA" w:rsidRPr="006F4B2C" w:rsidRDefault="00DF77C8">
      <w:pPr>
        <w:pBdr>
          <w:top w:val="nil"/>
          <w:left w:val="nil"/>
          <w:bottom w:val="nil"/>
          <w:right w:val="nil"/>
          <w:between w:val="nil"/>
        </w:pBdr>
        <w:jc w:val="both"/>
        <w:rPr>
          <w:rFonts w:ascii="Times New Roman" w:hAnsi="Times New Roman"/>
          <w:color w:val="000000"/>
          <w:sz w:val="20"/>
          <w:szCs w:val="20"/>
        </w:rPr>
      </w:pPr>
    </w:p>
    <w:p w:rsidR="001F2EFA" w:rsidRPr="006F4B2C" w:rsidRDefault="00DF77C8">
      <w:pPr>
        <w:pBdr>
          <w:top w:val="nil"/>
          <w:left w:val="nil"/>
          <w:bottom w:val="nil"/>
          <w:right w:val="nil"/>
          <w:between w:val="nil"/>
        </w:pBdr>
        <w:jc w:val="both"/>
        <w:rPr>
          <w:rFonts w:ascii="Times New Roman" w:hAnsi="Times New Roman"/>
          <w:color w:val="000000"/>
          <w:sz w:val="20"/>
          <w:szCs w:val="20"/>
        </w:rPr>
      </w:pPr>
      <w:r w:rsidRPr="006F4B2C">
        <w:rPr>
          <w:rFonts w:ascii="Times New Roman" w:hAnsi="Times New Roman"/>
          <w:color w:val="000000"/>
          <w:sz w:val="20"/>
          <w:szCs w:val="20"/>
        </w:rPr>
        <w:t>El juzgamiento en los procesos a los que se refiere la presente ley, en cada una de las fases del procedimiento, se llevará a cabo por las siguientes autoridades judiciales:</w:t>
      </w:r>
    </w:p>
    <w:p w:rsidR="001F2EFA" w:rsidRPr="006F4B2C" w:rsidRDefault="00DF77C8">
      <w:pPr>
        <w:pBdr>
          <w:top w:val="nil"/>
          <w:left w:val="nil"/>
          <w:bottom w:val="nil"/>
          <w:right w:val="nil"/>
          <w:between w:val="nil"/>
        </w:pBdr>
        <w:jc w:val="both"/>
        <w:rPr>
          <w:rFonts w:ascii="Times New Roman" w:hAnsi="Times New Roman"/>
          <w:color w:val="000000"/>
          <w:sz w:val="20"/>
          <w:szCs w:val="20"/>
        </w:rPr>
      </w:pPr>
    </w:p>
    <w:p w:rsidR="001F2EFA" w:rsidRPr="006F4B2C" w:rsidRDefault="00DF77C8">
      <w:pPr>
        <w:pBdr>
          <w:top w:val="nil"/>
          <w:left w:val="nil"/>
          <w:bottom w:val="nil"/>
          <w:right w:val="nil"/>
          <w:between w:val="nil"/>
        </w:pBdr>
        <w:jc w:val="both"/>
        <w:rPr>
          <w:rFonts w:ascii="Times New Roman" w:hAnsi="Times New Roman"/>
          <w:color w:val="000000"/>
          <w:sz w:val="20"/>
          <w:szCs w:val="20"/>
        </w:rPr>
      </w:pPr>
      <w:r w:rsidRPr="006F4B2C">
        <w:rPr>
          <w:rFonts w:ascii="Times New Roman" w:hAnsi="Times New Roman"/>
          <w:color w:val="000000"/>
          <w:sz w:val="20"/>
          <w:szCs w:val="20"/>
        </w:rPr>
        <w:t xml:space="preserve">1. Los Magistrados con funciones de control de </w:t>
      </w:r>
      <w:r w:rsidRPr="006F4B2C">
        <w:rPr>
          <w:rFonts w:ascii="Times New Roman" w:hAnsi="Times New Roman"/>
          <w:color w:val="000000"/>
          <w:sz w:val="20"/>
          <w:szCs w:val="20"/>
        </w:rPr>
        <w:t>garantías”.</w:t>
      </w:r>
    </w:p>
  </w:footnote>
  <w:footnote w:id="12">
    <w:p w:rsidR="001F2EFA" w:rsidRPr="006F4B2C" w:rsidRDefault="00DF77C8">
      <w:pPr>
        <w:pBdr>
          <w:top w:val="nil"/>
          <w:left w:val="nil"/>
          <w:bottom w:val="nil"/>
          <w:right w:val="nil"/>
          <w:between w:val="nil"/>
        </w:pBdr>
        <w:rPr>
          <w:rFonts w:ascii="Times New Roman" w:hAnsi="Times New Roman"/>
          <w:color w:val="000000"/>
          <w:sz w:val="20"/>
          <w:szCs w:val="20"/>
        </w:rPr>
      </w:pPr>
      <w:bookmarkStart w:id="1" w:name="_heading=h.30j0zll" w:colFirst="0" w:colLast="0"/>
      <w:bookmarkEnd w:id="1"/>
      <w:r w:rsidRPr="006F4B2C">
        <w:rPr>
          <w:rFonts w:ascii="Times New Roman" w:hAnsi="Times New Roman"/>
          <w:sz w:val="20"/>
          <w:szCs w:val="20"/>
          <w:vertAlign w:val="superscript"/>
        </w:rPr>
        <w:footnoteRef/>
      </w:r>
      <w:r w:rsidRPr="006F4B2C">
        <w:rPr>
          <w:rFonts w:ascii="Times New Roman" w:hAnsi="Times New Roman"/>
          <w:color w:val="000000"/>
          <w:sz w:val="20"/>
          <w:szCs w:val="20"/>
        </w:rPr>
        <w:t xml:space="preserve"> “ARTÍCULO 214. JUEZ PENAL MILITAR DE CONTROL DE GARANTÍAS. El Juez Penal Militar de Control de Garantías ejercerá su función en el lugar donde se cometió el delito, de conformidad con la competencia territorial asignada. La Dirección Ejecutiv</w:t>
      </w:r>
      <w:r w:rsidRPr="006F4B2C">
        <w:rPr>
          <w:rFonts w:ascii="Times New Roman" w:hAnsi="Times New Roman"/>
          <w:color w:val="000000"/>
          <w:sz w:val="20"/>
          <w:szCs w:val="20"/>
        </w:rPr>
        <w:t>a de la Justicia Penal Militar determinará el mapa judicial.</w:t>
      </w:r>
    </w:p>
    <w:p w:rsidR="001F2EFA" w:rsidRPr="006F4B2C" w:rsidRDefault="00DF77C8">
      <w:pPr>
        <w:pBdr>
          <w:top w:val="nil"/>
          <w:left w:val="nil"/>
          <w:bottom w:val="nil"/>
          <w:right w:val="nil"/>
          <w:between w:val="nil"/>
        </w:pBdr>
        <w:rPr>
          <w:rFonts w:ascii="Times New Roman" w:hAnsi="Times New Roman"/>
          <w:color w:val="000000"/>
          <w:sz w:val="20"/>
          <w:szCs w:val="20"/>
        </w:rPr>
      </w:pP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 xml:space="preserve">Si más de un Juez Penal Militar de Control de Garantías resultare competente para ejercer esta función, será ejercida por el primero ante quien acuda el Fiscal Penal Militar en procura de dicho </w:t>
      </w:r>
      <w:r w:rsidRPr="00BC32BE">
        <w:rPr>
          <w:rFonts w:ascii="Times New Roman" w:hAnsi="Times New Roman"/>
          <w:color w:val="000000"/>
          <w:sz w:val="20"/>
          <w:szCs w:val="20"/>
        </w:rPr>
        <w:t>control.</w:t>
      </w:r>
    </w:p>
    <w:p w:rsidR="001F2EFA" w:rsidRPr="00BC32BE" w:rsidRDefault="00DF77C8">
      <w:pPr>
        <w:pBdr>
          <w:top w:val="nil"/>
          <w:left w:val="nil"/>
          <w:bottom w:val="nil"/>
          <w:right w:val="nil"/>
          <w:between w:val="nil"/>
        </w:pBdr>
        <w:rPr>
          <w:rFonts w:ascii="Times New Roman" w:hAnsi="Times New Roman"/>
          <w:color w:val="000000"/>
          <w:sz w:val="20"/>
          <w:szCs w:val="20"/>
        </w:rPr>
      </w:pP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PARÁGRAFO. La función de control de garantías, en los casos que conozca el Tribunal Superior Militar será ejercida por el Magistrado de Control de Garantías que disponga la misma Corporación.”</w:t>
      </w:r>
    </w:p>
  </w:footnote>
  <w:footnote w:id="13">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w:t>
      </w:r>
      <w:r w:rsidRPr="00BC32BE">
        <w:rPr>
          <w:rFonts w:ascii="Times New Roman" w:hAnsi="Times New Roman"/>
          <w:i/>
          <w:color w:val="000000"/>
          <w:sz w:val="20"/>
          <w:szCs w:val="20"/>
        </w:rPr>
        <w:t xml:space="preserve">Ibidem, </w:t>
      </w:r>
      <w:r w:rsidRPr="00BC32BE">
        <w:rPr>
          <w:rFonts w:ascii="Times New Roman" w:hAnsi="Times New Roman"/>
          <w:color w:val="000000"/>
          <w:sz w:val="20"/>
          <w:szCs w:val="20"/>
        </w:rPr>
        <w:t>folio 27</w:t>
      </w:r>
    </w:p>
  </w:footnote>
  <w:footnote w:id="14">
    <w:p w:rsidR="001F2EFA" w:rsidRPr="00BC32BE" w:rsidRDefault="00DF77C8" w:rsidP="004A10C0">
      <w:pPr>
        <w:pStyle w:val="Textonotapie"/>
        <w:jc w:val="both"/>
        <w:rPr>
          <w:lang w:val="es-ES"/>
        </w:rPr>
      </w:pPr>
      <w:r w:rsidRPr="00BC32BE">
        <w:rPr>
          <w:rStyle w:val="Refdenotaalpie"/>
          <w:rFonts w:ascii="Times New Roman" w:hAnsi="Times New Roman"/>
        </w:rPr>
        <w:footnoteRef/>
      </w:r>
      <w:r w:rsidRPr="00BC32BE">
        <w:rPr>
          <w:rFonts w:ascii="Times New Roman" w:hAnsi="Times New Roman"/>
        </w:rPr>
        <w:t xml:space="preserve"> </w:t>
      </w:r>
      <w:r w:rsidRPr="00BC32BE">
        <w:rPr>
          <w:rFonts w:ascii="Times New Roman" w:hAnsi="Times New Roman"/>
          <w:lang w:val="es-ES"/>
        </w:rPr>
        <w:t xml:space="preserve">Cabe anotar que luego de este </w:t>
      </w:r>
      <w:r w:rsidRPr="00BC32BE">
        <w:rPr>
          <w:rFonts w:ascii="Times New Roman" w:hAnsi="Times New Roman"/>
          <w:lang w:val="es-ES"/>
        </w:rPr>
        <w:t>término se recibieron las intervenciones de las universidades Externado de Colombia, Santo Tomás y de Nariño, las cuales no se tendrán en cuenta por ser extemporáneas.</w:t>
      </w:r>
      <w:r w:rsidRPr="00BC32BE">
        <w:rPr>
          <w:lang w:val="es-ES"/>
        </w:rPr>
        <w:t xml:space="preserve"> </w:t>
      </w:r>
    </w:p>
  </w:footnote>
  <w:footnote w:id="15">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En el auto admisorio se invitó a participar en el debate a la Sala Penal de la Corte </w:t>
      </w:r>
      <w:r w:rsidRPr="00BC32BE">
        <w:rPr>
          <w:rFonts w:ascii="Times New Roman" w:hAnsi="Times New Roman"/>
          <w:color w:val="000000"/>
          <w:sz w:val="20"/>
          <w:szCs w:val="20"/>
        </w:rPr>
        <w:t>Suprema de Justicia, a la Sala Penal del Tribunal Superior del Distrito Judicial de Bogotá, a la Defensoría del Pueblo, a la Fiscalía General de la Nación, a la Academia Colombiana de Jurisprudencia, al Instituto Colombiano de Derecho Procesal, a DeJustici</w:t>
      </w:r>
      <w:r w:rsidRPr="00BC32BE">
        <w:rPr>
          <w:rFonts w:ascii="Times New Roman" w:hAnsi="Times New Roman"/>
          <w:color w:val="000000"/>
          <w:sz w:val="20"/>
          <w:szCs w:val="20"/>
        </w:rPr>
        <w:t>a, a la Comisión Colombiana de Juristas, al Colegio de Abogados Penalistas de Colombia, y a las Facultades de Derecho de las Universidades de Antioquia, de Los Andes, del Rosario, de Caldas, del Cauca, Libre, Externado de Colombia, EAFIT, Javeriana, Nacion</w:t>
      </w:r>
      <w:r w:rsidRPr="00BC32BE">
        <w:rPr>
          <w:rFonts w:ascii="Times New Roman" w:hAnsi="Times New Roman"/>
          <w:color w:val="000000"/>
          <w:sz w:val="20"/>
          <w:szCs w:val="20"/>
        </w:rPr>
        <w:t>al de Colombia, de Nariño, del Norte, Pontificia Bolivariana, de la Sabana, Santo Tomás y Sergio Arboleda.</w:t>
      </w:r>
    </w:p>
  </w:footnote>
  <w:footnote w:id="16">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“3. De los recursos de apelación contra los autos y sentencias que profieran en primera instancia los Tribunales superiores (…)”.</w:t>
      </w:r>
    </w:p>
  </w:footnote>
  <w:footnote w:id="17">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“ARTÍCULO 32. D</w:t>
      </w:r>
      <w:r w:rsidRPr="00BC32BE">
        <w:rPr>
          <w:rFonts w:ascii="Times New Roman" w:hAnsi="Times New Roman"/>
          <w:color w:val="000000"/>
          <w:sz w:val="20"/>
          <w:szCs w:val="20"/>
        </w:rPr>
        <w:t>E LA CORTE SUPREMA DE JUSTICIA. &lt;Apartes tachados INEXEQUIBLES&gt; &lt;Artículo modificado por el artículo 12 de la Ley 2098 de 2021. El nuevo texto es el siguiente:&gt; La Sala de Casación Penal de la Corte Suprema de Justicia conoce:</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1. De la casación.</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2. De la a</w:t>
      </w:r>
      <w:r w:rsidRPr="00BC32BE">
        <w:rPr>
          <w:rFonts w:ascii="Times New Roman" w:hAnsi="Times New Roman"/>
          <w:color w:val="000000"/>
          <w:sz w:val="20"/>
          <w:szCs w:val="20"/>
        </w:rPr>
        <w:t>cción de revisión cuando la sentencia o la preclusión ejecutoriadas hayan sido proferidas en única o segunda instancia por esta Corporación o por los Tribunales.</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3. De la definición de competencia cuando se trate de aforados constitucionales y legales, o d</w:t>
      </w:r>
      <w:r w:rsidRPr="00BC32BE">
        <w:rPr>
          <w:rFonts w:ascii="Times New Roman" w:hAnsi="Times New Roman"/>
          <w:color w:val="000000"/>
          <w:sz w:val="20"/>
          <w:szCs w:val="20"/>
        </w:rPr>
        <w:t>e Tribunales, o de juzgados de diferentes distritos.</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4. Del juzgamiento de los funcionarios a que se refieren los artículos 174 y 235 numeral 2 de la Constitución Política.</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 xml:space="preserve">5. Del juzgamiento de los funcionarios a que se refiere el artículo 235 numeral 4 </w:t>
      </w:r>
      <w:r w:rsidRPr="00BC32BE">
        <w:rPr>
          <w:rFonts w:ascii="Times New Roman" w:hAnsi="Times New Roman"/>
          <w:color w:val="000000"/>
          <w:sz w:val="20"/>
          <w:szCs w:val="20"/>
        </w:rPr>
        <w:t>de la Constitución Política.</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6. De la investigación y juzgamiento de los Senadores y Representantes a la Cámara.</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7. De las solicitudes de cambio de radicación de procesos penales de un distrito judicial a otro durante el juzgamiento.</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8. Del juzgamiento del</w:t>
      </w:r>
      <w:r w:rsidRPr="00BC32BE">
        <w:rPr>
          <w:rFonts w:ascii="Times New Roman" w:hAnsi="Times New Roman"/>
          <w:color w:val="000000"/>
          <w:sz w:val="20"/>
          <w:szCs w:val="20"/>
        </w:rPr>
        <w:t xml:space="preserve"> viceprocurador, vicefiscal, magistrados de los consejos seccionales de la judicatura, del Tribunal Superior Militar, del Consejo Nacional Electoral, fiscales delegados ante la Corte Suprema de Justicia y Tribunales, Procuradores Delegados, Procuradores Ju</w:t>
      </w:r>
      <w:r w:rsidRPr="00BC32BE">
        <w:rPr>
          <w:rFonts w:ascii="Times New Roman" w:hAnsi="Times New Roman"/>
          <w:color w:val="000000"/>
          <w:sz w:val="20"/>
          <w:szCs w:val="20"/>
        </w:rPr>
        <w:t>diciales II, Registrador Nacional del Estado Civil, Director Nacional de Fiscalía y Directores Seccionales de Fiscalía.</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PARÁGRAFO. Cuando los funcionarios a los que se refieren los numerales 5, 6 y 8 y 9 anteriores hubieren cesado en el ejercicio de su</w:t>
      </w:r>
      <w:r w:rsidRPr="00BC32BE">
        <w:rPr>
          <w:rFonts w:ascii="Times New Roman" w:hAnsi="Times New Roman"/>
          <w:color w:val="000000"/>
          <w:sz w:val="20"/>
          <w:szCs w:val="20"/>
        </w:rPr>
        <w:t>s cargos, el fuero solo se mantendrá para los delitos que tengan relación con las funciones desempeñadas”.</w:t>
      </w:r>
    </w:p>
  </w:footnote>
  <w:footnote w:id="18">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Como sustento de esta afirmación citó las sentencias con número de radicado 61872 del 2 de noviembre de 2022; 60186 del 25 de enero de 2023; 58252 </w:t>
      </w:r>
      <w:r w:rsidRPr="00BC32BE">
        <w:rPr>
          <w:rFonts w:ascii="Times New Roman" w:hAnsi="Times New Roman"/>
          <w:color w:val="000000"/>
          <w:sz w:val="20"/>
          <w:szCs w:val="20"/>
        </w:rPr>
        <w:t>y 56218 del 8 de febrero de 2023.</w:t>
      </w:r>
    </w:p>
  </w:footnote>
  <w:footnote w:id="19">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Sentencia T-643 de 2016</w:t>
      </w:r>
    </w:p>
  </w:footnote>
  <w:footnote w:id="20">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El interviniente hizo alusión a las siguientes decisiones: “(i) el auto que resuelve sobre la imposición, revocatoria o sustitución de una medida de aseguramiento; (ii) el auto que resuelve sobr</w:t>
      </w:r>
      <w:r w:rsidRPr="00BC32BE">
        <w:rPr>
          <w:rFonts w:ascii="Times New Roman" w:hAnsi="Times New Roman"/>
          <w:color w:val="000000"/>
          <w:sz w:val="20"/>
          <w:szCs w:val="20"/>
        </w:rPr>
        <w:t>e la imposición de una medida cautelar que afecte bienes del imputado o acusado; (iii) el auto que resuelve sobre la legalización de captura; (iv) el auto que decide sobre el control de legalidad del diligenciamiento de las órdenes de allanamiento y regist</w:t>
      </w:r>
      <w:r w:rsidRPr="00BC32BE">
        <w:rPr>
          <w:rFonts w:ascii="Times New Roman" w:hAnsi="Times New Roman"/>
          <w:color w:val="000000"/>
          <w:sz w:val="20"/>
          <w:szCs w:val="20"/>
        </w:rPr>
        <w:t>ro, retención de correspondencia, interceptación de comunicaciones o recuperación de información dejada al navegar por Internet u otros medios similares; (v) el auto que imprueba la aplicación del principio de oportunidad en la etapa de investigación; y (v</w:t>
      </w:r>
      <w:r w:rsidRPr="00BC32BE">
        <w:rPr>
          <w:rFonts w:ascii="Times New Roman" w:hAnsi="Times New Roman"/>
          <w:color w:val="000000"/>
          <w:sz w:val="20"/>
          <w:szCs w:val="20"/>
        </w:rPr>
        <w:t xml:space="preserve">i) el auto que admite la práctica de la prueba anticipada”. </w:t>
      </w:r>
    </w:p>
  </w:footnote>
  <w:footnote w:id="21">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“ARTÍCULO 36. DE LOS JUECES PENALES DEL CIRCUITO. Los jueces penales de circuito conocen:</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1. Del recurso de apelación contra los autos proferidos por los jueces penales municipales o cuando eje</w:t>
      </w:r>
      <w:r w:rsidRPr="00BC32BE">
        <w:rPr>
          <w:rFonts w:ascii="Times New Roman" w:hAnsi="Times New Roman"/>
          <w:color w:val="000000"/>
          <w:sz w:val="20"/>
          <w:szCs w:val="20"/>
        </w:rPr>
        <w:t>rzan la función de control de garantías (…)</w:t>
      </w:r>
    </w:p>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color w:val="000000"/>
          <w:sz w:val="20"/>
          <w:szCs w:val="20"/>
        </w:rPr>
        <w:t>ARTÍCULO 37. DE LOS JUECES PENALES MUNICIPALES (…) Los jueces penales municipales conocen: (…)</w:t>
      </w:r>
    </w:p>
    <w:p w:rsidR="001F2EFA" w:rsidRPr="00BC32BE" w:rsidRDefault="00DF77C8">
      <w:pPr>
        <w:pBdr>
          <w:top w:val="nil"/>
          <w:left w:val="nil"/>
          <w:bottom w:val="nil"/>
          <w:right w:val="nil"/>
          <w:between w:val="nil"/>
        </w:pBdr>
        <w:rPr>
          <w:rFonts w:ascii="Times New Roman" w:hAnsi="Times New Roman"/>
          <w:color w:val="000000"/>
          <w:sz w:val="20"/>
          <w:szCs w:val="20"/>
        </w:rPr>
      </w:pPr>
      <w:r w:rsidRPr="00BC32BE">
        <w:rPr>
          <w:rFonts w:ascii="Times New Roman" w:hAnsi="Times New Roman"/>
          <w:color w:val="000000"/>
          <w:sz w:val="20"/>
          <w:szCs w:val="20"/>
        </w:rPr>
        <w:t>5. De la función de control de garantías”.</w:t>
      </w:r>
    </w:p>
  </w:footnote>
  <w:footnote w:id="22">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sz w:val="20"/>
          <w:szCs w:val="20"/>
          <w:vertAlign w:val="superscript"/>
        </w:rPr>
        <w:footnoteRef/>
      </w:r>
      <w:r w:rsidRPr="00BC32BE">
        <w:rPr>
          <w:rFonts w:ascii="Times New Roman" w:hAnsi="Times New Roman"/>
          <w:color w:val="000000"/>
          <w:sz w:val="20"/>
          <w:szCs w:val="20"/>
        </w:rPr>
        <w:t xml:space="preserve"> “13. Que el juez haya ejercido el control de garantías o conocido de la </w:t>
      </w:r>
      <w:r w:rsidRPr="00BC32BE">
        <w:rPr>
          <w:rFonts w:ascii="Times New Roman" w:hAnsi="Times New Roman"/>
          <w:color w:val="000000"/>
          <w:sz w:val="20"/>
          <w:szCs w:val="20"/>
        </w:rPr>
        <w:t>audiencia preliminar de reconsideración, caso en el cual quedará impedido para conocer el juicio en su fondo”.</w:t>
      </w:r>
    </w:p>
  </w:footnote>
  <w:footnote w:id="23">
    <w:p w:rsidR="001F2EFA" w:rsidRPr="00BC32BE" w:rsidRDefault="00DF77C8">
      <w:pPr>
        <w:pBdr>
          <w:top w:val="nil"/>
          <w:left w:val="nil"/>
          <w:bottom w:val="nil"/>
          <w:right w:val="nil"/>
          <w:between w:val="nil"/>
        </w:pBdr>
        <w:jc w:val="both"/>
        <w:rPr>
          <w:rFonts w:ascii="Times New Roman" w:hAnsi="Times New Roman"/>
          <w:color w:val="000000"/>
          <w:sz w:val="20"/>
          <w:szCs w:val="20"/>
        </w:rPr>
      </w:pPr>
      <w:r w:rsidRPr="00BC32BE">
        <w:rPr>
          <w:rFonts w:ascii="Times New Roman" w:hAnsi="Times New Roman"/>
          <w:vertAlign w:val="superscript"/>
        </w:rPr>
        <w:footnoteRef/>
      </w:r>
      <w:r w:rsidRPr="00BC32BE">
        <w:rPr>
          <w:rFonts w:ascii="Times New Roman" w:hAnsi="Times New Roman"/>
          <w:color w:val="000000"/>
          <w:sz w:val="20"/>
          <w:szCs w:val="20"/>
        </w:rPr>
        <w:t xml:space="preserve"> “ARTÍCULO 20. DOBLE INSTANCIA. &lt;Aparte subrayado INCONSTITUCIONAL por omisión legislativa, con efectos diferidos y en los términos señalados en</w:t>
      </w:r>
      <w:r w:rsidRPr="00BC32BE">
        <w:rPr>
          <w:rFonts w:ascii="Times New Roman" w:hAnsi="Times New Roman"/>
          <w:color w:val="000000"/>
          <w:sz w:val="20"/>
          <w:szCs w:val="20"/>
        </w:rPr>
        <w:t xml:space="preserve"> la providencia, en cuanto omite la posibilidad de impugnar todas las sentencias condenatorias&gt; Las sentencias y los autos que se refieran a la libertad del imputado o acusado, que afecten la práctica de las pruebas o que tengan efectos patrimoniales, salv</w:t>
      </w:r>
      <w:r w:rsidRPr="00BC32BE">
        <w:rPr>
          <w:rFonts w:ascii="Times New Roman" w:hAnsi="Times New Roman"/>
          <w:color w:val="000000"/>
          <w:sz w:val="20"/>
          <w:szCs w:val="20"/>
        </w:rPr>
        <w:t>o las excepciones previstas en este código, serán susceptibles del recurso de apelación”.</w:t>
      </w:r>
    </w:p>
  </w:footnote>
  <w:footnote w:id="24">
    <w:p w:rsidR="001F2EFA" w:rsidRPr="00855362" w:rsidRDefault="00DF77C8">
      <w:pPr>
        <w:pBdr>
          <w:top w:val="nil"/>
          <w:left w:val="nil"/>
          <w:bottom w:val="nil"/>
          <w:right w:val="nil"/>
          <w:between w:val="nil"/>
        </w:pBdr>
        <w:rPr>
          <w:rFonts w:ascii="Times New Roman" w:hAnsi="Times New Roman"/>
          <w:color w:val="000000"/>
          <w:sz w:val="20"/>
          <w:szCs w:val="20"/>
        </w:rPr>
      </w:pPr>
      <w:r w:rsidRPr="00855362">
        <w:rPr>
          <w:rFonts w:ascii="Times New Roman" w:hAnsi="Times New Roman"/>
          <w:sz w:val="20"/>
          <w:szCs w:val="20"/>
          <w:vertAlign w:val="superscript"/>
        </w:rPr>
        <w:footnoteRef/>
      </w:r>
      <w:r w:rsidRPr="00855362">
        <w:rPr>
          <w:rFonts w:ascii="Times New Roman" w:hAnsi="Times New Roman"/>
          <w:color w:val="000000"/>
          <w:sz w:val="20"/>
          <w:szCs w:val="20"/>
        </w:rPr>
        <w:t xml:space="preserve"> “Numeral 9° en el texto anterior a la modificación del artículo 12 de la Ley 2098 de 2021”.</w:t>
      </w:r>
    </w:p>
  </w:footnote>
  <w:footnote w:id="25">
    <w:p w:rsidR="001F2EFA" w:rsidRPr="00855362" w:rsidRDefault="00DF77C8">
      <w:pPr>
        <w:pBdr>
          <w:top w:val="nil"/>
          <w:left w:val="nil"/>
          <w:bottom w:val="nil"/>
          <w:right w:val="nil"/>
          <w:between w:val="nil"/>
        </w:pBdr>
        <w:jc w:val="both"/>
        <w:rPr>
          <w:rFonts w:ascii="Times New Roman" w:hAnsi="Times New Roman"/>
          <w:color w:val="000000"/>
          <w:sz w:val="20"/>
          <w:szCs w:val="20"/>
        </w:rPr>
      </w:pPr>
      <w:r w:rsidRPr="00855362">
        <w:rPr>
          <w:rFonts w:ascii="Times New Roman" w:hAnsi="Times New Roman"/>
          <w:sz w:val="20"/>
          <w:szCs w:val="20"/>
          <w:vertAlign w:val="superscript"/>
        </w:rPr>
        <w:footnoteRef/>
      </w:r>
      <w:r w:rsidRPr="00855362">
        <w:rPr>
          <w:rFonts w:ascii="Times New Roman" w:hAnsi="Times New Roman"/>
          <w:color w:val="000000"/>
          <w:sz w:val="20"/>
          <w:szCs w:val="20"/>
        </w:rPr>
        <w:t xml:space="preserve"> “Cfr. Corte Suprema de Justicia, Sala de Casación Penal, Auto AP-394 de 2020 (M.P. Luis Antonio Hernández Barbosa)”.</w:t>
      </w:r>
    </w:p>
  </w:footnote>
  <w:footnote w:id="26">
    <w:p w:rsidR="001F2EFA" w:rsidRPr="00855362" w:rsidRDefault="00DF77C8">
      <w:pPr>
        <w:pBdr>
          <w:top w:val="nil"/>
          <w:left w:val="nil"/>
          <w:bottom w:val="nil"/>
          <w:right w:val="nil"/>
          <w:between w:val="nil"/>
        </w:pBdr>
        <w:jc w:val="both"/>
        <w:rPr>
          <w:rFonts w:ascii="Times New Roman" w:hAnsi="Times New Roman"/>
          <w:color w:val="000000"/>
          <w:sz w:val="20"/>
          <w:szCs w:val="20"/>
        </w:rPr>
      </w:pPr>
      <w:r w:rsidRPr="00855362">
        <w:rPr>
          <w:rFonts w:ascii="Times New Roman" w:hAnsi="Times New Roman"/>
          <w:sz w:val="20"/>
          <w:szCs w:val="20"/>
          <w:vertAlign w:val="superscript"/>
        </w:rPr>
        <w:footnoteRef/>
      </w:r>
      <w:r w:rsidRPr="00855362">
        <w:rPr>
          <w:rFonts w:ascii="Times New Roman" w:hAnsi="Times New Roman"/>
          <w:color w:val="000000"/>
          <w:sz w:val="20"/>
          <w:szCs w:val="20"/>
        </w:rPr>
        <w:t xml:space="preserve"> “El juez que ejerza las funciones de control de garantías, no podrá ser, en ningún caso, el juez de conocimiento, en aquellos asuntos en</w:t>
      </w:r>
      <w:r w:rsidRPr="00855362">
        <w:rPr>
          <w:rFonts w:ascii="Times New Roman" w:hAnsi="Times New Roman"/>
          <w:color w:val="000000"/>
          <w:sz w:val="20"/>
          <w:szCs w:val="20"/>
        </w:rPr>
        <w:t xml:space="preserve"> que haya ejercido esta función”.</w:t>
      </w:r>
    </w:p>
  </w:footnote>
  <w:footnote w:id="27">
    <w:p w:rsidR="001F2EFA" w:rsidRPr="00855362" w:rsidRDefault="00DF77C8">
      <w:pPr>
        <w:pBdr>
          <w:top w:val="nil"/>
          <w:left w:val="nil"/>
          <w:bottom w:val="nil"/>
          <w:right w:val="nil"/>
          <w:between w:val="nil"/>
        </w:pBdr>
        <w:jc w:val="both"/>
        <w:rPr>
          <w:rFonts w:ascii="Times New Roman" w:hAnsi="Times New Roman"/>
          <w:color w:val="000000"/>
          <w:sz w:val="20"/>
          <w:szCs w:val="20"/>
        </w:rPr>
      </w:pPr>
      <w:r w:rsidRPr="00855362">
        <w:rPr>
          <w:rFonts w:ascii="Times New Roman" w:hAnsi="Times New Roman"/>
          <w:sz w:val="20"/>
          <w:szCs w:val="20"/>
          <w:vertAlign w:val="superscript"/>
        </w:rPr>
        <w:footnoteRef/>
      </w:r>
      <w:r w:rsidRPr="00855362">
        <w:rPr>
          <w:rFonts w:ascii="Times New Roman" w:hAnsi="Times New Roman"/>
          <w:color w:val="000000"/>
          <w:sz w:val="20"/>
          <w:szCs w:val="20"/>
        </w:rPr>
        <w:t xml:space="preserve"> “5. Juzgar, a través de la Sala Especial de Primera Instancia, de la Sala Penal de la Corte Suprema de Justicia, previa acusación del Fiscal General de la Nación, del Vicefiscal General de la Nación, o de sus delegados d</w:t>
      </w:r>
      <w:r w:rsidRPr="00855362">
        <w:rPr>
          <w:rFonts w:ascii="Times New Roman" w:hAnsi="Times New Roman"/>
          <w:color w:val="000000"/>
          <w:sz w:val="20"/>
          <w:szCs w:val="20"/>
        </w:rPr>
        <w:t>e la Unidad de Fiscalías ante la Corte Suprema de Justicia, al Vicepresidente de la República, a los Ministros del Despacho, al Procurador General, al Defensor del Pueblo, a los Agentes del Ministerio Público ante la Corte, ante el Consejo de Estado y ante</w:t>
      </w:r>
      <w:r w:rsidRPr="00855362">
        <w:rPr>
          <w:rFonts w:ascii="Times New Roman" w:hAnsi="Times New Roman"/>
          <w:color w:val="000000"/>
          <w:sz w:val="20"/>
          <w:szCs w:val="20"/>
        </w:rPr>
        <w:t xml:space="preserve"> los Tribunales, Directores de los Departamentos Administrativos, al Contralor General de la República, a los Embajadores y Jefe de Misión Diplomática o Consular, a los Gobernadores, a los Magistrados de Tribunales y a los Generales y Almirantes de la Fuer</w:t>
      </w:r>
      <w:r w:rsidRPr="00855362">
        <w:rPr>
          <w:rFonts w:ascii="Times New Roman" w:hAnsi="Times New Roman"/>
          <w:color w:val="000000"/>
          <w:sz w:val="20"/>
          <w:szCs w:val="20"/>
        </w:rPr>
        <w:t>za Pública, por los hechos punibles que se les imputen.</w:t>
      </w:r>
    </w:p>
    <w:p w:rsidR="001F2EFA" w:rsidRPr="00855362" w:rsidRDefault="00DF77C8">
      <w:pPr>
        <w:pBdr>
          <w:top w:val="nil"/>
          <w:left w:val="nil"/>
          <w:bottom w:val="nil"/>
          <w:right w:val="nil"/>
          <w:between w:val="nil"/>
        </w:pBdr>
        <w:jc w:val="both"/>
        <w:rPr>
          <w:rFonts w:ascii="Times New Roman" w:hAnsi="Times New Roman"/>
          <w:color w:val="000000"/>
          <w:sz w:val="20"/>
          <w:szCs w:val="20"/>
        </w:rPr>
      </w:pPr>
      <w:r w:rsidRPr="00855362">
        <w:rPr>
          <w:rFonts w:ascii="Times New Roman" w:hAnsi="Times New Roman"/>
          <w:color w:val="000000"/>
          <w:sz w:val="20"/>
          <w:szCs w:val="20"/>
        </w:rPr>
        <w:t xml:space="preserve">6. Resolver, a través de la Sala de Casación Penal de la Corte Suprema de Justicia, los recursos de apelación que se interpongan contra las decisiones proferidas por la Sala Especial de Primera </w:t>
      </w:r>
      <w:r w:rsidRPr="00855362">
        <w:rPr>
          <w:rFonts w:ascii="Times New Roman" w:hAnsi="Times New Roman"/>
          <w:color w:val="000000"/>
          <w:sz w:val="20"/>
          <w:szCs w:val="20"/>
        </w:rPr>
        <w:t>Instancia de la Sala Penal de la Corte Suprema de Justicia.</w:t>
      </w:r>
    </w:p>
    <w:p w:rsidR="001F2EFA" w:rsidRPr="00855362" w:rsidRDefault="00DF77C8">
      <w:pPr>
        <w:pBdr>
          <w:top w:val="nil"/>
          <w:left w:val="nil"/>
          <w:bottom w:val="nil"/>
          <w:right w:val="nil"/>
          <w:between w:val="nil"/>
        </w:pBdr>
        <w:jc w:val="both"/>
        <w:rPr>
          <w:rFonts w:ascii="Times New Roman" w:hAnsi="Times New Roman"/>
          <w:color w:val="000000"/>
          <w:sz w:val="20"/>
          <w:szCs w:val="20"/>
        </w:rPr>
      </w:pPr>
      <w:r w:rsidRPr="00855362">
        <w:rPr>
          <w:rFonts w:ascii="Times New Roman" w:hAnsi="Times New Roman"/>
          <w:color w:val="000000"/>
          <w:sz w:val="20"/>
          <w:szCs w:val="20"/>
        </w:rPr>
        <w:t>7. Resolver, a través de una Sala integrada por tres Magistrados de la Sala de Casación Penal de la Corte Suprema de Justicia y que no hayan participado en la decisión, conforme lo determine la le</w:t>
      </w:r>
      <w:r w:rsidRPr="00855362">
        <w:rPr>
          <w:rFonts w:ascii="Times New Roman" w:hAnsi="Times New Roman"/>
          <w:color w:val="000000"/>
          <w:sz w:val="20"/>
          <w:szCs w:val="20"/>
        </w:rPr>
        <w:t>y, la solicitud de doble conformidad judicial de la primera condena de la sentencia proferida por los restantes Magistrados de dicha Sala en los asuntos a que se refieren los numerales 1, 3, 4, 5 y 6 del presente artículo, o de los fallos que en esas condi</w:t>
      </w:r>
      <w:r w:rsidRPr="00855362">
        <w:rPr>
          <w:rFonts w:ascii="Times New Roman" w:hAnsi="Times New Roman"/>
          <w:color w:val="000000"/>
          <w:sz w:val="20"/>
          <w:szCs w:val="20"/>
        </w:rPr>
        <w:t>ciones profieran los Tribunales Superiores o Militares”</w:t>
      </w:r>
      <w:r>
        <w:rPr>
          <w:rFonts w:ascii="Times New Roman" w:hAnsi="Times New Roman"/>
          <w:color w:val="000000"/>
          <w:sz w:val="20"/>
          <w:szCs w:val="20"/>
        </w:rPr>
        <w:t>.</w:t>
      </w:r>
    </w:p>
  </w:footnote>
  <w:footnote w:id="28">
    <w:p w:rsidR="001F2EFA" w:rsidRPr="00185C74" w:rsidRDefault="00DF77C8">
      <w:pPr>
        <w:jc w:val="both"/>
        <w:rPr>
          <w:rFonts w:ascii="Times New Roman" w:hAnsi="Times New Roman"/>
          <w:sz w:val="20"/>
          <w:szCs w:val="20"/>
        </w:rPr>
      </w:pPr>
      <w:r w:rsidRPr="00185C74">
        <w:rPr>
          <w:rFonts w:ascii="Times New Roman" w:hAnsi="Times New Roman"/>
          <w:sz w:val="20"/>
          <w:szCs w:val="20"/>
          <w:vertAlign w:val="superscript"/>
        </w:rPr>
        <w:footnoteRef/>
      </w:r>
      <w:r w:rsidRPr="00185C74">
        <w:rPr>
          <w:rFonts w:ascii="Times New Roman" w:hAnsi="Times New Roman"/>
          <w:sz w:val="20"/>
          <w:szCs w:val="20"/>
        </w:rPr>
        <w:t>“Véase, sentencias C-543 de 1996 (M.P. Carlos Gaviria Díaz), C-427 de 2000 (M.P. Vladimiro Naranjo Mesa), C-1549 de 2000 (M.P. Martha Victoria Sáchica Méndez), C-185 de 2002 (M.P. Rodrigo Escobar Gi</w:t>
      </w:r>
      <w:r w:rsidRPr="00185C74">
        <w:rPr>
          <w:rFonts w:ascii="Times New Roman" w:hAnsi="Times New Roman"/>
          <w:sz w:val="20"/>
          <w:szCs w:val="20"/>
        </w:rPr>
        <w:t>l) y C-311 de 2003 (M.P. Eduardo Montealegre Lynett)”.</w:t>
      </w:r>
    </w:p>
  </w:footnote>
  <w:footnote w:id="29">
    <w:p w:rsidR="001F2EFA" w:rsidRPr="00185C74" w:rsidRDefault="00DF77C8">
      <w:pPr>
        <w:jc w:val="both"/>
        <w:rPr>
          <w:rFonts w:ascii="Times New Roman" w:hAnsi="Times New Roman"/>
          <w:sz w:val="20"/>
          <w:szCs w:val="20"/>
        </w:rPr>
      </w:pPr>
      <w:r w:rsidRPr="00185C74">
        <w:rPr>
          <w:rFonts w:ascii="Times New Roman" w:hAnsi="Times New Roman"/>
          <w:sz w:val="20"/>
          <w:szCs w:val="20"/>
          <w:vertAlign w:val="superscript"/>
        </w:rPr>
        <w:footnoteRef/>
      </w:r>
      <w:r w:rsidRPr="00185C74">
        <w:rPr>
          <w:rFonts w:ascii="Times New Roman" w:hAnsi="Times New Roman"/>
          <w:sz w:val="20"/>
          <w:szCs w:val="20"/>
        </w:rPr>
        <w:t xml:space="preserve"> Corte </w:t>
      </w:r>
      <w:r w:rsidRPr="000D58C5">
        <w:rPr>
          <w:rFonts w:ascii="Times New Roman" w:hAnsi="Times New Roman"/>
          <w:sz w:val="20"/>
          <w:szCs w:val="20"/>
        </w:rPr>
        <w:t>Constitucional, Sentencia</w:t>
      </w:r>
      <w:r w:rsidRPr="00185C74">
        <w:rPr>
          <w:rFonts w:ascii="Times New Roman" w:hAnsi="Times New Roman"/>
          <w:sz w:val="20"/>
          <w:szCs w:val="20"/>
        </w:rPr>
        <w:t xml:space="preserve"> C-865 de 2004. M.P. Rodrigo Escobar Gil. </w:t>
      </w:r>
    </w:p>
  </w:footnote>
  <w:footnote w:id="30">
    <w:p w:rsidR="001F2EFA" w:rsidRPr="001D539A" w:rsidRDefault="00DF77C8" w:rsidP="00636611">
      <w:pPr>
        <w:pStyle w:val="Textonotapie"/>
        <w:jc w:val="both"/>
        <w:rPr>
          <w:rFonts w:ascii="Times New Roman" w:hAnsi="Times New Roman"/>
        </w:rPr>
      </w:pPr>
      <w:r w:rsidRPr="001D539A">
        <w:rPr>
          <w:rFonts w:ascii="Times New Roman" w:hAnsi="Times New Roman"/>
        </w:rPr>
        <w:t>“</w:t>
      </w:r>
      <w:r w:rsidRPr="001D539A">
        <w:rPr>
          <w:rStyle w:val="Refdenotaalpie"/>
          <w:rFonts w:ascii="Times New Roman" w:hAnsi="Times New Roman"/>
        </w:rPr>
        <w:footnoteRef/>
      </w:r>
      <w:r w:rsidRPr="001D539A">
        <w:rPr>
          <w:rFonts w:ascii="Times New Roman" w:hAnsi="Times New Roman"/>
        </w:rPr>
        <w:t xml:space="preserve"> Corte Constitucional, sentencia C-502 de 2012”.</w:t>
      </w:r>
    </w:p>
  </w:footnote>
  <w:footnote w:id="31">
    <w:p w:rsidR="001F2EFA" w:rsidRPr="001D539A" w:rsidRDefault="00DF77C8" w:rsidP="00636611">
      <w:pPr>
        <w:pStyle w:val="Textonotapie"/>
        <w:jc w:val="both"/>
        <w:rPr>
          <w:rFonts w:ascii="Times New Roman" w:hAnsi="Times New Roman"/>
        </w:rPr>
      </w:pPr>
      <w:r w:rsidRPr="001D539A">
        <w:rPr>
          <w:rFonts w:ascii="Times New Roman" w:hAnsi="Times New Roman"/>
        </w:rPr>
        <w:t>“</w:t>
      </w:r>
      <w:r w:rsidRPr="001D539A">
        <w:rPr>
          <w:rStyle w:val="Refdenotaalpie"/>
          <w:rFonts w:ascii="Times New Roman" w:hAnsi="Times New Roman"/>
        </w:rPr>
        <w:footnoteRef/>
      </w:r>
      <w:r w:rsidRPr="001D539A">
        <w:rPr>
          <w:rFonts w:ascii="Times New Roman" w:hAnsi="Times New Roman"/>
        </w:rPr>
        <w:t xml:space="preserve"> Corte Constitucional, sentencia C-429 de 2019”.</w:t>
      </w:r>
    </w:p>
  </w:footnote>
  <w:footnote w:id="32">
    <w:p w:rsidR="001F2EFA" w:rsidRPr="00803D12" w:rsidRDefault="00DF77C8">
      <w:pPr>
        <w:pStyle w:val="Textonotapie"/>
        <w:rPr>
          <w:lang w:val="es-ES"/>
        </w:rPr>
      </w:pPr>
      <w:r w:rsidRPr="001D539A">
        <w:rPr>
          <w:rStyle w:val="Refdenotaalpie"/>
          <w:rFonts w:ascii="Times New Roman" w:hAnsi="Times New Roman"/>
        </w:rPr>
        <w:footnoteRef/>
      </w:r>
      <w:r w:rsidRPr="001D539A">
        <w:rPr>
          <w:rFonts w:ascii="Times New Roman" w:hAnsi="Times New Roman"/>
        </w:rPr>
        <w:t xml:space="preserve"> </w:t>
      </w:r>
      <w:r w:rsidRPr="001D539A">
        <w:rPr>
          <w:rFonts w:ascii="Times New Roman" w:hAnsi="Times New Roman"/>
          <w:lang w:val="es-ES"/>
        </w:rPr>
        <w:t>Sentencia C-591 de 20</w:t>
      </w:r>
      <w:r w:rsidRPr="001D539A">
        <w:rPr>
          <w:rFonts w:ascii="Times New Roman" w:hAnsi="Times New Roman"/>
          <w:lang w:val="es-ES"/>
        </w:rPr>
        <w:t>19</w:t>
      </w:r>
    </w:p>
  </w:footnote>
  <w:footnote w:id="33">
    <w:p w:rsidR="001F2EFA" w:rsidRPr="001D539A" w:rsidRDefault="00DF77C8">
      <w:pPr>
        <w:pStyle w:val="Textonotapie"/>
        <w:rPr>
          <w:rFonts w:ascii="Times New Roman" w:hAnsi="Times New Roman"/>
          <w:lang w:val="es-ES"/>
        </w:rPr>
      </w:pPr>
      <w:r w:rsidRPr="001D539A">
        <w:rPr>
          <w:rStyle w:val="Refdenotaalpie"/>
          <w:rFonts w:ascii="Times New Roman" w:hAnsi="Times New Roman"/>
        </w:rPr>
        <w:footnoteRef/>
      </w:r>
      <w:r w:rsidRPr="001D539A">
        <w:rPr>
          <w:rFonts w:ascii="Times New Roman" w:hAnsi="Times New Roman"/>
        </w:rPr>
        <w:t xml:space="preserve"> Sentencia C-429 de 2019</w:t>
      </w:r>
    </w:p>
  </w:footnote>
  <w:footnote w:id="34">
    <w:p w:rsidR="001F2EFA" w:rsidRPr="001D539A" w:rsidRDefault="00DF77C8" w:rsidP="00441ADE">
      <w:pPr>
        <w:jc w:val="both"/>
        <w:rPr>
          <w:rFonts w:ascii="Times New Roman" w:hAnsi="Times New Roman"/>
          <w:sz w:val="20"/>
          <w:szCs w:val="20"/>
        </w:rPr>
      </w:pPr>
      <w:r w:rsidRPr="001D539A">
        <w:rPr>
          <w:rFonts w:ascii="Times New Roman" w:hAnsi="Times New Roman"/>
          <w:sz w:val="20"/>
          <w:szCs w:val="20"/>
          <w:vertAlign w:val="superscript"/>
        </w:rPr>
        <w:footnoteRef/>
      </w:r>
      <w:r w:rsidRPr="001D539A">
        <w:rPr>
          <w:rFonts w:ascii="Times New Roman" w:hAnsi="Times New Roman"/>
          <w:sz w:val="20"/>
          <w:szCs w:val="20"/>
        </w:rPr>
        <w:t xml:space="preserve"> Sentencias </w:t>
      </w:r>
      <w:r w:rsidRPr="001D539A">
        <w:rPr>
          <w:rFonts w:ascii="Times New Roman" w:hAnsi="Times New Roman"/>
          <w:sz w:val="20"/>
          <w:szCs w:val="20"/>
        </w:rPr>
        <w:t xml:space="preserve">SP030 2023 (Rad. 58252) del 8 de febrero de 2023 (M.P. Myriam Ávila Roldán) y SP025 2023 (Rad. 56218) del 8 de febrero de 2023 (M.P. Fernando León Bolaños Palacios); SP006 2023 (Rad. 60186) del 25 de enero de 2023 </w:t>
      </w:r>
      <w:r w:rsidRPr="001D539A">
        <w:rPr>
          <w:rFonts w:ascii="Times New Roman" w:hAnsi="Times New Roman"/>
          <w:sz w:val="20"/>
          <w:szCs w:val="20"/>
        </w:rPr>
        <w:t>(M.P. José Francisco Acuña Vizcaya).</w:t>
      </w:r>
    </w:p>
  </w:footnote>
  <w:footnote w:id="35">
    <w:p w:rsidR="001F2EFA" w:rsidRPr="00636611" w:rsidRDefault="00DF77C8" w:rsidP="0018127E">
      <w:pPr>
        <w:pStyle w:val="Textonotapie"/>
        <w:jc w:val="both"/>
        <w:rPr>
          <w:rFonts w:ascii="Times New Roman" w:hAnsi="Times New Roman"/>
          <w:lang w:val="es-ES"/>
        </w:rPr>
      </w:pPr>
      <w:r w:rsidRPr="001D539A">
        <w:rPr>
          <w:rStyle w:val="Refdenotaalpie"/>
          <w:rFonts w:ascii="Times New Roman" w:hAnsi="Times New Roman"/>
        </w:rPr>
        <w:footnoteRef/>
      </w:r>
      <w:r w:rsidRPr="001D539A">
        <w:rPr>
          <w:rFonts w:ascii="Times New Roman" w:hAnsi="Times New Roman"/>
        </w:rPr>
        <w:t xml:space="preserve"> Autos AP2179-2023 (Rad. 62691) del 19 de julio de 2023; AP3283-2023 (Rad. 63957) del 1 de noviembre de 2023; AP3670-2023 (Rad. 64207) y AP3666-2023 (Rad. 60472) del 29 de noviembre de 2023; AP1574-2023 (Rad. 63213) de</w:t>
      </w:r>
      <w:r w:rsidRPr="001D539A">
        <w:rPr>
          <w:rFonts w:ascii="Times New Roman" w:hAnsi="Times New Roman"/>
        </w:rPr>
        <w:t>l 31 de mayo de 2023; AP2483-2023 (Rad. 61808) del 23 de agosto de 2023 y AP2762-2023 (Rad. 64494) del 13 de septiembre de 2023; Sentencia SP506-2023. Rad. N.º 61969 del 29 de noviembre de 2023 (M.P. Myriam Ávila Roldán).</w:t>
      </w:r>
    </w:p>
  </w:footnote>
  <w:footnote w:id="36">
    <w:p w:rsidR="001F2EFA" w:rsidRPr="006D5AEC" w:rsidRDefault="00DF77C8">
      <w:pPr>
        <w:jc w:val="both"/>
        <w:rPr>
          <w:rFonts w:ascii="Times New Roman" w:hAnsi="Times New Roman"/>
          <w:sz w:val="20"/>
          <w:szCs w:val="20"/>
        </w:rPr>
      </w:pPr>
      <w:r w:rsidRPr="00893AA4">
        <w:rPr>
          <w:rFonts w:ascii="Times New Roman" w:hAnsi="Times New Roman"/>
          <w:sz w:val="20"/>
          <w:szCs w:val="20"/>
          <w:vertAlign w:val="superscript"/>
        </w:rPr>
        <w:footnoteRef/>
      </w:r>
      <w:r w:rsidRPr="00893AA4">
        <w:rPr>
          <w:rFonts w:ascii="Times New Roman" w:hAnsi="Times New Roman"/>
          <w:sz w:val="20"/>
          <w:szCs w:val="20"/>
        </w:rPr>
        <w:t xml:space="preserve"> </w:t>
      </w:r>
      <w:r w:rsidRPr="00893AA4">
        <w:rPr>
          <w:rFonts w:ascii="Times New Roman" w:hAnsi="Times New Roman"/>
          <w:sz w:val="20"/>
          <w:szCs w:val="20"/>
        </w:rPr>
        <w:t>“Por la cual se dictan disposici</w:t>
      </w:r>
      <w:r w:rsidRPr="00893AA4">
        <w:rPr>
          <w:rFonts w:ascii="Times New Roman" w:hAnsi="Times New Roman"/>
          <w:sz w:val="20"/>
          <w:szCs w:val="20"/>
        </w:rPr>
        <w:t>ones para la rein</w:t>
      </w:r>
      <w:r>
        <w:rPr>
          <w:rFonts w:ascii="Times New Roman" w:hAnsi="Times New Roman"/>
          <w:sz w:val="20"/>
          <w:szCs w:val="20"/>
        </w:rPr>
        <w:t>c</w:t>
      </w:r>
      <w:r w:rsidRPr="00893AA4">
        <w:rPr>
          <w:rFonts w:ascii="Times New Roman" w:hAnsi="Times New Roman"/>
          <w:sz w:val="20"/>
          <w:szCs w:val="20"/>
        </w:rPr>
        <w:t xml:space="preserve">orporación de miembros de grupos armados organizados al margen de la ley, que contribuyan de manera efectiva a la consecución de la paz nacional y se dictan otras disposiciones para acuerdos humanitarios (...) ARTÍCULO 32. COMPETENCIA </w:t>
      </w:r>
      <w:r w:rsidRPr="00893AA4">
        <w:rPr>
          <w:rFonts w:ascii="Times New Roman" w:hAnsi="Times New Roman"/>
          <w:sz w:val="20"/>
          <w:szCs w:val="20"/>
        </w:rPr>
        <w:t>FUNCIONAL DE LOS MAGISTRADOS DE LOS TRIBUNALES SUPERIORES DE DISTRITO JUDICIAL EN MATERIA DE JUSTICIA Y LA PAZ. &lt;Artículo modificado por el artículo 28 de la Ley 1592 de 2012. El nuevo texto es el siguiente:&gt; Además de las competencias establecidas en otra</w:t>
      </w:r>
      <w:r w:rsidRPr="00893AA4">
        <w:rPr>
          <w:rFonts w:ascii="Times New Roman" w:hAnsi="Times New Roman"/>
          <w:sz w:val="20"/>
          <w:szCs w:val="20"/>
        </w:rPr>
        <w:t>s leyes, los Tribunales Superiores de Distrito</w:t>
      </w:r>
      <w:r w:rsidRPr="00951F8D">
        <w:rPr>
          <w:rFonts w:ascii="Times New Roman" w:hAnsi="Times New Roman"/>
          <w:sz w:val="20"/>
          <w:szCs w:val="20"/>
        </w:rPr>
        <w:t xml:space="preserve"> </w:t>
      </w:r>
      <w:r w:rsidRPr="006D5AEC">
        <w:rPr>
          <w:rFonts w:ascii="Times New Roman" w:hAnsi="Times New Roman"/>
          <w:sz w:val="20"/>
          <w:szCs w:val="20"/>
        </w:rPr>
        <w:t>Judicial designados por el Consejo Superior de la Judicatura serán competentes para adelantar la etapa de juzgamiento de los procesos de los que trata la presente ley.</w:t>
      </w:r>
    </w:p>
    <w:p w:rsidR="001F2EFA" w:rsidRPr="00D85313" w:rsidRDefault="00DF77C8">
      <w:pPr>
        <w:jc w:val="both"/>
        <w:rPr>
          <w:rFonts w:ascii="Times New Roman" w:hAnsi="Times New Roman"/>
          <w:sz w:val="20"/>
          <w:szCs w:val="20"/>
        </w:rPr>
      </w:pPr>
      <w:r w:rsidRPr="00D85313">
        <w:rPr>
          <w:rFonts w:ascii="Times New Roman" w:hAnsi="Times New Roman"/>
          <w:sz w:val="20"/>
          <w:szCs w:val="20"/>
        </w:rPr>
        <w:t xml:space="preserve">El juzgamiento en los procesos a los que </w:t>
      </w:r>
      <w:r w:rsidRPr="00D85313">
        <w:rPr>
          <w:rFonts w:ascii="Times New Roman" w:hAnsi="Times New Roman"/>
          <w:sz w:val="20"/>
          <w:szCs w:val="20"/>
        </w:rPr>
        <w:t>se refiere la presente ley, en cada una de las fases del procedimiento, se llevará a cabo por las siguientes autoridades judiciales:</w:t>
      </w:r>
    </w:p>
    <w:p w:rsidR="001F2EFA" w:rsidRPr="00D85313" w:rsidRDefault="00DF77C8">
      <w:pPr>
        <w:jc w:val="both"/>
        <w:rPr>
          <w:rFonts w:ascii="Times New Roman" w:hAnsi="Times New Roman"/>
          <w:sz w:val="20"/>
          <w:szCs w:val="20"/>
        </w:rPr>
      </w:pPr>
      <w:r w:rsidRPr="00D85313">
        <w:rPr>
          <w:rFonts w:ascii="Times New Roman" w:hAnsi="Times New Roman"/>
          <w:sz w:val="20"/>
          <w:szCs w:val="20"/>
        </w:rPr>
        <w:t>1. Los Magistrados con funciones de control de garantías (...)”.</w:t>
      </w:r>
    </w:p>
  </w:footnote>
  <w:footnote w:id="37">
    <w:p w:rsidR="001F2EFA" w:rsidRPr="00D85313" w:rsidRDefault="00DF77C8" w:rsidP="00951F8D">
      <w:pPr>
        <w:jc w:val="both"/>
        <w:rPr>
          <w:rFonts w:ascii="Times New Roman" w:hAnsi="Times New Roman"/>
          <w:sz w:val="20"/>
          <w:szCs w:val="20"/>
        </w:rPr>
      </w:pPr>
      <w:r w:rsidRPr="00D85313">
        <w:rPr>
          <w:rFonts w:ascii="Times New Roman" w:hAnsi="Times New Roman"/>
          <w:sz w:val="20"/>
          <w:szCs w:val="20"/>
          <w:vertAlign w:val="superscript"/>
        </w:rPr>
        <w:footnoteRef/>
      </w:r>
      <w:r w:rsidRPr="00D85313">
        <w:rPr>
          <w:rFonts w:ascii="Times New Roman" w:hAnsi="Times New Roman"/>
          <w:sz w:val="20"/>
          <w:szCs w:val="20"/>
        </w:rPr>
        <w:t xml:space="preserve"> </w:t>
      </w:r>
      <w:r w:rsidRPr="00D85313">
        <w:rPr>
          <w:rFonts w:ascii="Times New Roman" w:hAnsi="Times New Roman"/>
          <w:sz w:val="20"/>
          <w:szCs w:val="20"/>
        </w:rPr>
        <w:t>“Por la cual se expide el Código Penal Militar (...)ARTÍ</w:t>
      </w:r>
      <w:r w:rsidRPr="00D85313">
        <w:rPr>
          <w:rFonts w:ascii="Times New Roman" w:hAnsi="Times New Roman"/>
          <w:sz w:val="20"/>
          <w:szCs w:val="20"/>
        </w:rPr>
        <w:t>CULO 214. JUEZ PENAL MILITAR DE CONTROL DE GARANTÍAS. El Juez Penal Militar de Control de Garantías ejercerá su función en el lugar donde se cometió el delito, de conformidad con la competencia territorial asignada. La Dirección Ejecutiva de la Justicia Pe</w:t>
      </w:r>
      <w:r w:rsidRPr="00D85313">
        <w:rPr>
          <w:rFonts w:ascii="Times New Roman" w:hAnsi="Times New Roman"/>
          <w:sz w:val="20"/>
          <w:szCs w:val="20"/>
        </w:rPr>
        <w:t>nal Militar determinará el mapa judicial.</w:t>
      </w:r>
    </w:p>
    <w:p w:rsidR="001F2EFA" w:rsidRPr="00D85313" w:rsidRDefault="00DF77C8">
      <w:pPr>
        <w:jc w:val="both"/>
        <w:rPr>
          <w:rFonts w:ascii="Times New Roman" w:hAnsi="Times New Roman"/>
          <w:sz w:val="20"/>
          <w:szCs w:val="20"/>
        </w:rPr>
      </w:pPr>
      <w:r w:rsidRPr="00D85313">
        <w:rPr>
          <w:rFonts w:ascii="Times New Roman" w:hAnsi="Times New Roman"/>
          <w:sz w:val="20"/>
          <w:szCs w:val="20"/>
        </w:rPr>
        <w:t>Si más de un Juez Penal Militar de Control de Garantías resultare competente para ejercer esta función, será ejercida por el primero ante quien acuda el Fiscal Penal Militar en procura de dicho control.</w:t>
      </w:r>
    </w:p>
    <w:p w:rsidR="001F2EFA" w:rsidRPr="00D85313" w:rsidRDefault="00DF77C8">
      <w:pPr>
        <w:rPr>
          <w:rFonts w:ascii="Times New Roman" w:hAnsi="Times New Roman"/>
          <w:sz w:val="20"/>
          <w:szCs w:val="20"/>
        </w:rPr>
      </w:pPr>
    </w:p>
    <w:p w:rsidR="001F2EFA" w:rsidRPr="005D53FA" w:rsidRDefault="00DF77C8">
      <w:pPr>
        <w:rPr>
          <w:rFonts w:ascii="Times New Roman" w:hAnsi="Times New Roman"/>
          <w:sz w:val="20"/>
          <w:szCs w:val="20"/>
        </w:rPr>
      </w:pPr>
      <w:r w:rsidRPr="005D53FA">
        <w:rPr>
          <w:rFonts w:ascii="Times New Roman" w:hAnsi="Times New Roman"/>
          <w:sz w:val="20"/>
          <w:szCs w:val="20"/>
        </w:rPr>
        <w:t>PARÁGRAFO.</w:t>
      </w:r>
      <w:r w:rsidRPr="005D53FA">
        <w:rPr>
          <w:rFonts w:ascii="Times New Roman" w:hAnsi="Times New Roman"/>
          <w:sz w:val="20"/>
          <w:szCs w:val="20"/>
        </w:rPr>
        <w:t xml:space="preserve"> La función de control de garantías, en los casos que conozca el Tribunal Superior Militar será ejercida por el Magistrado de Control de Garantías que disponga la misma Corporación”.</w:t>
      </w:r>
    </w:p>
  </w:footnote>
  <w:footnote w:id="38">
    <w:p w:rsidR="00E95CE1" w:rsidRPr="005D53FA" w:rsidRDefault="00DF77C8" w:rsidP="00FC2BE3">
      <w:pPr>
        <w:pStyle w:val="Textonotapie"/>
        <w:jc w:val="both"/>
        <w:rPr>
          <w:rFonts w:ascii="Times New Roman" w:hAnsi="Times New Roman"/>
          <w:lang w:val="es-ES"/>
        </w:rPr>
      </w:pPr>
      <w:r w:rsidRPr="005D53FA">
        <w:rPr>
          <w:rStyle w:val="Refdenotaalpie"/>
          <w:rFonts w:ascii="Times New Roman" w:hAnsi="Times New Roman"/>
        </w:rPr>
        <w:footnoteRef/>
      </w:r>
      <w:r w:rsidRPr="005D53FA">
        <w:rPr>
          <w:rFonts w:ascii="Times New Roman" w:hAnsi="Times New Roman"/>
        </w:rPr>
        <w:t xml:space="preserve"> </w:t>
      </w:r>
      <w:r w:rsidRPr="005D53FA">
        <w:rPr>
          <w:rFonts w:ascii="Times New Roman" w:hAnsi="Times New Roman"/>
          <w:lang w:val="es-ES"/>
        </w:rPr>
        <w:t xml:space="preserve">Al respecto, es importante recordar que </w:t>
      </w:r>
      <w:r w:rsidRPr="005D53FA">
        <w:rPr>
          <w:rFonts w:ascii="Times New Roman" w:hAnsi="Times New Roman"/>
          <w:lang w:val="es-ES"/>
        </w:rPr>
        <w:t xml:space="preserve">en </w:t>
      </w:r>
      <w:r w:rsidRPr="005D53FA">
        <w:rPr>
          <w:rFonts w:ascii="Times New Roman" w:hAnsi="Times New Roman"/>
          <w:lang w:val="es-ES"/>
        </w:rPr>
        <w:t xml:space="preserve">el fundamento 24, del auto </w:t>
      </w:r>
      <w:r w:rsidRPr="005D53FA">
        <w:rPr>
          <w:rFonts w:ascii="Times New Roman" w:hAnsi="Times New Roman"/>
          <w:lang w:val="es-ES"/>
        </w:rPr>
        <w:t>del 27 de septiembre de 2023,</w:t>
      </w:r>
      <w:r w:rsidRPr="005D53FA">
        <w:rPr>
          <w:rFonts w:ascii="Times New Roman" w:hAnsi="Times New Roman"/>
          <w:lang w:val="es-ES"/>
        </w:rPr>
        <w:t xml:space="preserve"> </w:t>
      </w:r>
      <w:r w:rsidRPr="005D53FA">
        <w:rPr>
          <w:rFonts w:ascii="Times New Roman" w:hAnsi="Times New Roman"/>
          <w:lang w:val="es-ES"/>
        </w:rPr>
        <w:t xml:space="preserve">se </w:t>
      </w:r>
      <w:r w:rsidRPr="005D53FA">
        <w:rPr>
          <w:rFonts w:ascii="Times New Roman" w:hAnsi="Times New Roman"/>
          <w:lang w:val="es-ES"/>
        </w:rPr>
        <w:t xml:space="preserve">precisó </w:t>
      </w:r>
      <w:r w:rsidRPr="005D53FA">
        <w:rPr>
          <w:rFonts w:ascii="Times New Roman" w:hAnsi="Times New Roman"/>
          <w:lang w:val="es-ES"/>
        </w:rPr>
        <w:t>acerca de</w:t>
      </w:r>
      <w:r w:rsidRPr="005D53FA">
        <w:rPr>
          <w:rFonts w:ascii="Times New Roman" w:hAnsi="Times New Roman"/>
          <w:lang w:val="es-ES"/>
        </w:rPr>
        <w:t xml:space="preserve"> las solicitudes adicionales formuladas por el actor en el auto de corrección de la demanda </w:t>
      </w:r>
      <w:r w:rsidRPr="005D53FA">
        <w:rPr>
          <w:rFonts w:ascii="Times New Roman" w:hAnsi="Times New Roman"/>
          <w:lang w:val="es-ES"/>
        </w:rPr>
        <w:t>que, al no haber sido objeto del juicio de constitucionalidad por</w:t>
      </w:r>
      <w:r w:rsidRPr="005D53FA">
        <w:rPr>
          <w:rFonts w:ascii="Times New Roman" w:hAnsi="Times New Roman"/>
          <w:lang w:val="es-ES"/>
        </w:rPr>
        <w:t xml:space="preserve"> parte </w:t>
      </w:r>
      <w:r w:rsidRPr="005D53FA">
        <w:rPr>
          <w:rFonts w:ascii="Times New Roman" w:hAnsi="Times New Roman"/>
          <w:lang w:val="es-ES"/>
        </w:rPr>
        <w:t>la Corte, no podían ser estudiadas en esta</w:t>
      </w:r>
      <w:r w:rsidRPr="005D53FA">
        <w:rPr>
          <w:rFonts w:ascii="Times New Roman" w:hAnsi="Times New Roman"/>
          <w:lang w:val="es-ES"/>
        </w:rPr>
        <w:t xml:space="preserve"> oportunida</w:t>
      </w:r>
      <w:r w:rsidRPr="005D53FA">
        <w:rPr>
          <w:rFonts w:ascii="Times New Roman" w:hAnsi="Times New Roman"/>
          <w:lang w:val="es-ES"/>
        </w:rPr>
        <w:t>d, así: “</w:t>
      </w:r>
      <w:r w:rsidRPr="005D53FA">
        <w:rPr>
          <w:rFonts w:ascii="Times New Roman" w:hAnsi="Times New Roman"/>
          <w:lang w:val="es-ES"/>
        </w:rPr>
        <w:t>es importante aclarar que las cuestiones adicionales planteadas por el ciudadano en el escrito de corrección de la demanda, respecto de las cuales la suscrita magistrada no se refirió en el auto de inadmisión, no pueden ser valoradas en</w:t>
      </w:r>
      <w:r w:rsidRPr="005D53FA">
        <w:rPr>
          <w:rFonts w:ascii="Times New Roman" w:hAnsi="Times New Roman"/>
          <w:lang w:val="es-ES"/>
        </w:rPr>
        <w:t xml:space="preserve"> esta instancia, pues constituyen nuevos elementos de juicio en torno a los cuales la magistrada no tuvo la oportunidad de referirse en el auto expedido el 7 de septiembre de los corrientes</w:t>
      </w:r>
      <w:r w:rsidRPr="005D53FA">
        <w:rPr>
          <w:rFonts w:ascii="Times New Roman" w:hAnsi="Times New Roman"/>
          <w:lang w:val="es-ES"/>
        </w:rPr>
        <w:t xml:space="preserve"> (..)</w:t>
      </w:r>
      <w:r w:rsidRPr="005D53FA">
        <w:rPr>
          <w:rFonts w:ascii="Times New Roman" w:hAnsi="Times New Roman"/>
          <w:lang w:val="es-ES"/>
        </w:rPr>
        <w:t>”</w:t>
      </w:r>
      <w:r w:rsidRPr="005D53FA">
        <w:rPr>
          <w:rFonts w:ascii="Times New Roman" w:hAnsi="Times New Roman"/>
          <w:lang w:val="es-ES"/>
        </w:rPr>
        <w:t>.</w:t>
      </w:r>
      <w:r w:rsidRPr="005D53FA">
        <w:rPr>
          <w:rFonts w:ascii="Times New Roman" w:hAnsi="Times New Roman"/>
          <w:lang w:val="es-ES"/>
        </w:rPr>
        <w:t xml:space="preserve"> </w:t>
      </w:r>
    </w:p>
  </w:footnote>
  <w:footnote w:id="39">
    <w:p w:rsidR="001F2EFA" w:rsidRPr="006D5AEC" w:rsidRDefault="00DF77C8">
      <w:pPr>
        <w:pBdr>
          <w:top w:val="nil"/>
          <w:left w:val="nil"/>
          <w:bottom w:val="nil"/>
          <w:right w:val="nil"/>
          <w:between w:val="nil"/>
        </w:pBdr>
        <w:jc w:val="both"/>
        <w:rPr>
          <w:rFonts w:ascii="Times New Roman" w:hAnsi="Times New Roman"/>
          <w:color w:val="000000"/>
          <w:sz w:val="20"/>
          <w:szCs w:val="20"/>
        </w:rPr>
      </w:pPr>
      <w:r w:rsidRPr="005D53FA">
        <w:rPr>
          <w:rFonts w:ascii="Times New Roman" w:hAnsi="Times New Roman"/>
          <w:sz w:val="20"/>
          <w:szCs w:val="20"/>
          <w:vertAlign w:val="superscript"/>
        </w:rPr>
        <w:footnoteRef/>
      </w:r>
      <w:r w:rsidRPr="005D53FA">
        <w:rPr>
          <w:rFonts w:ascii="Times New Roman" w:hAnsi="Times New Roman"/>
          <w:color w:val="000000"/>
          <w:sz w:val="20"/>
          <w:szCs w:val="20"/>
        </w:rPr>
        <w:t xml:space="preserve"> Sentencia C-290 de 2019: “(…)  La jurisprudencia (…)  ha señalado que la integración de la unidad normativa</w:t>
      </w:r>
      <w:r w:rsidRPr="003A2447">
        <w:rPr>
          <w:rFonts w:ascii="Times New Roman" w:hAnsi="Times New Roman"/>
          <w:color w:val="000000"/>
          <w:sz w:val="20"/>
          <w:szCs w:val="20"/>
        </w:rPr>
        <w:t xml:space="preserve"> es procedente, exclusivamente, en</w:t>
      </w:r>
      <w:r w:rsidRPr="006D5AEC">
        <w:rPr>
          <w:rFonts w:ascii="Times New Roman" w:hAnsi="Times New Roman"/>
          <w:color w:val="000000"/>
          <w:sz w:val="20"/>
          <w:szCs w:val="20"/>
        </w:rPr>
        <w:t xml:space="preserve"> los siguientes eventos: </w:t>
      </w:r>
    </w:p>
    <w:p w:rsidR="001F2EFA" w:rsidRPr="006D5AEC" w:rsidRDefault="00DF77C8">
      <w:pPr>
        <w:pBdr>
          <w:top w:val="nil"/>
          <w:left w:val="nil"/>
          <w:bottom w:val="nil"/>
          <w:right w:val="nil"/>
          <w:between w:val="nil"/>
        </w:pBdr>
        <w:rPr>
          <w:rFonts w:ascii="Times New Roman" w:hAnsi="Times New Roman"/>
          <w:color w:val="000000"/>
          <w:sz w:val="20"/>
          <w:szCs w:val="20"/>
        </w:rPr>
      </w:pPr>
    </w:p>
    <w:p w:rsidR="001F2EFA" w:rsidRPr="006D5AEC" w:rsidRDefault="00DF77C8">
      <w:pPr>
        <w:numPr>
          <w:ilvl w:val="0"/>
          <w:numId w:val="2"/>
        </w:numPr>
        <w:pBdr>
          <w:top w:val="nil"/>
          <w:left w:val="nil"/>
          <w:bottom w:val="nil"/>
          <w:right w:val="nil"/>
          <w:between w:val="nil"/>
        </w:pBdr>
        <w:tabs>
          <w:tab w:val="left" w:pos="284"/>
        </w:tabs>
        <w:ind w:left="0" w:firstLine="0"/>
        <w:jc w:val="both"/>
        <w:rPr>
          <w:rFonts w:ascii="Times New Roman" w:hAnsi="Times New Roman"/>
          <w:color w:val="000000"/>
          <w:sz w:val="20"/>
          <w:szCs w:val="20"/>
        </w:rPr>
      </w:pPr>
      <w:r w:rsidRPr="006D5AEC">
        <w:rPr>
          <w:rFonts w:ascii="Times New Roman" w:hAnsi="Times New Roman"/>
          <w:color w:val="000000"/>
          <w:sz w:val="20"/>
          <w:szCs w:val="20"/>
        </w:rPr>
        <w:t>Cuando un ciudadano demanda una disposición que, individualmente, no tiene un contenido</w:t>
      </w:r>
      <w:r w:rsidRPr="006D5AEC">
        <w:rPr>
          <w:rFonts w:ascii="Times New Roman" w:hAnsi="Times New Roman"/>
          <w:color w:val="000000"/>
          <w:sz w:val="20"/>
          <w:szCs w:val="20"/>
        </w:rPr>
        <w:t xml:space="preserve"> deóntico claro o unívoco, de manera que para entenderla y aplicarla, es imprescindible integrar su contenido normativo con el de otra disposición que no fue acusada. Esta causal busca delimitar la materia objeto de juzgamiento, en aras de que este Tribuna</w:t>
      </w:r>
      <w:r w:rsidRPr="006D5AEC">
        <w:rPr>
          <w:rFonts w:ascii="Times New Roman" w:hAnsi="Times New Roman"/>
          <w:color w:val="000000"/>
          <w:sz w:val="20"/>
          <w:szCs w:val="20"/>
        </w:rPr>
        <w:t>l pueda adoptar una decisión de mérito</w:t>
      </w:r>
      <w:r>
        <w:rPr>
          <w:rFonts w:ascii="Times New Roman" w:hAnsi="Times New Roman"/>
          <w:color w:val="000000"/>
          <w:sz w:val="20"/>
          <w:szCs w:val="20"/>
        </w:rPr>
        <w:t>.</w:t>
      </w:r>
    </w:p>
    <w:p w:rsidR="001F2EFA" w:rsidRDefault="00DF77C8">
      <w:pPr>
        <w:pBdr>
          <w:top w:val="nil"/>
          <w:left w:val="nil"/>
          <w:bottom w:val="nil"/>
          <w:right w:val="nil"/>
          <w:between w:val="nil"/>
        </w:pBdr>
        <w:rPr>
          <w:rFonts w:ascii="Times New Roman" w:hAnsi="Times New Roman"/>
          <w:color w:val="000000"/>
          <w:sz w:val="20"/>
          <w:szCs w:val="20"/>
        </w:rPr>
      </w:pPr>
    </w:p>
    <w:p w:rsidR="001F2EFA" w:rsidRDefault="00DF77C8">
      <w:pPr>
        <w:numPr>
          <w:ilvl w:val="0"/>
          <w:numId w:val="2"/>
        </w:numPr>
        <w:pBdr>
          <w:top w:val="nil"/>
          <w:left w:val="nil"/>
          <w:bottom w:val="nil"/>
          <w:right w:val="nil"/>
          <w:between w:val="nil"/>
        </w:pBdr>
        <w:tabs>
          <w:tab w:val="left" w:pos="426"/>
        </w:tabs>
        <w:ind w:left="0" w:firstLine="0"/>
        <w:jc w:val="both"/>
        <w:rPr>
          <w:rFonts w:ascii="Times New Roman" w:hAnsi="Times New Roman"/>
          <w:color w:val="000000"/>
          <w:sz w:val="20"/>
          <w:szCs w:val="20"/>
        </w:rPr>
      </w:pPr>
      <w:r>
        <w:rPr>
          <w:rFonts w:ascii="Times New Roman" w:hAnsi="Times New Roman"/>
          <w:color w:val="000000"/>
          <w:sz w:val="20"/>
          <w:szCs w:val="20"/>
        </w:rPr>
        <w:t xml:space="preserve">En aquellos casos en los que la disposición cuestionada está reproducida en otras normas del ordenamiento que no fueron demandadas. Esta hipótesis pretende evitar que un fallo de inexequibilidad resulte inocuo y es una medida para lograr la coherencia del </w:t>
      </w:r>
      <w:r>
        <w:rPr>
          <w:rFonts w:ascii="Times New Roman" w:hAnsi="Times New Roman"/>
          <w:color w:val="000000"/>
          <w:sz w:val="20"/>
          <w:szCs w:val="20"/>
        </w:rPr>
        <w:t xml:space="preserve">sistema jurídico. </w:t>
      </w:r>
    </w:p>
    <w:p w:rsidR="001F2EFA" w:rsidRDefault="00DF77C8">
      <w:pPr>
        <w:pBdr>
          <w:top w:val="nil"/>
          <w:left w:val="nil"/>
          <w:bottom w:val="nil"/>
          <w:right w:val="nil"/>
          <w:between w:val="nil"/>
        </w:pBdr>
        <w:rPr>
          <w:rFonts w:ascii="Times New Roman" w:hAnsi="Times New Roman"/>
          <w:color w:val="000000"/>
          <w:sz w:val="20"/>
          <w:szCs w:val="20"/>
        </w:rPr>
      </w:pPr>
    </w:p>
    <w:p w:rsidR="001F2EFA" w:rsidRDefault="00DF77C8">
      <w:pPr>
        <w:numPr>
          <w:ilvl w:val="0"/>
          <w:numId w:val="2"/>
        </w:numPr>
        <w:pBdr>
          <w:top w:val="nil"/>
          <w:left w:val="nil"/>
          <w:bottom w:val="nil"/>
          <w:right w:val="nil"/>
          <w:between w:val="nil"/>
        </w:pBdr>
        <w:tabs>
          <w:tab w:val="left" w:pos="426"/>
        </w:tabs>
        <w:ind w:left="0" w:firstLine="0"/>
        <w:jc w:val="both"/>
        <w:rPr>
          <w:rFonts w:ascii="Times New Roman" w:hAnsi="Times New Roman"/>
          <w:color w:val="000000"/>
          <w:sz w:val="20"/>
          <w:szCs w:val="20"/>
        </w:rPr>
      </w:pPr>
      <w:r>
        <w:rPr>
          <w:rFonts w:ascii="Times New Roman" w:hAnsi="Times New Roman"/>
          <w:color w:val="000000"/>
          <w:sz w:val="20"/>
          <w:szCs w:val="20"/>
        </w:rPr>
        <w:t>Cuando la norma demandada se encuentra intrínsecamente relacionada con otra disposición que, a primera vista, presenta serias dudas sobre su constitucionalidad. Para que proceda la integración normativa en esta última hipótesis es preci</w:t>
      </w:r>
      <w:r>
        <w:rPr>
          <w:rFonts w:ascii="Times New Roman" w:hAnsi="Times New Roman"/>
          <w:color w:val="000000"/>
          <w:sz w:val="20"/>
          <w:szCs w:val="20"/>
        </w:rPr>
        <w:t>so que concurran dos circunstancias: (a) que la norma demandada tenga estrecha relación con las disposiciones que no fueron cuestionadas y que conformarían la unidad normativa; y (b) que las disposiciones no acusadas parezcan inconstitucionales (…)”.</w:t>
      </w:r>
    </w:p>
  </w:footnote>
  <w:footnote w:id="40">
    <w:p w:rsidR="001F2EFA" w:rsidRPr="005B40DC" w:rsidRDefault="00DF77C8">
      <w:pPr>
        <w:rPr>
          <w:rFonts w:ascii="Times New Roman" w:hAnsi="Times New Roman"/>
          <w:sz w:val="20"/>
          <w:szCs w:val="20"/>
          <w:highlight w:val="cyan"/>
        </w:rPr>
      </w:pPr>
      <w:r w:rsidRPr="005B40DC">
        <w:rPr>
          <w:rFonts w:ascii="Times New Roman" w:hAnsi="Times New Roman"/>
          <w:sz w:val="20"/>
          <w:szCs w:val="20"/>
          <w:vertAlign w:val="superscript"/>
        </w:rPr>
        <w:footnoteRef/>
      </w:r>
      <w:r w:rsidRPr="005B40DC">
        <w:rPr>
          <w:rFonts w:ascii="Times New Roman" w:hAnsi="Times New Roman"/>
          <w:sz w:val="20"/>
          <w:szCs w:val="20"/>
        </w:rPr>
        <w:t xml:space="preserve"> </w:t>
      </w:r>
      <w:r w:rsidRPr="001D539A">
        <w:rPr>
          <w:rFonts w:ascii="Times New Roman" w:hAnsi="Times New Roman"/>
          <w:sz w:val="20"/>
          <w:szCs w:val="20"/>
        </w:rPr>
        <w:t>Sentencias</w:t>
      </w:r>
      <w:r>
        <w:rPr>
          <w:rFonts w:ascii="Times New Roman" w:hAnsi="Times New Roman"/>
          <w:sz w:val="20"/>
          <w:szCs w:val="20"/>
        </w:rPr>
        <w:t xml:space="preserve"> </w:t>
      </w:r>
      <w:r w:rsidRPr="005B40DC">
        <w:rPr>
          <w:rFonts w:ascii="Times New Roman" w:hAnsi="Times New Roman"/>
          <w:sz w:val="20"/>
          <w:szCs w:val="20"/>
        </w:rPr>
        <w:t>C-1404 de 2000, C-016 de 2004, C-100 de 2011 y C-192 de 2023, entre otras</w:t>
      </w:r>
    </w:p>
  </w:footnote>
  <w:footnote w:id="41">
    <w:p w:rsidR="001F2EFA" w:rsidRPr="005B40DC" w:rsidRDefault="00DF77C8">
      <w:pPr>
        <w:rPr>
          <w:rFonts w:ascii="Times New Roman" w:hAnsi="Times New Roman"/>
          <w:sz w:val="20"/>
          <w:szCs w:val="20"/>
        </w:rPr>
      </w:pPr>
      <w:r w:rsidRPr="005B40DC">
        <w:rPr>
          <w:rFonts w:ascii="Times New Roman" w:hAnsi="Times New Roman"/>
          <w:sz w:val="20"/>
          <w:szCs w:val="20"/>
          <w:vertAlign w:val="superscript"/>
        </w:rPr>
        <w:footnoteRef/>
      </w:r>
      <w:r w:rsidRPr="005B40DC">
        <w:rPr>
          <w:rFonts w:ascii="Times New Roman" w:hAnsi="Times New Roman"/>
          <w:sz w:val="20"/>
          <w:szCs w:val="20"/>
        </w:rPr>
        <w:t xml:space="preserve"> </w:t>
      </w:r>
      <w:r w:rsidRPr="005B40DC">
        <w:rPr>
          <w:rFonts w:ascii="Times New Roman" w:hAnsi="Times New Roman"/>
          <w:sz w:val="20"/>
          <w:szCs w:val="20"/>
        </w:rPr>
        <w:t>Sentencia C-927 de 2000</w:t>
      </w:r>
    </w:p>
  </w:footnote>
  <w:footnote w:id="42">
    <w:p w:rsidR="001F2EFA" w:rsidRPr="005B40DC" w:rsidRDefault="00DF77C8">
      <w:pPr>
        <w:rPr>
          <w:rFonts w:ascii="Times New Roman" w:hAnsi="Times New Roman"/>
          <w:sz w:val="20"/>
          <w:szCs w:val="20"/>
        </w:rPr>
      </w:pPr>
      <w:r w:rsidRPr="005B40DC">
        <w:rPr>
          <w:rFonts w:ascii="Times New Roman" w:hAnsi="Times New Roman"/>
          <w:sz w:val="20"/>
          <w:szCs w:val="20"/>
          <w:vertAlign w:val="superscript"/>
        </w:rPr>
        <w:footnoteRef/>
      </w:r>
      <w:r w:rsidRPr="005B40DC">
        <w:rPr>
          <w:rFonts w:ascii="Times New Roman" w:hAnsi="Times New Roman"/>
          <w:sz w:val="20"/>
          <w:szCs w:val="20"/>
        </w:rPr>
        <w:t xml:space="preserve"> Sentencia C-227 de 2009</w:t>
      </w:r>
    </w:p>
  </w:footnote>
  <w:footnote w:id="43">
    <w:p w:rsidR="001F2EFA" w:rsidRPr="005B40DC" w:rsidRDefault="00DF77C8">
      <w:pPr>
        <w:rPr>
          <w:rFonts w:ascii="Times New Roman" w:hAnsi="Times New Roman"/>
          <w:i/>
          <w:sz w:val="20"/>
          <w:szCs w:val="20"/>
        </w:rPr>
      </w:pPr>
      <w:r w:rsidRPr="005B40DC">
        <w:rPr>
          <w:rFonts w:ascii="Times New Roman" w:hAnsi="Times New Roman"/>
          <w:sz w:val="20"/>
          <w:szCs w:val="20"/>
          <w:vertAlign w:val="superscript"/>
        </w:rPr>
        <w:footnoteRef/>
      </w:r>
      <w:r>
        <w:rPr>
          <w:rFonts w:ascii="Times New Roman" w:hAnsi="Times New Roman"/>
          <w:i/>
          <w:sz w:val="20"/>
          <w:szCs w:val="20"/>
        </w:rPr>
        <w:t>Ibidem</w:t>
      </w:r>
    </w:p>
  </w:footnote>
  <w:footnote w:id="44">
    <w:p w:rsidR="001F2EFA" w:rsidRPr="005B40DC" w:rsidRDefault="00DF77C8">
      <w:pPr>
        <w:rPr>
          <w:rFonts w:ascii="Times New Roman" w:hAnsi="Times New Roman"/>
          <w:sz w:val="20"/>
          <w:szCs w:val="20"/>
        </w:rPr>
      </w:pPr>
      <w:r w:rsidRPr="005B40DC">
        <w:rPr>
          <w:rFonts w:ascii="Times New Roman" w:hAnsi="Times New Roman"/>
          <w:sz w:val="20"/>
          <w:szCs w:val="20"/>
          <w:vertAlign w:val="superscript"/>
        </w:rPr>
        <w:footnoteRef/>
      </w:r>
      <w:r w:rsidRPr="005B40DC">
        <w:rPr>
          <w:rFonts w:ascii="Times New Roman" w:hAnsi="Times New Roman"/>
          <w:sz w:val="20"/>
          <w:szCs w:val="20"/>
        </w:rPr>
        <w:t xml:space="preserve"> </w:t>
      </w:r>
      <w:r w:rsidRPr="005B40DC">
        <w:rPr>
          <w:rFonts w:ascii="Times New Roman" w:hAnsi="Times New Roman"/>
          <w:sz w:val="20"/>
          <w:szCs w:val="20"/>
        </w:rPr>
        <w:t>Sentencias C-012 de 2002 y C-227 de 2009</w:t>
      </w:r>
    </w:p>
  </w:footnote>
  <w:footnote w:id="45">
    <w:p w:rsidR="001F2EFA" w:rsidRPr="005B40DC" w:rsidRDefault="00DF77C8">
      <w:pPr>
        <w:rPr>
          <w:rFonts w:ascii="Times New Roman" w:hAnsi="Times New Roman"/>
          <w:sz w:val="20"/>
          <w:szCs w:val="20"/>
        </w:rPr>
      </w:pPr>
      <w:r w:rsidRPr="005B40DC">
        <w:rPr>
          <w:rFonts w:ascii="Times New Roman" w:hAnsi="Times New Roman"/>
          <w:sz w:val="20"/>
          <w:szCs w:val="20"/>
          <w:vertAlign w:val="superscript"/>
        </w:rPr>
        <w:footnoteRef/>
      </w:r>
      <w:r w:rsidRPr="005B40DC">
        <w:rPr>
          <w:rFonts w:ascii="Times New Roman" w:hAnsi="Times New Roman"/>
          <w:sz w:val="20"/>
          <w:szCs w:val="20"/>
        </w:rPr>
        <w:t>“ Se citan allí, las sentencias C-742 de 1999, C-384 de 2000 y  C-8</w:t>
      </w:r>
      <w:r w:rsidRPr="005B40DC">
        <w:rPr>
          <w:rFonts w:ascii="Times New Roman" w:hAnsi="Times New Roman"/>
          <w:sz w:val="20"/>
          <w:szCs w:val="20"/>
        </w:rPr>
        <w:t>03 de 2000, entre otras”.</w:t>
      </w:r>
    </w:p>
  </w:footnote>
  <w:footnote w:id="46">
    <w:p w:rsidR="001F2EFA" w:rsidRPr="00E94684" w:rsidRDefault="00DF77C8">
      <w:pPr>
        <w:rPr>
          <w:rFonts w:ascii="Times New Roman" w:hAnsi="Times New Roman"/>
          <w:sz w:val="20"/>
          <w:szCs w:val="20"/>
        </w:rPr>
      </w:pPr>
      <w:r w:rsidRPr="00E94684">
        <w:rPr>
          <w:rFonts w:ascii="Times New Roman" w:hAnsi="Times New Roman"/>
          <w:sz w:val="20"/>
          <w:szCs w:val="20"/>
          <w:vertAlign w:val="superscript"/>
        </w:rPr>
        <w:footnoteRef/>
      </w:r>
      <w:r w:rsidRPr="00E94684">
        <w:rPr>
          <w:rFonts w:ascii="Times New Roman" w:hAnsi="Times New Roman"/>
          <w:sz w:val="20"/>
          <w:szCs w:val="20"/>
        </w:rPr>
        <w:t xml:space="preserve"> Sentencia C-203 de 2011</w:t>
      </w:r>
    </w:p>
  </w:footnote>
  <w:footnote w:id="47">
    <w:p w:rsidR="001F2EFA" w:rsidRPr="00E94684" w:rsidRDefault="00DF77C8">
      <w:pPr>
        <w:rPr>
          <w:rFonts w:ascii="Times New Roman" w:hAnsi="Times New Roman"/>
          <w:sz w:val="20"/>
          <w:szCs w:val="20"/>
        </w:rPr>
      </w:pPr>
      <w:r w:rsidRPr="00E94684">
        <w:rPr>
          <w:rFonts w:ascii="Times New Roman" w:hAnsi="Times New Roman"/>
          <w:sz w:val="20"/>
          <w:szCs w:val="20"/>
          <w:vertAlign w:val="superscript"/>
        </w:rPr>
        <w:footnoteRef/>
      </w:r>
      <w:r w:rsidRPr="00E94684">
        <w:rPr>
          <w:rFonts w:ascii="Times New Roman" w:hAnsi="Times New Roman"/>
          <w:sz w:val="20"/>
          <w:szCs w:val="20"/>
        </w:rPr>
        <w:t xml:space="preserve"> Sentencia C-100 de 2011</w:t>
      </w:r>
    </w:p>
  </w:footnote>
  <w:footnote w:id="48">
    <w:p w:rsidR="001F2EFA" w:rsidRPr="00E94684" w:rsidRDefault="00DF77C8" w:rsidP="00BB7DAA">
      <w:pPr>
        <w:jc w:val="both"/>
        <w:rPr>
          <w:rFonts w:ascii="Times New Roman" w:hAnsi="Times New Roman"/>
          <w:sz w:val="20"/>
          <w:szCs w:val="20"/>
        </w:rPr>
      </w:pPr>
      <w:r w:rsidRPr="00E94684">
        <w:rPr>
          <w:rFonts w:ascii="Times New Roman" w:hAnsi="Times New Roman"/>
          <w:sz w:val="20"/>
          <w:szCs w:val="20"/>
          <w:vertAlign w:val="superscript"/>
        </w:rPr>
        <w:footnoteRef/>
      </w:r>
      <w:r w:rsidRPr="00E94684">
        <w:rPr>
          <w:rFonts w:ascii="Times New Roman" w:hAnsi="Times New Roman"/>
          <w:sz w:val="20"/>
          <w:szCs w:val="20"/>
        </w:rPr>
        <w:t xml:space="preserve"> “Sentencia C-1404 de 2000 (MM.PP. Carlos Gaviria Díaz y Álvaro Tafur Galvis, AV. Alfredo Beltrán Sierra, José Gregorio Hernández Galindo, SV. Alejandro Martínez Caballero y Martha Sáchica Méndez) Sobre este punto ver también las sentencias C-016 de 2004 (</w:t>
      </w:r>
      <w:r w:rsidRPr="00E94684">
        <w:rPr>
          <w:rFonts w:ascii="Times New Roman" w:hAnsi="Times New Roman"/>
          <w:sz w:val="20"/>
          <w:szCs w:val="20"/>
        </w:rPr>
        <w:t>MP. Álvaro Tafur Galvis, AV. Álvaro Tafur Galvis y Jaime Araujo Rentería), C-822 de 2005 (MP. Manuel José Cepeda Espinosa, SPV. Humberto Antonio Sierra Porto)”</w:t>
      </w:r>
    </w:p>
  </w:footnote>
  <w:footnote w:id="49">
    <w:p w:rsidR="001F2EFA" w:rsidRPr="00E94684" w:rsidRDefault="00DF77C8">
      <w:pPr>
        <w:pStyle w:val="Textonotapie"/>
        <w:rPr>
          <w:rFonts w:ascii="Times New Roman" w:hAnsi="Times New Roman"/>
          <w:lang w:val="es-ES"/>
        </w:rPr>
      </w:pPr>
      <w:r w:rsidRPr="00E94684">
        <w:rPr>
          <w:rStyle w:val="Refdenotaalpie"/>
          <w:rFonts w:ascii="Times New Roman" w:hAnsi="Times New Roman"/>
        </w:rPr>
        <w:footnoteRef/>
      </w:r>
      <w:r w:rsidRPr="00E94684">
        <w:rPr>
          <w:rFonts w:ascii="Times New Roman" w:hAnsi="Times New Roman"/>
        </w:rPr>
        <w:t xml:space="preserve"> </w:t>
      </w:r>
      <w:r w:rsidRPr="00E94684">
        <w:rPr>
          <w:rFonts w:ascii="Times New Roman" w:hAnsi="Times New Roman"/>
          <w:lang w:val="es-ES"/>
        </w:rPr>
        <w:t>Sentencia C-015 de 2018</w:t>
      </w:r>
    </w:p>
  </w:footnote>
  <w:footnote w:id="50">
    <w:p w:rsidR="001F2EFA" w:rsidRPr="00D703CB" w:rsidRDefault="00DF77C8">
      <w:pPr>
        <w:rPr>
          <w:rFonts w:ascii="Times New Roman" w:hAnsi="Times New Roman"/>
          <w:sz w:val="20"/>
          <w:szCs w:val="20"/>
        </w:rPr>
      </w:pPr>
      <w:r w:rsidRPr="00D703CB">
        <w:rPr>
          <w:rFonts w:ascii="Times New Roman" w:hAnsi="Times New Roman"/>
          <w:sz w:val="20"/>
          <w:szCs w:val="20"/>
          <w:vertAlign w:val="superscript"/>
        </w:rPr>
        <w:footnoteRef/>
      </w:r>
      <w:r w:rsidRPr="00D703CB">
        <w:rPr>
          <w:rFonts w:ascii="Times New Roman" w:hAnsi="Times New Roman"/>
          <w:sz w:val="20"/>
          <w:szCs w:val="20"/>
        </w:rPr>
        <w:t xml:space="preserve"> Sentencia C-838 de 2013 en la que se citó la Sentencia C-037 de 1996</w:t>
      </w:r>
      <w:r w:rsidRPr="00D703CB">
        <w:rPr>
          <w:rFonts w:ascii="Times New Roman" w:hAnsi="Times New Roman"/>
          <w:sz w:val="20"/>
          <w:szCs w:val="20"/>
        </w:rPr>
        <w:t>. De igual manera la relación entre el principio o la garantía de la doble instancia con el derecho a la defensa y al debido proceso fue reiterada en la Sentencia C-401 de 2013, que a su vez citó la Sentencia C-040 de 2002, que desarrolla una consideración</w:t>
      </w:r>
      <w:r w:rsidRPr="00D703CB">
        <w:rPr>
          <w:rFonts w:ascii="Times New Roman" w:hAnsi="Times New Roman"/>
          <w:sz w:val="20"/>
          <w:szCs w:val="20"/>
        </w:rPr>
        <w:t xml:space="preserve"> al respecto.</w:t>
      </w:r>
    </w:p>
  </w:footnote>
  <w:footnote w:id="51">
    <w:p w:rsidR="001F2EFA" w:rsidRPr="00D703CB" w:rsidRDefault="00DF77C8">
      <w:pPr>
        <w:jc w:val="both"/>
        <w:rPr>
          <w:rFonts w:ascii="Times New Roman" w:hAnsi="Times New Roman"/>
          <w:sz w:val="20"/>
          <w:szCs w:val="20"/>
        </w:rPr>
      </w:pPr>
      <w:r w:rsidRPr="00D703CB">
        <w:rPr>
          <w:rFonts w:ascii="Times New Roman" w:hAnsi="Times New Roman"/>
          <w:sz w:val="20"/>
          <w:szCs w:val="20"/>
          <w:vertAlign w:val="superscript"/>
        </w:rPr>
        <w:footnoteRef/>
      </w:r>
      <w:r w:rsidRPr="00D703CB">
        <w:rPr>
          <w:rFonts w:ascii="Times New Roman" w:hAnsi="Times New Roman"/>
          <w:sz w:val="20"/>
          <w:szCs w:val="20"/>
        </w:rPr>
        <w:t xml:space="preserve"> Artículo 29 de la C.P.: “Quien sea sindicado tiene derecho (...) a impugnar la sentencia condenatoria (...)”. Artículo 31 de la C.P.: “Toda sentencia judicial podrá ser apelada o consultada, salvo las excepciones que consagre la ley”.</w:t>
      </w:r>
    </w:p>
  </w:footnote>
  <w:footnote w:id="52">
    <w:p w:rsidR="001F2EFA" w:rsidRPr="008F2AD2" w:rsidRDefault="00DF77C8" w:rsidP="004B01BB">
      <w:pPr>
        <w:tabs>
          <w:tab w:val="left" w:pos="567"/>
        </w:tabs>
        <w:jc w:val="both"/>
        <w:rPr>
          <w:rFonts w:ascii="Times New Roman" w:hAnsi="Times New Roman"/>
          <w:sz w:val="20"/>
          <w:szCs w:val="20"/>
        </w:rPr>
      </w:pPr>
      <w:r w:rsidRPr="008F2AD2">
        <w:rPr>
          <w:rFonts w:ascii="Times New Roman" w:hAnsi="Times New Roman"/>
          <w:sz w:val="20"/>
          <w:szCs w:val="20"/>
          <w:vertAlign w:val="superscript"/>
        </w:rPr>
        <w:footnoteRef/>
      </w:r>
      <w:r w:rsidRPr="008F2AD2">
        <w:rPr>
          <w:rFonts w:ascii="Times New Roman" w:hAnsi="Times New Roman"/>
          <w:sz w:val="20"/>
          <w:szCs w:val="20"/>
        </w:rPr>
        <w:t xml:space="preserve"> </w:t>
      </w:r>
      <w:r w:rsidRPr="008F2AD2">
        <w:rPr>
          <w:rFonts w:ascii="Times New Roman" w:hAnsi="Times New Roman"/>
          <w:sz w:val="20"/>
          <w:szCs w:val="20"/>
        </w:rPr>
        <w:t>Artículo 86 de la C.P.: “Toda persona tendrá acción de tutela (...) El fallo, que será de inmediato cumplimiento, podrá impugnarse ante el juez competente”.</w:t>
      </w:r>
    </w:p>
  </w:footnote>
  <w:footnote w:id="53">
    <w:p w:rsidR="008F2AD2" w:rsidRPr="008F2AD2" w:rsidRDefault="00DF77C8">
      <w:pPr>
        <w:pStyle w:val="Textonotapie"/>
        <w:rPr>
          <w:rFonts w:ascii="Times New Roman" w:hAnsi="Times New Roman"/>
          <w:lang w:val="es-ES"/>
        </w:rPr>
      </w:pPr>
      <w:r w:rsidRPr="008F2AD2">
        <w:rPr>
          <w:rStyle w:val="Refdenotaalpie"/>
          <w:rFonts w:ascii="Times New Roman" w:hAnsi="Times New Roman"/>
        </w:rPr>
        <w:footnoteRef/>
      </w:r>
      <w:r w:rsidRPr="008F2AD2">
        <w:rPr>
          <w:rFonts w:ascii="Times New Roman" w:hAnsi="Times New Roman"/>
        </w:rPr>
        <w:t xml:space="preserve"> </w:t>
      </w:r>
      <w:r w:rsidRPr="008F2AD2">
        <w:rPr>
          <w:rFonts w:ascii="Times New Roman" w:hAnsi="Times New Roman"/>
          <w:lang w:val="es-ES"/>
        </w:rPr>
        <w:t>Sentencia C-718 de 2012</w:t>
      </w:r>
    </w:p>
  </w:footnote>
  <w:footnote w:id="54">
    <w:p w:rsidR="001F2EFA" w:rsidRPr="00472067" w:rsidRDefault="00DF77C8">
      <w:pPr>
        <w:rPr>
          <w:rFonts w:ascii="Times New Roman" w:hAnsi="Times New Roman"/>
          <w:sz w:val="20"/>
          <w:szCs w:val="20"/>
        </w:rPr>
      </w:pPr>
      <w:r w:rsidRPr="00472067">
        <w:rPr>
          <w:rFonts w:ascii="Times New Roman" w:hAnsi="Times New Roman"/>
          <w:sz w:val="20"/>
          <w:szCs w:val="20"/>
          <w:vertAlign w:val="superscript"/>
        </w:rPr>
        <w:footnoteRef/>
      </w:r>
      <w:r w:rsidRPr="00472067">
        <w:rPr>
          <w:rFonts w:ascii="Times New Roman" w:hAnsi="Times New Roman"/>
          <w:sz w:val="20"/>
          <w:szCs w:val="20"/>
        </w:rPr>
        <w:t xml:space="preserve"> Sentencia C-617 de 1996</w:t>
      </w:r>
    </w:p>
  </w:footnote>
  <w:footnote w:id="55">
    <w:p w:rsidR="001F2EFA" w:rsidRPr="007A656B" w:rsidRDefault="00DF77C8">
      <w:pPr>
        <w:rPr>
          <w:rFonts w:ascii="Times New Roman" w:hAnsi="Times New Roman"/>
          <w:sz w:val="20"/>
          <w:szCs w:val="20"/>
        </w:rPr>
      </w:pPr>
      <w:r w:rsidRPr="007A656B">
        <w:rPr>
          <w:rFonts w:ascii="Times New Roman" w:hAnsi="Times New Roman"/>
          <w:sz w:val="20"/>
          <w:szCs w:val="20"/>
          <w:vertAlign w:val="superscript"/>
        </w:rPr>
        <w:footnoteRef/>
      </w:r>
      <w:r w:rsidRPr="007A656B">
        <w:rPr>
          <w:rFonts w:ascii="Times New Roman" w:hAnsi="Times New Roman"/>
          <w:sz w:val="20"/>
          <w:szCs w:val="20"/>
        </w:rPr>
        <w:t xml:space="preserve"> Sentencia C-040 de 2002</w:t>
      </w:r>
    </w:p>
  </w:footnote>
  <w:footnote w:id="56">
    <w:p w:rsidR="001F2EFA" w:rsidRPr="007A656B" w:rsidRDefault="00DF77C8">
      <w:pPr>
        <w:rPr>
          <w:rFonts w:ascii="Times New Roman" w:hAnsi="Times New Roman"/>
          <w:i/>
          <w:sz w:val="20"/>
          <w:szCs w:val="20"/>
        </w:rPr>
      </w:pPr>
      <w:r w:rsidRPr="007A656B">
        <w:rPr>
          <w:rFonts w:ascii="Times New Roman" w:hAnsi="Times New Roman"/>
          <w:sz w:val="20"/>
          <w:szCs w:val="20"/>
          <w:vertAlign w:val="superscript"/>
        </w:rPr>
        <w:footnoteRef/>
      </w:r>
      <w:r w:rsidRPr="007A656B">
        <w:rPr>
          <w:rFonts w:ascii="Times New Roman" w:hAnsi="Times New Roman"/>
          <w:sz w:val="20"/>
          <w:szCs w:val="20"/>
        </w:rPr>
        <w:t xml:space="preserve"> </w:t>
      </w:r>
      <w:r>
        <w:rPr>
          <w:rFonts w:ascii="Times New Roman" w:hAnsi="Times New Roman"/>
          <w:i/>
          <w:sz w:val="20"/>
          <w:szCs w:val="20"/>
        </w:rPr>
        <w:t>Ibidem</w:t>
      </w:r>
    </w:p>
  </w:footnote>
  <w:footnote w:id="57">
    <w:p w:rsidR="001F2EFA" w:rsidRPr="0089237E" w:rsidRDefault="00DF77C8" w:rsidP="0017587C">
      <w:pPr>
        <w:pStyle w:val="Textonotapie"/>
        <w:jc w:val="both"/>
        <w:rPr>
          <w:rFonts w:ascii="Times New Roman" w:hAnsi="Times New Roman"/>
          <w:lang w:val="es-ES"/>
        </w:rPr>
      </w:pPr>
      <w:r w:rsidRPr="0089237E">
        <w:rPr>
          <w:rStyle w:val="Refdenotaalpie"/>
          <w:rFonts w:ascii="Times New Roman" w:hAnsi="Times New Roman"/>
        </w:rPr>
        <w:footnoteRef/>
      </w:r>
      <w:r w:rsidRPr="0089237E">
        <w:rPr>
          <w:rFonts w:ascii="Times New Roman" w:hAnsi="Times New Roman"/>
        </w:rPr>
        <w:t xml:space="preserve"> </w:t>
      </w:r>
      <w:r w:rsidRPr="0089237E">
        <w:rPr>
          <w:rFonts w:ascii="Times New Roman" w:hAnsi="Times New Roman"/>
          <w:lang w:val="es-ES"/>
        </w:rPr>
        <w:t xml:space="preserve">Esta </w:t>
      </w:r>
      <w:r w:rsidRPr="0089237E">
        <w:rPr>
          <w:rFonts w:ascii="Times New Roman" w:hAnsi="Times New Roman"/>
          <w:lang w:val="es-ES"/>
        </w:rPr>
        <w:t>sentencia ha sido citada, entre otros, en los siguientes pronunciamientos: C-739 de 2006, C-254A y C-718 de 2012, C-838 de 2013 y C-406 de 2021.</w:t>
      </w:r>
    </w:p>
  </w:footnote>
  <w:footnote w:id="58">
    <w:p w:rsidR="001F2EFA" w:rsidRPr="0089237E" w:rsidRDefault="00DF77C8">
      <w:pPr>
        <w:jc w:val="both"/>
        <w:rPr>
          <w:rFonts w:ascii="Times New Roman" w:hAnsi="Times New Roman"/>
          <w:sz w:val="20"/>
          <w:szCs w:val="20"/>
        </w:rPr>
      </w:pPr>
      <w:r w:rsidRPr="0089237E">
        <w:rPr>
          <w:rFonts w:ascii="Times New Roman" w:hAnsi="Times New Roman"/>
          <w:sz w:val="20"/>
          <w:szCs w:val="20"/>
          <w:vertAlign w:val="superscript"/>
        </w:rPr>
        <w:footnoteRef/>
      </w:r>
      <w:r w:rsidRPr="0089237E">
        <w:rPr>
          <w:rFonts w:ascii="Times New Roman" w:hAnsi="Times New Roman"/>
          <w:sz w:val="20"/>
          <w:szCs w:val="20"/>
        </w:rPr>
        <w:t xml:space="preserve"> </w:t>
      </w:r>
      <w:r w:rsidRPr="0089237E">
        <w:rPr>
          <w:rFonts w:ascii="Times New Roman" w:hAnsi="Times New Roman"/>
          <w:sz w:val="20"/>
          <w:szCs w:val="20"/>
        </w:rPr>
        <w:t>“Sobre el carácter excepcional de la doble instancia, en la sentencia C-900 de 2003 (M.P. Jaime Araujo Renter</w:t>
      </w:r>
      <w:r w:rsidRPr="0089237E">
        <w:rPr>
          <w:rFonts w:ascii="Times New Roman" w:hAnsi="Times New Roman"/>
          <w:sz w:val="20"/>
          <w:szCs w:val="20"/>
        </w:rPr>
        <w:t>ía) –en la cual se declaró la constitucionalidad de la norma del Código de Procedimiento Civil que excluye el mandamiento ejecutivo de la doble instancia y lo conserva para el auto que deniega el mandamiento de pago y el que por vía de reposición lo revoqu</w:t>
      </w:r>
      <w:r w:rsidRPr="0089237E">
        <w:rPr>
          <w:rFonts w:ascii="Times New Roman" w:hAnsi="Times New Roman"/>
          <w:sz w:val="20"/>
          <w:szCs w:val="20"/>
        </w:rPr>
        <w:t>e-, se explicó que la norma constitucional que establece la doble instancia como regla general, impone al Legislador un límite en el sentido de que no pueden terminar prevaleciendo las sentencias de única instancia, que son la excepción. Ver también las se</w:t>
      </w:r>
      <w:r w:rsidRPr="0089237E">
        <w:rPr>
          <w:rFonts w:ascii="Times New Roman" w:hAnsi="Times New Roman"/>
          <w:sz w:val="20"/>
          <w:szCs w:val="20"/>
        </w:rPr>
        <w:t>ntencias C-055 de 1993 (M.P. José Gregorio Hernández) y la sentencia C-345 de 1993 (M.P. Alejandro Martínez Caballero)”.</w:t>
      </w:r>
    </w:p>
  </w:footnote>
  <w:footnote w:id="59">
    <w:p w:rsidR="001F2EFA" w:rsidRPr="0089237E" w:rsidRDefault="00DF77C8">
      <w:pPr>
        <w:rPr>
          <w:rFonts w:ascii="Times New Roman" w:hAnsi="Times New Roman"/>
          <w:sz w:val="20"/>
          <w:szCs w:val="20"/>
        </w:rPr>
      </w:pPr>
      <w:r w:rsidRPr="0089237E">
        <w:rPr>
          <w:rFonts w:ascii="Times New Roman" w:hAnsi="Times New Roman"/>
          <w:sz w:val="20"/>
          <w:szCs w:val="20"/>
          <w:vertAlign w:val="superscript"/>
        </w:rPr>
        <w:footnoteRef/>
      </w:r>
      <w:r w:rsidRPr="0089237E">
        <w:rPr>
          <w:rFonts w:ascii="Times New Roman" w:hAnsi="Times New Roman"/>
          <w:sz w:val="20"/>
          <w:szCs w:val="20"/>
        </w:rPr>
        <w:t xml:space="preserve"> </w:t>
      </w:r>
      <w:r w:rsidRPr="0089237E">
        <w:rPr>
          <w:rFonts w:ascii="Times New Roman" w:hAnsi="Times New Roman"/>
          <w:sz w:val="20"/>
          <w:szCs w:val="20"/>
        </w:rPr>
        <w:t>“Ver las sentencias C-788 de 2002, M.P. Manuel José Cepeda Espinosa, y C-345 de 1993, M.P. Alejandro Martínez Caballero”.</w:t>
      </w:r>
    </w:p>
  </w:footnote>
  <w:footnote w:id="60">
    <w:p w:rsidR="001F2EFA" w:rsidRPr="0089237E" w:rsidRDefault="00DF77C8">
      <w:pPr>
        <w:jc w:val="both"/>
        <w:rPr>
          <w:rFonts w:ascii="Times New Roman" w:hAnsi="Times New Roman"/>
          <w:sz w:val="20"/>
          <w:szCs w:val="20"/>
        </w:rPr>
      </w:pPr>
      <w:r w:rsidRPr="0089237E">
        <w:rPr>
          <w:rFonts w:ascii="Times New Roman" w:hAnsi="Times New Roman"/>
          <w:sz w:val="20"/>
          <w:szCs w:val="20"/>
          <w:vertAlign w:val="superscript"/>
        </w:rPr>
        <w:footnoteRef/>
      </w:r>
      <w:r w:rsidRPr="0089237E">
        <w:rPr>
          <w:rFonts w:ascii="Times New Roman" w:hAnsi="Times New Roman"/>
          <w:sz w:val="20"/>
          <w:szCs w:val="20"/>
        </w:rPr>
        <w:t xml:space="preserve"> “Sentenci</w:t>
      </w:r>
      <w:r w:rsidRPr="0089237E">
        <w:rPr>
          <w:rFonts w:ascii="Times New Roman" w:hAnsi="Times New Roman"/>
          <w:sz w:val="20"/>
          <w:szCs w:val="20"/>
        </w:rPr>
        <w:t>a C-788 de 2002, en la cual la Corte consideró que la eficacia de la justicia y la celeridad del proceso o economía procesal eran finalidades legítimas para la exclusión de la doble instancia. Ver igualmente la sentencia C-377 de 2002 (M.P. Clara Inés Varg</w:t>
      </w:r>
      <w:r w:rsidRPr="0089237E">
        <w:rPr>
          <w:rFonts w:ascii="Times New Roman" w:hAnsi="Times New Roman"/>
          <w:sz w:val="20"/>
          <w:szCs w:val="20"/>
        </w:rPr>
        <w:t>as Hernández)”.</w:t>
      </w:r>
    </w:p>
  </w:footnote>
  <w:footnote w:id="61">
    <w:p w:rsidR="001F2EFA" w:rsidRPr="0099235C" w:rsidRDefault="00DF77C8">
      <w:pPr>
        <w:rPr>
          <w:rFonts w:ascii="Times New Roman" w:hAnsi="Times New Roman"/>
          <w:sz w:val="20"/>
          <w:szCs w:val="20"/>
        </w:rPr>
      </w:pPr>
      <w:r w:rsidRPr="0089237E">
        <w:rPr>
          <w:rFonts w:ascii="Times New Roman" w:hAnsi="Times New Roman"/>
          <w:sz w:val="20"/>
          <w:szCs w:val="20"/>
          <w:vertAlign w:val="superscript"/>
        </w:rPr>
        <w:footnoteRef/>
      </w:r>
      <w:r w:rsidRPr="0089237E">
        <w:rPr>
          <w:rFonts w:ascii="Times New Roman" w:hAnsi="Times New Roman"/>
          <w:sz w:val="20"/>
          <w:szCs w:val="20"/>
        </w:rPr>
        <w:t xml:space="preserve"> “Sentencias C-179 de 1995 (M.P. Carlos Gaviria Díaz), C-040 de 2002 (M.P. Eduardo Montealegre Lynett) </w:t>
      </w:r>
      <w:r w:rsidRPr="0099235C">
        <w:rPr>
          <w:rFonts w:ascii="Times New Roman" w:hAnsi="Times New Roman"/>
          <w:sz w:val="20"/>
          <w:szCs w:val="20"/>
        </w:rPr>
        <w:t>y C-377 de 2002 (M.P. Clara Inés Vargas)”.</w:t>
      </w:r>
    </w:p>
  </w:footnote>
  <w:footnote w:id="62">
    <w:p w:rsidR="001F2EFA" w:rsidRPr="0099235C" w:rsidRDefault="00DF77C8">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“Sentencia C-040 de 2002. M.P. Eduardo Montealegre Lynett”</w:t>
      </w:r>
    </w:p>
  </w:footnote>
  <w:footnote w:id="63">
    <w:p w:rsidR="001F2EFA" w:rsidRPr="0089237E" w:rsidRDefault="00DF77C8">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Sentencia C-095 de 2003</w:t>
      </w:r>
    </w:p>
  </w:footnote>
  <w:footnote w:id="64">
    <w:p w:rsidR="001F2EFA" w:rsidRDefault="00DF77C8">
      <w:pPr>
        <w:rPr>
          <w:rFonts w:ascii="Times New Roman" w:hAnsi="Times New Roman"/>
          <w:sz w:val="20"/>
          <w:szCs w:val="20"/>
        </w:rPr>
      </w:pPr>
      <w:r>
        <w:rPr>
          <w:vertAlign w:val="superscript"/>
        </w:rPr>
        <w:footnoteRef/>
      </w:r>
      <w:r>
        <w:rPr>
          <w:sz w:val="20"/>
          <w:szCs w:val="20"/>
        </w:rPr>
        <w:t xml:space="preserve"> </w:t>
      </w:r>
      <w:r>
        <w:rPr>
          <w:rFonts w:ascii="Times New Roman" w:hAnsi="Times New Roman"/>
          <w:sz w:val="20"/>
          <w:szCs w:val="20"/>
        </w:rPr>
        <w:t>Sentencia T-058 de 2006</w:t>
      </w:r>
    </w:p>
  </w:footnote>
  <w:footnote w:id="65">
    <w:p w:rsidR="001F2EFA" w:rsidRPr="00EF16AC" w:rsidRDefault="00DF77C8">
      <w:pPr>
        <w:pStyle w:val="Textonotapie"/>
        <w:rPr>
          <w:lang w:val="es-ES"/>
        </w:rPr>
      </w:pPr>
      <w:r>
        <w:rPr>
          <w:rStyle w:val="Refdenotaalpie"/>
        </w:rPr>
        <w:footnoteRef/>
      </w:r>
      <w:r>
        <w:t xml:space="preserve"> </w:t>
      </w:r>
      <w:r>
        <w:rPr>
          <w:rFonts w:ascii="Times New Roman" w:hAnsi="Times New Roman"/>
        </w:rPr>
        <w:t>Sentencia T-388 de 2015</w:t>
      </w:r>
    </w:p>
  </w:footnote>
  <w:footnote w:id="66">
    <w:p w:rsidR="001F2EFA" w:rsidRPr="00EF16AC" w:rsidRDefault="00DF77C8">
      <w:pPr>
        <w:pStyle w:val="Textonotapie"/>
        <w:rPr>
          <w:rFonts w:ascii="Times New Roman" w:hAnsi="Times New Roman"/>
          <w:i/>
          <w:lang w:val="es-ES"/>
        </w:rPr>
      </w:pPr>
      <w:r w:rsidRPr="00EF16AC">
        <w:rPr>
          <w:rStyle w:val="Refdenotaalpie"/>
          <w:rFonts w:ascii="Times New Roman" w:hAnsi="Times New Roman"/>
        </w:rPr>
        <w:footnoteRef/>
      </w:r>
      <w:r w:rsidRPr="00EF16AC">
        <w:rPr>
          <w:rFonts w:ascii="Times New Roman" w:hAnsi="Times New Roman"/>
          <w:i/>
        </w:rPr>
        <w:t xml:space="preserve"> </w:t>
      </w:r>
      <w:r>
        <w:rPr>
          <w:rFonts w:ascii="Times New Roman" w:hAnsi="Times New Roman"/>
          <w:i/>
          <w:lang w:val="es-ES"/>
        </w:rPr>
        <w:t>Ibidem</w:t>
      </w:r>
    </w:p>
  </w:footnote>
  <w:footnote w:id="67">
    <w:p w:rsidR="001F2EFA" w:rsidRDefault="00DF77C8">
      <w:pPr>
        <w:rPr>
          <w:rFonts w:ascii="Times New Roman" w:hAnsi="Times New Roman"/>
          <w:sz w:val="20"/>
          <w:szCs w:val="20"/>
        </w:rPr>
      </w:pPr>
      <w:r>
        <w:rPr>
          <w:vertAlign w:val="superscript"/>
        </w:rPr>
        <w:footnoteRef/>
      </w:r>
      <w:r>
        <w:rPr>
          <w:rFonts w:ascii="Times New Roman" w:hAnsi="Times New Roman"/>
          <w:sz w:val="20"/>
          <w:szCs w:val="20"/>
        </w:rPr>
        <w:t xml:space="preserve"> Sentencia C-227 de 2009</w:t>
      </w:r>
    </w:p>
  </w:footnote>
  <w:footnote w:id="68">
    <w:p w:rsidR="001F2EFA" w:rsidRPr="005E27EF" w:rsidRDefault="00DF77C8">
      <w:pPr>
        <w:pStyle w:val="Textonotapie"/>
        <w:rPr>
          <w:rFonts w:ascii="Times New Roman" w:hAnsi="Times New Roman"/>
          <w:lang w:val="es-ES"/>
        </w:rPr>
      </w:pPr>
      <w:r w:rsidRPr="005E27EF">
        <w:rPr>
          <w:rStyle w:val="Refdenotaalpie"/>
          <w:rFonts w:ascii="Times New Roman" w:hAnsi="Times New Roman"/>
        </w:rPr>
        <w:footnoteRef/>
      </w:r>
      <w:r w:rsidRPr="005E27EF">
        <w:rPr>
          <w:rFonts w:ascii="Times New Roman" w:hAnsi="Times New Roman"/>
        </w:rPr>
        <w:t xml:space="preserve"> </w:t>
      </w:r>
      <w:r w:rsidRPr="005E27EF">
        <w:rPr>
          <w:rFonts w:ascii="Times New Roman" w:hAnsi="Times New Roman"/>
          <w:lang w:val="es-ES"/>
        </w:rPr>
        <w:t>Sentencia C-146 de 2021</w:t>
      </w:r>
    </w:p>
  </w:footnote>
  <w:footnote w:id="69">
    <w:p w:rsidR="001F2EFA" w:rsidRPr="009A7250" w:rsidRDefault="00DF77C8">
      <w:pPr>
        <w:pStyle w:val="Textonotapie"/>
        <w:rPr>
          <w:rFonts w:ascii="Times New Roman" w:hAnsi="Times New Roman"/>
          <w:lang w:val="es-ES"/>
        </w:rPr>
      </w:pPr>
      <w:r w:rsidRPr="009A7250">
        <w:rPr>
          <w:rStyle w:val="Refdenotaalpie"/>
          <w:rFonts w:ascii="Times New Roman" w:hAnsi="Times New Roman"/>
        </w:rPr>
        <w:footnoteRef/>
      </w:r>
      <w:r w:rsidRPr="009A7250">
        <w:rPr>
          <w:rFonts w:ascii="Times New Roman" w:hAnsi="Times New Roman"/>
        </w:rPr>
        <w:t xml:space="preserve"> </w:t>
      </w:r>
      <w:r w:rsidRPr="009A7250">
        <w:rPr>
          <w:rFonts w:ascii="Times New Roman" w:hAnsi="Times New Roman"/>
        </w:rPr>
        <w:t>Sentencia C-227 de 2009</w:t>
      </w:r>
    </w:p>
  </w:footnote>
  <w:footnote w:id="70">
    <w:p w:rsidR="001F2EFA" w:rsidRPr="009A7250" w:rsidRDefault="00DF77C8">
      <w:pPr>
        <w:rPr>
          <w:rFonts w:ascii="Times New Roman" w:hAnsi="Times New Roman"/>
          <w:i/>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w:t>
      </w:r>
      <w:r>
        <w:rPr>
          <w:rFonts w:ascii="Times New Roman" w:hAnsi="Times New Roman"/>
          <w:i/>
          <w:sz w:val="20"/>
          <w:szCs w:val="20"/>
        </w:rPr>
        <w:t>Ibidem</w:t>
      </w:r>
    </w:p>
  </w:footnote>
  <w:footnote w:id="71">
    <w:p w:rsidR="001F2EFA" w:rsidRPr="009A7250" w:rsidRDefault="00DF77C8">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Artículo 239 de la Ley 906 de 2004</w:t>
      </w:r>
    </w:p>
  </w:footnote>
  <w:footnote w:id="72">
    <w:p w:rsidR="001F2EFA" w:rsidRPr="009A7250" w:rsidRDefault="00DF77C8">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w:t>
      </w:r>
      <w:r w:rsidRPr="009A7250">
        <w:rPr>
          <w:rFonts w:ascii="Times New Roman" w:hAnsi="Times New Roman"/>
          <w:sz w:val="20"/>
          <w:szCs w:val="20"/>
        </w:rPr>
        <w:t>Artículo 240 de la Ley 906 de 2004</w:t>
      </w:r>
    </w:p>
  </w:footnote>
  <w:footnote w:id="73">
    <w:p w:rsidR="001F2EFA" w:rsidRPr="009A7250" w:rsidRDefault="00DF77C8" w:rsidP="009A7250">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Artículo 242 de la Ley 906 de 2004 </w:t>
      </w:r>
    </w:p>
  </w:footnote>
  <w:footnote w:id="74">
    <w:p w:rsidR="001F2EFA" w:rsidRPr="009A7250" w:rsidRDefault="00DF77C8" w:rsidP="009A7250">
      <w:pPr>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Artículo 242B de la Ley 906 de 2004</w:t>
      </w:r>
    </w:p>
  </w:footnote>
  <w:footnote w:id="75">
    <w:p w:rsidR="001F2EFA" w:rsidRPr="009A7250" w:rsidRDefault="00DF77C8">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Artículo 243 de la Ley 906 de 2004 </w:t>
      </w:r>
    </w:p>
  </w:footnote>
  <w:footnote w:id="76">
    <w:p w:rsidR="001F2EFA" w:rsidRPr="009A7250" w:rsidRDefault="00DF77C8" w:rsidP="009A7250">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Artículo 244 de la Ley 906 de 2004 </w:t>
      </w:r>
    </w:p>
  </w:footnote>
  <w:footnote w:id="77">
    <w:p w:rsidR="001F2EFA" w:rsidRPr="009A7250" w:rsidRDefault="00DF77C8">
      <w:pPr>
        <w:jc w:val="both"/>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w:t>
      </w:r>
      <w:r w:rsidRPr="009A7250">
        <w:rPr>
          <w:rFonts w:ascii="Times New Roman" w:hAnsi="Times New Roman"/>
          <w:sz w:val="20"/>
          <w:szCs w:val="20"/>
        </w:rPr>
        <w:t xml:space="preserve">Artículo 245 de la Ley 906 de 2004  </w:t>
      </w:r>
    </w:p>
  </w:footnote>
  <w:footnote w:id="78">
    <w:p w:rsidR="001F2EFA" w:rsidRDefault="00DF77C8">
      <w:pPr>
        <w:rPr>
          <w:rFonts w:ascii="Times New Roman" w:hAnsi="Times New Roman"/>
          <w:sz w:val="20"/>
          <w:szCs w:val="20"/>
        </w:rPr>
      </w:pPr>
      <w:r w:rsidRPr="009A7250">
        <w:rPr>
          <w:rFonts w:ascii="Times New Roman" w:hAnsi="Times New Roman"/>
          <w:sz w:val="20"/>
          <w:szCs w:val="20"/>
          <w:vertAlign w:val="superscript"/>
        </w:rPr>
        <w:footnoteRef/>
      </w:r>
      <w:r w:rsidRPr="009A7250">
        <w:rPr>
          <w:rFonts w:ascii="Times New Roman" w:hAnsi="Times New Roman"/>
          <w:sz w:val="20"/>
          <w:szCs w:val="20"/>
        </w:rPr>
        <w:t xml:space="preserve"> “Sobre las funciones del Juez de control de garantías ver sentencias C-873 de 2003 y C-1092 2003”.</w:t>
      </w:r>
    </w:p>
  </w:footnote>
  <w:footnote w:id="79">
    <w:p w:rsidR="001F2EFA" w:rsidRPr="00A7151C" w:rsidRDefault="00DF77C8">
      <w:pPr>
        <w:pStyle w:val="Textonotapie"/>
        <w:rPr>
          <w:rFonts w:ascii="Times New Roman" w:hAnsi="Times New Roman"/>
          <w:lang w:val="es-ES"/>
        </w:rPr>
      </w:pPr>
      <w:r w:rsidRPr="00A7151C">
        <w:rPr>
          <w:rStyle w:val="Refdenotaalpie"/>
          <w:rFonts w:ascii="Times New Roman" w:hAnsi="Times New Roman"/>
        </w:rPr>
        <w:footnoteRef/>
      </w:r>
      <w:r w:rsidRPr="00A7151C">
        <w:rPr>
          <w:rFonts w:ascii="Times New Roman" w:hAnsi="Times New Roman"/>
        </w:rPr>
        <w:t xml:space="preserve"> </w:t>
      </w:r>
      <w:r w:rsidRPr="00A7151C">
        <w:rPr>
          <w:rFonts w:ascii="Times New Roman" w:hAnsi="Times New Roman"/>
          <w:lang w:val="es-ES"/>
        </w:rPr>
        <w:t>Sentencia C-591 de 2005</w:t>
      </w:r>
    </w:p>
  </w:footnote>
  <w:footnote w:id="80">
    <w:p w:rsidR="001F2EFA" w:rsidRPr="00A7151C" w:rsidRDefault="00DF77C8">
      <w:pPr>
        <w:pStyle w:val="Textonotapie"/>
        <w:rPr>
          <w:lang w:val="es-ES"/>
        </w:rPr>
      </w:pPr>
      <w:r>
        <w:rPr>
          <w:rStyle w:val="Refdenotaalpie"/>
        </w:rPr>
        <w:footnoteRef/>
      </w:r>
      <w:r>
        <w:t xml:space="preserve"> </w:t>
      </w:r>
      <w:r>
        <w:rPr>
          <w:rFonts w:ascii="Times New Roman" w:hAnsi="Times New Roman"/>
          <w:i/>
          <w:lang w:val="es-ES"/>
        </w:rPr>
        <w:t>Ibidem</w:t>
      </w:r>
    </w:p>
  </w:footnote>
  <w:footnote w:id="81">
    <w:p w:rsidR="001F2EFA" w:rsidRPr="000A5D9F" w:rsidRDefault="00DF77C8">
      <w:pPr>
        <w:pStyle w:val="Textonotapie"/>
        <w:rPr>
          <w:rFonts w:ascii="Times New Roman" w:hAnsi="Times New Roman"/>
          <w:lang w:val="es-ES"/>
        </w:rPr>
      </w:pPr>
      <w:r w:rsidRPr="000A5D9F">
        <w:rPr>
          <w:rStyle w:val="Refdenotaalpie"/>
          <w:rFonts w:ascii="Times New Roman" w:hAnsi="Times New Roman"/>
        </w:rPr>
        <w:footnoteRef/>
      </w:r>
      <w:r w:rsidRPr="000A5D9F">
        <w:rPr>
          <w:rFonts w:ascii="Times New Roman" w:hAnsi="Times New Roman"/>
        </w:rPr>
        <w:t xml:space="preserve"> </w:t>
      </w:r>
      <w:r w:rsidRPr="000A5D9F">
        <w:rPr>
          <w:rFonts w:ascii="Times New Roman" w:hAnsi="Times New Roman"/>
          <w:lang w:val="es-ES"/>
        </w:rPr>
        <w:t>Sentencia C-185 de 2002</w:t>
      </w:r>
    </w:p>
  </w:footnote>
  <w:footnote w:id="82">
    <w:p w:rsidR="001F2EFA" w:rsidRPr="00A86962" w:rsidRDefault="00DF77C8">
      <w:pPr>
        <w:pStyle w:val="Textonotapie"/>
        <w:rPr>
          <w:rFonts w:ascii="Times New Roman" w:hAnsi="Times New Roman"/>
          <w:lang w:val="es-ES"/>
        </w:rPr>
      </w:pPr>
      <w:r w:rsidRPr="00A86962">
        <w:rPr>
          <w:rStyle w:val="Refdenotaalpie"/>
          <w:rFonts w:ascii="Times New Roman" w:hAnsi="Times New Roman"/>
        </w:rPr>
        <w:footnoteRef/>
      </w:r>
      <w:r w:rsidRPr="00A86962">
        <w:rPr>
          <w:rFonts w:ascii="Times New Roman" w:hAnsi="Times New Roman"/>
        </w:rPr>
        <w:t xml:space="preserve"> </w:t>
      </w:r>
      <w:r>
        <w:rPr>
          <w:rFonts w:ascii="Times New Roman" w:hAnsi="Times New Roman"/>
          <w:i/>
          <w:lang w:val="es-ES"/>
        </w:rPr>
        <w:t>Ibidem</w:t>
      </w:r>
    </w:p>
  </w:footnote>
  <w:footnote w:id="83">
    <w:p w:rsidR="001F2EFA" w:rsidRPr="00695123" w:rsidRDefault="00DF77C8">
      <w:pPr>
        <w:pStyle w:val="Textonotapie"/>
        <w:rPr>
          <w:lang w:val="es-ES"/>
        </w:rPr>
      </w:pPr>
      <w:r>
        <w:rPr>
          <w:rStyle w:val="Refdenotaalpie"/>
        </w:rPr>
        <w:footnoteRef/>
      </w:r>
      <w:r>
        <w:t xml:space="preserve"> </w:t>
      </w:r>
      <w:r>
        <w:rPr>
          <w:rFonts w:ascii="Times New Roman" w:hAnsi="Times New Roman"/>
          <w:i/>
          <w:lang w:val="es-ES"/>
        </w:rPr>
        <w:t xml:space="preserve">Ibidem. </w:t>
      </w:r>
      <w:r>
        <w:rPr>
          <w:rFonts w:ascii="Times New Roman" w:hAnsi="Times New Roman"/>
          <w:lang w:val="es-ES"/>
        </w:rPr>
        <w:t>Al respecto, puede consultarse la Sentencia C-330 de 2013</w:t>
      </w:r>
    </w:p>
  </w:footnote>
  <w:footnote w:id="84">
    <w:p w:rsidR="001F2EFA" w:rsidRPr="006860B3" w:rsidRDefault="00DF77C8">
      <w:pPr>
        <w:pStyle w:val="Textonotapie"/>
        <w:rPr>
          <w:rFonts w:ascii="Times New Roman" w:hAnsi="Times New Roman"/>
          <w:lang w:val="es-ES"/>
        </w:rPr>
      </w:pPr>
      <w:r w:rsidRPr="006860B3">
        <w:rPr>
          <w:rStyle w:val="Refdenotaalpie"/>
          <w:rFonts w:ascii="Times New Roman" w:hAnsi="Times New Roman"/>
        </w:rPr>
        <w:footnoteRef/>
      </w:r>
      <w:r w:rsidRPr="006860B3">
        <w:rPr>
          <w:rFonts w:ascii="Times New Roman" w:hAnsi="Times New Roman"/>
        </w:rPr>
        <w:t xml:space="preserve"> </w:t>
      </w:r>
      <w:r w:rsidRPr="006860B3">
        <w:rPr>
          <w:rFonts w:ascii="Times New Roman" w:hAnsi="Times New Roman"/>
          <w:lang w:val="es-ES"/>
        </w:rPr>
        <w:t xml:space="preserve">Sentencia C-247 </w:t>
      </w:r>
      <w:r w:rsidRPr="006860B3">
        <w:rPr>
          <w:rFonts w:ascii="Times New Roman" w:hAnsi="Times New Roman"/>
          <w:lang w:val="es-ES"/>
        </w:rPr>
        <w:t>de 2004</w:t>
      </w:r>
    </w:p>
  </w:footnote>
  <w:footnote w:id="85">
    <w:p w:rsidR="001F2EFA" w:rsidRPr="006860B3" w:rsidRDefault="00DF77C8">
      <w:pPr>
        <w:pStyle w:val="Textonotapie"/>
        <w:rPr>
          <w:rFonts w:ascii="Times New Roman" w:hAnsi="Times New Roman"/>
          <w:lang w:val="es-ES"/>
        </w:rPr>
      </w:pPr>
      <w:r w:rsidRPr="006860B3">
        <w:rPr>
          <w:rStyle w:val="Refdenotaalpie"/>
          <w:rFonts w:ascii="Times New Roman" w:hAnsi="Times New Roman"/>
        </w:rPr>
        <w:footnoteRef/>
      </w:r>
      <w:r w:rsidRPr="006860B3">
        <w:rPr>
          <w:rFonts w:ascii="Times New Roman" w:hAnsi="Times New Roman"/>
        </w:rPr>
        <w:t xml:space="preserve"> </w:t>
      </w:r>
      <w:r w:rsidRPr="006860B3">
        <w:rPr>
          <w:rFonts w:ascii="Times New Roman" w:hAnsi="Times New Roman"/>
          <w:lang w:val="es-ES"/>
        </w:rPr>
        <w:t>Sobre este principio ver, entre otras, las Sentencias C-100 de 1996 y C-065 de 1997</w:t>
      </w:r>
    </w:p>
  </w:footnote>
  <w:footnote w:id="86">
    <w:p w:rsidR="001F2EFA" w:rsidRPr="006860B3" w:rsidRDefault="00DF77C8" w:rsidP="00A140F6">
      <w:pPr>
        <w:pStyle w:val="Textonotapie"/>
        <w:jc w:val="both"/>
        <w:rPr>
          <w:rFonts w:ascii="Times New Roman" w:hAnsi="Times New Roman"/>
        </w:rPr>
      </w:pPr>
      <w:r w:rsidRPr="006860B3">
        <w:rPr>
          <w:rFonts w:ascii="Times New Roman" w:hAnsi="Times New Roman"/>
          <w:vertAlign w:val="superscript"/>
        </w:rPr>
        <w:footnoteRef/>
      </w:r>
      <w:r w:rsidRPr="006860B3">
        <w:rPr>
          <w:rFonts w:ascii="Times New Roman" w:hAnsi="Times New Roman"/>
        </w:rPr>
        <w:t xml:space="preserve"> C-728 de 2009</w:t>
      </w:r>
    </w:p>
  </w:footnote>
  <w:footnote w:id="87">
    <w:p w:rsidR="001F2EFA" w:rsidRPr="00F96418" w:rsidRDefault="00DF77C8">
      <w:pPr>
        <w:rPr>
          <w:rFonts w:ascii="Times New Roman" w:hAnsi="Times New Roman"/>
          <w:sz w:val="20"/>
          <w:szCs w:val="20"/>
        </w:rPr>
      </w:pPr>
      <w:r w:rsidRPr="00F96418">
        <w:rPr>
          <w:rFonts w:ascii="Times New Roman" w:hAnsi="Times New Roman"/>
          <w:sz w:val="20"/>
          <w:szCs w:val="20"/>
          <w:vertAlign w:val="superscript"/>
        </w:rPr>
        <w:footnoteRef/>
      </w:r>
      <w:r w:rsidRPr="00F96418">
        <w:rPr>
          <w:rFonts w:ascii="Times New Roman" w:hAnsi="Times New Roman"/>
          <w:sz w:val="20"/>
          <w:szCs w:val="20"/>
        </w:rPr>
        <w:t xml:space="preserve"> </w:t>
      </w:r>
      <w:r w:rsidRPr="00F96418">
        <w:rPr>
          <w:rFonts w:ascii="Times New Roman" w:hAnsi="Times New Roman"/>
          <w:sz w:val="20"/>
          <w:szCs w:val="20"/>
        </w:rPr>
        <w:t>Gaceta del Congreso N° 339 del 23 de julio de 2003</w:t>
      </w:r>
    </w:p>
  </w:footnote>
  <w:footnote w:id="88">
    <w:p w:rsidR="001F2EFA" w:rsidRPr="00F96418" w:rsidRDefault="00DF77C8">
      <w:pPr>
        <w:rPr>
          <w:rFonts w:ascii="Times New Roman" w:hAnsi="Times New Roman"/>
          <w:sz w:val="20"/>
          <w:szCs w:val="20"/>
        </w:rPr>
      </w:pPr>
      <w:r w:rsidRPr="00F96418">
        <w:rPr>
          <w:rFonts w:ascii="Times New Roman" w:hAnsi="Times New Roman"/>
          <w:sz w:val="20"/>
          <w:szCs w:val="20"/>
          <w:vertAlign w:val="superscript"/>
        </w:rPr>
        <w:footnoteRef/>
      </w:r>
      <w:r w:rsidRPr="00F96418">
        <w:rPr>
          <w:rFonts w:ascii="Times New Roman" w:hAnsi="Times New Roman"/>
          <w:sz w:val="20"/>
          <w:szCs w:val="20"/>
        </w:rPr>
        <w:t xml:space="preserve"> </w:t>
      </w:r>
      <w:r w:rsidRPr="00F96418">
        <w:rPr>
          <w:rFonts w:ascii="Times New Roman" w:hAnsi="Times New Roman"/>
          <w:sz w:val="20"/>
          <w:szCs w:val="20"/>
        </w:rPr>
        <w:t>Gaceta del Congreso N° 564 del 31 de octubre de 2003</w:t>
      </w:r>
    </w:p>
  </w:footnote>
  <w:footnote w:id="89">
    <w:p w:rsidR="001F2EFA" w:rsidRPr="00F96418" w:rsidRDefault="00DF77C8">
      <w:pPr>
        <w:rPr>
          <w:rFonts w:ascii="Times New Roman" w:hAnsi="Times New Roman"/>
          <w:sz w:val="20"/>
          <w:szCs w:val="20"/>
        </w:rPr>
      </w:pPr>
      <w:r w:rsidRPr="00F96418">
        <w:rPr>
          <w:rFonts w:ascii="Times New Roman" w:hAnsi="Times New Roman"/>
          <w:sz w:val="20"/>
          <w:szCs w:val="20"/>
          <w:vertAlign w:val="superscript"/>
        </w:rPr>
        <w:footnoteRef/>
      </w:r>
      <w:r w:rsidRPr="00F96418">
        <w:rPr>
          <w:rFonts w:ascii="Times New Roman" w:hAnsi="Times New Roman"/>
          <w:sz w:val="20"/>
          <w:szCs w:val="20"/>
        </w:rPr>
        <w:t xml:space="preserve"> </w:t>
      </w:r>
      <w:r>
        <w:rPr>
          <w:rFonts w:ascii="Times New Roman" w:hAnsi="Times New Roman"/>
          <w:i/>
          <w:sz w:val="20"/>
          <w:szCs w:val="20"/>
        </w:rPr>
        <w:t>Ibidem</w:t>
      </w:r>
      <w:r w:rsidRPr="00F96418">
        <w:rPr>
          <w:rFonts w:ascii="Times New Roman" w:hAnsi="Times New Roman"/>
          <w:i/>
          <w:sz w:val="20"/>
          <w:szCs w:val="20"/>
        </w:rPr>
        <w:t xml:space="preserve">, </w:t>
      </w:r>
      <w:r w:rsidRPr="00F96418">
        <w:rPr>
          <w:rFonts w:ascii="Times New Roman" w:hAnsi="Times New Roman"/>
          <w:sz w:val="20"/>
          <w:szCs w:val="20"/>
        </w:rPr>
        <w:t>página 2</w:t>
      </w:r>
    </w:p>
  </w:footnote>
  <w:footnote w:id="90">
    <w:p w:rsidR="001F2EFA" w:rsidRPr="00AC3E52" w:rsidRDefault="00DF77C8">
      <w:pPr>
        <w:rPr>
          <w:rFonts w:ascii="Times New Roman" w:hAnsi="Times New Roman"/>
          <w:sz w:val="20"/>
          <w:szCs w:val="20"/>
        </w:rPr>
      </w:pPr>
      <w:r w:rsidRPr="00AC3E52">
        <w:rPr>
          <w:rFonts w:ascii="Times New Roman" w:hAnsi="Times New Roman"/>
          <w:sz w:val="20"/>
          <w:szCs w:val="20"/>
          <w:vertAlign w:val="superscript"/>
        </w:rPr>
        <w:footnoteRef/>
      </w:r>
      <w:r w:rsidRPr="00AC3E52">
        <w:rPr>
          <w:rFonts w:ascii="Times New Roman" w:hAnsi="Times New Roman"/>
          <w:sz w:val="20"/>
          <w:szCs w:val="20"/>
        </w:rPr>
        <w:t xml:space="preserve"> </w:t>
      </w:r>
      <w:r>
        <w:rPr>
          <w:rFonts w:ascii="Times New Roman" w:hAnsi="Times New Roman"/>
          <w:i/>
          <w:sz w:val="20"/>
          <w:szCs w:val="20"/>
        </w:rPr>
        <w:t>Ibidem</w:t>
      </w:r>
    </w:p>
  </w:footnote>
  <w:footnote w:id="91">
    <w:p w:rsidR="001F2EFA" w:rsidRPr="0099235C" w:rsidRDefault="00DF77C8" w:rsidP="00C81278">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w:t>
      </w:r>
      <w:r w:rsidRPr="0099235C">
        <w:rPr>
          <w:rFonts w:ascii="Times New Roman" w:hAnsi="Times New Roman"/>
          <w:lang w:val="es-ES"/>
        </w:rPr>
        <w:t xml:space="preserve">M.P. </w:t>
      </w:r>
      <w:r w:rsidRPr="0099235C">
        <w:rPr>
          <w:rFonts w:ascii="Times New Roman" w:hAnsi="Times New Roman"/>
          <w:lang w:val="es-ES"/>
        </w:rPr>
        <w:t>Luis Guillermo Guerrero Pérez.</w:t>
      </w:r>
    </w:p>
  </w:footnote>
  <w:footnote w:id="92">
    <w:p w:rsidR="001F2EFA" w:rsidRPr="00BA0BB5" w:rsidRDefault="00DF77C8" w:rsidP="00BA0BB5">
      <w:pPr>
        <w:pStyle w:val="Textonotapie"/>
        <w:jc w:val="both"/>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Luego de la reforma constitucional, el artículo 234 de la Constitución Política fue adicionado en de la siguiente manera “[l]a Corte Suprema de Justicia es el máximo Tribunal de la Jurisdicción Ordinaria y se compondrá del número impar de Magistrados que </w:t>
      </w:r>
      <w:r w:rsidRPr="0099235C">
        <w:rPr>
          <w:rFonts w:ascii="Times New Roman" w:hAnsi="Times New Roman"/>
        </w:rPr>
        <w:t xml:space="preserve">determine la ley. </w:t>
      </w:r>
      <w:r w:rsidRPr="0099235C">
        <w:rPr>
          <w:rFonts w:ascii="Times New Roman" w:hAnsi="Times New Roman"/>
          <w:b/>
          <w:bCs/>
        </w:rPr>
        <w:t>Esta dividirá la Corte en Salas y Salas Especiales, señalará a cada una de ellas los asuntos que deba conocer separadamente y determinará aquellos en que deba intervenir la Corte en pleno</w:t>
      </w:r>
      <w:r w:rsidRPr="0099235C">
        <w:rPr>
          <w:rFonts w:ascii="Times New Roman" w:hAnsi="Times New Roman"/>
        </w:rPr>
        <w:t>”. (Negrilla fuera de texto).</w:t>
      </w:r>
    </w:p>
  </w:footnote>
  <w:footnote w:id="93">
    <w:p w:rsidR="001F2EFA" w:rsidRPr="00FB691F" w:rsidRDefault="00DF77C8">
      <w:pPr>
        <w:rPr>
          <w:rFonts w:ascii="Times New Roman" w:hAnsi="Times New Roman"/>
          <w:sz w:val="20"/>
          <w:szCs w:val="20"/>
          <w:highlight w:val="cyan"/>
        </w:rPr>
      </w:pPr>
      <w:r w:rsidRPr="00FB691F">
        <w:rPr>
          <w:rFonts w:ascii="Times New Roman" w:hAnsi="Times New Roman"/>
          <w:sz w:val="20"/>
          <w:szCs w:val="20"/>
          <w:vertAlign w:val="superscript"/>
        </w:rPr>
        <w:footnoteRef/>
      </w:r>
      <w:r w:rsidRPr="00FB691F">
        <w:rPr>
          <w:rFonts w:ascii="Times New Roman" w:hAnsi="Times New Roman"/>
          <w:sz w:val="20"/>
          <w:szCs w:val="20"/>
        </w:rPr>
        <w:t xml:space="preserve"> Sentencia C-210 de </w:t>
      </w:r>
      <w:r w:rsidRPr="00FB691F">
        <w:rPr>
          <w:rFonts w:ascii="Times New Roman" w:hAnsi="Times New Roman"/>
          <w:sz w:val="20"/>
          <w:szCs w:val="20"/>
        </w:rPr>
        <w:t>2021</w:t>
      </w:r>
    </w:p>
  </w:footnote>
  <w:footnote w:id="94">
    <w:p w:rsidR="001F2EFA" w:rsidRPr="00FB691F" w:rsidRDefault="00DF77C8">
      <w:pPr>
        <w:rPr>
          <w:rFonts w:ascii="Times New Roman" w:hAnsi="Times New Roman"/>
          <w:sz w:val="20"/>
          <w:szCs w:val="20"/>
        </w:rPr>
      </w:pPr>
      <w:r w:rsidRPr="00FB691F">
        <w:rPr>
          <w:rFonts w:ascii="Times New Roman" w:hAnsi="Times New Roman"/>
          <w:sz w:val="20"/>
          <w:szCs w:val="20"/>
          <w:vertAlign w:val="superscript"/>
        </w:rPr>
        <w:footnoteRef/>
      </w:r>
      <w:r w:rsidRPr="00FB691F">
        <w:rPr>
          <w:rFonts w:ascii="Times New Roman" w:hAnsi="Times New Roman"/>
          <w:sz w:val="20"/>
          <w:szCs w:val="20"/>
        </w:rPr>
        <w:t xml:space="preserve"> Sentencia C-1404 de 2000</w:t>
      </w:r>
    </w:p>
  </w:footnote>
  <w:footnote w:id="95">
    <w:p w:rsidR="001F2EFA" w:rsidRPr="00FB691F" w:rsidRDefault="00DF77C8">
      <w:pPr>
        <w:rPr>
          <w:rFonts w:ascii="Times New Roman" w:hAnsi="Times New Roman"/>
          <w:sz w:val="20"/>
          <w:szCs w:val="20"/>
        </w:rPr>
      </w:pPr>
      <w:r w:rsidRPr="00FB691F">
        <w:rPr>
          <w:rFonts w:ascii="Times New Roman" w:hAnsi="Times New Roman"/>
          <w:sz w:val="20"/>
          <w:szCs w:val="20"/>
          <w:vertAlign w:val="superscript"/>
        </w:rPr>
        <w:footnoteRef/>
      </w:r>
      <w:r w:rsidRPr="00FB691F">
        <w:rPr>
          <w:rFonts w:ascii="Times New Roman" w:hAnsi="Times New Roman"/>
          <w:sz w:val="20"/>
          <w:szCs w:val="20"/>
        </w:rPr>
        <w:t xml:space="preserve"> Artículos 20 y 177 de la Ley 906 de 2004</w:t>
      </w:r>
    </w:p>
  </w:footnote>
  <w:footnote w:id="96">
    <w:p w:rsidR="001F2EFA" w:rsidRPr="00FB691F" w:rsidRDefault="00DF77C8">
      <w:pPr>
        <w:rPr>
          <w:rFonts w:ascii="Times New Roman" w:hAnsi="Times New Roman"/>
          <w:sz w:val="20"/>
          <w:szCs w:val="20"/>
        </w:rPr>
      </w:pPr>
      <w:r w:rsidRPr="00FB691F">
        <w:rPr>
          <w:rFonts w:ascii="Times New Roman" w:hAnsi="Times New Roman"/>
          <w:sz w:val="20"/>
          <w:szCs w:val="20"/>
          <w:vertAlign w:val="superscript"/>
        </w:rPr>
        <w:footnoteRef/>
      </w:r>
      <w:r w:rsidRPr="00FB691F">
        <w:rPr>
          <w:rFonts w:ascii="Times New Roman" w:hAnsi="Times New Roman"/>
          <w:sz w:val="20"/>
          <w:szCs w:val="20"/>
        </w:rPr>
        <w:t xml:space="preserve"> Sentencia T-388 de 2015</w:t>
      </w:r>
    </w:p>
  </w:footnote>
  <w:footnote w:id="97">
    <w:p w:rsidR="001F2EFA" w:rsidRPr="00FB691F" w:rsidRDefault="00DF77C8">
      <w:pPr>
        <w:rPr>
          <w:rFonts w:ascii="Times New Roman" w:hAnsi="Times New Roman"/>
          <w:sz w:val="20"/>
          <w:szCs w:val="20"/>
        </w:rPr>
      </w:pPr>
      <w:r w:rsidRPr="00FB691F">
        <w:rPr>
          <w:rFonts w:ascii="Times New Roman" w:hAnsi="Times New Roman"/>
          <w:sz w:val="20"/>
          <w:szCs w:val="20"/>
          <w:vertAlign w:val="superscript"/>
        </w:rPr>
        <w:footnoteRef/>
      </w:r>
      <w:r w:rsidRPr="00FB691F">
        <w:rPr>
          <w:rFonts w:ascii="Times New Roman" w:hAnsi="Times New Roman"/>
          <w:sz w:val="20"/>
          <w:szCs w:val="20"/>
        </w:rPr>
        <w:t xml:space="preserve"> Sentencia T-058 de 2006</w:t>
      </w:r>
    </w:p>
  </w:footnote>
  <w:footnote w:id="98">
    <w:p w:rsidR="001F2EFA" w:rsidRPr="0099235C" w:rsidRDefault="00DF77C8" w:rsidP="006E35DE">
      <w:pPr>
        <w:pStyle w:val="Textonotapie"/>
        <w:jc w:val="both"/>
        <w:rPr>
          <w:rFonts w:ascii="Times New Roman" w:hAnsi="Times New Roman"/>
          <w:lang w:val="es-ES"/>
        </w:rPr>
      </w:pPr>
      <w:r w:rsidRPr="00CF305E">
        <w:rPr>
          <w:rStyle w:val="Refdenotaalpie"/>
          <w:rFonts w:ascii="Times New Roman" w:hAnsi="Times New Roman"/>
        </w:rPr>
        <w:footnoteRef/>
      </w:r>
      <w:r w:rsidRPr="00CF305E">
        <w:rPr>
          <w:rFonts w:ascii="Times New Roman" w:hAnsi="Times New Roman"/>
        </w:rPr>
        <w:t xml:space="preserve"> La Corte Suprema de Justicia, Sala Penal, expuso que de conformidad con lo dispuesto en el artículo 122 superior “no habrá empl</w:t>
      </w:r>
      <w:r w:rsidRPr="00CF305E">
        <w:rPr>
          <w:rFonts w:ascii="Times New Roman" w:hAnsi="Times New Roman"/>
        </w:rPr>
        <w:t xml:space="preserve">eo público que no tenga funciones detalladas en la ley o reglamento” y, que el artículo 6° superior, circunscribe la responsabilidad de los servidores públicos al marco de las funciones expresamente </w:t>
      </w:r>
      <w:r w:rsidRPr="0099235C">
        <w:rPr>
          <w:rFonts w:ascii="Times New Roman" w:hAnsi="Times New Roman"/>
        </w:rPr>
        <w:t>atribuidas.</w:t>
      </w:r>
    </w:p>
  </w:footnote>
  <w:footnote w:id="99">
    <w:p w:rsidR="001F2EFA" w:rsidRPr="00257C93" w:rsidRDefault="00DF77C8" w:rsidP="0095322C">
      <w:pPr>
        <w:pStyle w:val="Textonotapie"/>
        <w:jc w:val="both"/>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w:t>
      </w:r>
      <w:r w:rsidRPr="0099235C">
        <w:rPr>
          <w:rFonts w:ascii="Times New Roman" w:hAnsi="Times New Roman"/>
          <w:lang w:val="es-ES"/>
        </w:rPr>
        <w:t xml:space="preserve">Esta postura pudo constatarse de lo </w:t>
      </w:r>
      <w:r w:rsidRPr="0099235C">
        <w:rPr>
          <w:rFonts w:ascii="Times New Roman" w:hAnsi="Times New Roman"/>
          <w:lang w:val="es-ES"/>
        </w:rPr>
        <w:t>dispuesto en las providencias judiciales por los (as) magistrados (as) de la Sala Penal de la Corte Suprema de Justicia que fueron aportadas directamente al expediente D-15458, en virtud de las pruebas solicitadas por la magistrada sustanciadora mediante a</w:t>
      </w:r>
      <w:r w:rsidRPr="0099235C">
        <w:rPr>
          <w:rFonts w:ascii="Times New Roman" w:hAnsi="Times New Roman"/>
          <w:lang w:val="es-ES"/>
        </w:rPr>
        <w:t>uto del 27 de septiembre de 2023.</w:t>
      </w:r>
    </w:p>
  </w:footnote>
  <w:footnote w:id="100">
    <w:p w:rsidR="001F2EFA" w:rsidRPr="00CA6536" w:rsidRDefault="00DF77C8" w:rsidP="00E9482D">
      <w:pPr>
        <w:pStyle w:val="Textonotapie"/>
        <w:jc w:val="both"/>
        <w:rPr>
          <w:rFonts w:ascii="Times New Roman" w:hAnsi="Times New Roman"/>
        </w:rPr>
      </w:pPr>
      <w:r w:rsidRPr="00CA6536">
        <w:rPr>
          <w:rStyle w:val="Refdenotaalpie"/>
          <w:rFonts w:ascii="Times New Roman" w:hAnsi="Times New Roman"/>
        </w:rPr>
        <w:footnoteRef/>
      </w:r>
      <w:r w:rsidRPr="00CA6536">
        <w:rPr>
          <w:rFonts w:ascii="Times New Roman" w:hAnsi="Times New Roman"/>
        </w:rPr>
        <w:t xml:space="preserve"> ARTÍCULO 30. EXCEPCIONES A LA JURISDICCIÓN PENAL ORDINARIA. Se exceptúan los delitos cometidos por miembros de la Fuerza Pública en servicio activo y en relación con el mismo servicio, y los asuntos de los cuales conozca la jurisdicción indígena.</w:t>
      </w:r>
    </w:p>
    <w:p w:rsidR="001F2EFA" w:rsidRPr="00CA6536" w:rsidRDefault="00DF77C8" w:rsidP="00E9482D">
      <w:pPr>
        <w:pStyle w:val="Textonotapie"/>
        <w:jc w:val="both"/>
        <w:rPr>
          <w:rFonts w:ascii="Times New Roman" w:hAnsi="Times New Roman"/>
          <w:lang w:val="es-ES"/>
        </w:rPr>
      </w:pPr>
      <w:r w:rsidRPr="00CA6536">
        <w:rPr>
          <w:rFonts w:ascii="Times New Roman" w:hAnsi="Times New Roman"/>
          <w:lang w:val="es-ES"/>
        </w:rPr>
        <w:t>ARTÍCULO</w:t>
      </w:r>
      <w:r w:rsidRPr="00CA6536">
        <w:rPr>
          <w:rFonts w:ascii="Times New Roman" w:hAnsi="Times New Roman"/>
          <w:lang w:val="es-ES"/>
        </w:rPr>
        <w:t xml:space="preserve"> 31. ÓRGANOS DE LA JURISDICCIÓN. La administración de justicia en lo penal está conformada por los siguientes órganos:</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1. La Sala de Casación Penal de la Corte Suprema de Justicia.</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 xml:space="preserve">2. Los </w:t>
      </w:r>
      <w:r>
        <w:rPr>
          <w:rFonts w:ascii="Times New Roman" w:hAnsi="Times New Roman"/>
          <w:lang w:val="es-ES"/>
        </w:rPr>
        <w:t>Tribunal</w:t>
      </w:r>
      <w:r w:rsidRPr="005255CC">
        <w:rPr>
          <w:rFonts w:ascii="Times New Roman" w:hAnsi="Times New Roman"/>
          <w:lang w:val="es-ES"/>
        </w:rPr>
        <w:t>es superiores de distrito judicial.</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3. Los juzgados penal</w:t>
      </w:r>
      <w:r w:rsidRPr="005255CC">
        <w:rPr>
          <w:rFonts w:ascii="Times New Roman" w:hAnsi="Times New Roman"/>
          <w:lang w:val="es-ES"/>
        </w:rPr>
        <w:t>es de circuito especializados.</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rPr>
          <w:rFonts w:ascii="Times New Roman" w:hAnsi="Times New Roman"/>
          <w:lang w:val="es-ES"/>
        </w:rPr>
      </w:pPr>
      <w:r w:rsidRPr="005255CC">
        <w:rPr>
          <w:rFonts w:ascii="Times New Roman" w:hAnsi="Times New Roman"/>
          <w:lang w:val="es-ES"/>
        </w:rPr>
        <w:t>4. Los juzgados penales de circuito.</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5. Los juzgados penales municipales.</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6. Los juzgados promiscuos cuando resuelven asuntos de carácter penal.</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7. Los juzgados de ejecución de penas y medidas de seguridad.</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5255CC">
        <w:rPr>
          <w:rFonts w:ascii="Times New Roman" w:hAnsi="Times New Roman"/>
          <w:lang w:val="es-ES"/>
        </w:rPr>
        <w:t>8. Los jurado</w:t>
      </w:r>
      <w:r w:rsidRPr="005255CC">
        <w:rPr>
          <w:rFonts w:ascii="Times New Roman" w:hAnsi="Times New Roman"/>
          <w:lang w:val="es-ES"/>
        </w:rPr>
        <w:t>s en las causas criminales, en los términos que determine la ley.</w:t>
      </w:r>
    </w:p>
    <w:p w:rsidR="001F2EFA" w:rsidRPr="005255CC" w:rsidRDefault="00DF77C8" w:rsidP="00E9482D">
      <w:pPr>
        <w:pStyle w:val="Textonotapie"/>
        <w:jc w:val="both"/>
        <w:rPr>
          <w:rFonts w:ascii="Times New Roman" w:hAnsi="Times New Roman"/>
          <w:lang w:val="es-ES"/>
        </w:rPr>
      </w:pPr>
    </w:p>
    <w:p w:rsidR="001F2EFA" w:rsidRPr="005255CC" w:rsidRDefault="00DF77C8" w:rsidP="00E9482D">
      <w:pPr>
        <w:pStyle w:val="Textonotapie"/>
        <w:jc w:val="both"/>
        <w:rPr>
          <w:rFonts w:ascii="Times New Roman" w:hAnsi="Times New Roman"/>
          <w:lang w:val="es-ES"/>
        </w:rPr>
      </w:pPr>
      <w:r w:rsidRPr="00A550B9">
        <w:rPr>
          <w:rFonts w:ascii="Times New Roman" w:hAnsi="Times New Roman"/>
          <w:b/>
          <w:lang w:val="es-ES"/>
        </w:rPr>
        <w:t xml:space="preserve">PARÁGRAFO 1o. También ejercerán jurisdicción penal las autoridades judiciales que excepcionalmente cumplen funciones de control de garantías </w:t>
      </w:r>
      <w:r>
        <w:rPr>
          <w:rFonts w:ascii="Times New Roman" w:hAnsi="Times New Roman"/>
          <w:lang w:val="es-ES"/>
        </w:rPr>
        <w:t>(…)” (Negrilla fuera de texto).</w:t>
      </w:r>
    </w:p>
  </w:footnote>
  <w:footnote w:id="101">
    <w:p w:rsidR="001F2EFA" w:rsidRPr="004E3341" w:rsidRDefault="00DF77C8" w:rsidP="00E9482D">
      <w:pPr>
        <w:pStyle w:val="Textonotapie"/>
        <w:jc w:val="both"/>
        <w:rPr>
          <w:lang w:val="es-ES"/>
        </w:rPr>
      </w:pPr>
      <w:r>
        <w:rPr>
          <w:rStyle w:val="Refdenotaalpie"/>
        </w:rPr>
        <w:footnoteRef/>
      </w:r>
      <w:r>
        <w:t xml:space="preserve"> </w:t>
      </w:r>
      <w:r w:rsidRPr="00C671CC">
        <w:rPr>
          <w:rFonts w:ascii="Times New Roman" w:hAnsi="Times New Roman"/>
          <w:lang w:val="es-ES"/>
        </w:rPr>
        <w:t>Sobre la compe</w:t>
      </w:r>
      <w:r w:rsidRPr="00C671CC">
        <w:rPr>
          <w:rFonts w:ascii="Times New Roman" w:hAnsi="Times New Roman"/>
          <w:lang w:val="es-ES"/>
        </w:rPr>
        <w:t>tencia funcional, la Corte Suprema de Justicia</w:t>
      </w:r>
      <w:r>
        <w:rPr>
          <w:rFonts w:ascii="Times New Roman" w:hAnsi="Times New Roman"/>
          <w:lang w:val="es-ES"/>
        </w:rPr>
        <w:t xml:space="preserve">, en el proceso </w:t>
      </w:r>
      <w:r w:rsidRPr="00C671CC">
        <w:rPr>
          <w:rFonts w:ascii="Times New Roman" w:hAnsi="Times New Roman"/>
          <w:lang w:val="es-ES"/>
        </w:rPr>
        <w:t>SC4415-2016</w:t>
      </w:r>
      <w:r>
        <w:rPr>
          <w:rFonts w:ascii="Times New Roman" w:hAnsi="Times New Roman"/>
          <w:lang w:val="es-ES"/>
        </w:rPr>
        <w:t xml:space="preserve"> </w:t>
      </w:r>
      <w:r w:rsidRPr="00C671CC">
        <w:rPr>
          <w:rFonts w:ascii="Times New Roman" w:hAnsi="Times New Roman"/>
          <w:lang w:val="es-ES"/>
        </w:rPr>
        <w:t>Exp.: 11001-02-03-000-2012-02126-00</w:t>
      </w:r>
      <w:r>
        <w:rPr>
          <w:rFonts w:ascii="Times New Roman" w:hAnsi="Times New Roman"/>
          <w:lang w:val="es-ES"/>
        </w:rPr>
        <w:t>, señaló</w:t>
      </w:r>
      <w:r w:rsidRPr="00C671CC">
        <w:rPr>
          <w:rFonts w:ascii="Times New Roman" w:hAnsi="Times New Roman"/>
          <w:lang w:val="es-ES"/>
        </w:rPr>
        <w:t>: “</w:t>
      </w:r>
      <w:r>
        <w:rPr>
          <w:rFonts w:ascii="Times New Roman" w:hAnsi="Times New Roman"/>
          <w:lang w:val="es-ES"/>
        </w:rPr>
        <w:t xml:space="preserve">(…) </w:t>
      </w:r>
      <w:r w:rsidRPr="00C671CC">
        <w:rPr>
          <w:rFonts w:ascii="Times New Roman" w:hAnsi="Times New Roman"/>
          <w:lang w:val="es-ES"/>
        </w:rPr>
        <w:t xml:space="preserve">Como bien se sabe, para la distribución de la competencia entre los distintos funcionarios judiciales, deben tenerse en cuenta </w:t>
      </w:r>
      <w:r w:rsidRPr="00C671CC">
        <w:rPr>
          <w:rFonts w:ascii="Times New Roman" w:hAnsi="Times New Roman"/>
          <w:lang w:val="es-ES"/>
        </w:rPr>
        <w:t>ciertos criterios que en el derecho procesal se conocen como factores determinantes de competencia, uno de los cuales es el funcional, referido al repartimiento vertical o por grado de la competencia, en consideración a</w:t>
      </w:r>
      <w:r w:rsidRPr="00C671CC">
        <w:rPr>
          <w:lang w:val="es-ES"/>
        </w:rPr>
        <w:t xml:space="preserve"> </w:t>
      </w:r>
      <w:r w:rsidRPr="00C671CC">
        <w:rPr>
          <w:rFonts w:ascii="Times New Roman" w:hAnsi="Times New Roman"/>
          <w:lang w:val="es-ES"/>
        </w:rPr>
        <w:t>estadios procesales. Sin duda alguna</w:t>
      </w:r>
      <w:r w:rsidRPr="00C671CC">
        <w:rPr>
          <w:rFonts w:ascii="Times New Roman" w:hAnsi="Times New Roman"/>
          <w:lang w:val="es-ES"/>
        </w:rPr>
        <w:t>, la noción distintiva entre jueces a quo y ad quem, nace de la aplicación de este criterio distributivo, porque entre uno de sus roles está, precisamente, el de poner en vigencia el principio constitucional de la doble instancia, según el cual al superior</w:t>
      </w:r>
      <w:r w:rsidRPr="00C671CC">
        <w:rPr>
          <w:rFonts w:ascii="Times New Roman" w:hAnsi="Times New Roman"/>
          <w:lang w:val="es-ES"/>
        </w:rPr>
        <w:t xml:space="preserve"> jerárquico funcional le corresponde conocer, entre otros, del recurso de apelación interpuesto contra las providencias dictadas por sus inferiores…”</w:t>
      </w:r>
      <w:r>
        <w:rPr>
          <w:rFonts w:ascii="Times New Roman" w:hAnsi="Times New Roman"/>
          <w:lang w:val="es-ES"/>
        </w:rPr>
        <w:t>.</w:t>
      </w:r>
    </w:p>
  </w:footnote>
  <w:footnote w:id="102">
    <w:p w:rsidR="001F2EFA" w:rsidRPr="0099235C" w:rsidRDefault="00DF77C8" w:rsidP="00E9482D">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w:t>
      </w:r>
      <w:r w:rsidRPr="0099235C">
        <w:rPr>
          <w:rFonts w:ascii="Times New Roman" w:hAnsi="Times New Roman"/>
          <w:lang w:val="es-ES"/>
        </w:rPr>
        <w:t>Proceso Nº 15262 del 2 de mayo de 2002 (M.P. Fernando E. Arboleda Ripoll)</w:t>
      </w:r>
    </w:p>
  </w:footnote>
  <w:footnote w:id="103">
    <w:p w:rsidR="001F2EFA" w:rsidRPr="005E2009" w:rsidRDefault="00DF77C8" w:rsidP="00E9482D">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w:t>
      </w:r>
      <w:r w:rsidRPr="0099235C">
        <w:rPr>
          <w:rFonts w:ascii="Times New Roman" w:hAnsi="Times New Roman"/>
          <w:lang w:val="es-ES"/>
        </w:rPr>
        <w:t xml:space="preserve">Esta misma postura ha sido </w:t>
      </w:r>
      <w:r w:rsidRPr="0099235C">
        <w:rPr>
          <w:rFonts w:ascii="Times New Roman" w:hAnsi="Times New Roman"/>
          <w:lang w:val="es-ES"/>
        </w:rPr>
        <w:t>reiterada en sentencias como la C-406 de 2021</w:t>
      </w:r>
    </w:p>
  </w:footnote>
  <w:footnote w:id="104">
    <w:p w:rsidR="001F2EFA" w:rsidRPr="0099235C" w:rsidRDefault="00DF77C8" w:rsidP="008410BE">
      <w:pPr>
        <w:pStyle w:val="Textonotapie"/>
        <w:jc w:val="both"/>
        <w:rPr>
          <w:rFonts w:ascii="Times New Roman" w:hAnsi="Times New Roman"/>
          <w:lang w:val="es-ES"/>
        </w:rPr>
      </w:pPr>
      <w:r w:rsidRPr="00A70B7B">
        <w:rPr>
          <w:rStyle w:val="Refdenotaalpie"/>
          <w:rFonts w:ascii="Times New Roman" w:hAnsi="Times New Roman"/>
        </w:rPr>
        <w:footnoteRef/>
      </w:r>
      <w:r w:rsidRPr="00A70B7B">
        <w:rPr>
          <w:rFonts w:ascii="Times New Roman" w:hAnsi="Times New Roman"/>
        </w:rPr>
        <w:t xml:space="preserve"> Es importante recordar que, en otros pronunciamientos, como la Sentencia SU-373 de 2019, se analizó un caso relacionado con la doble conformidad judicial, y en esta providencia la Corte le ordenó a la Sala Pe</w:t>
      </w:r>
      <w:r w:rsidRPr="00A70B7B">
        <w:rPr>
          <w:rFonts w:ascii="Times New Roman" w:hAnsi="Times New Roman"/>
        </w:rPr>
        <w:t xml:space="preserve">nal de </w:t>
      </w:r>
      <w:r w:rsidRPr="0099235C">
        <w:rPr>
          <w:rFonts w:ascii="Times New Roman" w:hAnsi="Times New Roman"/>
        </w:rPr>
        <w:t>la Corte Suprema de Justicia que, en virtud de la aplicación directa de la Constitución,</w:t>
      </w:r>
      <w:r w:rsidRPr="0099235C">
        <w:t xml:space="preserve"> </w:t>
      </w:r>
      <w:r w:rsidRPr="0099235C">
        <w:rPr>
          <w:rFonts w:ascii="Times New Roman" w:hAnsi="Times New Roman"/>
        </w:rPr>
        <w:t>resolviera la solicitud de doble conformidad judicial de la primera condena.</w:t>
      </w:r>
    </w:p>
  </w:footnote>
  <w:footnote w:id="105">
    <w:p w:rsidR="001F2EFA" w:rsidRPr="00924781" w:rsidRDefault="00DF77C8">
      <w:pPr>
        <w:pStyle w:val="Textonotapie"/>
        <w:rPr>
          <w:rFonts w:ascii="Times New Roman" w:hAnsi="Times New Roman"/>
          <w:lang w:val="es-ES"/>
        </w:rPr>
      </w:pPr>
      <w:r w:rsidRPr="0099235C">
        <w:rPr>
          <w:rStyle w:val="Refdenotaalpie"/>
          <w:rFonts w:ascii="Times New Roman" w:hAnsi="Times New Roman"/>
        </w:rPr>
        <w:footnoteRef/>
      </w:r>
      <w:r w:rsidRPr="0099235C">
        <w:rPr>
          <w:rFonts w:ascii="Times New Roman" w:hAnsi="Times New Roman"/>
        </w:rPr>
        <w:t xml:space="preserve"> Al respecto, pueden consultarse, entre otras, las Sentencias C-444 de 2011, C-623</w:t>
      </w:r>
      <w:r w:rsidRPr="0099235C">
        <w:rPr>
          <w:rFonts w:ascii="Times New Roman" w:hAnsi="Times New Roman"/>
        </w:rPr>
        <w:t xml:space="preserve"> de 2015, C-155 de 2022, C-507 de 2020, C-153 de 2022.</w:t>
      </w:r>
    </w:p>
  </w:footnote>
  <w:footnote w:id="106">
    <w:p w:rsidR="001F2EFA" w:rsidRPr="008C7E06" w:rsidRDefault="00DF77C8">
      <w:pPr>
        <w:pStyle w:val="Textonotapie"/>
        <w:rPr>
          <w:rFonts w:ascii="Times New Roman" w:hAnsi="Times New Roman"/>
          <w:lang w:val="es-ES"/>
        </w:rPr>
      </w:pPr>
      <w:r w:rsidRPr="008C7E06">
        <w:rPr>
          <w:rStyle w:val="Refdenotaalpie"/>
          <w:rFonts w:ascii="Times New Roman" w:hAnsi="Times New Roman"/>
        </w:rPr>
        <w:footnoteRef/>
      </w:r>
      <w:r w:rsidRPr="008C7E06">
        <w:rPr>
          <w:rFonts w:ascii="Times New Roman" w:hAnsi="Times New Roman"/>
        </w:rPr>
        <w:t xml:space="preserve"> </w:t>
      </w:r>
      <w:r w:rsidRPr="008C7E06">
        <w:rPr>
          <w:rFonts w:ascii="Times New Roman" w:hAnsi="Times New Roman"/>
          <w:lang w:val="es-ES"/>
        </w:rPr>
        <w:t>Sentencia C-113 de 1993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074FF"/>
    <w:multiLevelType w:val="multilevel"/>
    <w:tmpl w:val="6F38212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FF3ADB"/>
    <w:multiLevelType w:val="hybridMultilevel"/>
    <w:tmpl w:val="62061BC6"/>
    <w:lvl w:ilvl="0" w:tplc="E4425236">
      <w:start w:val="152"/>
      <w:numFmt w:val="decimal"/>
      <w:lvlText w:val="%1."/>
      <w:lvlJc w:val="left"/>
      <w:pPr>
        <w:ind w:left="1518" w:hanging="525"/>
      </w:pPr>
      <w:rPr>
        <w:rFonts w:hint="default"/>
        <w:b w:val="0"/>
        <w:i w:val="0"/>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4D0"/>
    <w:rsid w:val="004974D0"/>
    <w:rsid w:val="008F170D"/>
    <w:rsid w:val="00DF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75D6B29-5074-461D-8161-95C7F8C15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Ttulo1">
    <w:name w:val="heading 1"/>
    <w:basedOn w:val="Ttulo"/>
    <w:next w:val="Normal"/>
    <w:link w:val="Ttulo1Car"/>
    <w:uiPriority w:val="9"/>
    <w:qFormat/>
    <w:rsid w:val="00473B18"/>
    <w:pPr>
      <w:tabs>
        <w:tab w:val="left" w:pos="709"/>
      </w:tabs>
      <w:ind w:left="709" w:right="51" w:hanging="709"/>
      <w:outlineLvl w:val="0"/>
    </w:pPr>
    <w:rPr>
      <w:sz w:val="32"/>
      <w:szCs w:val="32"/>
    </w:rPr>
  </w:style>
  <w:style w:type="paragraph" w:styleId="Ttulo2">
    <w:name w:val="heading 2"/>
    <w:basedOn w:val="Normal"/>
    <w:next w:val="Normal"/>
    <w:link w:val="Ttulo2Car"/>
    <w:uiPriority w:val="9"/>
    <w:semiHidden/>
    <w:unhideWhenUsed/>
    <w:qFormat/>
    <w:rsid w:val="00A63C07"/>
    <w:pPr>
      <w:keepNext/>
      <w:keepLines/>
      <w:spacing w:before="40"/>
      <w:outlineLvl w:val="1"/>
    </w:pPr>
    <w:rPr>
      <w:rFonts w:ascii="Calibri Light" w:hAnsi="Calibri Light"/>
      <w:color w:val="2E74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spacing w:after="160" w:line="259" w:lineRule="auto"/>
    </w:pPr>
    <w:rPr>
      <w:sz w:val="22"/>
      <w:szCs w:val="22"/>
    </w:rPr>
    <w:tblPr>
      <w:tblCellMar>
        <w:top w:w="0" w:type="dxa"/>
        <w:left w:w="0" w:type="dxa"/>
        <w:bottom w:w="0" w:type="dxa"/>
        <w:right w:w="0" w:type="dxa"/>
      </w:tblCellMar>
    </w:tblPr>
  </w:style>
  <w:style w:type="paragraph" w:styleId="Ttulo">
    <w:name w:val="Title"/>
    <w:basedOn w:val="Normal"/>
    <w:link w:val="TtuloCar"/>
    <w:uiPriority w:val="10"/>
    <w:qFormat/>
    <w:rsid w:val="00473B18"/>
    <w:pPr>
      <w:overflowPunct w:val="0"/>
      <w:autoSpaceDE w:val="0"/>
      <w:autoSpaceDN w:val="0"/>
      <w:adjustRightInd w:val="0"/>
      <w:jc w:val="center"/>
      <w:textAlignment w:val="baseline"/>
    </w:pPr>
    <w:rPr>
      <w:rFonts w:ascii="Times New Roman" w:hAnsi="Times New Roman"/>
      <w:b/>
      <w:sz w:val="20"/>
      <w:szCs w:val="20"/>
      <w:lang w:val="es-ES" w:eastAsia="es-ES"/>
    </w:rPr>
  </w:style>
  <w:style w:type="table" w:customStyle="1" w:styleId="TableNormal0">
    <w:name w:val="Table Normal"/>
    <w:pPr>
      <w:spacing w:after="160" w:line="259" w:lineRule="auto"/>
    </w:pPr>
    <w:rPr>
      <w:sz w:val="22"/>
      <w:szCs w:val="22"/>
    </w:rPr>
    <w:tblPr>
      <w:tblCellMar>
        <w:top w:w="0" w:type="dxa"/>
        <w:left w:w="0" w:type="dxa"/>
        <w:bottom w:w="0" w:type="dxa"/>
        <w:right w:w="0" w:type="dxa"/>
      </w:tblCellMar>
    </w:tblPr>
  </w:style>
  <w:style w:type="character" w:customStyle="1" w:styleId="Ttulo1Car">
    <w:name w:val="Título 1 Car"/>
    <w:link w:val="Ttulo1"/>
    <w:rsid w:val="00473B18"/>
    <w:rPr>
      <w:rFonts w:ascii="Times New Roman" w:eastAsia="Times New Roman" w:hAnsi="Times New Roman" w:cs="Times New Roman"/>
      <w:b/>
      <w:sz w:val="32"/>
      <w:szCs w:val="32"/>
      <w:lang w:val="es-ES" w:eastAsia="es-ES"/>
    </w:rPr>
  </w:style>
  <w:style w:type="character" w:customStyle="1" w:styleId="TtuloCar">
    <w:name w:val="Título Car"/>
    <w:link w:val="Ttulo"/>
    <w:rsid w:val="00473B18"/>
    <w:rPr>
      <w:rFonts w:ascii="Times New Roman" w:eastAsia="Times New Roman" w:hAnsi="Times New Roman" w:cs="Times New Roman"/>
      <w:b/>
      <w:sz w:val="20"/>
      <w:szCs w:val="20"/>
      <w:lang w:val="es-ES" w:eastAsia="es-ES"/>
    </w:rPr>
  </w:style>
  <w:style w:type="character" w:styleId="Nmerodepgina">
    <w:name w:val="page number"/>
    <w:basedOn w:val="Fuentedeprrafopredeter"/>
    <w:uiPriority w:val="99"/>
    <w:rsid w:val="005C3626"/>
  </w:style>
  <w:style w:type="character" w:customStyle="1" w:styleId="Ttulo2Car">
    <w:name w:val="Título 2 Car"/>
    <w:link w:val="Ttulo2"/>
    <w:uiPriority w:val="9"/>
    <w:rsid w:val="00A63C07"/>
    <w:rPr>
      <w:rFonts w:ascii="Calibri Light" w:eastAsia="Times New Roman" w:hAnsi="Calibri Light" w:cs="Times New Roman"/>
      <w:color w:val="2E74B5"/>
      <w:sz w:val="26"/>
      <w:szCs w:val="26"/>
    </w:rPr>
  </w:style>
  <w:style w:type="paragraph" w:styleId="Textoindependiente">
    <w:name w:val="Body Text"/>
    <w:basedOn w:val="Normal"/>
    <w:link w:val="TextoindependienteCar"/>
    <w:uiPriority w:val="99"/>
    <w:unhideWhenUsed/>
    <w:rsid w:val="00A63C07"/>
    <w:pPr>
      <w:spacing w:after="120"/>
    </w:pPr>
  </w:style>
  <w:style w:type="character" w:customStyle="1" w:styleId="TextoindependienteCar">
    <w:name w:val="Texto independiente Car"/>
    <w:basedOn w:val="Fuentedeprrafopredeter"/>
    <w:link w:val="Textoindependiente"/>
    <w:uiPriority w:val="99"/>
    <w:rsid w:val="00A63C07"/>
  </w:style>
  <w:style w:type="paragraph" w:styleId="Sangradetextonormal">
    <w:name w:val="Body Text Indent"/>
    <w:basedOn w:val="Normal"/>
    <w:link w:val="SangradetextonormalCar"/>
    <w:uiPriority w:val="99"/>
    <w:unhideWhenUsed/>
    <w:rsid w:val="00A63C07"/>
    <w:pPr>
      <w:spacing w:after="120"/>
      <w:ind w:left="283"/>
    </w:pPr>
  </w:style>
  <w:style w:type="character" w:customStyle="1" w:styleId="SangradetextonormalCar">
    <w:name w:val="Sangría de texto normal Car"/>
    <w:basedOn w:val="Fuentedeprrafopredeter"/>
    <w:link w:val="Sangradetextonormal"/>
    <w:uiPriority w:val="99"/>
    <w:rsid w:val="00A63C07"/>
  </w:style>
  <w:style w:type="paragraph" w:styleId="Textoindependienteprimerasangra2">
    <w:name w:val="Body Text First Indent 2"/>
    <w:basedOn w:val="Sangradetextonormal"/>
    <w:link w:val="Textoindependienteprimerasangra2Car"/>
    <w:uiPriority w:val="99"/>
    <w:unhideWhenUsed/>
    <w:rsid w:val="00A63C0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63C07"/>
  </w:style>
  <w:style w:type="paragraph" w:styleId="Prrafodelista">
    <w:name w:val="List Paragraph"/>
    <w:aliases w:val="Colorful List - Accent 11,Ha,lp1,List Paragraph2,párrafos sentencia,Normal1,Normal2,Lista vistosa - Énfasis 11,normal,Footnote,List1,titulo 3,Párrafo de lista1,Bullets,Párrafo de lista2,Cuadrícula clara - Énfasis 31"/>
    <w:basedOn w:val="Normal"/>
    <w:link w:val="PrrafodelistaCar"/>
    <w:uiPriority w:val="34"/>
    <w:qFormat/>
    <w:rsid w:val="00170459"/>
    <w:pPr>
      <w:ind w:left="720"/>
      <w:contextualSpacing/>
    </w:pPr>
  </w:style>
  <w:style w:type="paragraph" w:styleId="Encabezado">
    <w:name w:val="header"/>
    <w:basedOn w:val="Normal"/>
    <w:link w:val="EncabezadoCar"/>
    <w:uiPriority w:val="99"/>
    <w:unhideWhenUsed/>
    <w:rsid w:val="00A54D02"/>
    <w:pPr>
      <w:tabs>
        <w:tab w:val="center" w:pos="4419"/>
        <w:tab w:val="right" w:pos="8838"/>
      </w:tabs>
    </w:pPr>
  </w:style>
  <w:style w:type="character" w:customStyle="1" w:styleId="EncabezadoCar">
    <w:name w:val="Encabezado Car"/>
    <w:basedOn w:val="Fuentedeprrafopredeter"/>
    <w:link w:val="Encabezado"/>
    <w:uiPriority w:val="99"/>
    <w:rsid w:val="00A54D02"/>
  </w:style>
  <w:style w:type="paragraph" w:styleId="Piedepgina">
    <w:name w:val="footer"/>
    <w:basedOn w:val="Normal"/>
    <w:link w:val="PiedepginaCar"/>
    <w:uiPriority w:val="99"/>
    <w:unhideWhenUsed/>
    <w:rsid w:val="00A54D02"/>
    <w:pPr>
      <w:tabs>
        <w:tab w:val="center" w:pos="4419"/>
        <w:tab w:val="right" w:pos="8838"/>
      </w:tabs>
    </w:pPr>
  </w:style>
  <w:style w:type="character" w:customStyle="1" w:styleId="PiedepginaCar">
    <w:name w:val="Pie de página Car"/>
    <w:basedOn w:val="Fuentedeprrafopredeter"/>
    <w:link w:val="Piedepgina"/>
    <w:uiPriority w:val="99"/>
    <w:rsid w:val="00A54D02"/>
  </w:style>
  <w:style w:type="paragraph" w:styleId="Textodeglobo">
    <w:name w:val="Balloon Text"/>
    <w:basedOn w:val="Normal"/>
    <w:link w:val="TextodegloboCar"/>
    <w:uiPriority w:val="99"/>
    <w:semiHidden/>
    <w:unhideWhenUsed/>
    <w:rsid w:val="00307153"/>
    <w:rPr>
      <w:rFonts w:ascii="Segoe UI" w:hAnsi="Segoe UI" w:cs="Segoe UI"/>
      <w:sz w:val="18"/>
      <w:szCs w:val="18"/>
    </w:rPr>
  </w:style>
  <w:style w:type="character" w:customStyle="1" w:styleId="TextodegloboCar">
    <w:name w:val="Texto de globo Car"/>
    <w:link w:val="Textodeglobo"/>
    <w:uiPriority w:val="99"/>
    <w:semiHidden/>
    <w:rsid w:val="00307153"/>
    <w:rPr>
      <w:rFonts w:ascii="Segoe UI" w:hAnsi="Segoe UI" w:cs="Segoe UI"/>
      <w:sz w:val="18"/>
      <w:szCs w:val="18"/>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EE4C1B"/>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link w:val="Textonotapie"/>
    <w:uiPriority w:val="99"/>
    <w:qFormat/>
    <w:rsid w:val="00EE4C1B"/>
    <w:rPr>
      <w:sz w:val="20"/>
      <w:szCs w:val="20"/>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link w:val="Refdenotaalpie2"/>
    <w:uiPriority w:val="99"/>
    <w:unhideWhenUsed/>
    <w:qFormat/>
    <w:rsid w:val="00EE4C1B"/>
    <w:rPr>
      <w:vertAlign w:val="superscript"/>
    </w:rPr>
  </w:style>
  <w:style w:type="character" w:styleId="Refdecomentario">
    <w:name w:val="annotation reference"/>
    <w:uiPriority w:val="99"/>
    <w:semiHidden/>
    <w:unhideWhenUsed/>
    <w:rsid w:val="0059716E"/>
    <w:rPr>
      <w:sz w:val="16"/>
      <w:szCs w:val="16"/>
    </w:rPr>
  </w:style>
  <w:style w:type="paragraph" w:styleId="Textocomentario">
    <w:name w:val="annotation text"/>
    <w:basedOn w:val="Normal"/>
    <w:link w:val="TextocomentarioCar"/>
    <w:uiPriority w:val="99"/>
    <w:semiHidden/>
    <w:unhideWhenUsed/>
    <w:rsid w:val="0059716E"/>
    <w:rPr>
      <w:sz w:val="20"/>
      <w:szCs w:val="20"/>
    </w:rPr>
  </w:style>
  <w:style w:type="character" w:customStyle="1" w:styleId="TextocomentarioCar">
    <w:name w:val="Texto comentario Car"/>
    <w:link w:val="Textocomentario"/>
    <w:uiPriority w:val="99"/>
    <w:semiHidden/>
    <w:rsid w:val="0059716E"/>
    <w:rPr>
      <w:sz w:val="20"/>
      <w:szCs w:val="20"/>
    </w:rPr>
  </w:style>
  <w:style w:type="paragraph" w:styleId="Asuntodelcomentario">
    <w:name w:val="annotation subject"/>
    <w:basedOn w:val="Textocomentario"/>
    <w:next w:val="Textocomentario"/>
    <w:link w:val="AsuntodelcomentarioCar"/>
    <w:uiPriority w:val="99"/>
    <w:semiHidden/>
    <w:unhideWhenUsed/>
    <w:rsid w:val="0059716E"/>
    <w:rPr>
      <w:b/>
      <w:bCs/>
    </w:rPr>
  </w:style>
  <w:style w:type="character" w:customStyle="1" w:styleId="AsuntodelcomentarioCar">
    <w:name w:val="Asunto del comentario Car"/>
    <w:link w:val="Asuntodelcomentario"/>
    <w:uiPriority w:val="99"/>
    <w:semiHidden/>
    <w:rsid w:val="0059716E"/>
    <w:rPr>
      <w:b/>
      <w:bCs/>
      <w:sz w:val="20"/>
      <w:szCs w:val="20"/>
    </w:rPr>
  </w:style>
  <w:style w:type="table" w:styleId="Tablaconcuadrcula">
    <w:name w:val="Table Grid"/>
    <w:basedOn w:val="Tablanormal"/>
    <w:uiPriority w:val="39"/>
    <w:rsid w:val="00467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0374"/>
    <w:pPr>
      <w:autoSpaceDE w:val="0"/>
      <w:autoSpaceDN w:val="0"/>
      <w:adjustRightInd w:val="0"/>
      <w:spacing w:after="160" w:line="259" w:lineRule="auto"/>
    </w:pPr>
    <w:rPr>
      <w:rFonts w:ascii="Arial" w:hAnsi="Arial" w:cs="Arial"/>
      <w:color w:val="000000"/>
      <w:sz w:val="24"/>
      <w:szCs w:val="24"/>
    </w:rPr>
  </w:style>
  <w:style w:type="paragraph" w:customStyle="1" w:styleId="Refdenotaalpie2">
    <w:name w:val="Ref. de nota al pie2"/>
    <w:aliases w:val="Pie de pagina"/>
    <w:basedOn w:val="Normal"/>
    <w:link w:val="Refdenotaalpie"/>
    <w:uiPriority w:val="99"/>
    <w:qFormat/>
    <w:rsid w:val="00ED497F"/>
    <w:pPr>
      <w:spacing w:line="240" w:lineRule="exact"/>
    </w:pPr>
    <w:rPr>
      <w:vertAlign w:val="superscript"/>
    </w:rPr>
  </w:style>
  <w:style w:type="paragraph" w:styleId="NormalWeb">
    <w:name w:val="Normal (Web)"/>
    <w:basedOn w:val="Normal"/>
    <w:uiPriority w:val="99"/>
    <w:rsid w:val="00994D29"/>
    <w:pPr>
      <w:spacing w:before="100" w:beforeAutospacing="1" w:after="100" w:afterAutospacing="1"/>
    </w:pPr>
    <w:rPr>
      <w:rFonts w:ascii="Times New Roman" w:hAnsi="Times New Roman"/>
      <w:sz w:val="24"/>
      <w:szCs w:val="24"/>
      <w:lang w:val="es-ES" w:eastAsia="es-ES"/>
    </w:rPr>
  </w:style>
  <w:style w:type="paragraph" w:customStyle="1" w:styleId="bodytext25">
    <w:name w:val="bodytext25"/>
    <w:basedOn w:val="Normal"/>
    <w:rsid w:val="00994D29"/>
    <w:pPr>
      <w:spacing w:before="100" w:beforeAutospacing="1" w:after="100" w:afterAutospacing="1"/>
    </w:pPr>
    <w:rPr>
      <w:rFonts w:ascii="Times New Roman" w:hAnsi="Times New Roman"/>
      <w:sz w:val="24"/>
      <w:szCs w:val="24"/>
    </w:rPr>
  </w:style>
  <w:style w:type="paragraph" w:styleId="Textoindependiente2">
    <w:name w:val="Body Text 2"/>
    <w:basedOn w:val="Normal"/>
    <w:link w:val="Textoindependiente2Car"/>
    <w:uiPriority w:val="99"/>
    <w:rsid w:val="00994D29"/>
    <w:pPr>
      <w:overflowPunct w:val="0"/>
      <w:autoSpaceDE w:val="0"/>
      <w:autoSpaceDN w:val="0"/>
      <w:adjustRightInd w:val="0"/>
      <w:spacing w:after="120" w:line="480" w:lineRule="auto"/>
      <w:textAlignment w:val="baseline"/>
    </w:pPr>
    <w:rPr>
      <w:rFonts w:ascii="Times New Roman" w:hAnsi="Times New Roman"/>
      <w:sz w:val="28"/>
      <w:szCs w:val="20"/>
      <w:lang w:val="es-ES_tradnl" w:eastAsia="es-ES"/>
    </w:rPr>
  </w:style>
  <w:style w:type="character" w:customStyle="1" w:styleId="Textoindependiente2Car">
    <w:name w:val="Texto independiente 2 Car"/>
    <w:link w:val="Textoindependiente2"/>
    <w:uiPriority w:val="99"/>
    <w:rsid w:val="00994D29"/>
    <w:rPr>
      <w:rFonts w:ascii="Times New Roman" w:eastAsia="Times New Roman" w:hAnsi="Times New Roman" w:cs="Times New Roman"/>
      <w:sz w:val="28"/>
      <w:szCs w:val="20"/>
      <w:lang w:val="es-ES_tradnl" w:eastAsia="es-ES"/>
    </w:rPr>
  </w:style>
  <w:style w:type="paragraph" w:customStyle="1" w:styleId="Estilo">
    <w:name w:val="Estilo"/>
    <w:basedOn w:val="Normal"/>
    <w:rsid w:val="00994D29"/>
    <w:pPr>
      <w:spacing w:line="240" w:lineRule="exact"/>
    </w:pPr>
    <w:rPr>
      <w:rFonts w:ascii="Times New Roman" w:hAnsi="Times New Roman"/>
      <w:noProof/>
      <w:color w:val="000000"/>
      <w:sz w:val="20"/>
      <w:szCs w:val="20"/>
      <w:lang w:eastAsia="es-ES"/>
    </w:rPr>
  </w:style>
  <w:style w:type="paragraph" w:customStyle="1" w:styleId="BodyText21">
    <w:name w:val="Body Text 21"/>
    <w:basedOn w:val="Normal"/>
    <w:rsid w:val="00994D29"/>
    <w:pPr>
      <w:widowControl w:val="0"/>
      <w:overflowPunct w:val="0"/>
      <w:autoSpaceDE w:val="0"/>
      <w:autoSpaceDN w:val="0"/>
      <w:adjustRightInd w:val="0"/>
      <w:spacing w:line="360" w:lineRule="auto"/>
      <w:jc w:val="both"/>
    </w:pPr>
    <w:rPr>
      <w:rFonts w:ascii="Times New Roman" w:hAnsi="Times New Roman"/>
      <w:noProof/>
      <w:sz w:val="28"/>
      <w:szCs w:val="28"/>
      <w:lang w:eastAsia="es-ES"/>
    </w:rPr>
  </w:style>
  <w:style w:type="paragraph" w:customStyle="1" w:styleId="Sangradetindependiente">
    <w:name w:val="Sangría de t. independiente"/>
    <w:basedOn w:val="Normal"/>
    <w:rsid w:val="00994D29"/>
    <w:pPr>
      <w:autoSpaceDE w:val="0"/>
      <w:autoSpaceDN w:val="0"/>
      <w:ind w:left="3960"/>
    </w:pPr>
    <w:rPr>
      <w:rFonts w:ascii="Times New Roman" w:hAnsi="Times New Roman"/>
      <w:sz w:val="28"/>
      <w:szCs w:val="28"/>
      <w:lang w:val="es-ES" w:eastAsia="es-ES"/>
    </w:rPr>
  </w:style>
  <w:style w:type="paragraph" w:customStyle="1" w:styleId="a">
    <w:basedOn w:val="Normal"/>
    <w:next w:val="Ttulo"/>
    <w:link w:val="PuestoCar"/>
    <w:uiPriority w:val="10"/>
    <w:qFormat/>
    <w:rsid w:val="00994D29"/>
    <w:pPr>
      <w:overflowPunct w:val="0"/>
      <w:autoSpaceDE w:val="0"/>
      <w:autoSpaceDN w:val="0"/>
      <w:adjustRightInd w:val="0"/>
      <w:jc w:val="center"/>
      <w:textAlignment w:val="baseline"/>
    </w:pPr>
    <w:rPr>
      <w:rFonts w:ascii="Arial" w:hAnsi="Arial"/>
      <w:b/>
      <w:sz w:val="28"/>
      <w:lang w:val="es-ES_tradnl" w:eastAsia="es-ES"/>
    </w:rPr>
  </w:style>
  <w:style w:type="character" w:customStyle="1" w:styleId="PuestoCar">
    <w:name w:val="Puesto Car"/>
    <w:link w:val="a"/>
    <w:uiPriority w:val="10"/>
    <w:locked/>
    <w:rsid w:val="00994D29"/>
    <w:rPr>
      <w:rFonts w:ascii="Arial" w:hAnsi="Arial"/>
      <w:b/>
      <w:sz w:val="28"/>
      <w:lang w:val="es-ES_tradnl" w:eastAsia="es-ES"/>
    </w:rPr>
  </w:style>
  <w:style w:type="character" w:styleId="Textoennegrita">
    <w:name w:val="Strong"/>
    <w:uiPriority w:val="22"/>
    <w:qFormat/>
    <w:rsid w:val="00994D29"/>
    <w:rPr>
      <w:b/>
    </w:rPr>
  </w:style>
  <w:style w:type="character" w:styleId="Hipervnculo">
    <w:name w:val="Hyperlink"/>
    <w:uiPriority w:val="99"/>
    <w:rsid w:val="00994D29"/>
    <w:rPr>
      <w:color w:val="0000FF"/>
      <w:u w:val="single"/>
    </w:rPr>
  </w:style>
  <w:style w:type="character" w:customStyle="1" w:styleId="st">
    <w:name w:val="st"/>
    <w:rsid w:val="00994D29"/>
  </w:style>
  <w:style w:type="character" w:styleId="nfasis">
    <w:name w:val="Emphasis"/>
    <w:uiPriority w:val="20"/>
    <w:qFormat/>
    <w:rsid w:val="00994D29"/>
    <w:rPr>
      <w:i/>
    </w:rPr>
  </w:style>
  <w:style w:type="paragraph" w:customStyle="1" w:styleId="ListParagraph1">
    <w:name w:val="List Paragraph1"/>
    <w:basedOn w:val="Normal"/>
    <w:rsid w:val="00994D29"/>
    <w:pPr>
      <w:ind w:left="708"/>
    </w:pPr>
    <w:rPr>
      <w:rFonts w:ascii="Times New Roman" w:hAnsi="Times New Roman"/>
      <w:sz w:val="24"/>
      <w:szCs w:val="24"/>
      <w:lang w:val="es-ES" w:eastAsia="es-ES"/>
    </w:rPr>
  </w:style>
  <w:style w:type="paragraph" w:customStyle="1" w:styleId="CarCar5CarCar">
    <w:name w:val="Car Car5 Car Car"/>
    <w:basedOn w:val="Normal"/>
    <w:rsid w:val="00994D29"/>
    <w:pPr>
      <w:spacing w:line="240" w:lineRule="exact"/>
    </w:pPr>
    <w:rPr>
      <w:rFonts w:ascii="Times New Roman" w:hAnsi="Times New Roman"/>
      <w:noProof/>
      <w:color w:val="000000"/>
      <w:sz w:val="20"/>
      <w:szCs w:val="20"/>
    </w:rPr>
  </w:style>
  <w:style w:type="paragraph" w:customStyle="1" w:styleId="cita">
    <w:name w:val="cita"/>
    <w:basedOn w:val="Normal"/>
    <w:rsid w:val="00994D29"/>
    <w:pPr>
      <w:widowControl w:val="0"/>
      <w:autoSpaceDE w:val="0"/>
      <w:autoSpaceDN w:val="0"/>
      <w:ind w:left="851" w:right="623"/>
      <w:jc w:val="both"/>
    </w:pPr>
    <w:rPr>
      <w:rFonts w:ascii="Times New Roman" w:eastAsia="SimSun" w:hAnsi="Times New Roman"/>
      <w:sz w:val="26"/>
      <w:szCs w:val="26"/>
      <w:lang w:eastAsia="es-ES"/>
    </w:rPr>
  </w:style>
  <w:style w:type="character" w:customStyle="1" w:styleId="apple-converted-space">
    <w:name w:val="apple-converted-space"/>
    <w:rsid w:val="00994D29"/>
  </w:style>
  <w:style w:type="paragraph" w:customStyle="1" w:styleId="CarCar8">
    <w:name w:val="Car Car8"/>
    <w:basedOn w:val="Normal"/>
    <w:rsid w:val="00994D29"/>
    <w:pPr>
      <w:spacing w:line="240" w:lineRule="exact"/>
    </w:pPr>
    <w:rPr>
      <w:rFonts w:ascii="Times New Roman" w:hAnsi="Times New Roman"/>
      <w:noProof/>
      <w:color w:val="000000"/>
      <w:sz w:val="20"/>
      <w:szCs w:val="20"/>
    </w:rPr>
  </w:style>
  <w:style w:type="paragraph" w:customStyle="1" w:styleId="CarCar5CarCar1">
    <w:name w:val="Car Car5 Car Car1"/>
    <w:basedOn w:val="Normal"/>
    <w:rsid w:val="00994D29"/>
    <w:pPr>
      <w:spacing w:line="240" w:lineRule="exact"/>
    </w:pPr>
    <w:rPr>
      <w:rFonts w:ascii="Times New Roman" w:hAnsi="Times New Roman"/>
      <w:noProof/>
      <w:color w:val="000000"/>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left w:w="115" w:type="dxa"/>
        <w:right w:w="115" w:type="dxa"/>
      </w:tblCellMar>
    </w:tblPr>
  </w:style>
  <w:style w:type="character" w:customStyle="1" w:styleId="baj">
    <w:name w:val="b_aj"/>
    <w:basedOn w:val="Fuentedeprrafopredeter"/>
    <w:rsid w:val="00101703"/>
  </w:style>
  <w:style w:type="character" w:customStyle="1" w:styleId="PrrafodelistaCar">
    <w:name w:val="Párrafo de lista Car"/>
    <w:aliases w:val="Colorful List - Accent 11 Car,Ha Car,lp1 Car,List Paragraph2 Car,párrafos sentencia Car,Normal1 Car,Normal2 Car,Lista vistosa - Énfasis 11 Car,normal Car,Footnote Car,List1 Car,titulo 3 Car,Párrafo de lista1 Car,Bullets Car"/>
    <w:link w:val="Prrafodelista"/>
    <w:uiPriority w:val="34"/>
    <w:locked/>
    <w:rsid w:val="00C81278"/>
  </w:style>
  <w:style w:type="character" w:customStyle="1" w:styleId="TextonotapieCar3">
    <w:name w:val="Texto nota pie Car3"/>
    <w:aliases w:val="Ref. de nota al pie1 Car1,Texto de nota al pie Car1,referencia nota al pie Car1,Footnotes refss Car1,Appel note de bas de page Car1,Texto nota pie Car Car Car1,Footnote Text Char Char Char Char Char Char1 Car Car1,Footnote number Car"/>
    <w:uiPriority w:val="99"/>
    <w:locked/>
    <w:rsid w:val="00636611"/>
    <w:rPr>
      <w:rFonts w:ascii="Times New Roman" w:eastAsia="Times New Roman" w:hAnsi="Times New Roman" w:cs="Times New Roman"/>
      <w:sz w:val="20"/>
      <w:szCs w:val="20"/>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28521</Words>
  <Characters>156866</Characters>
  <Application>Microsoft Office Word</Application>
  <DocSecurity>0</DocSecurity>
  <Lines>1307</Lines>
  <Paragraphs>370</Paragraphs>
  <ScaleCrop>false</ScaleCrop>
  <Company/>
  <LinksUpToDate>false</LinksUpToDate>
  <CharactersWithSpaces>185017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2024-09-09T16:05:00Z</dcterms:created>
  <dcterms:modified xsi:type="dcterms:W3CDTF">2024-09-09T16:05:00Z</dcterms:modified>
</cp:coreProperties>
</file>