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B8F8CD" w14:textId="77777777" w:rsidR="00D516A9" w:rsidRPr="00D516A9" w:rsidRDefault="00D516A9" w:rsidP="00D516A9">
      <w:pPr>
        <w:jc w:val="center"/>
        <w:rPr>
          <w:rFonts w:ascii="Calibri" w:eastAsia="Times New Roman" w:hAnsi="Calibri" w:cs="Calibri"/>
          <w:kern w:val="0"/>
          <w:sz w:val="22"/>
          <w:szCs w:val="22"/>
          <w:lang w:eastAsia="es-CO"/>
          <w14:ligatures w14:val="none"/>
        </w:rPr>
      </w:pPr>
      <w:bookmarkStart w:id="0" w:name="_Hlk185409972"/>
      <w:bookmarkStart w:id="1" w:name="_Hlk184978598"/>
      <w:bookmarkStart w:id="2" w:name="_Hlk194570521"/>
      <w:bookmarkStart w:id="3" w:name="_Hlk111191308"/>
      <w:r w:rsidRPr="00D516A9">
        <w:rPr>
          <w:rFonts w:eastAsia="Times New Roman" w:cs="Times New Roman"/>
          <w:b/>
          <w:bCs/>
          <w:kern w:val="0"/>
          <w:szCs w:val="28"/>
          <w:lang w:eastAsia="es-CO"/>
          <w14:ligatures w14:val="none"/>
        </w:rPr>
        <w:t>TEMAS-SUBTEMAS</w:t>
      </w:r>
    </w:p>
    <w:p w14:paraId="642D9AE0" w14:textId="77777777" w:rsidR="00D516A9" w:rsidRPr="00D516A9" w:rsidRDefault="00D516A9" w:rsidP="00D516A9">
      <w:pPr>
        <w:jc w:val="center"/>
        <w:rPr>
          <w:rFonts w:ascii="Calibri" w:eastAsia="Times New Roman" w:hAnsi="Calibri" w:cs="Calibri"/>
          <w:kern w:val="0"/>
          <w:sz w:val="22"/>
          <w:szCs w:val="22"/>
          <w:lang w:eastAsia="es-CO"/>
          <w14:ligatures w14:val="none"/>
        </w:rPr>
      </w:pPr>
    </w:p>
    <w:p w14:paraId="449B6B60" w14:textId="571B7CFA" w:rsidR="00D516A9" w:rsidRPr="00D516A9" w:rsidRDefault="00D516A9" w:rsidP="00D516A9">
      <w:pPr>
        <w:jc w:val="center"/>
        <w:rPr>
          <w:rFonts w:eastAsia="Times New Roman" w:cs="Times New Roman"/>
          <w:b/>
          <w:bCs/>
          <w:kern w:val="0"/>
          <w:szCs w:val="28"/>
          <w:lang w:eastAsia="es-CO"/>
          <w14:ligatures w14:val="none"/>
        </w:rPr>
      </w:pPr>
      <w:r w:rsidRPr="00D516A9">
        <w:rPr>
          <w:rFonts w:eastAsia="Times New Roman" w:cs="Times New Roman"/>
          <w:b/>
          <w:bCs/>
          <w:kern w:val="0"/>
          <w:szCs w:val="28"/>
          <w:lang w:eastAsia="es-CO"/>
          <w14:ligatures w14:val="none"/>
        </w:rPr>
        <w:t xml:space="preserve">Sentencia </w:t>
      </w:r>
      <w:r>
        <w:rPr>
          <w:rFonts w:eastAsia="Times New Roman" w:cs="Times New Roman"/>
          <w:b/>
          <w:bCs/>
          <w:kern w:val="0"/>
          <w:szCs w:val="28"/>
          <w:lang w:eastAsia="es-CO"/>
          <w14:ligatures w14:val="none"/>
        </w:rPr>
        <w:t>C-148/25</w:t>
      </w:r>
    </w:p>
    <w:p w14:paraId="19732036" w14:textId="77777777" w:rsidR="00D516A9" w:rsidRPr="00D516A9" w:rsidRDefault="00D516A9" w:rsidP="00D516A9">
      <w:pPr>
        <w:jc w:val="left"/>
        <w:rPr>
          <w:rFonts w:ascii="Calibri" w:eastAsia="Times New Roman" w:hAnsi="Calibri" w:cs="Calibri"/>
          <w:kern w:val="0"/>
          <w:sz w:val="24"/>
          <w:lang w:val="es-MX"/>
          <w14:ligatures w14:val="none"/>
        </w:rPr>
      </w:pPr>
    </w:p>
    <w:p w14:paraId="70A78564" w14:textId="77777777" w:rsidR="00D516A9" w:rsidRPr="00D516A9" w:rsidRDefault="00D516A9" w:rsidP="00D516A9">
      <w:pPr>
        <w:jc w:val="left"/>
        <w:rPr>
          <w:rFonts w:ascii="Calibri" w:eastAsia="Times New Roman" w:hAnsi="Calibri" w:cs="Calibri"/>
          <w:kern w:val="0"/>
          <w:sz w:val="24"/>
          <w:lang w:val="es-MX"/>
          <w14:ligatures w14:val="none"/>
        </w:rPr>
      </w:pPr>
    </w:p>
    <w:p w14:paraId="192E2529" w14:textId="6752B496" w:rsidR="005528DA" w:rsidRP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DECRETO DECLARATORIO DE ESTADO DE CONMOCION INTERIOR EN LA REGIÓN DEL CATATUMBO</w:t>
      </w:r>
      <w:r>
        <w:rPr>
          <w:rFonts w:eastAsia="Calibri" w:cs="Times New Roman"/>
          <w:b/>
          <w:kern w:val="0"/>
          <w:szCs w:val="28"/>
          <w:lang w:val="es-ES"/>
          <w14:ligatures w14:val="none"/>
        </w:rPr>
        <w:t>-</w:t>
      </w:r>
      <w:proofErr w:type="spellStart"/>
      <w:r w:rsidRPr="005528DA">
        <w:rPr>
          <w:rFonts w:eastAsia="Calibri" w:cs="Times New Roman"/>
          <w:kern w:val="0"/>
          <w:szCs w:val="28"/>
          <w:lang w:val="es-ES"/>
          <w14:ligatures w14:val="none"/>
        </w:rPr>
        <w:t>Exequibilidad</w:t>
      </w:r>
      <w:proofErr w:type="spellEnd"/>
      <w:r w:rsidRPr="005528DA">
        <w:rPr>
          <w:rFonts w:eastAsia="Calibri" w:cs="Times New Roman"/>
          <w:kern w:val="0"/>
          <w:szCs w:val="28"/>
          <w:lang w:val="es-ES"/>
          <w14:ligatures w14:val="none"/>
        </w:rPr>
        <w:t xml:space="preserve"> parcial</w:t>
      </w:r>
    </w:p>
    <w:p w14:paraId="1A54488C" w14:textId="77777777" w:rsidR="005528DA" w:rsidRPr="005528DA" w:rsidRDefault="005528DA" w:rsidP="005528DA">
      <w:pPr>
        <w:rPr>
          <w:rFonts w:eastAsia="Calibri" w:cs="Times New Roman"/>
          <w:kern w:val="0"/>
          <w:szCs w:val="28"/>
          <w:lang w:val="es-ES"/>
          <w14:ligatures w14:val="none"/>
        </w:rPr>
      </w:pPr>
    </w:p>
    <w:p w14:paraId="2E6FF49C" w14:textId="77777777" w:rsidR="005528DA" w:rsidRPr="005528DA" w:rsidRDefault="005528DA" w:rsidP="005528DA">
      <w:pPr>
        <w:shd w:val="clear" w:color="auto" w:fill="FFFFFF"/>
        <w:textAlignment w:val="baseline"/>
        <w:rPr>
          <w:rFonts w:eastAsia="Times New Roman" w:cs="Times New Roman"/>
          <w:i/>
          <w:iCs/>
          <w:kern w:val="0"/>
          <w:szCs w:val="28"/>
          <w:lang w:eastAsia="es-ES"/>
          <w14:ligatures w14:val="none"/>
        </w:rPr>
      </w:pPr>
      <w:r w:rsidRPr="005528DA">
        <w:rPr>
          <w:rFonts w:eastAsia="Aptos" w:cs="Times New Roman"/>
          <w:i/>
          <w:iCs/>
          <w:kern w:val="0"/>
          <w:szCs w:val="28"/>
          <w:lang w:eastAsia="es-MX"/>
          <w14:ligatures w14:val="none"/>
        </w:rPr>
        <w:t xml:space="preserve">(…) esta Corte declarará la </w:t>
      </w:r>
      <w:proofErr w:type="spellStart"/>
      <w:r w:rsidRPr="005528DA">
        <w:rPr>
          <w:rFonts w:eastAsia="Aptos" w:cs="Times New Roman"/>
          <w:i/>
          <w:iCs/>
          <w:kern w:val="0"/>
          <w:szCs w:val="28"/>
          <w:lang w:eastAsia="es-MX"/>
          <w14:ligatures w14:val="none"/>
        </w:rPr>
        <w:t>exequibilidad</w:t>
      </w:r>
      <w:proofErr w:type="spellEnd"/>
      <w:r w:rsidRPr="005528DA">
        <w:rPr>
          <w:rFonts w:eastAsia="Aptos" w:cs="Times New Roman"/>
          <w:i/>
          <w:iCs/>
          <w:kern w:val="0"/>
          <w:szCs w:val="28"/>
          <w:lang w:eastAsia="es-MX"/>
          <w14:ligatures w14:val="none"/>
        </w:rPr>
        <w:t xml:space="preserve"> del Decreto Legislativo 62 de 2025 </w:t>
      </w:r>
      <w:r w:rsidRPr="005528DA">
        <w:rPr>
          <w:rFonts w:eastAsia="Times New Roman" w:cs="Times New Roman"/>
          <w:i/>
          <w:iCs/>
          <w:kern w:val="0"/>
          <w:szCs w:val="28"/>
          <w:bdr w:val="none" w:sz="0" w:space="0" w:color="auto" w:frame="1"/>
          <w:lang w:eastAsia="es-MX"/>
          <w14:ligatures w14:val="none"/>
        </w:rPr>
        <w:t xml:space="preserve">únicamente respecto de los hechos y consideraciones relacionados con (i) la intensificación de los enfrentamientos entre el ELN y otros GAO, así como los ataques y hostilidades dirigidos de forma indiscriminada contra la población civil y los firmantes del AFP y (ii) la crisis humanitaria derivada de desplazamientos forzados -internos y transfronterizos- y confinamientos masivos que ha desbordado la capacidad institucional del Estado para atenderla. Esto significa que la decisión de </w:t>
      </w:r>
      <w:proofErr w:type="spellStart"/>
      <w:r w:rsidRPr="005528DA">
        <w:rPr>
          <w:rFonts w:eastAsia="Times New Roman" w:cs="Times New Roman"/>
          <w:i/>
          <w:iCs/>
          <w:kern w:val="0"/>
          <w:szCs w:val="28"/>
          <w:bdr w:val="none" w:sz="0" w:space="0" w:color="auto" w:frame="1"/>
          <w:lang w:eastAsia="es-MX"/>
          <w14:ligatures w14:val="none"/>
        </w:rPr>
        <w:t>exequibilidad</w:t>
      </w:r>
      <w:proofErr w:type="spellEnd"/>
      <w:r w:rsidRPr="005528DA">
        <w:rPr>
          <w:rFonts w:eastAsia="Times New Roman" w:cs="Times New Roman"/>
          <w:i/>
          <w:iCs/>
          <w:kern w:val="0"/>
          <w:szCs w:val="28"/>
          <w:bdr w:val="none" w:sz="0" w:space="0" w:color="auto" w:frame="1"/>
          <w:lang w:eastAsia="es-MX"/>
          <w14:ligatures w14:val="none"/>
        </w:rPr>
        <w:t xml:space="preserve"> solamente cobija aquellas medidas que sean necesarias para el fortalecimiento de la fuerza pública, la atención humanitaria, los derechos y garantías fundamentales de la población civil, y la financiación para esos propósitos específicos, de conformidad con los términos de esta providencia. </w:t>
      </w:r>
      <w:r w:rsidRPr="005528DA">
        <w:rPr>
          <w:rFonts w:eastAsia="Aptos" w:cs="Times New Roman"/>
          <w:i/>
          <w:iCs/>
          <w:kern w:val="0"/>
          <w:szCs w:val="28"/>
          <w:lang w:eastAsia="es-MX"/>
          <w14:ligatures w14:val="none"/>
        </w:rPr>
        <w:t xml:space="preserve">En contraste, la Sala declarará la </w:t>
      </w:r>
      <w:proofErr w:type="spellStart"/>
      <w:r w:rsidRPr="005528DA">
        <w:rPr>
          <w:rFonts w:eastAsia="Aptos" w:cs="Times New Roman"/>
          <w:i/>
          <w:iCs/>
          <w:kern w:val="0"/>
          <w:szCs w:val="28"/>
          <w:lang w:eastAsia="es-MX"/>
          <w14:ligatures w14:val="none"/>
        </w:rPr>
        <w:t>inexequibilidad</w:t>
      </w:r>
      <w:proofErr w:type="spellEnd"/>
      <w:r w:rsidRPr="005528DA">
        <w:rPr>
          <w:rFonts w:eastAsia="Aptos" w:cs="Times New Roman"/>
          <w:i/>
          <w:iCs/>
          <w:kern w:val="0"/>
          <w:szCs w:val="28"/>
          <w:lang w:eastAsia="es-MX"/>
          <w14:ligatures w14:val="none"/>
        </w:rPr>
        <w:t xml:space="preserve"> del referido decreto </w:t>
      </w:r>
      <w:r w:rsidRPr="005528DA">
        <w:rPr>
          <w:rFonts w:eastAsia="Times New Roman" w:cs="Times New Roman"/>
          <w:i/>
          <w:iCs/>
          <w:kern w:val="0"/>
          <w:szCs w:val="28"/>
          <w:lang w:eastAsia="es-ES"/>
          <w14:ligatures w14:val="none"/>
        </w:rPr>
        <w:t>respecto de los hechos y consideraciones relacionados con (i) la presencia histórica del ELN, los GAO y GDO, (ii) la concentración de cultivos ilícitos, (iii)</w:t>
      </w:r>
      <w:r w:rsidRPr="005528DA">
        <w:rPr>
          <w:rFonts w:eastAsia="Times New Roman" w:cs="Times New Roman"/>
          <w:b/>
          <w:bCs/>
          <w:i/>
          <w:iCs/>
          <w:kern w:val="0"/>
          <w:szCs w:val="28"/>
          <w:lang w:eastAsia="es-MX"/>
          <w14:ligatures w14:val="none"/>
        </w:rPr>
        <w:t xml:space="preserve"> </w:t>
      </w:r>
      <w:r w:rsidRPr="005528DA">
        <w:rPr>
          <w:rFonts w:eastAsia="Times New Roman" w:cs="Times New Roman"/>
          <w:i/>
          <w:iCs/>
          <w:kern w:val="0"/>
          <w:szCs w:val="28"/>
          <w:lang w:eastAsia="es-ES"/>
          <w14:ligatures w14:val="none"/>
        </w:rPr>
        <w:t>las deficiencias e incumplimientos en la implementación del PNIS, (iv) las necesidades básicas insatisfechas de la población por insuficiencia en la política social y (v) los daños a la infraestructura energética y vial, así como las afectaciones a las operaciones del sector de hidrocarburos.</w:t>
      </w:r>
    </w:p>
    <w:p w14:paraId="1807BEAB" w14:textId="77777777" w:rsidR="005528DA" w:rsidRPr="005528DA" w:rsidRDefault="005528DA" w:rsidP="005528DA">
      <w:pPr>
        <w:shd w:val="clear" w:color="auto" w:fill="FFFFFF"/>
        <w:jc w:val="left"/>
        <w:textAlignment w:val="baseline"/>
        <w:rPr>
          <w:rFonts w:eastAsia="Times New Roman" w:cs="Times New Roman"/>
          <w:i/>
          <w:iCs/>
          <w:kern w:val="0"/>
          <w:szCs w:val="28"/>
          <w:bdr w:val="none" w:sz="0" w:space="0" w:color="auto" w:frame="1"/>
          <w:lang w:eastAsia="es-MX"/>
          <w14:ligatures w14:val="none"/>
        </w:rPr>
      </w:pPr>
    </w:p>
    <w:p w14:paraId="7C2A7039" w14:textId="53835AC7" w:rsidR="005528DA" w:rsidRP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CONTROL DE CONSTITUCIONALIDAD DE DECRETO DECLARATORIO DE ESTADOS DE EXCEPCION</w:t>
      </w:r>
      <w:r>
        <w:rPr>
          <w:rFonts w:eastAsia="Calibri" w:cs="Times New Roman"/>
          <w:b/>
          <w:kern w:val="0"/>
          <w:szCs w:val="28"/>
          <w:lang w:val="es-ES"/>
          <w14:ligatures w14:val="none"/>
        </w:rPr>
        <w:t>-</w:t>
      </w:r>
      <w:r w:rsidRPr="005528DA">
        <w:rPr>
          <w:rFonts w:eastAsia="Calibri" w:cs="Times New Roman"/>
          <w:kern w:val="0"/>
          <w:szCs w:val="28"/>
          <w:lang w:val="es-ES"/>
          <w14:ligatures w14:val="none"/>
        </w:rPr>
        <w:t>Competencia integral de la Corte Constitucional</w:t>
      </w:r>
    </w:p>
    <w:p w14:paraId="03202D34" w14:textId="77777777" w:rsidR="005528DA" w:rsidRPr="005528DA" w:rsidRDefault="005528DA" w:rsidP="005528DA">
      <w:pPr>
        <w:rPr>
          <w:rFonts w:eastAsia="Calibri" w:cs="Times New Roman"/>
          <w:kern w:val="0"/>
          <w:szCs w:val="28"/>
          <w:lang w:val="es-ES"/>
          <w14:ligatures w14:val="none"/>
        </w:rPr>
      </w:pPr>
    </w:p>
    <w:p w14:paraId="0472C5FD" w14:textId="38BCFA6C" w:rsid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ESTADOS DE EXCEPCION-</w:t>
      </w:r>
      <w:r w:rsidRPr="005528DA">
        <w:rPr>
          <w:rFonts w:eastAsia="Calibri" w:cs="Times New Roman"/>
          <w:kern w:val="0"/>
          <w:szCs w:val="28"/>
          <w:lang w:val="es-ES"/>
          <w14:ligatures w14:val="none"/>
        </w:rPr>
        <w:t>Características</w:t>
      </w:r>
    </w:p>
    <w:p w14:paraId="44DFDC46" w14:textId="77777777" w:rsidR="005528DA" w:rsidRPr="005528DA" w:rsidRDefault="005528DA" w:rsidP="005528DA">
      <w:pPr>
        <w:rPr>
          <w:rFonts w:eastAsia="Calibri" w:cs="Times New Roman"/>
          <w:kern w:val="0"/>
          <w:szCs w:val="28"/>
          <w:lang w:val="es-ES"/>
          <w14:ligatures w14:val="none"/>
        </w:rPr>
      </w:pPr>
    </w:p>
    <w:p w14:paraId="32522C0A" w14:textId="77777777" w:rsidR="005528DA" w:rsidRPr="005528DA" w:rsidRDefault="005528DA" w:rsidP="005528DA">
      <w:pPr>
        <w:tabs>
          <w:tab w:val="left" w:pos="567"/>
        </w:tabs>
        <w:rPr>
          <w:rFonts w:eastAsia="Times New Roman" w:cs="Times New Roman"/>
          <w:i/>
          <w:iCs/>
          <w:kern w:val="0"/>
          <w:szCs w:val="28"/>
          <w:lang w:eastAsia="es-MX"/>
          <w14:ligatures w14:val="none"/>
        </w:rPr>
      </w:pPr>
      <w:r w:rsidRPr="005528DA">
        <w:rPr>
          <w:rFonts w:eastAsia="Times New Roman" w:cs="Times New Roman"/>
          <w:i/>
          <w:iCs/>
          <w:kern w:val="0"/>
          <w:szCs w:val="28"/>
          <w:lang w:eastAsia="es-MX"/>
          <w14:ligatures w14:val="none"/>
        </w:rPr>
        <w:t xml:space="preserve">Los estados de excepción tienen cuatro características generales: son excepcionales, temporales, reglados y limitados. En conjunto, estas características constituyen un “límite y freno al abuso de la discrecionalidad” del presidente de la República y un instrumento para “garantizar la vigencia y eficacia de la Constitución aun en situaciones de anormalidad”. </w:t>
      </w:r>
    </w:p>
    <w:p w14:paraId="15704DAF" w14:textId="77777777" w:rsidR="005528DA" w:rsidRPr="005528DA" w:rsidRDefault="005528DA" w:rsidP="005528DA">
      <w:pPr>
        <w:tabs>
          <w:tab w:val="left" w:pos="567"/>
        </w:tabs>
        <w:jc w:val="left"/>
        <w:rPr>
          <w:rFonts w:eastAsia="Times New Roman" w:cs="Times New Roman"/>
          <w:i/>
          <w:iCs/>
          <w:kern w:val="0"/>
          <w:szCs w:val="28"/>
          <w:lang w:eastAsia="es-MX"/>
          <w14:ligatures w14:val="none"/>
        </w:rPr>
      </w:pPr>
    </w:p>
    <w:p w14:paraId="1060E215" w14:textId="4C534770" w:rsidR="005528DA" w:rsidRDefault="005528DA" w:rsidP="005528DA">
      <w:pPr>
        <w:rPr>
          <w:rFonts w:eastAsia="Calibri" w:cs="Times New Roman"/>
          <w:kern w:val="0"/>
          <w:szCs w:val="28"/>
          <w:shd w:val="clear" w:color="auto" w:fill="FFFFFF"/>
          <w14:ligatures w14:val="none"/>
        </w:rPr>
      </w:pPr>
      <w:r w:rsidRPr="005528DA">
        <w:rPr>
          <w:rFonts w:eastAsia="Calibri" w:cs="Times New Roman"/>
          <w:b/>
          <w:bCs/>
          <w:kern w:val="0"/>
          <w:szCs w:val="28"/>
          <w:shd w:val="clear" w:color="auto" w:fill="FFFFFF"/>
          <w14:ligatures w14:val="none"/>
        </w:rPr>
        <w:t>CONTROL DE CONSTITUCIONALIDAD DE DECRETO DECLARATORIO DE CONMOCION INTERIOR</w:t>
      </w:r>
      <w:r>
        <w:rPr>
          <w:rFonts w:eastAsia="Calibri" w:cs="Times New Roman"/>
          <w:b/>
          <w:bCs/>
          <w:kern w:val="0"/>
          <w:szCs w:val="28"/>
          <w:shd w:val="clear" w:color="auto" w:fill="FFFFFF"/>
          <w14:ligatures w14:val="none"/>
        </w:rPr>
        <w:t>-</w:t>
      </w:r>
      <w:r w:rsidRPr="005528DA">
        <w:rPr>
          <w:rFonts w:eastAsia="Calibri" w:cs="Times New Roman"/>
          <w:kern w:val="0"/>
          <w:szCs w:val="28"/>
          <w:shd w:val="clear" w:color="auto" w:fill="FFFFFF"/>
          <w14:ligatures w14:val="none"/>
        </w:rPr>
        <w:t>Control formal y material</w:t>
      </w:r>
    </w:p>
    <w:p w14:paraId="31E85F11" w14:textId="77777777" w:rsidR="005528DA" w:rsidRPr="005528DA" w:rsidRDefault="005528DA" w:rsidP="005528DA">
      <w:pPr>
        <w:rPr>
          <w:rFonts w:eastAsia="Calibri" w:cs="Times New Roman"/>
          <w:kern w:val="0"/>
          <w:szCs w:val="28"/>
          <w:shd w:val="clear" w:color="auto" w:fill="FFFFFF"/>
          <w14:ligatures w14:val="none"/>
        </w:rPr>
      </w:pPr>
    </w:p>
    <w:p w14:paraId="4BDFD9E0" w14:textId="77777777" w:rsidR="005528DA" w:rsidRP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ESTADO DE CONMOCIÓN INTERIOR-</w:t>
      </w:r>
      <w:r w:rsidRPr="005528DA">
        <w:rPr>
          <w:rFonts w:eastAsia="Calibri" w:cs="Times New Roman"/>
          <w:kern w:val="0"/>
          <w:szCs w:val="28"/>
          <w:lang w:val="es-ES"/>
          <w14:ligatures w14:val="none"/>
        </w:rPr>
        <w:t>Requisitos de orden formal</w:t>
      </w:r>
    </w:p>
    <w:p w14:paraId="65B6471B" w14:textId="77777777" w:rsidR="005528DA" w:rsidRPr="005528DA" w:rsidRDefault="005528DA" w:rsidP="005528DA">
      <w:pPr>
        <w:tabs>
          <w:tab w:val="left" w:pos="567"/>
        </w:tabs>
        <w:jc w:val="left"/>
        <w:rPr>
          <w:rFonts w:eastAsia="Times New Roman" w:cs="Times New Roman"/>
          <w:i/>
          <w:iCs/>
          <w:kern w:val="0"/>
          <w:szCs w:val="28"/>
          <w:lang w:val="es-ES" w:eastAsia="es-MX"/>
          <w14:ligatures w14:val="none"/>
        </w:rPr>
      </w:pPr>
    </w:p>
    <w:p w14:paraId="1CD2C3C2" w14:textId="1C6F1052" w:rsidR="005528DA" w:rsidRDefault="005528DA" w:rsidP="005528DA">
      <w:pPr>
        <w:tabs>
          <w:tab w:val="left" w:pos="567"/>
        </w:tabs>
        <w:rPr>
          <w:rFonts w:eastAsia="Times New Roman" w:cs="Times New Roman"/>
          <w:i/>
          <w:iCs/>
          <w:kern w:val="0"/>
          <w:szCs w:val="28"/>
          <w:lang w:eastAsia="es-MX"/>
          <w14:ligatures w14:val="none"/>
        </w:rPr>
      </w:pPr>
      <w:r w:rsidRPr="005528DA">
        <w:rPr>
          <w:rFonts w:eastAsia="Times New Roman" w:cs="Times New Roman"/>
          <w:i/>
          <w:iCs/>
          <w:kern w:val="0"/>
          <w:szCs w:val="28"/>
          <w:lang w:eastAsia="es-MX"/>
          <w14:ligatures w14:val="none"/>
        </w:rPr>
        <w:t xml:space="preserve">(…) la Constitución y la LEEE prevén los siguientes tres requisitos formales que condicionan la validez constitucional del decreto legislativo que declara el estado de conmoción interior:1. La firma del presidente de la República y de todos los </w:t>
      </w:r>
      <w:r w:rsidRPr="005528DA">
        <w:rPr>
          <w:rFonts w:eastAsia="Times New Roman" w:cs="Times New Roman"/>
          <w:i/>
          <w:iCs/>
          <w:kern w:val="0"/>
          <w:szCs w:val="28"/>
          <w:lang w:eastAsia="es-MX"/>
          <w14:ligatures w14:val="none"/>
        </w:rPr>
        <w:lastRenderedPageBreak/>
        <w:t>ministros: el inciso 1 del artículo 213 y el numeral 1 del artículo 214 de la Constitución, así como el artículo 34 de la LEEE, prevén que el estado de conmoción interior debe ser declarado por “el presidente de la República, con la firma de todos los ministros”.2. La motivación: los artículos 213 de la Constitución y 8 de la LEEE disponen que el decreto mediante el cual se declara el estado de conmoción interior debe contener las razones que dieron lugar a la declaratoria. 3. La delimitación temporal: el inciso 1 del artículo 213 de la Constitución y los artículos 34 y 35 de la LEEE establecen que el presidente de la República podrá declarar la conmoción por un término no mayor a 90 días, prorrogable hasta por dos períodos iguales, el segundo de los cuales requiere concepto previo y favorable del Senado de la República.</w:t>
      </w:r>
    </w:p>
    <w:p w14:paraId="6BD1DECC" w14:textId="77777777" w:rsidR="005528DA" w:rsidRPr="005528DA" w:rsidRDefault="005528DA" w:rsidP="005528DA">
      <w:pPr>
        <w:tabs>
          <w:tab w:val="left" w:pos="567"/>
        </w:tabs>
        <w:rPr>
          <w:rFonts w:eastAsia="Times New Roman" w:cs="Times New Roman"/>
          <w:i/>
          <w:iCs/>
          <w:kern w:val="0"/>
          <w:szCs w:val="28"/>
          <w:lang w:eastAsia="es-MX"/>
          <w14:ligatures w14:val="none"/>
        </w:rPr>
      </w:pPr>
    </w:p>
    <w:p w14:paraId="65A94754" w14:textId="21776E6B" w:rsidR="005528DA" w:rsidRDefault="005528DA" w:rsidP="005528DA">
      <w:pPr>
        <w:rPr>
          <w:rFonts w:eastAsia="Calibri" w:cs="Times New Roman"/>
          <w:bCs/>
          <w:kern w:val="0"/>
          <w:szCs w:val="28"/>
          <w:lang w:val="es-ES"/>
          <w14:ligatures w14:val="none"/>
        </w:rPr>
      </w:pPr>
      <w:r w:rsidRPr="005528DA">
        <w:rPr>
          <w:rFonts w:eastAsia="Calibri" w:cs="Times New Roman"/>
          <w:b/>
          <w:bCs/>
          <w:kern w:val="0"/>
          <w:szCs w:val="28"/>
          <w:shd w:val="clear" w:color="auto" w:fill="FFFFFF"/>
          <w14:ligatures w14:val="none"/>
        </w:rPr>
        <w:t>CONTROL DE CONSTITUCIONALIDAD DE DECRETO DECLARATORIO DE CONMOCION INTERIOR</w:t>
      </w:r>
      <w:r w:rsidRPr="005528DA">
        <w:rPr>
          <w:rFonts w:eastAsia="Calibri" w:cs="Times New Roman"/>
          <w:b/>
          <w:kern w:val="0"/>
          <w:szCs w:val="28"/>
          <w:lang w:val="es-ES"/>
          <w14:ligatures w14:val="none"/>
        </w:rPr>
        <w:t>-</w:t>
      </w:r>
      <w:r w:rsidRPr="005528DA">
        <w:rPr>
          <w:rFonts w:eastAsia="Calibri" w:cs="Times New Roman"/>
          <w:bCs/>
          <w:kern w:val="0"/>
          <w:szCs w:val="28"/>
          <w:lang w:val="es-ES"/>
          <w14:ligatures w14:val="none"/>
        </w:rPr>
        <w:t>Jurisprudencia constitucional</w:t>
      </w:r>
    </w:p>
    <w:p w14:paraId="7EE66C91" w14:textId="77777777" w:rsidR="005528DA" w:rsidRPr="005528DA" w:rsidRDefault="005528DA" w:rsidP="005528DA">
      <w:pPr>
        <w:rPr>
          <w:rFonts w:eastAsia="Calibri" w:cs="Times New Roman"/>
          <w:kern w:val="0"/>
          <w:szCs w:val="28"/>
          <w:lang w:val="es-ES"/>
          <w14:ligatures w14:val="none"/>
        </w:rPr>
      </w:pPr>
    </w:p>
    <w:p w14:paraId="7F5FD750" w14:textId="77777777" w:rsidR="005528DA" w:rsidRPr="005528DA" w:rsidRDefault="005528DA" w:rsidP="005528DA">
      <w:pPr>
        <w:rPr>
          <w:rFonts w:eastAsia="Calibri" w:cs="Times New Roman"/>
          <w:kern w:val="0"/>
          <w:szCs w:val="28"/>
          <w:lang w:val="es-ES"/>
          <w14:ligatures w14:val="none"/>
        </w:rPr>
      </w:pPr>
      <w:r w:rsidRPr="005528DA">
        <w:rPr>
          <w:rFonts w:eastAsia="Calibri" w:cs="Times New Roman"/>
          <w:b/>
          <w:bCs/>
          <w:kern w:val="0"/>
          <w:szCs w:val="28"/>
          <w:shd w:val="clear" w:color="auto" w:fill="FFFFFF"/>
          <w14:ligatures w14:val="none"/>
        </w:rPr>
        <w:t>DECRETO DECLARATORIO DE CONMOCION INTERIOR</w:t>
      </w:r>
      <w:r w:rsidRPr="005528DA">
        <w:rPr>
          <w:rFonts w:eastAsia="Calibri" w:cs="Times New Roman"/>
          <w:b/>
          <w:kern w:val="0"/>
          <w:szCs w:val="28"/>
          <w:lang w:val="es-ES"/>
          <w14:ligatures w14:val="none"/>
        </w:rPr>
        <w:t>-</w:t>
      </w:r>
      <w:r w:rsidRPr="005528DA">
        <w:rPr>
          <w:rFonts w:eastAsia="Calibri" w:cs="Times New Roman"/>
          <w:kern w:val="0"/>
          <w:szCs w:val="28"/>
          <w:lang w:val="es-ES"/>
          <w14:ligatures w14:val="none"/>
        </w:rPr>
        <w:t>Presupuesto fáctico</w:t>
      </w:r>
    </w:p>
    <w:p w14:paraId="1AD40BD4" w14:textId="77777777" w:rsidR="005528DA" w:rsidRPr="005528DA" w:rsidRDefault="005528DA" w:rsidP="005528DA">
      <w:pPr>
        <w:rPr>
          <w:rFonts w:eastAsia="Calibri" w:cs="Times New Roman"/>
          <w:i/>
          <w:kern w:val="0"/>
          <w:szCs w:val="28"/>
          <w:lang w:val="es-ES"/>
          <w14:ligatures w14:val="none"/>
        </w:rPr>
      </w:pPr>
    </w:p>
    <w:p w14:paraId="53D68FEB" w14:textId="15E2CDA2" w:rsidR="005528DA" w:rsidRDefault="005528DA" w:rsidP="005528DA">
      <w:pPr>
        <w:rPr>
          <w:rFonts w:eastAsia="Calibri" w:cs="Times New Roman"/>
          <w:i/>
          <w:kern w:val="0"/>
          <w:szCs w:val="28"/>
          <w:lang w:val="es-ES"/>
          <w14:ligatures w14:val="none"/>
        </w:rPr>
      </w:pPr>
      <w:r w:rsidRPr="005528DA">
        <w:rPr>
          <w:rFonts w:eastAsia="Calibri" w:cs="Times New Roman"/>
          <w:i/>
          <w:kern w:val="0"/>
          <w:szCs w:val="28"/>
          <w:lang w:val="es-ES"/>
          <w14:ligatures w14:val="none"/>
        </w:rPr>
        <w:t>El presupuesto fáctico está previsto en los artículos 213 de la Constitución y 34 de la LEEE. Estas normas condicionan la declaratoria del estado de conmoción interior a la existencia de una “perturbación del orden público”. El presupuesto fáctico es aquel que exige al presidente de la República demostrar que la declaratoria de conmoción interior se sustenta en “la ocurrencia de hechos concretos, perceptibles y, en consecuencia, verificables, que objetivamente generan una alteración de las condiciones de seguridad y tranquilidad requeridas para el ejercicio de los derechos”. El presupuesto fáctico es el punto de partida “objetivo” de la declaratoria de conmoción interior. Esto es así, porque exige que los hechos en los que se apoya la declaratoria sean susceptibles de demostración empírica.</w:t>
      </w:r>
    </w:p>
    <w:p w14:paraId="38F77F64" w14:textId="77777777" w:rsidR="005528DA" w:rsidRPr="005528DA" w:rsidRDefault="005528DA" w:rsidP="005528DA">
      <w:pPr>
        <w:rPr>
          <w:rFonts w:eastAsia="Calibri" w:cs="Times New Roman"/>
          <w:i/>
          <w:kern w:val="0"/>
          <w:szCs w:val="28"/>
          <w:lang w:val="es-ES"/>
          <w14:ligatures w14:val="none"/>
        </w:rPr>
      </w:pPr>
    </w:p>
    <w:p w14:paraId="695C0448" w14:textId="77777777" w:rsidR="005528DA" w:rsidRPr="005528DA" w:rsidRDefault="005528DA" w:rsidP="005528DA">
      <w:pPr>
        <w:rPr>
          <w:rFonts w:eastAsia="Calibri" w:cs="Times New Roman"/>
          <w:kern w:val="0"/>
          <w:szCs w:val="28"/>
          <w:lang w:val="es-ES"/>
          <w14:ligatures w14:val="none"/>
        </w:rPr>
      </w:pPr>
      <w:r w:rsidRPr="005528DA">
        <w:rPr>
          <w:rFonts w:eastAsia="Calibri" w:cs="Times New Roman"/>
          <w:b/>
          <w:bCs/>
          <w:kern w:val="0"/>
          <w:szCs w:val="28"/>
          <w:shd w:val="clear" w:color="auto" w:fill="FFFFFF"/>
          <w14:ligatures w14:val="none"/>
        </w:rPr>
        <w:t>DECRETO DECLARATORIO DE CONMOCION INTERIOR</w:t>
      </w:r>
      <w:r w:rsidRPr="005528DA">
        <w:rPr>
          <w:rFonts w:eastAsia="Calibri" w:cs="Times New Roman"/>
          <w:b/>
          <w:kern w:val="0"/>
          <w:szCs w:val="28"/>
          <w:lang w:val="es-ES"/>
          <w14:ligatures w14:val="none"/>
        </w:rPr>
        <w:t>-</w:t>
      </w:r>
      <w:r w:rsidRPr="005528DA">
        <w:rPr>
          <w:rFonts w:eastAsia="Calibri" w:cs="Times New Roman"/>
          <w:kern w:val="0"/>
          <w:szCs w:val="28"/>
          <w:lang w:val="es-ES"/>
          <w14:ligatures w14:val="none"/>
        </w:rPr>
        <w:t>Presupuesto valorativo</w:t>
      </w:r>
    </w:p>
    <w:p w14:paraId="0A1D3D2A" w14:textId="77777777" w:rsidR="005528DA" w:rsidRPr="005528DA" w:rsidRDefault="005528DA" w:rsidP="005528DA">
      <w:pPr>
        <w:rPr>
          <w:rFonts w:eastAsia="Calibri" w:cs="Times New Roman"/>
          <w:kern w:val="0"/>
          <w:szCs w:val="28"/>
          <w:lang w:val="es-ES"/>
          <w14:ligatures w14:val="none"/>
        </w:rPr>
      </w:pPr>
    </w:p>
    <w:p w14:paraId="1EC0232A" w14:textId="0AEDF68B" w:rsidR="005528DA" w:rsidRDefault="005528DA" w:rsidP="005528DA">
      <w:pPr>
        <w:rPr>
          <w:rFonts w:eastAsia="Calibri" w:cs="Times New Roman"/>
          <w:i/>
          <w:iCs/>
          <w:kern w:val="0"/>
          <w:szCs w:val="28"/>
          <w14:ligatures w14:val="none"/>
        </w:rPr>
      </w:pPr>
      <w:r w:rsidRPr="005528DA">
        <w:rPr>
          <w:rFonts w:eastAsia="Calibri" w:cs="Times New Roman"/>
          <w:i/>
          <w:iCs/>
          <w:kern w:val="0"/>
          <w:szCs w:val="28"/>
          <w14:ligatures w14:val="none"/>
        </w:rPr>
        <w:t>El presupuesto valorativo está previsto en los artículos 213 de la Constitución, así como en los artículos 2 y 34 de la LEEE. Estas normas exigen que, para que la declaración de conmoción interior sea procedente, la perturbación del orden público debe ser grave y extraordinaria, y debe atentar de manera inminente contra la estabilidad institucional, la seguridad del Estado o la convivencia ciudadana. El cumplimiento del presupuesto valorativo obliga al presidente de la República a demostrar que su valoración de que la perturbación del orden público que invoca cumple con estos requisitos es fundada y se basa en evidencia objetiva.</w:t>
      </w:r>
    </w:p>
    <w:p w14:paraId="6617DACE" w14:textId="77777777" w:rsidR="005528DA" w:rsidRPr="005528DA" w:rsidRDefault="005528DA" w:rsidP="005528DA">
      <w:pPr>
        <w:rPr>
          <w:rFonts w:eastAsia="Calibri" w:cs="Times New Roman"/>
          <w:i/>
          <w:iCs/>
          <w:kern w:val="0"/>
          <w:szCs w:val="28"/>
          <w14:ligatures w14:val="none"/>
        </w:rPr>
      </w:pPr>
    </w:p>
    <w:p w14:paraId="58ECA805" w14:textId="0D8B3073" w:rsidR="005528DA" w:rsidRDefault="005528DA" w:rsidP="005528DA">
      <w:pPr>
        <w:rPr>
          <w:rFonts w:eastAsia="Calibri" w:cs="Times New Roman"/>
          <w:kern w:val="0"/>
          <w:szCs w:val="28"/>
          <w:shd w:val="clear" w:color="auto" w:fill="FFFFFF"/>
          <w14:ligatures w14:val="none"/>
        </w:rPr>
      </w:pPr>
      <w:r w:rsidRPr="005528DA">
        <w:rPr>
          <w:rFonts w:eastAsia="Calibri" w:cs="Times New Roman"/>
          <w:b/>
          <w:bCs/>
          <w:kern w:val="0"/>
          <w:szCs w:val="28"/>
          <w:shd w:val="clear" w:color="auto" w:fill="FFFFFF"/>
          <w14:ligatures w14:val="none"/>
        </w:rPr>
        <w:t>DECLARACION DE CONMOCION INTERIOR</w:t>
      </w:r>
      <w:r w:rsidR="00061288">
        <w:rPr>
          <w:rFonts w:eastAsia="Calibri" w:cs="Times New Roman"/>
          <w:b/>
          <w:bCs/>
          <w:kern w:val="0"/>
          <w:szCs w:val="28"/>
          <w:shd w:val="clear" w:color="auto" w:fill="FFFFFF"/>
          <w14:ligatures w14:val="none"/>
        </w:rPr>
        <w:t>-</w:t>
      </w:r>
      <w:r w:rsidRPr="005528DA">
        <w:rPr>
          <w:rFonts w:eastAsia="Calibri" w:cs="Times New Roman"/>
          <w:kern w:val="0"/>
          <w:szCs w:val="28"/>
          <w:shd w:val="clear" w:color="auto" w:fill="FFFFFF"/>
          <w14:ligatures w14:val="none"/>
        </w:rPr>
        <w:t>Grave alteración del orden público</w:t>
      </w:r>
    </w:p>
    <w:p w14:paraId="55BDC5E7" w14:textId="77777777" w:rsidR="005528DA" w:rsidRPr="005528DA" w:rsidRDefault="005528DA" w:rsidP="005528DA">
      <w:pPr>
        <w:rPr>
          <w:rFonts w:eastAsia="Calibri" w:cs="Times New Roman"/>
          <w:i/>
          <w:iCs/>
          <w:kern w:val="0"/>
          <w:szCs w:val="28"/>
          <w14:ligatures w14:val="none"/>
        </w:rPr>
      </w:pPr>
    </w:p>
    <w:p w14:paraId="6C5E11AC" w14:textId="1CA6FD49" w:rsidR="005528DA" w:rsidRPr="005528DA" w:rsidRDefault="005528DA" w:rsidP="005528DA">
      <w:pPr>
        <w:rPr>
          <w:rFonts w:eastAsia="Calibri" w:cs="Times New Roman"/>
          <w:kern w:val="0"/>
          <w:szCs w:val="28"/>
          <w:lang w:val="es-ES"/>
          <w14:ligatures w14:val="none"/>
        </w:rPr>
      </w:pPr>
      <w:r w:rsidRPr="005528DA">
        <w:rPr>
          <w:rFonts w:eastAsia="Calibri" w:cs="Times New Roman"/>
          <w:b/>
          <w:bCs/>
          <w:kern w:val="0"/>
          <w:szCs w:val="28"/>
          <w:shd w:val="clear" w:color="auto" w:fill="FFFFFF"/>
          <w14:ligatures w14:val="none"/>
        </w:rPr>
        <w:t>DECRETO DECLARATORIO DE CONMOCION INTERIOR</w:t>
      </w:r>
      <w:r w:rsidR="00061288">
        <w:rPr>
          <w:rFonts w:eastAsia="Calibri" w:cs="Times New Roman"/>
          <w:b/>
          <w:bCs/>
          <w:kern w:val="0"/>
          <w:szCs w:val="28"/>
          <w:shd w:val="clear" w:color="auto" w:fill="FFFFFF"/>
          <w14:ligatures w14:val="none"/>
        </w:rPr>
        <w:t>-</w:t>
      </w:r>
      <w:r w:rsidRPr="005528DA">
        <w:rPr>
          <w:rFonts w:eastAsia="Calibri" w:cs="Times New Roman"/>
          <w:kern w:val="0"/>
          <w:szCs w:val="28"/>
          <w:lang w:val="es-ES"/>
          <w14:ligatures w14:val="none"/>
        </w:rPr>
        <w:t>Presupuesto de suficiencia</w:t>
      </w:r>
    </w:p>
    <w:p w14:paraId="6FD8DCC2" w14:textId="77777777" w:rsidR="005528DA" w:rsidRPr="005528DA" w:rsidRDefault="005528DA" w:rsidP="005528DA">
      <w:pPr>
        <w:rPr>
          <w:rFonts w:eastAsia="Calibri" w:cs="Times New Roman"/>
          <w:kern w:val="0"/>
          <w:szCs w:val="28"/>
          <w:lang w:val="es-ES"/>
          <w14:ligatures w14:val="none"/>
        </w:rPr>
      </w:pPr>
    </w:p>
    <w:p w14:paraId="6D99E041" w14:textId="77777777" w:rsidR="005528DA" w:rsidRPr="005528DA" w:rsidRDefault="005528DA" w:rsidP="005528DA">
      <w:pPr>
        <w:tabs>
          <w:tab w:val="left" w:pos="567"/>
        </w:tabs>
        <w:rPr>
          <w:rFonts w:eastAsia="Calibri" w:cs="Times New Roman"/>
          <w:i/>
          <w:iCs/>
          <w:kern w:val="0"/>
          <w:szCs w:val="28"/>
          <w14:ligatures w14:val="none"/>
        </w:rPr>
      </w:pPr>
      <w:r w:rsidRPr="005528DA">
        <w:rPr>
          <w:rFonts w:eastAsia="Calibri" w:cs="Times New Roman"/>
          <w:i/>
          <w:iCs/>
          <w:kern w:val="0"/>
          <w:szCs w:val="28"/>
          <w14:ligatures w14:val="none"/>
        </w:rPr>
        <w:t>El presupuesto de suficiencia busca garantizar que la declaratoria del estado de conmoción interior sea el “último recurso para defender al pueblo colombiano y a la organización institucional que él se ha dado”. De este modo, el presidente de la República “solo […] puede acudir al estado de conmoción interior cuando las herramientas jurídicas ordinarias con que cuenta el Estado no permitan conjurar la grave alteración del orden público que amenaza con disolver el acuerdo que posibilita la convivencia”. Desde esta perspectiva, para declarar el estado de conmoción interior, no basta que exista una perturbación del orden público ni tampoco que esta sea grave, extraordinaria e inminente. Es necesario, además, que dentro de las atribuciones ordinarias del Gobierno nacional no existan mecanismos que permitan conjurar oportunamente la amenaza que se cierne contra la población y la organización política del país.</w:t>
      </w:r>
    </w:p>
    <w:p w14:paraId="433D1F77" w14:textId="77777777" w:rsidR="005528DA" w:rsidRPr="005528DA" w:rsidRDefault="005528DA" w:rsidP="005528DA">
      <w:pPr>
        <w:shd w:val="clear" w:color="auto" w:fill="FFFFFF"/>
        <w:textAlignment w:val="baseline"/>
        <w:rPr>
          <w:rFonts w:eastAsia="Times New Roman" w:cs="Times New Roman"/>
          <w:kern w:val="0"/>
          <w:szCs w:val="28"/>
          <w:lang w:eastAsia="es-CO"/>
          <w14:ligatures w14:val="none"/>
        </w:rPr>
      </w:pPr>
    </w:p>
    <w:p w14:paraId="1AECE9D4" w14:textId="1218D638" w:rsidR="005528DA" w:rsidRPr="005528DA" w:rsidRDefault="005528DA" w:rsidP="005528DA">
      <w:pPr>
        <w:shd w:val="clear" w:color="auto" w:fill="FFFFFF"/>
        <w:textAlignment w:val="baseline"/>
        <w:rPr>
          <w:rFonts w:eastAsia="Times New Roman" w:cs="Times New Roman"/>
          <w:kern w:val="0"/>
          <w:szCs w:val="28"/>
          <w:lang w:eastAsia="es-CO"/>
          <w14:ligatures w14:val="none"/>
        </w:rPr>
      </w:pPr>
      <w:r w:rsidRPr="005528DA">
        <w:rPr>
          <w:rFonts w:eastAsia="Times New Roman" w:cs="Times New Roman"/>
          <w:b/>
          <w:bCs/>
          <w:kern w:val="0"/>
          <w:szCs w:val="28"/>
          <w:lang w:eastAsia="es-CO"/>
          <w14:ligatures w14:val="none"/>
        </w:rPr>
        <w:t>DECRETO DECLARATORIO DE CONMOCION INTERIOR</w:t>
      </w:r>
      <w:r w:rsidR="00061288">
        <w:rPr>
          <w:rFonts w:eastAsia="Times New Roman" w:cs="Times New Roman"/>
          <w:b/>
          <w:bCs/>
          <w:kern w:val="0"/>
          <w:szCs w:val="28"/>
          <w:lang w:eastAsia="es-CO"/>
          <w14:ligatures w14:val="none"/>
        </w:rPr>
        <w:t>-</w:t>
      </w:r>
      <w:r w:rsidRPr="005528DA">
        <w:rPr>
          <w:rFonts w:eastAsia="Times New Roman" w:cs="Times New Roman"/>
          <w:kern w:val="0"/>
          <w:szCs w:val="28"/>
          <w:lang w:eastAsia="es-CO"/>
          <w14:ligatures w14:val="none"/>
        </w:rPr>
        <w:t>Hechos que inusitadamente adquieren mayor intensidad</w:t>
      </w:r>
    </w:p>
    <w:p w14:paraId="0DD33C71" w14:textId="77777777" w:rsidR="005528DA" w:rsidRPr="005528DA" w:rsidRDefault="005528DA" w:rsidP="005528DA">
      <w:pPr>
        <w:rPr>
          <w:rFonts w:eastAsia="Times New Roman" w:cs="Times New Roman"/>
          <w:kern w:val="0"/>
          <w:szCs w:val="28"/>
          <w:lang w:eastAsia="es-CO"/>
          <w14:ligatures w14:val="none"/>
        </w:rPr>
      </w:pPr>
    </w:p>
    <w:p w14:paraId="7BC26708" w14:textId="12214B47" w:rsidR="005528DA" w:rsidRPr="005528DA" w:rsidRDefault="005528DA" w:rsidP="005528DA">
      <w:pPr>
        <w:rPr>
          <w:rFonts w:eastAsia="Calibri" w:cs="Times New Roman"/>
          <w:kern w:val="0"/>
          <w:szCs w:val="28"/>
          <w14:ligatures w14:val="none"/>
        </w:rPr>
      </w:pPr>
      <w:r w:rsidRPr="005528DA">
        <w:rPr>
          <w:rFonts w:eastAsia="Calibri" w:cs="Times New Roman"/>
          <w:b/>
          <w:bCs/>
          <w:kern w:val="0"/>
          <w:szCs w:val="28"/>
          <w:shd w:val="clear" w:color="auto" w:fill="FFFFFF"/>
          <w14:ligatures w14:val="none"/>
        </w:rPr>
        <w:t>DECRETO DECLARATORIO DE CONMOCION INTERIOR</w:t>
      </w:r>
      <w:r w:rsidR="00061288">
        <w:rPr>
          <w:rFonts w:eastAsia="Calibri" w:cs="Times New Roman"/>
          <w:b/>
          <w:bCs/>
          <w:kern w:val="0"/>
          <w:szCs w:val="28"/>
          <w:shd w:val="clear" w:color="auto" w:fill="FFFFFF"/>
          <w14:ligatures w14:val="none"/>
        </w:rPr>
        <w:t>-</w:t>
      </w:r>
      <w:r w:rsidRPr="005528DA">
        <w:rPr>
          <w:rFonts w:eastAsia="Calibri" w:cs="Times New Roman"/>
          <w:kern w:val="0"/>
          <w:szCs w:val="28"/>
          <w14:ligatures w14:val="none"/>
        </w:rPr>
        <w:t>Carácter extraordinario de la perturbación al orden público</w:t>
      </w:r>
    </w:p>
    <w:p w14:paraId="6BF78FA5" w14:textId="77777777" w:rsidR="005528DA" w:rsidRPr="005528DA" w:rsidRDefault="005528DA" w:rsidP="005528DA">
      <w:pPr>
        <w:rPr>
          <w:rFonts w:eastAsia="Calibri" w:cs="Times New Roman"/>
          <w:kern w:val="0"/>
          <w:szCs w:val="28"/>
          <w:lang w:val="es-ES"/>
          <w14:ligatures w14:val="none"/>
        </w:rPr>
      </w:pPr>
    </w:p>
    <w:p w14:paraId="134EA2F5" w14:textId="651D3701" w:rsidR="005528DA" w:rsidRDefault="005528DA" w:rsidP="005528DA">
      <w:pPr>
        <w:rPr>
          <w:rFonts w:eastAsia="Calibri" w:cs="Times New Roman"/>
          <w:i/>
          <w:kern w:val="0"/>
          <w:szCs w:val="28"/>
          <w:lang w:val="es-ES"/>
          <w14:ligatures w14:val="none"/>
        </w:rPr>
      </w:pPr>
      <w:r w:rsidRPr="005528DA">
        <w:rPr>
          <w:rFonts w:eastAsia="Calibri" w:cs="Times New Roman"/>
          <w:i/>
          <w:kern w:val="0"/>
          <w:szCs w:val="28"/>
          <w:lang w:val="es-ES"/>
          <w14:ligatures w14:val="none"/>
        </w:rPr>
        <w:t>(…) en relación con el carácter extraordinario de los hechos y consideraciones que suscitan la declaratoria de un estado de conmoción interior, la Corte ha considerado que las circunstancias invocadas por el Gobierno nacional no pueden ser manifestaciones crónicas, permanentes o estructurales de un problema arraigado en el tiempo, sino situaciones sobrevinientes que representen una amenaza extraordinaria al orden constitucional. Esta distinción salvaguarda el principio de separación de poderes y evita la normalización de facultades excepcionales frente a problemáticas endémicas que deben ser atendidas mediante los mecanismos ordinarios del Estado. Así, únicamente cuando se verifica un agravamiento inusitado de la situación de orden público, caracterizado por un escalamiento cualitativo o cuantitativo excepcional y verificable, es constitucionalmente admisible acudir a este régimen de excepción.</w:t>
      </w:r>
    </w:p>
    <w:p w14:paraId="2CD4077F" w14:textId="77777777" w:rsidR="005528DA" w:rsidRPr="005528DA" w:rsidRDefault="005528DA" w:rsidP="005528DA">
      <w:pPr>
        <w:rPr>
          <w:rFonts w:eastAsia="Calibri" w:cs="Times New Roman"/>
          <w:i/>
          <w:kern w:val="0"/>
          <w:szCs w:val="28"/>
          <w:lang w:val="es-ES"/>
          <w14:ligatures w14:val="none"/>
        </w:rPr>
      </w:pPr>
    </w:p>
    <w:p w14:paraId="66A46EAA" w14:textId="475F584D" w:rsidR="005528DA" w:rsidRDefault="005528DA" w:rsidP="005528DA">
      <w:pPr>
        <w:shd w:val="clear" w:color="auto" w:fill="FFFFFF"/>
        <w:ind w:right="49"/>
        <w:textAlignment w:val="baseline"/>
        <w:rPr>
          <w:rFonts w:eastAsia="Times New Roman" w:cs="Times New Roman"/>
          <w:kern w:val="0"/>
          <w:szCs w:val="28"/>
          <w:lang w:eastAsia="es-CO"/>
          <w14:ligatures w14:val="none"/>
        </w:rPr>
      </w:pPr>
      <w:r w:rsidRPr="005528DA">
        <w:rPr>
          <w:rFonts w:eastAsia="Times New Roman" w:cs="Times New Roman"/>
          <w:b/>
          <w:bCs/>
          <w:kern w:val="0"/>
          <w:szCs w:val="28"/>
          <w:lang w:eastAsia="es-CO"/>
          <w14:ligatures w14:val="none"/>
        </w:rPr>
        <w:t>DECLARACION ESTADO DE EMERGENCIA</w:t>
      </w:r>
      <w:r w:rsidR="00061288">
        <w:rPr>
          <w:rFonts w:eastAsia="Times New Roman" w:cs="Times New Roman"/>
          <w:b/>
          <w:bCs/>
          <w:kern w:val="0"/>
          <w:szCs w:val="28"/>
          <w:lang w:eastAsia="es-CO"/>
          <w14:ligatures w14:val="none"/>
        </w:rPr>
        <w:t>-</w:t>
      </w:r>
      <w:r w:rsidRPr="005528DA">
        <w:rPr>
          <w:rFonts w:eastAsia="Times New Roman" w:cs="Times New Roman"/>
          <w:kern w:val="0"/>
          <w:szCs w:val="28"/>
          <w:lang w:eastAsia="es-CO"/>
          <w14:ligatures w14:val="none"/>
        </w:rPr>
        <w:t>Hecho sobreviniente calificado</w:t>
      </w:r>
    </w:p>
    <w:p w14:paraId="2FCB609C" w14:textId="77777777" w:rsidR="00061288" w:rsidRPr="005528DA" w:rsidRDefault="00061288" w:rsidP="005528DA">
      <w:pPr>
        <w:shd w:val="clear" w:color="auto" w:fill="FFFFFF"/>
        <w:ind w:right="49"/>
        <w:textAlignment w:val="baseline"/>
        <w:rPr>
          <w:rFonts w:eastAsia="Times New Roman" w:cs="Times New Roman"/>
          <w:kern w:val="0"/>
          <w:szCs w:val="28"/>
          <w:lang w:eastAsia="es-CO"/>
          <w14:ligatures w14:val="none"/>
        </w:rPr>
      </w:pPr>
    </w:p>
    <w:p w14:paraId="383372ED" w14:textId="77777777" w:rsidR="005528DA" w:rsidRPr="005528DA" w:rsidRDefault="005528DA" w:rsidP="005528DA">
      <w:pPr>
        <w:rPr>
          <w:rFonts w:eastAsia="Calibri" w:cs="Times New Roman"/>
          <w:i/>
          <w:kern w:val="0"/>
          <w:szCs w:val="28"/>
          <w:lang w:val="es-ES"/>
          <w14:ligatures w14:val="none"/>
        </w:rPr>
      </w:pPr>
      <w:r w:rsidRPr="005528DA">
        <w:rPr>
          <w:rFonts w:eastAsia="Calibri" w:cs="Times New Roman"/>
          <w:i/>
          <w:kern w:val="0"/>
          <w:szCs w:val="28"/>
          <w:lang w:val="es-ES"/>
          <w14:ligatures w14:val="none"/>
        </w:rPr>
        <w:t>(…) la jurisprudencia constitucional ha establecido que los poderes de excepción no deben utilizarse para abordar problemas crónicos o estructurales. Sin embargo, esta Corte ha reconocido que, en circunstancias excepcionales, el agravamiento inusitado de problemáticas estructurales debido a fenómenos sobrevinientes puede justificar la declaración del estado de emergencia. En tales casos, el Gobierno nacional debe acreditar el agravamiento o la intensificación de dicha situación previa para demostrar el carácter extraordinario de los hechos. En el estado de conmoción interior, al igual que en los estados de emergencia económica, ecológica y social, la Sala resalta que no está permitida la utilización expansiva de los poderes excepcionales para resolver problemas crónicos o estructurales. Tales problemas deben ser solucionados por las autoridades mediante los mecanismos ordinarios, y no mediante los estados de excepción.</w:t>
      </w:r>
    </w:p>
    <w:p w14:paraId="28CCB85A" w14:textId="77777777" w:rsidR="005528DA" w:rsidRPr="005528DA" w:rsidRDefault="005528DA" w:rsidP="005528DA">
      <w:pPr>
        <w:rPr>
          <w:rFonts w:eastAsia="Calibri" w:cs="Times New Roman"/>
          <w:i/>
          <w:kern w:val="0"/>
          <w:szCs w:val="28"/>
          <w:lang w:val="es-ES"/>
          <w14:ligatures w14:val="none"/>
        </w:rPr>
      </w:pPr>
    </w:p>
    <w:p w14:paraId="50C92EC2" w14:textId="1DA1FE02" w:rsidR="005528DA" w:rsidRP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DECRETO DECLARATORIO DE ESTADO DE CONMOCION INTERIOR EN LA REGIÓN DEL CATATUMBO</w:t>
      </w:r>
      <w:r w:rsidR="00061288">
        <w:rPr>
          <w:rFonts w:eastAsia="Calibri" w:cs="Times New Roman"/>
          <w:b/>
          <w:kern w:val="0"/>
          <w:szCs w:val="28"/>
          <w:lang w:val="es-ES"/>
          <w14:ligatures w14:val="none"/>
        </w:rPr>
        <w:t>-</w:t>
      </w:r>
      <w:r w:rsidRPr="005528DA">
        <w:rPr>
          <w:rFonts w:eastAsia="Calibri" w:cs="Times New Roman"/>
          <w:kern w:val="0"/>
          <w:szCs w:val="28"/>
          <w:lang w:val="es-ES"/>
          <w14:ligatures w14:val="none"/>
        </w:rPr>
        <w:t>Cumplimiento del presupuesto fáctico</w:t>
      </w:r>
    </w:p>
    <w:p w14:paraId="5113AF0D" w14:textId="77777777" w:rsidR="005528DA" w:rsidRPr="005528DA" w:rsidRDefault="005528DA" w:rsidP="005528DA">
      <w:pPr>
        <w:rPr>
          <w:rFonts w:eastAsia="Calibri" w:cs="Times New Roman"/>
          <w:i/>
          <w:kern w:val="0"/>
          <w:szCs w:val="28"/>
          <w:lang w:val="es-ES"/>
          <w14:ligatures w14:val="none"/>
        </w:rPr>
      </w:pPr>
    </w:p>
    <w:p w14:paraId="7B2F791C" w14:textId="654B5365" w:rsidR="005528DA" w:rsidRDefault="005528DA" w:rsidP="005528DA">
      <w:pPr>
        <w:rPr>
          <w:rFonts w:eastAsia="Times New Roman" w:cs="Times New Roman"/>
          <w:i/>
          <w:kern w:val="0"/>
          <w:szCs w:val="28"/>
          <w14:ligatures w14:val="none"/>
        </w:rPr>
      </w:pPr>
      <w:r w:rsidRPr="005528DA">
        <w:rPr>
          <w:rFonts w:eastAsia="Calibri" w:cs="Times New Roman"/>
          <w:i/>
          <w:kern w:val="0"/>
          <w:szCs w:val="28"/>
          <w:lang w:val="es-ES"/>
          <w14:ligatures w14:val="none"/>
        </w:rPr>
        <w:t xml:space="preserve">(…) </w:t>
      </w:r>
      <w:r w:rsidRPr="005528DA">
        <w:rPr>
          <w:rFonts w:eastAsia="Times New Roman" w:cs="Times New Roman"/>
          <w:i/>
          <w:kern w:val="0"/>
          <w:szCs w:val="28"/>
          <w14:ligatures w14:val="none"/>
        </w:rPr>
        <w:t xml:space="preserve">la Corte concluye que, en términos generales, el Decreto 62 de 2025 satisface el presupuesto fáctico. Esto </w:t>
      </w:r>
      <w:r w:rsidRPr="005528DA">
        <w:rPr>
          <w:rFonts w:eastAsia="Calibri" w:cs="Times New Roman"/>
          <w:i/>
          <w:kern w:val="0"/>
          <w:szCs w:val="28"/>
          <w:lang w:eastAsia="es-ES"/>
          <w14:ligatures w14:val="none"/>
        </w:rPr>
        <w:t>es</w:t>
      </w:r>
      <w:r w:rsidRPr="005528DA">
        <w:rPr>
          <w:rFonts w:eastAsia="Times New Roman" w:cs="Times New Roman"/>
          <w:i/>
          <w:kern w:val="0"/>
          <w:szCs w:val="28"/>
          <w14:ligatures w14:val="none"/>
        </w:rPr>
        <w:t xml:space="preserve"> así, porque el presidente de la República probó la existencia de una perturbación del orden público derivada de la</w:t>
      </w:r>
      <w:r w:rsidRPr="005528DA">
        <w:rPr>
          <w:rFonts w:eastAsia="Times New Roman" w:cs="Times New Roman"/>
          <w:i/>
          <w:iCs/>
          <w:kern w:val="0"/>
          <w:szCs w:val="28"/>
          <w14:ligatures w14:val="none"/>
        </w:rPr>
        <w:t xml:space="preserve"> </w:t>
      </w:r>
      <w:r w:rsidRPr="005528DA">
        <w:rPr>
          <w:rFonts w:eastAsia="Times New Roman" w:cs="Times New Roman"/>
          <w:i/>
          <w:kern w:val="0"/>
          <w:szCs w:val="28"/>
          <w14:ligatures w14:val="none"/>
        </w:rPr>
        <w:t>ocurrencia de hechos concretos, perceptibles y, en consecuencia, verificables, que objetivamente generan una alteración de las condiciones de seguridad y tranquilidad requeridas para el ejercicio de los derechos.</w:t>
      </w:r>
    </w:p>
    <w:p w14:paraId="15CB367D" w14:textId="77777777" w:rsidR="005528DA" w:rsidRPr="005528DA" w:rsidRDefault="005528DA" w:rsidP="005528DA">
      <w:pPr>
        <w:rPr>
          <w:rFonts w:eastAsia="Calibri" w:cs="Times New Roman"/>
          <w:i/>
          <w:kern w:val="0"/>
          <w:szCs w:val="28"/>
          <w:lang w:val="es-ES"/>
          <w14:ligatures w14:val="none"/>
        </w:rPr>
      </w:pPr>
    </w:p>
    <w:p w14:paraId="07CEF1BB" w14:textId="77777777" w:rsidR="005528DA" w:rsidRPr="005528DA" w:rsidRDefault="005528DA" w:rsidP="005528DA">
      <w:pPr>
        <w:rPr>
          <w:rFonts w:eastAsia="Calibri" w:cs="Times New Roman"/>
          <w:i/>
          <w:kern w:val="0"/>
          <w:szCs w:val="28"/>
          <w:lang w:val="es-ES"/>
          <w14:ligatures w14:val="none"/>
        </w:rPr>
      </w:pPr>
      <w:r w:rsidRPr="005528DA">
        <w:rPr>
          <w:rFonts w:eastAsia="Times New Roman" w:cs="Times New Roman"/>
          <w:b/>
          <w:bCs/>
          <w:kern w:val="0"/>
          <w:szCs w:val="28"/>
          <w:lang w:eastAsia="es-CO"/>
          <w14:ligatures w14:val="none"/>
        </w:rPr>
        <w:t>DECRETO DECLARATORIO DE CONMOCION INTERIOR-</w:t>
      </w:r>
      <w:r w:rsidRPr="005528DA">
        <w:rPr>
          <w:rFonts w:eastAsia="Times New Roman" w:cs="Times New Roman"/>
          <w:kern w:val="0"/>
          <w:szCs w:val="28"/>
          <w:lang w:eastAsia="es-CO"/>
          <w14:ligatures w14:val="none"/>
        </w:rPr>
        <w:t>Hechos que</w:t>
      </w:r>
      <w:r w:rsidRPr="005528DA">
        <w:rPr>
          <w:rFonts w:eastAsia="Times New Roman" w:cs="Times New Roman"/>
          <w:kern w:val="0"/>
          <w:szCs w:val="28"/>
          <w14:ligatures w14:val="none"/>
        </w:rPr>
        <w:t xml:space="preserve"> no se constituyen perturbadores del orden público</w:t>
      </w:r>
    </w:p>
    <w:p w14:paraId="291C4E6E" w14:textId="77777777" w:rsidR="005528DA" w:rsidRPr="005528DA" w:rsidRDefault="005528DA" w:rsidP="005528DA">
      <w:pPr>
        <w:rPr>
          <w:rFonts w:eastAsia="Times New Roman" w:cs="Times New Roman"/>
          <w:i/>
          <w:iCs/>
          <w:kern w:val="0"/>
          <w:szCs w:val="28"/>
          <w14:ligatures w14:val="none"/>
        </w:rPr>
      </w:pPr>
    </w:p>
    <w:p w14:paraId="3DF98DFB" w14:textId="79F978DD" w:rsidR="005528DA" w:rsidRDefault="005528DA" w:rsidP="005528DA">
      <w:pPr>
        <w:rPr>
          <w:rFonts w:eastAsia="Times New Roman" w:cs="Times New Roman"/>
          <w:i/>
          <w:iCs/>
          <w:kern w:val="0"/>
          <w:szCs w:val="28"/>
          <w14:ligatures w14:val="none"/>
        </w:rPr>
      </w:pPr>
      <w:r w:rsidRPr="005528DA">
        <w:rPr>
          <w:rFonts w:eastAsia="Times New Roman" w:cs="Times New Roman"/>
          <w:i/>
          <w:iCs/>
          <w:kern w:val="0"/>
          <w:szCs w:val="28"/>
          <w14:ligatures w14:val="none"/>
        </w:rPr>
        <w:t>La Corte Constitucional ha estimado que no constituyen hechos perturbadores del orden público: (i) las hipótesis que teóricamente describen una determinada capacidad de alteración del orden público, (ii) las afirmaciones de contenido exclusivamente retórico o político contenidas en la parte motiva del decreto y (iii) los riesgos hipotéticos o eventuales de afectación del orden público.</w:t>
      </w:r>
    </w:p>
    <w:p w14:paraId="729E9DAF" w14:textId="77777777" w:rsidR="005528DA" w:rsidRPr="005528DA" w:rsidRDefault="005528DA" w:rsidP="005528DA">
      <w:pPr>
        <w:rPr>
          <w:rFonts w:eastAsia="Times New Roman" w:cs="Times New Roman"/>
          <w:i/>
          <w:iCs/>
          <w:kern w:val="0"/>
          <w:szCs w:val="28"/>
          <w14:ligatures w14:val="none"/>
        </w:rPr>
      </w:pPr>
    </w:p>
    <w:p w14:paraId="102D295A" w14:textId="3F378337" w:rsidR="005528DA" w:rsidRP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DECRETO DECLARATORIO DE ESTADO DE CONMOCION INTERIOR EN LA REGIÓN DEL CATATUMBO</w:t>
      </w:r>
      <w:r w:rsidR="00061288">
        <w:rPr>
          <w:rFonts w:eastAsia="Calibri" w:cs="Times New Roman"/>
          <w:b/>
          <w:kern w:val="0"/>
          <w:szCs w:val="28"/>
          <w:lang w:val="es-ES"/>
          <w14:ligatures w14:val="none"/>
        </w:rPr>
        <w:t>-</w:t>
      </w:r>
      <w:r w:rsidRPr="005528DA">
        <w:rPr>
          <w:rFonts w:eastAsia="Calibri" w:cs="Times New Roman"/>
          <w:kern w:val="0"/>
          <w:szCs w:val="28"/>
          <w:lang w:val="es-ES"/>
          <w14:ligatures w14:val="none"/>
        </w:rPr>
        <w:t>Cumplimiento parcial del presupuesto valorativo</w:t>
      </w:r>
    </w:p>
    <w:p w14:paraId="2F980DE8" w14:textId="77777777" w:rsidR="005528DA" w:rsidRPr="005528DA" w:rsidRDefault="005528DA" w:rsidP="005528DA">
      <w:pPr>
        <w:rPr>
          <w:rFonts w:eastAsia="Calibri" w:cs="Times New Roman"/>
          <w:kern w:val="0"/>
          <w:szCs w:val="28"/>
          <w:lang w:val="es-ES"/>
          <w14:ligatures w14:val="none"/>
        </w:rPr>
      </w:pPr>
    </w:p>
    <w:p w14:paraId="775A3733" w14:textId="33BAA2EE" w:rsidR="005528DA" w:rsidRDefault="005528DA" w:rsidP="005528DA">
      <w:pPr>
        <w:rPr>
          <w:rFonts w:eastAsia="Calibri" w:cs="Times New Roman"/>
          <w:i/>
          <w:kern w:val="0"/>
          <w:szCs w:val="28"/>
          <w:lang w:val="es-ES"/>
          <w14:ligatures w14:val="none"/>
        </w:rPr>
      </w:pPr>
      <w:r w:rsidRPr="005528DA">
        <w:rPr>
          <w:rFonts w:eastAsia="Calibri" w:cs="Times New Roman"/>
          <w:i/>
          <w:kern w:val="0"/>
          <w:szCs w:val="28"/>
          <w:lang w:val="es-ES"/>
          <w14:ligatures w14:val="none"/>
        </w:rPr>
        <w:t>(…) el Decreto 62 de 2025 satisface parcialmente el presupuesto valorativo. Si bien la categorización del Gobierno nacional de los hechos invocados como graves está debidamente justificada y respaldada probatoriamente, no ocurre lo mismo con su valoración como extraordinarios… la Corte considera que existen elementos que desacreditan su carácter extraordinario y, por el contrario, sugieren su naturaleza crónica y estructural. Sobre el primer grupo de hechos -los del grupo 2-, la Sala Plena también observa que el Gobierno nacional valoró razonablemente que atentan de forma inminente contra la estabilidad institucional, la seguridad del Estado y la convivencia ciudadana.</w:t>
      </w:r>
    </w:p>
    <w:p w14:paraId="1A0944E7" w14:textId="77777777" w:rsidR="00736D68" w:rsidRPr="005528DA" w:rsidRDefault="00736D68" w:rsidP="005528DA">
      <w:pPr>
        <w:rPr>
          <w:rFonts w:eastAsia="Calibri" w:cs="Times New Roman"/>
          <w:i/>
          <w:kern w:val="0"/>
          <w:szCs w:val="28"/>
          <w:lang w:val="es-ES"/>
          <w14:ligatures w14:val="none"/>
        </w:rPr>
      </w:pPr>
    </w:p>
    <w:p w14:paraId="5809A1CA" w14:textId="1B288567" w:rsid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DECRETO DECLARATORIO DE CONMOCION INTERIOR</w:t>
      </w:r>
      <w:r w:rsidR="00061288">
        <w:rPr>
          <w:rFonts w:eastAsia="Calibri" w:cs="Times New Roman"/>
          <w:b/>
          <w:kern w:val="0"/>
          <w:szCs w:val="28"/>
          <w:lang w:val="es-ES"/>
          <w14:ligatures w14:val="none"/>
        </w:rPr>
        <w:t>-</w:t>
      </w:r>
      <w:r w:rsidRPr="005528DA">
        <w:rPr>
          <w:rFonts w:eastAsia="Calibri" w:cs="Times New Roman"/>
          <w:kern w:val="0"/>
          <w:szCs w:val="28"/>
          <w:lang w:val="es-ES"/>
          <w14:ligatures w14:val="none"/>
        </w:rPr>
        <w:t>Criterios para evaluar la grave perturbación del orden público</w:t>
      </w:r>
    </w:p>
    <w:p w14:paraId="3F023896" w14:textId="77777777" w:rsidR="00736D68" w:rsidRPr="005528DA" w:rsidRDefault="00736D68" w:rsidP="005528DA">
      <w:pPr>
        <w:rPr>
          <w:rFonts w:eastAsia="Calibri" w:cs="Times New Roman"/>
          <w:kern w:val="0"/>
          <w:szCs w:val="28"/>
          <w:lang w:val="es-ES"/>
          <w14:ligatures w14:val="none"/>
        </w:rPr>
      </w:pPr>
    </w:p>
    <w:p w14:paraId="3DDC84D1" w14:textId="48435507" w:rsidR="005528DA" w:rsidRDefault="005528DA" w:rsidP="005528DA">
      <w:pPr>
        <w:rPr>
          <w:rFonts w:eastAsia="Calibri" w:cs="Times New Roman"/>
          <w:i/>
          <w:kern w:val="0"/>
          <w:szCs w:val="28"/>
          <w:lang w:val="es-ES"/>
          <w14:ligatures w14:val="none"/>
        </w:rPr>
      </w:pPr>
      <w:r w:rsidRPr="005528DA">
        <w:rPr>
          <w:rFonts w:eastAsia="Calibri" w:cs="Times New Roman"/>
          <w:b/>
          <w:i/>
          <w:kern w:val="0"/>
          <w:szCs w:val="28"/>
          <w:lang w:val="es-ES"/>
          <w14:ligatures w14:val="none"/>
        </w:rPr>
        <w:t>(</w:t>
      </w:r>
      <w:r w:rsidRPr="005528DA">
        <w:rPr>
          <w:rFonts w:eastAsia="Calibri" w:cs="Times New Roman"/>
          <w:i/>
          <w:kern w:val="0"/>
          <w:szCs w:val="28"/>
          <w:lang w:val="es-ES"/>
          <w14:ligatures w14:val="none"/>
        </w:rPr>
        <w:t>…) la exigencia constitucional y estatutaria de gravedad demanda que la perturbación del orden público tenga un significativo “poder expansivo”, “capacidad desestabilizadora”, “potencial lesivo” y “cobertura”. La gravedad debe examinarse a partir de criterios no sólo cuantitativos, sino también cualitativos</w:t>
      </w:r>
    </w:p>
    <w:p w14:paraId="1D595DCE" w14:textId="77777777" w:rsidR="00736D68" w:rsidRPr="005528DA" w:rsidRDefault="00736D68" w:rsidP="005528DA">
      <w:pPr>
        <w:rPr>
          <w:rFonts w:eastAsia="Calibri" w:cs="Times New Roman"/>
          <w:i/>
          <w:kern w:val="0"/>
          <w:szCs w:val="28"/>
          <w:lang w:val="es-ES"/>
          <w14:ligatures w14:val="none"/>
        </w:rPr>
      </w:pPr>
    </w:p>
    <w:p w14:paraId="6101F879" w14:textId="2E5502EA" w:rsidR="005528DA" w:rsidRP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DECRETO DECLARATORIO DE CONMOCION INTERIOR</w:t>
      </w:r>
      <w:r w:rsidR="00061288">
        <w:rPr>
          <w:rFonts w:eastAsia="Calibri" w:cs="Times New Roman"/>
          <w:b/>
          <w:kern w:val="0"/>
          <w:szCs w:val="28"/>
          <w:lang w:val="es-ES"/>
          <w14:ligatures w14:val="none"/>
        </w:rPr>
        <w:t>-</w:t>
      </w:r>
      <w:r w:rsidRPr="005528DA">
        <w:rPr>
          <w:rFonts w:eastAsia="Calibri" w:cs="Times New Roman"/>
          <w:kern w:val="0"/>
          <w:szCs w:val="28"/>
          <w:lang w:val="es-ES"/>
          <w14:ligatures w14:val="none"/>
        </w:rPr>
        <w:t>Criterios para evaluar el carácter extraordinario de la perturbación del orden público</w:t>
      </w:r>
    </w:p>
    <w:p w14:paraId="23A622B5" w14:textId="77777777" w:rsidR="005528DA" w:rsidRPr="005528DA" w:rsidRDefault="005528DA" w:rsidP="005528DA">
      <w:pPr>
        <w:rPr>
          <w:rFonts w:eastAsia="Calibri" w:cs="Times New Roman"/>
          <w:i/>
          <w:kern w:val="0"/>
          <w:szCs w:val="28"/>
          <w:lang w:val="es-ES"/>
          <w14:ligatures w14:val="none"/>
        </w:rPr>
      </w:pPr>
    </w:p>
    <w:p w14:paraId="378E510C" w14:textId="7D1B51A5" w:rsidR="005528DA" w:rsidRDefault="005528DA" w:rsidP="005528DA">
      <w:pPr>
        <w:rPr>
          <w:rFonts w:eastAsia="Calibri" w:cs="Times New Roman"/>
          <w:i/>
          <w:kern w:val="0"/>
          <w:szCs w:val="28"/>
          <w:lang w:val="es-ES"/>
          <w14:ligatures w14:val="none"/>
        </w:rPr>
      </w:pPr>
      <w:r w:rsidRPr="005528DA">
        <w:rPr>
          <w:rFonts w:eastAsia="Calibri" w:cs="Times New Roman"/>
          <w:i/>
          <w:kern w:val="0"/>
          <w:szCs w:val="28"/>
          <w:lang w:val="es-ES"/>
          <w14:ligatures w14:val="none"/>
        </w:rPr>
        <w:t xml:space="preserve">(…) cuando el Gobierno nacional invoca hechos que den cuenta de problemas de esa índole, la declaración de una conmoción interior resulta inconstitucional. Sin </w:t>
      </w:r>
      <w:r w:rsidRPr="005528DA">
        <w:rPr>
          <w:rFonts w:eastAsia="Calibri" w:cs="Times New Roman"/>
          <w:i/>
          <w:kern w:val="0"/>
          <w:szCs w:val="28"/>
          <w:lang w:val="es-ES"/>
          <w14:ligatures w14:val="none"/>
        </w:rPr>
        <w:lastRenderedPageBreak/>
        <w:t>embargo, excepcionalmente, cuando un problema crónico, estructural o endémico que ya había sido advertido se agrava o agudiza de forma rápida, imprevisible e inusitada, es decir, de una manera que excede el desarrollo esperado de un fenómeno y que desborda la capacidad institucional para atenderlo, es posible que el Gobierno nacional acuda al régimen de excepción de la conmoción interior. La jurisprudencia constitucional no exige sorpresa absoluta ni imprevisibilidad total, sino que la perturbación sea objetivamente excepcional en relación con el contexto previo, y que produzca un impacto inminente y grave en el funcionamiento de las instituciones y en el goce efectivo de los derechos.</w:t>
      </w:r>
    </w:p>
    <w:p w14:paraId="1C181EAE" w14:textId="77777777" w:rsidR="00736D68" w:rsidRPr="005528DA" w:rsidRDefault="00736D68" w:rsidP="005528DA">
      <w:pPr>
        <w:rPr>
          <w:rFonts w:eastAsia="Calibri" w:cs="Times New Roman"/>
          <w:i/>
          <w:kern w:val="0"/>
          <w:szCs w:val="28"/>
          <w:lang w:val="es-ES"/>
          <w14:ligatures w14:val="none"/>
        </w:rPr>
      </w:pPr>
    </w:p>
    <w:p w14:paraId="395956F0" w14:textId="7BC1AC6C" w:rsid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DECRETO DECLARATORIO DE CONMOCION INTERIOR-</w:t>
      </w:r>
      <w:r w:rsidRPr="005528DA">
        <w:rPr>
          <w:rFonts w:eastAsia="Calibri" w:cs="Times New Roman"/>
          <w:kern w:val="0"/>
          <w:szCs w:val="28"/>
          <w:lang w:val="es-ES"/>
          <w14:ligatures w14:val="none"/>
        </w:rPr>
        <w:t>Hechos perturbadores que no tienen carácter de extraordinarios</w:t>
      </w:r>
    </w:p>
    <w:p w14:paraId="5000A54B" w14:textId="77777777" w:rsidR="00736D68" w:rsidRPr="005528DA" w:rsidRDefault="00736D68" w:rsidP="005528DA">
      <w:pPr>
        <w:rPr>
          <w:rFonts w:eastAsia="Calibri" w:cs="Times New Roman"/>
          <w:kern w:val="0"/>
          <w:szCs w:val="28"/>
          <w:lang w:val="es-ES"/>
          <w14:ligatures w14:val="none"/>
        </w:rPr>
      </w:pPr>
    </w:p>
    <w:p w14:paraId="5CCC1B3F" w14:textId="50BA2B7E" w:rsid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DECRETO DECLARATORIO DE CONMOCION INTERIOR</w:t>
      </w:r>
      <w:r w:rsidR="00736D68">
        <w:rPr>
          <w:rFonts w:eastAsia="Calibri" w:cs="Times New Roman"/>
          <w:b/>
          <w:kern w:val="0"/>
          <w:szCs w:val="28"/>
          <w:lang w:val="es-ES"/>
          <w14:ligatures w14:val="none"/>
        </w:rPr>
        <w:t>-</w:t>
      </w:r>
      <w:r w:rsidRPr="005528DA">
        <w:rPr>
          <w:rFonts w:eastAsia="Calibri" w:cs="Times New Roman"/>
          <w:kern w:val="0"/>
          <w:szCs w:val="28"/>
          <w:lang w:val="es-ES"/>
          <w14:ligatures w14:val="none"/>
        </w:rPr>
        <w:t>Afectación inminente a la estabilidad institucional, la seguridad del Estado o a la convivencia ciudadana</w:t>
      </w:r>
    </w:p>
    <w:p w14:paraId="155505F0" w14:textId="77777777" w:rsidR="00736D68" w:rsidRPr="005528DA" w:rsidRDefault="00736D68" w:rsidP="005528DA">
      <w:pPr>
        <w:rPr>
          <w:rFonts w:eastAsia="Calibri" w:cs="Times New Roman"/>
          <w:kern w:val="0"/>
          <w:szCs w:val="28"/>
          <w:lang w:val="es-ES"/>
          <w14:ligatures w14:val="none"/>
        </w:rPr>
      </w:pPr>
    </w:p>
    <w:p w14:paraId="71DB2CD6" w14:textId="235F97F3" w:rsidR="005528DA" w:rsidRDefault="005528DA" w:rsidP="005528DA">
      <w:pPr>
        <w:shd w:val="clear" w:color="auto" w:fill="FFFFFF"/>
        <w:ind w:right="48"/>
        <w:textAlignment w:val="baseline"/>
        <w:rPr>
          <w:rFonts w:eastAsia="Times New Roman" w:cs="Times New Roman"/>
          <w:kern w:val="0"/>
          <w:szCs w:val="28"/>
          <w:shd w:val="clear" w:color="auto" w:fill="FFFFFF"/>
          <w:lang w:eastAsia="es-CO"/>
          <w14:ligatures w14:val="none"/>
        </w:rPr>
      </w:pPr>
      <w:r w:rsidRPr="005528DA">
        <w:rPr>
          <w:rFonts w:eastAsia="Times New Roman" w:cs="Times New Roman"/>
          <w:b/>
          <w:bCs/>
          <w:kern w:val="0"/>
          <w:szCs w:val="28"/>
          <w:shd w:val="clear" w:color="auto" w:fill="FFFFFF"/>
          <w:lang w:eastAsia="es-CO"/>
          <w14:ligatures w14:val="none"/>
        </w:rPr>
        <w:t>TRASLADOS PRESUPUESTALES-</w:t>
      </w:r>
      <w:r w:rsidRPr="005528DA">
        <w:rPr>
          <w:rFonts w:eastAsia="Times New Roman" w:cs="Times New Roman"/>
          <w:kern w:val="0"/>
          <w:szCs w:val="28"/>
          <w:shd w:val="clear" w:color="auto" w:fill="FFFFFF"/>
          <w:lang w:eastAsia="es-CO"/>
          <w14:ligatures w14:val="none"/>
        </w:rPr>
        <w:t>Competencia para efectuarlos</w:t>
      </w:r>
    </w:p>
    <w:p w14:paraId="25550EC9" w14:textId="77777777" w:rsidR="00736D68" w:rsidRPr="005528DA" w:rsidRDefault="00736D68" w:rsidP="005528DA">
      <w:pPr>
        <w:shd w:val="clear" w:color="auto" w:fill="FFFFFF"/>
        <w:ind w:right="48"/>
        <w:textAlignment w:val="baseline"/>
        <w:rPr>
          <w:rFonts w:eastAsia="Times New Roman" w:cs="Times New Roman"/>
          <w:kern w:val="0"/>
          <w:szCs w:val="28"/>
          <w:lang w:eastAsia="es-CO"/>
          <w14:ligatures w14:val="none"/>
        </w:rPr>
      </w:pPr>
    </w:p>
    <w:p w14:paraId="3097120B" w14:textId="5EFCD55F" w:rsidR="005528DA" w:rsidRDefault="005528DA" w:rsidP="005528DA">
      <w:pPr>
        <w:rPr>
          <w:rFonts w:eastAsia="Calibri" w:cs="Times New Roman"/>
          <w:kern w:val="0"/>
          <w:szCs w:val="28"/>
          <w:shd w:val="clear" w:color="auto" w:fill="FFFFFF"/>
          <w14:ligatures w14:val="none"/>
        </w:rPr>
      </w:pPr>
      <w:r w:rsidRPr="005528DA">
        <w:rPr>
          <w:rFonts w:eastAsia="Calibri" w:cs="Times New Roman"/>
          <w:b/>
          <w:bCs/>
          <w:kern w:val="0"/>
          <w:szCs w:val="28"/>
          <w:shd w:val="clear" w:color="auto" w:fill="FFFFFF"/>
          <w14:ligatures w14:val="none"/>
        </w:rPr>
        <w:t>OPERACIONES DE CREDITO PUBLICO-</w:t>
      </w:r>
      <w:r w:rsidRPr="005528DA">
        <w:rPr>
          <w:rFonts w:eastAsia="Calibri" w:cs="Times New Roman"/>
          <w:kern w:val="0"/>
          <w:szCs w:val="28"/>
          <w:shd w:val="clear" w:color="auto" w:fill="FFFFFF"/>
          <w14:ligatures w14:val="none"/>
        </w:rPr>
        <w:t>Tipos</w:t>
      </w:r>
    </w:p>
    <w:p w14:paraId="24928A29" w14:textId="77777777" w:rsidR="00736D68" w:rsidRDefault="00736D68" w:rsidP="005528DA">
      <w:pPr>
        <w:rPr>
          <w:rFonts w:eastAsia="Calibri" w:cs="Times New Roman"/>
          <w:kern w:val="0"/>
          <w:szCs w:val="28"/>
          <w:shd w:val="clear" w:color="auto" w:fill="FFFFFF"/>
          <w14:ligatures w14:val="none"/>
        </w:rPr>
      </w:pPr>
    </w:p>
    <w:p w14:paraId="3157EC24" w14:textId="357C8084" w:rsidR="005528DA" w:rsidRPr="005528DA" w:rsidRDefault="005528DA" w:rsidP="005528DA">
      <w:pPr>
        <w:rPr>
          <w:rFonts w:eastAsia="Calibri" w:cs="Times New Roman"/>
          <w:kern w:val="0"/>
          <w:szCs w:val="28"/>
          <w:lang w:val="es-ES"/>
          <w14:ligatures w14:val="none"/>
        </w:rPr>
      </w:pPr>
      <w:r w:rsidRPr="005528DA">
        <w:rPr>
          <w:rFonts w:eastAsia="Calibri" w:cs="Times New Roman"/>
          <w:b/>
          <w:kern w:val="0"/>
          <w:szCs w:val="28"/>
          <w:lang w:val="es-ES"/>
          <w14:ligatures w14:val="none"/>
        </w:rPr>
        <w:t>DECRETO DECLARATORIO DE ESTADO DE CONMOCION INTERIOR EN LA REGIÓN DEL CATATUMBO</w:t>
      </w:r>
      <w:r w:rsidR="00736D68">
        <w:rPr>
          <w:rFonts w:eastAsia="Calibri" w:cs="Times New Roman"/>
          <w:b/>
          <w:kern w:val="0"/>
          <w:szCs w:val="28"/>
          <w:lang w:val="es-ES"/>
          <w14:ligatures w14:val="none"/>
        </w:rPr>
        <w:t>-</w:t>
      </w:r>
      <w:r w:rsidRPr="005528DA">
        <w:rPr>
          <w:rFonts w:eastAsia="Calibri" w:cs="Times New Roman"/>
          <w:kern w:val="0"/>
          <w:szCs w:val="28"/>
          <w:lang w:val="es-ES"/>
          <w14:ligatures w14:val="none"/>
        </w:rPr>
        <w:t>Cumplimiento del presupuesto de suficiencia</w:t>
      </w:r>
    </w:p>
    <w:p w14:paraId="150AEB1C" w14:textId="77777777" w:rsidR="005528DA" w:rsidRPr="005528DA" w:rsidRDefault="005528DA" w:rsidP="005528DA">
      <w:pPr>
        <w:rPr>
          <w:rFonts w:eastAsia="Calibri" w:cs="Times New Roman"/>
          <w:i/>
          <w:iCs/>
          <w:kern w:val="0"/>
          <w:szCs w:val="28"/>
          <w:lang w:val="es-ES"/>
          <w14:ligatures w14:val="none"/>
        </w:rPr>
      </w:pPr>
    </w:p>
    <w:p w14:paraId="5EEA5654" w14:textId="77777777" w:rsidR="005528DA" w:rsidRPr="005528DA" w:rsidRDefault="005528DA" w:rsidP="005528DA">
      <w:pPr>
        <w:rPr>
          <w:rFonts w:eastAsia="Calibri" w:cs="Times New Roman"/>
          <w:i/>
          <w:iCs/>
          <w:kern w:val="0"/>
          <w:szCs w:val="28"/>
          <w:lang w:val="es-ES"/>
          <w14:ligatures w14:val="none"/>
        </w:rPr>
      </w:pPr>
      <w:r w:rsidRPr="005528DA">
        <w:rPr>
          <w:rFonts w:eastAsia="Calibri" w:cs="Times New Roman"/>
          <w:i/>
          <w:iCs/>
          <w:kern w:val="0"/>
          <w:szCs w:val="28"/>
          <w:lang w:val="es-ES"/>
          <w14:ligatures w14:val="none"/>
        </w:rPr>
        <w:t xml:space="preserve">(…) la Sala considera que respecto de los hechos que fueron calificados en la sección </w:t>
      </w:r>
      <w:r w:rsidRPr="005528DA">
        <w:rPr>
          <w:rFonts w:eastAsia="Calibri" w:cs="Times New Roman"/>
          <w:i/>
          <w:iCs/>
          <w:kern w:val="0"/>
          <w:szCs w:val="28"/>
          <w:lang w:val="es-ES"/>
          <w14:ligatures w14:val="none"/>
        </w:rPr>
        <w:fldChar w:fldCharType="begin"/>
      </w:r>
      <w:r w:rsidRPr="005528DA">
        <w:rPr>
          <w:rFonts w:eastAsia="Calibri" w:cs="Times New Roman"/>
          <w:i/>
          <w:iCs/>
          <w:kern w:val="0"/>
          <w:szCs w:val="28"/>
          <w:lang w:val="es-ES"/>
          <w14:ligatures w14:val="none"/>
        </w:rPr>
        <w:instrText xml:space="preserve"> REF _Ref203397057 \r \h  \* MERGEFORMAT </w:instrText>
      </w:r>
      <w:r w:rsidRPr="005528DA">
        <w:rPr>
          <w:rFonts w:eastAsia="Calibri" w:cs="Times New Roman"/>
          <w:i/>
          <w:iCs/>
          <w:kern w:val="0"/>
          <w:szCs w:val="28"/>
          <w:lang w:val="es-ES"/>
          <w14:ligatures w14:val="none"/>
        </w:rPr>
      </w:r>
      <w:r w:rsidRPr="005528DA">
        <w:rPr>
          <w:rFonts w:eastAsia="Calibri" w:cs="Times New Roman"/>
          <w:i/>
          <w:iCs/>
          <w:kern w:val="0"/>
          <w:szCs w:val="28"/>
          <w:lang w:val="es-ES"/>
          <w14:ligatures w14:val="none"/>
        </w:rPr>
        <w:fldChar w:fldCharType="separate"/>
      </w:r>
      <w:r w:rsidRPr="005528DA">
        <w:rPr>
          <w:rFonts w:eastAsia="Calibri" w:cs="Times New Roman"/>
          <w:i/>
          <w:iCs/>
          <w:kern w:val="0"/>
          <w:szCs w:val="28"/>
          <w:lang w:val="es-ES"/>
          <w14:ligatures w14:val="none"/>
        </w:rPr>
        <w:t>6.2</w:t>
      </w:r>
      <w:r w:rsidRPr="005528DA">
        <w:rPr>
          <w:rFonts w:eastAsia="Calibri" w:cs="Times New Roman"/>
          <w:i/>
          <w:iCs/>
          <w:kern w:val="0"/>
          <w:szCs w:val="28"/>
          <w:lang w:val="es-ES"/>
          <w14:ligatures w14:val="none"/>
        </w:rPr>
        <w:fldChar w:fldCharType="end"/>
      </w:r>
      <w:r w:rsidRPr="005528DA">
        <w:rPr>
          <w:rFonts w:eastAsia="Calibri" w:cs="Times New Roman"/>
          <w:i/>
          <w:iCs/>
          <w:kern w:val="0"/>
          <w:szCs w:val="28"/>
          <w:lang w:val="es-ES"/>
          <w14:ligatures w14:val="none"/>
        </w:rPr>
        <w:t xml:space="preserve"> como graves, extraordinarios y que afectan inminentemente la convivencia ciudadana, la seguridad del Estado y la estabilidad de las instituciones, también se encuentra acreditado el presupuesto de suficiencia. Lo anterior por cuanto, aunque nuestra normativa otorga en abstracto facultades robustas al Gobierno nacional para atender perturbaciones del orden público y garantizar los derechos de la población civil ante eventos como el desplazamiento forzado y los confinamientos, incluso en un estado de “anormalidad normal”, lo cierto es que en este caso existen importantes evidencias de desbordamiento institucional e incapacidad de esos mecanismos para responder de forma oportuna y suficiente a una crisis de la magnitud de la que enfrenta la región del Catatumbo y que continuó agravándose después de la declaración del estado de conmoción interior.</w:t>
      </w:r>
    </w:p>
    <w:p w14:paraId="28E719B4" w14:textId="77777777" w:rsidR="00D516A9" w:rsidRPr="00D516A9" w:rsidRDefault="001F3006" w:rsidP="00D516A9">
      <w:pPr>
        <w:widowControl w:val="0"/>
        <w:autoSpaceDE w:val="0"/>
        <w:autoSpaceDN w:val="0"/>
        <w:adjustRightInd w:val="0"/>
        <w:rPr>
          <w:rFonts w:eastAsia="Times New Roman" w:cs="Times New Roman"/>
          <w:kern w:val="0"/>
          <w:szCs w:val="22"/>
          <w:lang w:val="es-MX"/>
          <w14:ligatures w14:val="none"/>
        </w:rPr>
      </w:pPr>
      <w:bookmarkStart w:id="4" w:name="_Hlk178934335"/>
      <w:r>
        <w:rPr>
          <w:rFonts w:eastAsia="Times New Roman" w:cs="Times New Roman"/>
          <w:kern w:val="0"/>
          <w:szCs w:val="28"/>
          <w:lang w:val="en-US"/>
          <w14:ligatures w14:val="none"/>
        </w:rPr>
        <w:pict w14:anchorId="6F9BC3F1">
          <v:rect id="_x0000_i1025" style="width:0;height:1.5pt" o:hralign="center" o:hrstd="t" o:hr="t" fillcolor="#a0a0a0" stroked="f"/>
        </w:pict>
      </w:r>
      <w:bookmarkEnd w:id="0"/>
      <w:bookmarkEnd w:id="4"/>
    </w:p>
    <w:bookmarkEnd w:id="1"/>
    <w:bookmarkEnd w:id="2"/>
    <w:p w14:paraId="30AD5EB8" w14:textId="77777777" w:rsidR="00D516A9" w:rsidRDefault="00D516A9" w:rsidP="00C454A1">
      <w:pPr>
        <w:pStyle w:val="Encabezado"/>
        <w:jc w:val="center"/>
        <w:rPr>
          <w:rFonts w:cs="Times New Roman"/>
          <w:b/>
          <w:bCs/>
          <w:color w:val="000000" w:themeColor="text1"/>
          <w:szCs w:val="28"/>
        </w:rPr>
      </w:pPr>
    </w:p>
    <w:p w14:paraId="41C0369F" w14:textId="04FB1DA8" w:rsidR="00D07886" w:rsidRPr="00C454A1" w:rsidRDefault="00D07886" w:rsidP="00C454A1">
      <w:pPr>
        <w:pStyle w:val="Encabezado"/>
        <w:jc w:val="center"/>
        <w:rPr>
          <w:rFonts w:cs="Times New Roman"/>
          <w:b/>
          <w:bCs/>
          <w:color w:val="000000" w:themeColor="text1"/>
          <w:szCs w:val="28"/>
        </w:rPr>
      </w:pPr>
      <w:r w:rsidRPr="00C454A1">
        <w:rPr>
          <w:rFonts w:cs="Times New Roman"/>
          <w:b/>
          <w:bCs/>
          <w:color w:val="000000" w:themeColor="text1"/>
          <w:szCs w:val="28"/>
        </w:rPr>
        <w:t>REPÚBLICA DE COLOMBIA</w:t>
      </w:r>
    </w:p>
    <w:p w14:paraId="05FC39C6" w14:textId="573167AE" w:rsidR="00D07886" w:rsidRPr="00C454A1" w:rsidRDefault="007A207A" w:rsidP="00C454A1">
      <w:pPr>
        <w:pStyle w:val="Encabezado"/>
        <w:jc w:val="center"/>
        <w:rPr>
          <w:rFonts w:cs="Times New Roman"/>
          <w:b/>
          <w:bCs/>
          <w:color w:val="000000" w:themeColor="text1"/>
          <w:szCs w:val="28"/>
        </w:rPr>
      </w:pPr>
      <w:r w:rsidRPr="00C454A1">
        <w:rPr>
          <w:rFonts w:cs="Times New Roman"/>
          <w:b/>
          <w:bCs/>
          <w:noProof/>
          <w:color w:val="000000" w:themeColor="text1"/>
          <w:szCs w:val="28"/>
          <w:lang w:val="en-US"/>
        </w:rPr>
        <w:drawing>
          <wp:inline distT="0" distB="0" distL="0" distR="0" wp14:anchorId="7BE5AEBC" wp14:editId="19AE8502">
            <wp:extent cx="792480" cy="792480"/>
            <wp:effectExtent l="0" t="0" r="7620" b="7620"/>
            <wp:docPr id="2282279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14:paraId="0C70C39B" w14:textId="77777777" w:rsidR="00D07886" w:rsidRPr="00C454A1" w:rsidRDefault="00D07886" w:rsidP="00C454A1">
      <w:pPr>
        <w:pStyle w:val="Encabezado"/>
        <w:jc w:val="center"/>
        <w:rPr>
          <w:rFonts w:cs="Times New Roman"/>
          <w:b/>
          <w:bCs/>
          <w:color w:val="000000" w:themeColor="text1"/>
          <w:szCs w:val="28"/>
        </w:rPr>
      </w:pPr>
      <w:r w:rsidRPr="00C454A1">
        <w:rPr>
          <w:rFonts w:cs="Times New Roman"/>
          <w:b/>
          <w:bCs/>
          <w:color w:val="000000" w:themeColor="text1"/>
          <w:szCs w:val="28"/>
        </w:rPr>
        <w:t>CORTE CONSTITUCIONAL</w:t>
      </w:r>
    </w:p>
    <w:p w14:paraId="509AE586" w14:textId="3FAED665" w:rsidR="00D07886" w:rsidRPr="00C454A1" w:rsidRDefault="00D07886" w:rsidP="00C454A1">
      <w:pPr>
        <w:pStyle w:val="Encabezado"/>
        <w:tabs>
          <w:tab w:val="clear" w:pos="8504"/>
        </w:tabs>
        <w:jc w:val="center"/>
        <w:rPr>
          <w:rFonts w:cs="Times New Roman"/>
          <w:b/>
          <w:bCs/>
          <w:color w:val="000000" w:themeColor="text1"/>
          <w:szCs w:val="28"/>
        </w:rPr>
      </w:pPr>
      <w:r w:rsidRPr="00C454A1">
        <w:rPr>
          <w:rFonts w:cs="Times New Roman"/>
          <w:b/>
          <w:bCs/>
          <w:color w:val="000000" w:themeColor="text1"/>
          <w:szCs w:val="28"/>
        </w:rPr>
        <w:t>Sala Plena</w:t>
      </w:r>
    </w:p>
    <w:p w14:paraId="57A79FB8" w14:textId="77777777" w:rsidR="006A7AEE" w:rsidRPr="00C454A1" w:rsidRDefault="006A7AEE" w:rsidP="006A7AEE">
      <w:pPr>
        <w:pStyle w:val="Encabezado"/>
        <w:tabs>
          <w:tab w:val="clear" w:pos="8504"/>
        </w:tabs>
        <w:jc w:val="center"/>
        <w:rPr>
          <w:rFonts w:cs="Times New Roman"/>
          <w:b/>
          <w:bCs/>
          <w:color w:val="000000" w:themeColor="text1"/>
          <w:szCs w:val="28"/>
        </w:rPr>
      </w:pPr>
    </w:p>
    <w:p w14:paraId="61642357" w14:textId="01D6918B" w:rsidR="00D07886" w:rsidRPr="00C454A1" w:rsidRDefault="00D07886" w:rsidP="00BE5704">
      <w:pPr>
        <w:jc w:val="center"/>
        <w:rPr>
          <w:b/>
          <w:bCs/>
          <w:color w:val="000000" w:themeColor="text1"/>
        </w:rPr>
      </w:pPr>
      <w:bookmarkStart w:id="5" w:name="_Toc190338921"/>
      <w:bookmarkStart w:id="6" w:name="_Toc190339140"/>
      <w:bookmarkStart w:id="7" w:name="_Toc190339255"/>
      <w:bookmarkStart w:id="8" w:name="_Toc190339430"/>
      <w:bookmarkStart w:id="9" w:name="_Hlk198894473"/>
      <w:r w:rsidRPr="00C454A1">
        <w:rPr>
          <w:b/>
          <w:bCs/>
          <w:color w:val="000000" w:themeColor="text1"/>
        </w:rPr>
        <w:lastRenderedPageBreak/>
        <w:t xml:space="preserve">SENTENCIA </w:t>
      </w:r>
      <w:r w:rsidR="00181ED4" w:rsidRPr="00C454A1">
        <w:rPr>
          <w:b/>
          <w:bCs/>
          <w:color w:val="000000" w:themeColor="text1"/>
        </w:rPr>
        <w:t>C-148 DE</w:t>
      </w:r>
      <w:r w:rsidRPr="00C454A1">
        <w:rPr>
          <w:b/>
          <w:bCs/>
          <w:color w:val="000000" w:themeColor="text1"/>
        </w:rPr>
        <w:t xml:space="preserve"> 202</w:t>
      </w:r>
      <w:r w:rsidR="00233F28" w:rsidRPr="00C454A1">
        <w:rPr>
          <w:b/>
          <w:bCs/>
          <w:color w:val="000000" w:themeColor="text1"/>
        </w:rPr>
        <w:t>5</w:t>
      </w:r>
      <w:bookmarkEnd w:id="5"/>
      <w:bookmarkEnd w:id="6"/>
      <w:bookmarkEnd w:id="7"/>
      <w:bookmarkEnd w:id="8"/>
    </w:p>
    <w:bookmarkEnd w:id="9"/>
    <w:p w14:paraId="59AC9C64" w14:textId="77777777" w:rsidR="00D07886" w:rsidRPr="00C454A1" w:rsidRDefault="00D07886" w:rsidP="00631C27">
      <w:pPr>
        <w:kinsoku w:val="0"/>
        <w:overflowPunct w:val="0"/>
        <w:autoSpaceDE w:val="0"/>
        <w:autoSpaceDN w:val="0"/>
        <w:adjustRightInd w:val="0"/>
        <w:ind w:left="3827" w:right="51"/>
        <w:rPr>
          <w:rFonts w:cs="Times New Roman"/>
          <w:b/>
          <w:bCs/>
          <w:color w:val="000000" w:themeColor="text1"/>
          <w:szCs w:val="28"/>
        </w:rPr>
      </w:pPr>
    </w:p>
    <w:p w14:paraId="4DF895B9" w14:textId="6F87F290" w:rsidR="00D07886" w:rsidRPr="00C454A1" w:rsidRDefault="00D07886" w:rsidP="00631C27">
      <w:pPr>
        <w:kinsoku w:val="0"/>
        <w:overflowPunct w:val="0"/>
        <w:autoSpaceDE w:val="0"/>
        <w:autoSpaceDN w:val="0"/>
        <w:adjustRightInd w:val="0"/>
        <w:ind w:left="3969" w:right="51"/>
        <w:rPr>
          <w:rFonts w:cs="Times New Roman"/>
          <w:color w:val="000000" w:themeColor="text1"/>
          <w:szCs w:val="28"/>
        </w:rPr>
      </w:pPr>
      <w:r w:rsidRPr="00C454A1">
        <w:rPr>
          <w:rFonts w:cs="Times New Roman"/>
          <w:b/>
          <w:bCs/>
          <w:color w:val="000000" w:themeColor="text1"/>
          <w:szCs w:val="28"/>
        </w:rPr>
        <w:t xml:space="preserve">Referencia: </w:t>
      </w:r>
      <w:r w:rsidR="003727E2" w:rsidRPr="00C454A1">
        <w:rPr>
          <w:rFonts w:cs="Times New Roman"/>
          <w:color w:val="000000" w:themeColor="text1"/>
          <w:szCs w:val="28"/>
        </w:rPr>
        <w:t>e</w:t>
      </w:r>
      <w:r w:rsidRPr="00C454A1">
        <w:rPr>
          <w:rFonts w:cs="Times New Roman"/>
          <w:color w:val="000000" w:themeColor="text1"/>
          <w:szCs w:val="28"/>
        </w:rPr>
        <w:t xml:space="preserve">xpediente </w:t>
      </w:r>
      <w:r w:rsidR="00AF34E3" w:rsidRPr="00C454A1">
        <w:rPr>
          <w:rFonts w:cs="Times New Roman"/>
          <w:color w:val="000000" w:themeColor="text1"/>
          <w:szCs w:val="28"/>
        </w:rPr>
        <w:t>RE-361</w:t>
      </w:r>
    </w:p>
    <w:p w14:paraId="5494BB8A" w14:textId="77777777" w:rsidR="00D07886" w:rsidRPr="00C454A1" w:rsidRDefault="00D07886" w:rsidP="00631C27">
      <w:pPr>
        <w:kinsoku w:val="0"/>
        <w:overflowPunct w:val="0"/>
        <w:autoSpaceDE w:val="0"/>
        <w:autoSpaceDN w:val="0"/>
        <w:adjustRightInd w:val="0"/>
        <w:ind w:left="3969" w:right="51"/>
        <w:rPr>
          <w:rFonts w:cs="Times New Roman"/>
          <w:color w:val="000000" w:themeColor="text1"/>
          <w:szCs w:val="28"/>
        </w:rPr>
      </w:pPr>
    </w:p>
    <w:p w14:paraId="68EB7519" w14:textId="653141C6" w:rsidR="00D07886" w:rsidRPr="00C454A1" w:rsidRDefault="003727E2" w:rsidP="00631C27">
      <w:pPr>
        <w:kinsoku w:val="0"/>
        <w:overflowPunct w:val="0"/>
        <w:autoSpaceDE w:val="0"/>
        <w:autoSpaceDN w:val="0"/>
        <w:adjustRightInd w:val="0"/>
        <w:ind w:left="3969" w:right="51"/>
        <w:rPr>
          <w:rFonts w:eastAsiaTheme="majorEastAsia" w:cs="Times New Roman"/>
          <w:color w:val="000000" w:themeColor="text1"/>
          <w:szCs w:val="28"/>
        </w:rPr>
      </w:pPr>
      <w:r w:rsidRPr="00C454A1">
        <w:rPr>
          <w:rFonts w:eastAsiaTheme="majorEastAsia" w:cs="Times New Roman"/>
          <w:b/>
          <w:bCs/>
          <w:color w:val="000000" w:themeColor="text1"/>
          <w:szCs w:val="28"/>
        </w:rPr>
        <w:t xml:space="preserve">Asunto: </w:t>
      </w:r>
      <w:r w:rsidRPr="00C454A1">
        <w:rPr>
          <w:rFonts w:eastAsiaTheme="majorEastAsia" w:cs="Times New Roman"/>
          <w:color w:val="000000" w:themeColor="text1"/>
          <w:szCs w:val="28"/>
        </w:rPr>
        <w:t>c</w:t>
      </w:r>
      <w:r w:rsidR="00233F28" w:rsidRPr="00C454A1">
        <w:rPr>
          <w:rFonts w:eastAsiaTheme="majorEastAsia" w:cs="Times New Roman"/>
          <w:color w:val="000000" w:themeColor="text1"/>
          <w:szCs w:val="28"/>
        </w:rPr>
        <w:t xml:space="preserve">ontrol de constitucionalidad </w:t>
      </w:r>
      <w:r w:rsidR="00AF34E3" w:rsidRPr="00C454A1">
        <w:rPr>
          <w:rFonts w:eastAsiaTheme="majorEastAsia" w:cs="Times New Roman"/>
          <w:color w:val="000000" w:themeColor="text1"/>
          <w:szCs w:val="28"/>
        </w:rPr>
        <w:t>del Decreto Legislativo 62 de 24 de enero de 2025, “Por el cual se decreta el estado de conmoción interior en la región del Catatumbo, los municipios del área metropolitana de Cúcuta y los municipios de Río de Oro y González del departamento del Cesar”</w:t>
      </w:r>
    </w:p>
    <w:p w14:paraId="2BF8235D" w14:textId="77777777" w:rsidR="00D07886" w:rsidRPr="00C454A1" w:rsidRDefault="00D07886" w:rsidP="00631C27">
      <w:pPr>
        <w:kinsoku w:val="0"/>
        <w:overflowPunct w:val="0"/>
        <w:autoSpaceDE w:val="0"/>
        <w:autoSpaceDN w:val="0"/>
        <w:adjustRightInd w:val="0"/>
        <w:ind w:left="3969" w:right="51"/>
        <w:rPr>
          <w:rFonts w:cs="Times New Roman"/>
          <w:iCs/>
          <w:color w:val="000000" w:themeColor="text1"/>
          <w:szCs w:val="28"/>
        </w:rPr>
      </w:pPr>
    </w:p>
    <w:p w14:paraId="6971741C" w14:textId="652960E8" w:rsidR="00D07886" w:rsidRPr="00C454A1" w:rsidRDefault="00D07886" w:rsidP="00631C27">
      <w:pPr>
        <w:kinsoku w:val="0"/>
        <w:overflowPunct w:val="0"/>
        <w:autoSpaceDE w:val="0"/>
        <w:autoSpaceDN w:val="0"/>
        <w:adjustRightInd w:val="0"/>
        <w:ind w:left="3969" w:right="51"/>
        <w:rPr>
          <w:rFonts w:cs="Times New Roman"/>
          <w:iCs/>
          <w:color w:val="000000" w:themeColor="text1"/>
          <w:szCs w:val="28"/>
        </w:rPr>
      </w:pPr>
      <w:r w:rsidRPr="00C454A1">
        <w:rPr>
          <w:rFonts w:cs="Times New Roman"/>
          <w:b/>
          <w:bCs/>
          <w:iCs/>
          <w:color w:val="000000" w:themeColor="text1"/>
          <w:szCs w:val="28"/>
        </w:rPr>
        <w:t>Magistrada</w:t>
      </w:r>
      <w:r w:rsidR="00580DB1" w:rsidRPr="00C454A1">
        <w:rPr>
          <w:rFonts w:cs="Times New Roman"/>
          <w:b/>
          <w:bCs/>
          <w:iCs/>
          <w:color w:val="000000" w:themeColor="text1"/>
          <w:szCs w:val="28"/>
        </w:rPr>
        <w:t>s</w:t>
      </w:r>
      <w:r w:rsidRPr="00C454A1">
        <w:rPr>
          <w:rFonts w:cs="Times New Roman"/>
          <w:b/>
          <w:bCs/>
          <w:iCs/>
          <w:color w:val="000000" w:themeColor="text1"/>
          <w:szCs w:val="28"/>
        </w:rPr>
        <w:t xml:space="preserve"> ponente</w:t>
      </w:r>
      <w:r w:rsidR="00580DB1" w:rsidRPr="00C454A1">
        <w:rPr>
          <w:rFonts w:cs="Times New Roman"/>
          <w:b/>
          <w:bCs/>
          <w:iCs/>
          <w:color w:val="000000" w:themeColor="text1"/>
          <w:szCs w:val="28"/>
        </w:rPr>
        <w:t>s</w:t>
      </w:r>
      <w:r w:rsidRPr="00C454A1">
        <w:rPr>
          <w:rFonts w:cs="Times New Roman"/>
          <w:b/>
          <w:bCs/>
          <w:iCs/>
          <w:color w:val="000000" w:themeColor="text1"/>
          <w:szCs w:val="28"/>
        </w:rPr>
        <w:t>:</w:t>
      </w:r>
      <w:r w:rsidRPr="00C454A1">
        <w:rPr>
          <w:rFonts w:cs="Times New Roman"/>
          <w:iCs/>
          <w:color w:val="000000" w:themeColor="text1"/>
          <w:szCs w:val="28"/>
        </w:rPr>
        <w:t xml:space="preserve"> </w:t>
      </w:r>
    </w:p>
    <w:p w14:paraId="004B3C3F" w14:textId="13C97CC1" w:rsidR="00580DB1" w:rsidRPr="00C454A1" w:rsidRDefault="00580DB1" w:rsidP="00931597">
      <w:pPr>
        <w:kinsoku w:val="0"/>
        <w:overflowPunct w:val="0"/>
        <w:autoSpaceDE w:val="0"/>
        <w:autoSpaceDN w:val="0"/>
        <w:adjustRightInd w:val="0"/>
        <w:ind w:left="3969" w:right="51"/>
        <w:rPr>
          <w:rFonts w:cs="Times New Roman"/>
          <w:color w:val="000000" w:themeColor="text1"/>
          <w:szCs w:val="28"/>
        </w:rPr>
      </w:pPr>
      <w:r w:rsidRPr="00C454A1">
        <w:rPr>
          <w:rFonts w:cs="Times New Roman"/>
          <w:color w:val="000000" w:themeColor="text1"/>
          <w:szCs w:val="28"/>
        </w:rPr>
        <w:t>Natalia Ángel Cabo</w:t>
      </w:r>
      <w:r w:rsidR="007D7E3E" w:rsidRPr="00C454A1">
        <w:rPr>
          <w:rFonts w:cs="Times New Roman"/>
          <w:color w:val="000000" w:themeColor="text1"/>
          <w:szCs w:val="28"/>
        </w:rPr>
        <w:t xml:space="preserve"> y Cristina Pardo Schlesinger</w:t>
      </w:r>
      <w:r w:rsidR="00EE77DF" w:rsidRPr="00C454A1">
        <w:rPr>
          <w:rStyle w:val="Refdenotaalpie"/>
          <w:rFonts w:cs="Times New Roman"/>
          <w:color w:val="000000" w:themeColor="text1"/>
          <w:szCs w:val="28"/>
        </w:rPr>
        <w:footnoteReference w:id="2"/>
      </w:r>
    </w:p>
    <w:p w14:paraId="72F3DD16" w14:textId="33D057D9" w:rsidR="003170DD" w:rsidRPr="00C454A1" w:rsidRDefault="003170DD" w:rsidP="0016643B">
      <w:pPr>
        <w:kinsoku w:val="0"/>
        <w:overflowPunct w:val="0"/>
        <w:autoSpaceDE w:val="0"/>
        <w:autoSpaceDN w:val="0"/>
        <w:adjustRightInd w:val="0"/>
        <w:ind w:right="49"/>
        <w:rPr>
          <w:rFonts w:cs="Times New Roman"/>
          <w:color w:val="000000" w:themeColor="text1"/>
          <w:szCs w:val="28"/>
        </w:rPr>
      </w:pPr>
    </w:p>
    <w:p w14:paraId="6EF96CDC" w14:textId="3D533B57" w:rsidR="00D07886" w:rsidRPr="00C454A1" w:rsidRDefault="00D07886" w:rsidP="0016643B">
      <w:pPr>
        <w:rPr>
          <w:color w:val="000000" w:themeColor="text1"/>
          <w:lang w:eastAsia="es-ES"/>
        </w:rPr>
      </w:pPr>
      <w:bookmarkStart w:id="10" w:name="_Toc190338922"/>
      <w:bookmarkStart w:id="11" w:name="_Toc190339141"/>
      <w:bookmarkStart w:id="12" w:name="_Toc190339256"/>
      <w:bookmarkStart w:id="13" w:name="_Toc190339431"/>
      <w:r w:rsidRPr="00C454A1">
        <w:rPr>
          <w:color w:val="000000" w:themeColor="text1"/>
          <w:lang w:eastAsia="es-ES"/>
        </w:rPr>
        <w:t xml:space="preserve">Bogotá, D. C., </w:t>
      </w:r>
      <w:r w:rsidR="007027C6" w:rsidRPr="00C454A1">
        <w:rPr>
          <w:color w:val="000000" w:themeColor="text1"/>
          <w:lang w:eastAsia="es-ES"/>
        </w:rPr>
        <w:t xml:space="preserve">veintinueve (29) </w:t>
      </w:r>
      <w:r w:rsidRPr="00C454A1">
        <w:rPr>
          <w:color w:val="000000" w:themeColor="text1"/>
          <w:lang w:eastAsia="es-ES"/>
        </w:rPr>
        <w:t xml:space="preserve">de </w:t>
      </w:r>
      <w:r w:rsidR="007027C6" w:rsidRPr="00C454A1">
        <w:rPr>
          <w:color w:val="000000" w:themeColor="text1"/>
          <w:lang w:eastAsia="es-ES"/>
        </w:rPr>
        <w:t xml:space="preserve">abril </w:t>
      </w:r>
      <w:r w:rsidRPr="00C454A1">
        <w:rPr>
          <w:color w:val="000000" w:themeColor="text1"/>
          <w:lang w:eastAsia="es-ES"/>
        </w:rPr>
        <w:t>de dos mil veintic</w:t>
      </w:r>
      <w:r w:rsidR="00233F28" w:rsidRPr="00C454A1">
        <w:rPr>
          <w:color w:val="000000" w:themeColor="text1"/>
          <w:lang w:eastAsia="es-ES"/>
        </w:rPr>
        <w:t>inco</w:t>
      </w:r>
      <w:r w:rsidRPr="00C454A1">
        <w:rPr>
          <w:color w:val="000000" w:themeColor="text1"/>
          <w:lang w:eastAsia="es-ES"/>
        </w:rPr>
        <w:t xml:space="preserve"> (202</w:t>
      </w:r>
      <w:r w:rsidR="00233F28" w:rsidRPr="00C454A1">
        <w:rPr>
          <w:color w:val="000000" w:themeColor="text1"/>
          <w:lang w:eastAsia="es-ES"/>
        </w:rPr>
        <w:t>5</w:t>
      </w:r>
      <w:r w:rsidRPr="00C454A1">
        <w:rPr>
          <w:color w:val="000000" w:themeColor="text1"/>
          <w:lang w:eastAsia="es-ES"/>
        </w:rPr>
        <w:t>)</w:t>
      </w:r>
      <w:bookmarkEnd w:id="10"/>
      <w:bookmarkEnd w:id="11"/>
      <w:bookmarkEnd w:id="12"/>
      <w:bookmarkEnd w:id="13"/>
      <w:r w:rsidR="00674C52" w:rsidRPr="00C454A1">
        <w:rPr>
          <w:color w:val="000000" w:themeColor="text1"/>
          <w:lang w:eastAsia="es-ES"/>
        </w:rPr>
        <w:t>.</w:t>
      </w:r>
    </w:p>
    <w:p w14:paraId="71D232B3" w14:textId="77777777" w:rsidR="00D07886" w:rsidRPr="00C454A1" w:rsidRDefault="00D07886" w:rsidP="0016643B">
      <w:pPr>
        <w:widowControl w:val="0"/>
        <w:tabs>
          <w:tab w:val="left" w:pos="3600"/>
          <w:tab w:val="left" w:pos="3780"/>
        </w:tabs>
        <w:rPr>
          <w:rFonts w:cs="Times New Roman"/>
          <w:iCs/>
          <w:color w:val="000000" w:themeColor="text1"/>
          <w:szCs w:val="28"/>
          <w:lang w:eastAsia="es-ES"/>
        </w:rPr>
      </w:pPr>
    </w:p>
    <w:p w14:paraId="39013E27" w14:textId="1E0C5600" w:rsidR="00D07886" w:rsidRPr="00C454A1" w:rsidRDefault="00C04478" w:rsidP="0016643B">
      <w:pPr>
        <w:widowControl w:val="0"/>
        <w:rPr>
          <w:rFonts w:cs="Times New Roman"/>
          <w:color w:val="000000" w:themeColor="text1"/>
          <w:szCs w:val="28"/>
        </w:rPr>
      </w:pPr>
      <w:r w:rsidRPr="00C454A1">
        <w:rPr>
          <w:rFonts w:cs="Times New Roman"/>
          <w:color w:val="000000" w:themeColor="text1"/>
          <w:szCs w:val="28"/>
        </w:rPr>
        <w:t>La Sala Plena de la Corte Constitucional, en ejercicio de sus atribuciones constitucionales y legales, en particular de las previstas por los artículos 214.6 y 241.7 de la Constitución</w:t>
      </w:r>
      <w:r w:rsidR="00790DB4" w:rsidRPr="00C454A1">
        <w:rPr>
          <w:rFonts w:cs="Times New Roman"/>
          <w:color w:val="000000" w:themeColor="text1"/>
          <w:szCs w:val="28"/>
        </w:rPr>
        <w:t xml:space="preserve"> Política</w:t>
      </w:r>
      <w:r w:rsidRPr="00C454A1">
        <w:rPr>
          <w:rFonts w:cs="Times New Roman"/>
          <w:color w:val="000000" w:themeColor="text1"/>
          <w:szCs w:val="28"/>
        </w:rPr>
        <w:t xml:space="preserve">, y cumplidos todos los trámites y requisitos </w:t>
      </w:r>
      <w:r w:rsidR="00F32035" w:rsidRPr="00C454A1">
        <w:rPr>
          <w:rFonts w:cs="Times New Roman"/>
          <w:color w:val="000000" w:themeColor="text1"/>
          <w:szCs w:val="28"/>
        </w:rPr>
        <w:t>dispuestos</w:t>
      </w:r>
      <w:r w:rsidRPr="00C454A1">
        <w:rPr>
          <w:rFonts w:cs="Times New Roman"/>
          <w:color w:val="000000" w:themeColor="text1"/>
          <w:szCs w:val="28"/>
        </w:rPr>
        <w:t xml:space="preserve"> en los artículos 36 a 38 del Decreto 2067 de 1991, </w:t>
      </w:r>
      <w:r w:rsidR="00D42B3C" w:rsidRPr="00C454A1">
        <w:rPr>
          <w:rFonts w:cs="Times New Roman"/>
          <w:color w:val="000000" w:themeColor="text1"/>
          <w:szCs w:val="28"/>
        </w:rPr>
        <w:t>dicta</w:t>
      </w:r>
      <w:r w:rsidRPr="00C454A1">
        <w:rPr>
          <w:rFonts w:cs="Times New Roman"/>
          <w:color w:val="000000" w:themeColor="text1"/>
          <w:szCs w:val="28"/>
        </w:rPr>
        <w:t xml:space="preserve"> la siguiente</w:t>
      </w:r>
    </w:p>
    <w:p w14:paraId="5D8AAF07" w14:textId="77777777" w:rsidR="00C04478" w:rsidRPr="00C454A1" w:rsidRDefault="00C04478" w:rsidP="00631C27">
      <w:pPr>
        <w:widowControl w:val="0"/>
        <w:rPr>
          <w:rFonts w:cs="Times New Roman"/>
          <w:color w:val="000000" w:themeColor="text1"/>
          <w:szCs w:val="28"/>
        </w:rPr>
      </w:pPr>
    </w:p>
    <w:p w14:paraId="24402AB4" w14:textId="7BB9DE6D" w:rsidR="00D07886" w:rsidRPr="00C454A1" w:rsidRDefault="00D07886" w:rsidP="00943D5A">
      <w:pPr>
        <w:jc w:val="center"/>
        <w:rPr>
          <w:b/>
          <w:bCs/>
          <w:color w:val="000000" w:themeColor="text1"/>
        </w:rPr>
      </w:pPr>
      <w:bookmarkStart w:id="14" w:name="_Toc190338923"/>
      <w:bookmarkStart w:id="15" w:name="_Toc190339142"/>
      <w:bookmarkStart w:id="16" w:name="_Toc190339257"/>
      <w:bookmarkStart w:id="17" w:name="_Toc190339432"/>
      <w:r w:rsidRPr="00C454A1">
        <w:rPr>
          <w:b/>
          <w:bCs/>
          <w:color w:val="000000" w:themeColor="text1"/>
        </w:rPr>
        <w:t>SENTENCIA</w:t>
      </w:r>
      <w:bookmarkEnd w:id="14"/>
      <w:bookmarkEnd w:id="15"/>
      <w:bookmarkEnd w:id="16"/>
      <w:bookmarkEnd w:id="17"/>
    </w:p>
    <w:p w14:paraId="4DE808FF" w14:textId="77777777" w:rsidR="00943D5A" w:rsidRPr="00C454A1" w:rsidRDefault="00943D5A" w:rsidP="00943D5A">
      <w:pPr>
        <w:jc w:val="center"/>
        <w:rPr>
          <w:b/>
          <w:bCs/>
          <w:color w:val="000000" w:themeColor="text1"/>
        </w:rPr>
      </w:pPr>
    </w:p>
    <w:p w14:paraId="1CA14A84" w14:textId="4B1EE436" w:rsidR="00943D5A" w:rsidRPr="00C454A1" w:rsidRDefault="00943D5A" w:rsidP="00943D5A">
      <w:pPr>
        <w:rPr>
          <w:color w:val="000000" w:themeColor="text1"/>
        </w:rPr>
      </w:pPr>
      <w:r w:rsidRPr="00C454A1">
        <w:rPr>
          <w:color w:val="000000" w:themeColor="text1"/>
        </w:rPr>
        <w:t>En la revisión de constitucionalidad del Decreto Legislativo 62 de 24 de enero de 2025, “Por el cual se decreta el estado de conmoción interior en la región del Catatumbo, los municipios del área metropolitana de Cúcuta y los municipios de Río de Oro y González del departamento del Cesar”</w:t>
      </w:r>
      <w:r w:rsidR="00001F18" w:rsidRPr="00C454A1">
        <w:rPr>
          <w:color w:val="000000" w:themeColor="text1"/>
        </w:rPr>
        <w:t>.</w:t>
      </w:r>
    </w:p>
    <w:p w14:paraId="123C8A95" w14:textId="379D3A64" w:rsidR="00001F18" w:rsidRPr="00C454A1" w:rsidRDefault="00001F18" w:rsidP="00943D5A">
      <w:pPr>
        <w:rPr>
          <w:color w:val="000000" w:themeColor="text1"/>
        </w:rPr>
      </w:pPr>
    </w:p>
    <w:p w14:paraId="2B3F9610" w14:textId="5385ACCB" w:rsidR="00A76B70" w:rsidRPr="00C454A1" w:rsidRDefault="00A76B70" w:rsidP="00943D5A">
      <w:pPr>
        <w:rPr>
          <w:b/>
          <w:bCs/>
          <w:color w:val="000000" w:themeColor="text1"/>
        </w:rPr>
      </w:pPr>
      <w:r w:rsidRPr="00C454A1">
        <w:rPr>
          <w:b/>
          <w:bCs/>
          <w:color w:val="000000" w:themeColor="text1"/>
        </w:rPr>
        <w:t>Siglas y abreviaturas</w:t>
      </w:r>
    </w:p>
    <w:p w14:paraId="4B831BC8" w14:textId="77777777" w:rsidR="002F68CD" w:rsidRPr="00C454A1" w:rsidRDefault="002F68CD" w:rsidP="00943D5A">
      <w:pPr>
        <w:rPr>
          <w:b/>
          <w:bCs/>
          <w:color w:val="000000" w:themeColor="text1"/>
        </w:rPr>
      </w:pPr>
    </w:p>
    <w:p w14:paraId="5B88937E" w14:textId="0FFB0373" w:rsidR="00A76B70" w:rsidRPr="00C454A1" w:rsidRDefault="00A76B70" w:rsidP="00943D5A">
      <w:pPr>
        <w:rPr>
          <w:color w:val="000000" w:themeColor="text1"/>
        </w:rPr>
      </w:pPr>
      <w:r w:rsidRPr="00C454A1">
        <w:rPr>
          <w:color w:val="000000" w:themeColor="text1"/>
        </w:rPr>
        <w:t>La Corte utilizará a lo largo del fallo varias siglas o abreviaturas para facilitar la lectura del texto. Las siglas y abreviaturas utilizadas son las siguientes:</w:t>
      </w:r>
    </w:p>
    <w:p w14:paraId="1A8AA61C" w14:textId="77777777" w:rsidR="00A76B70" w:rsidRPr="00C454A1" w:rsidRDefault="00A76B70" w:rsidP="00943D5A">
      <w:pPr>
        <w:rPr>
          <w:color w:val="000000" w:themeColor="text1"/>
        </w:rPr>
      </w:pPr>
    </w:p>
    <w:tbl>
      <w:tblPr>
        <w:tblStyle w:val="Tablaconcuadrcula"/>
        <w:tblW w:w="5000" w:type="pct"/>
        <w:tblLook w:val="04A0" w:firstRow="1" w:lastRow="0" w:firstColumn="1" w:lastColumn="0" w:noHBand="0" w:noVBand="1"/>
      </w:tblPr>
      <w:tblGrid>
        <w:gridCol w:w="1804"/>
        <w:gridCol w:w="7593"/>
      </w:tblGrid>
      <w:tr w:rsidR="00C454A1" w:rsidRPr="00C454A1" w14:paraId="6A5BB32F" w14:textId="77777777" w:rsidTr="00DA1990">
        <w:tc>
          <w:tcPr>
            <w:tcW w:w="960" w:type="pct"/>
          </w:tcPr>
          <w:p w14:paraId="44F00DF6" w14:textId="689C8D1C" w:rsidR="00B40FCD" w:rsidRPr="00C454A1" w:rsidRDefault="00B40FCD" w:rsidP="001F3006">
            <w:pPr>
              <w:rPr>
                <w:rFonts w:cs="Times New Roman"/>
                <w:color w:val="000000" w:themeColor="text1"/>
                <w:sz w:val="22"/>
                <w:szCs w:val="22"/>
              </w:rPr>
            </w:pPr>
            <w:r w:rsidRPr="00C454A1">
              <w:rPr>
                <w:rFonts w:cs="Times New Roman"/>
                <w:color w:val="000000" w:themeColor="text1"/>
                <w:sz w:val="22"/>
                <w:szCs w:val="22"/>
              </w:rPr>
              <w:t>ACCAM</w:t>
            </w:r>
          </w:p>
        </w:tc>
        <w:tc>
          <w:tcPr>
            <w:tcW w:w="4040" w:type="pct"/>
          </w:tcPr>
          <w:p w14:paraId="4854700E" w14:textId="4E153502" w:rsidR="00B40FCD" w:rsidRPr="00C454A1" w:rsidRDefault="00B40F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Análisis de Capacidades Críticas de Amenaza</w:t>
            </w:r>
          </w:p>
        </w:tc>
      </w:tr>
      <w:tr w:rsidR="00C454A1" w:rsidRPr="00C454A1" w14:paraId="1348995C" w14:textId="77777777" w:rsidTr="00DA1990">
        <w:tc>
          <w:tcPr>
            <w:tcW w:w="960" w:type="pct"/>
          </w:tcPr>
          <w:p w14:paraId="59AD74A5"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AFP</w:t>
            </w:r>
          </w:p>
        </w:tc>
        <w:tc>
          <w:tcPr>
            <w:tcW w:w="4040" w:type="pct"/>
          </w:tcPr>
          <w:p w14:paraId="6E60D141"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lang w:eastAsia="es-ES"/>
              </w:rPr>
              <w:t>Acuerdo Final para la Terminación del Conflicto y la Construcción de una Paz Estable y Duradera</w:t>
            </w:r>
          </w:p>
        </w:tc>
      </w:tr>
      <w:tr w:rsidR="00C454A1" w:rsidRPr="00C454A1" w14:paraId="11D9DA71" w14:textId="77777777" w:rsidTr="00DA1990">
        <w:tc>
          <w:tcPr>
            <w:tcW w:w="960" w:type="pct"/>
          </w:tcPr>
          <w:p w14:paraId="633023BB" w14:textId="77777777" w:rsidR="002F68CD" w:rsidRPr="00C454A1" w:rsidRDefault="002F68CD" w:rsidP="001F3006">
            <w:pPr>
              <w:rPr>
                <w:rFonts w:eastAsia="Times New Roman" w:cs="Times New Roman"/>
                <w:color w:val="000000" w:themeColor="text1"/>
                <w:sz w:val="22"/>
                <w:szCs w:val="22"/>
              </w:rPr>
            </w:pPr>
            <w:r w:rsidRPr="00C454A1">
              <w:rPr>
                <w:rFonts w:eastAsia="Times New Roman" w:cs="Times New Roman"/>
                <w:color w:val="000000" w:themeColor="text1"/>
                <w:sz w:val="22"/>
                <w:szCs w:val="22"/>
              </w:rPr>
              <w:t>AHE</w:t>
            </w:r>
          </w:p>
        </w:tc>
        <w:tc>
          <w:tcPr>
            <w:tcW w:w="4040" w:type="pct"/>
          </w:tcPr>
          <w:p w14:paraId="48D79772" w14:textId="77777777" w:rsidR="002F68CD" w:rsidRPr="00C454A1" w:rsidRDefault="002F68CD" w:rsidP="001F3006">
            <w:pPr>
              <w:rPr>
                <w:rFonts w:eastAsia="Times New Roman" w:cs="Times New Roman"/>
                <w:color w:val="000000" w:themeColor="text1"/>
                <w:sz w:val="22"/>
                <w:szCs w:val="22"/>
              </w:rPr>
            </w:pPr>
            <w:r w:rsidRPr="00C454A1">
              <w:rPr>
                <w:rFonts w:eastAsia="Times New Roman" w:cs="Times New Roman"/>
                <w:color w:val="000000" w:themeColor="text1"/>
                <w:sz w:val="22"/>
                <w:szCs w:val="22"/>
              </w:rPr>
              <w:t>Atención Humanitaria de Emergencia</w:t>
            </w:r>
          </w:p>
        </w:tc>
      </w:tr>
      <w:tr w:rsidR="00C454A1" w:rsidRPr="00C454A1" w14:paraId="5D67A2BE" w14:textId="77777777" w:rsidTr="00DA1990">
        <w:tc>
          <w:tcPr>
            <w:tcW w:w="960" w:type="pct"/>
          </w:tcPr>
          <w:p w14:paraId="6D9DD559" w14:textId="77777777" w:rsidR="002F68CD" w:rsidRPr="00C454A1" w:rsidRDefault="002F68CD" w:rsidP="001F3006">
            <w:pPr>
              <w:rPr>
                <w:rFonts w:eastAsia="Times New Roman" w:cs="Times New Roman"/>
                <w:color w:val="000000" w:themeColor="text1"/>
                <w:sz w:val="22"/>
                <w:szCs w:val="22"/>
              </w:rPr>
            </w:pPr>
            <w:r w:rsidRPr="00C454A1">
              <w:rPr>
                <w:rFonts w:eastAsia="Times New Roman" w:cs="Times New Roman"/>
                <w:color w:val="000000" w:themeColor="text1"/>
                <w:sz w:val="22"/>
                <w:szCs w:val="22"/>
              </w:rPr>
              <w:t>AHI</w:t>
            </w:r>
          </w:p>
        </w:tc>
        <w:tc>
          <w:tcPr>
            <w:tcW w:w="4040" w:type="pct"/>
          </w:tcPr>
          <w:p w14:paraId="5B0EAF4A" w14:textId="77777777" w:rsidR="002F68CD" w:rsidRPr="00C454A1" w:rsidRDefault="002F68CD" w:rsidP="001F3006">
            <w:pPr>
              <w:rPr>
                <w:rFonts w:eastAsia="Times New Roman" w:cs="Times New Roman"/>
                <w:color w:val="000000" w:themeColor="text1"/>
                <w:sz w:val="22"/>
                <w:szCs w:val="22"/>
              </w:rPr>
            </w:pPr>
            <w:r w:rsidRPr="00C454A1">
              <w:rPr>
                <w:rFonts w:eastAsia="Times New Roman" w:cs="Times New Roman"/>
                <w:color w:val="000000" w:themeColor="text1"/>
                <w:sz w:val="22"/>
                <w:szCs w:val="22"/>
              </w:rPr>
              <w:t>Atención Humanitaria Inmediata</w:t>
            </w:r>
          </w:p>
        </w:tc>
      </w:tr>
      <w:tr w:rsidR="00C454A1" w:rsidRPr="00C454A1" w14:paraId="1B000A3C" w14:textId="77777777" w:rsidTr="00DA1990">
        <w:tc>
          <w:tcPr>
            <w:tcW w:w="960" w:type="pct"/>
          </w:tcPr>
          <w:p w14:paraId="6BDB2C56" w14:textId="77777777" w:rsidR="002F68CD" w:rsidRPr="00C454A1" w:rsidRDefault="002F68CD" w:rsidP="001F3006">
            <w:pPr>
              <w:rPr>
                <w:rFonts w:eastAsia="Times New Roman" w:cs="Times New Roman"/>
                <w:color w:val="000000" w:themeColor="text1"/>
                <w:sz w:val="22"/>
                <w:szCs w:val="22"/>
              </w:rPr>
            </w:pPr>
            <w:r w:rsidRPr="00C454A1">
              <w:rPr>
                <w:rFonts w:eastAsia="Times New Roman" w:cs="Times New Roman"/>
                <w:color w:val="000000" w:themeColor="text1"/>
                <w:sz w:val="22"/>
                <w:szCs w:val="22"/>
              </w:rPr>
              <w:t>AHT</w:t>
            </w:r>
          </w:p>
        </w:tc>
        <w:tc>
          <w:tcPr>
            <w:tcW w:w="4040" w:type="pct"/>
          </w:tcPr>
          <w:p w14:paraId="5240CCDD" w14:textId="77777777" w:rsidR="002F68CD" w:rsidRPr="00C454A1" w:rsidRDefault="002F68CD" w:rsidP="001F3006">
            <w:pPr>
              <w:rPr>
                <w:rFonts w:eastAsia="Times New Roman" w:cs="Times New Roman"/>
                <w:color w:val="000000" w:themeColor="text1"/>
                <w:sz w:val="22"/>
                <w:szCs w:val="22"/>
              </w:rPr>
            </w:pPr>
            <w:r w:rsidRPr="00C454A1">
              <w:rPr>
                <w:rFonts w:eastAsia="Times New Roman" w:cs="Times New Roman"/>
                <w:color w:val="000000" w:themeColor="text1"/>
                <w:sz w:val="22"/>
                <w:szCs w:val="22"/>
              </w:rPr>
              <w:t>Atención Humanitaria de Transición</w:t>
            </w:r>
          </w:p>
        </w:tc>
      </w:tr>
      <w:tr w:rsidR="00C454A1" w:rsidRPr="00C454A1" w14:paraId="4FED4589" w14:textId="77777777" w:rsidTr="00DA1990">
        <w:tc>
          <w:tcPr>
            <w:tcW w:w="960" w:type="pct"/>
          </w:tcPr>
          <w:p w14:paraId="6B95725E" w14:textId="77777777" w:rsidR="002F68CD" w:rsidRPr="00C454A1" w:rsidRDefault="002F68CD" w:rsidP="001F3006">
            <w:pPr>
              <w:rPr>
                <w:rFonts w:cs="Times New Roman"/>
                <w:color w:val="000000" w:themeColor="text1"/>
                <w:sz w:val="22"/>
                <w:szCs w:val="22"/>
                <w:lang w:eastAsia="es-ES"/>
              </w:rPr>
            </w:pPr>
            <w:r w:rsidRPr="00C454A1">
              <w:rPr>
                <w:rFonts w:eastAsia="Times New Roman" w:cs="Times New Roman"/>
                <w:color w:val="000000" w:themeColor="text1"/>
                <w:sz w:val="22"/>
                <w:szCs w:val="22"/>
              </w:rPr>
              <w:t>ANDJE</w:t>
            </w:r>
          </w:p>
        </w:tc>
        <w:tc>
          <w:tcPr>
            <w:tcW w:w="4040" w:type="pct"/>
          </w:tcPr>
          <w:p w14:paraId="5F51606E" w14:textId="77777777" w:rsidR="002F68CD" w:rsidRPr="00C454A1" w:rsidRDefault="002F68CD"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rPr>
              <w:t>Agencia Nacional de Defensa Jurídica del Estado</w:t>
            </w:r>
          </w:p>
        </w:tc>
      </w:tr>
      <w:tr w:rsidR="00C454A1" w:rsidRPr="00C454A1" w14:paraId="12CB90F6" w14:textId="77777777" w:rsidTr="00DA1990">
        <w:tc>
          <w:tcPr>
            <w:tcW w:w="960" w:type="pct"/>
          </w:tcPr>
          <w:p w14:paraId="3D885152" w14:textId="787AD89C" w:rsidR="00450BE0" w:rsidRPr="00C454A1" w:rsidRDefault="00450BE0"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ANLA</w:t>
            </w:r>
          </w:p>
        </w:tc>
        <w:tc>
          <w:tcPr>
            <w:tcW w:w="4040" w:type="pct"/>
          </w:tcPr>
          <w:p w14:paraId="31A49A98" w14:textId="46C796CF" w:rsidR="00450BE0" w:rsidRPr="00C454A1" w:rsidRDefault="00450BE0"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Autoridad Nacional de Licencias Ambientales</w:t>
            </w:r>
          </w:p>
        </w:tc>
      </w:tr>
      <w:tr w:rsidR="00C454A1" w:rsidRPr="00C454A1" w14:paraId="008E342E" w14:textId="77777777" w:rsidTr="00DA1990">
        <w:tc>
          <w:tcPr>
            <w:tcW w:w="960" w:type="pct"/>
          </w:tcPr>
          <w:p w14:paraId="3E3E5E5E" w14:textId="3BE33197" w:rsidR="00412C71" w:rsidRPr="00C454A1" w:rsidRDefault="00412C71"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ARN</w:t>
            </w:r>
          </w:p>
        </w:tc>
        <w:tc>
          <w:tcPr>
            <w:tcW w:w="4040" w:type="pct"/>
          </w:tcPr>
          <w:p w14:paraId="79B71ADB" w14:textId="4B58823C" w:rsidR="00412C71" w:rsidRPr="00C454A1" w:rsidRDefault="00412C71"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Agencia para la Reincorporación y la Normalización</w:t>
            </w:r>
          </w:p>
        </w:tc>
      </w:tr>
      <w:tr w:rsidR="00C454A1" w:rsidRPr="00C454A1" w14:paraId="60683B2F" w14:textId="77777777" w:rsidTr="00DA1990">
        <w:tc>
          <w:tcPr>
            <w:tcW w:w="960" w:type="pct"/>
          </w:tcPr>
          <w:p w14:paraId="5C916FFC"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lastRenderedPageBreak/>
              <w:t>ART</w:t>
            </w:r>
          </w:p>
        </w:tc>
        <w:tc>
          <w:tcPr>
            <w:tcW w:w="4040" w:type="pct"/>
          </w:tcPr>
          <w:p w14:paraId="528200DF" w14:textId="77777777" w:rsidR="002F68CD" w:rsidRPr="00C454A1" w:rsidRDefault="002F68CD" w:rsidP="001F3006">
            <w:pPr>
              <w:rPr>
                <w:rFonts w:cs="Times New Roman"/>
                <w:color w:val="000000" w:themeColor="text1"/>
                <w:sz w:val="22"/>
                <w:szCs w:val="22"/>
                <w:lang w:eastAsia="es-ES"/>
              </w:rPr>
            </w:pPr>
            <w:r w:rsidRPr="00C454A1">
              <w:rPr>
                <w:rFonts w:eastAsia="Times New Roman" w:cs="Times New Roman"/>
                <w:color w:val="000000" w:themeColor="text1"/>
                <w:sz w:val="22"/>
                <w:szCs w:val="22"/>
                <w:lang w:eastAsia="es-MX"/>
              </w:rPr>
              <w:t>Agencia de Renovación del Territorio</w:t>
            </w:r>
          </w:p>
        </w:tc>
      </w:tr>
      <w:tr w:rsidR="00C454A1" w:rsidRPr="00C454A1" w14:paraId="3A851C26" w14:textId="77777777" w:rsidTr="00DA1990">
        <w:tc>
          <w:tcPr>
            <w:tcW w:w="960" w:type="pct"/>
          </w:tcPr>
          <w:p w14:paraId="17401C13" w14:textId="7F9EEDD4" w:rsidR="00F03F19" w:rsidRPr="00C454A1" w:rsidRDefault="00F03F19"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AUC</w:t>
            </w:r>
          </w:p>
        </w:tc>
        <w:tc>
          <w:tcPr>
            <w:tcW w:w="4040" w:type="pct"/>
          </w:tcPr>
          <w:p w14:paraId="1181C592" w14:textId="01C793EB" w:rsidR="00F03F19" w:rsidRPr="00C454A1" w:rsidRDefault="00F03F19"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Autodefensas Unidas de Colombia</w:t>
            </w:r>
          </w:p>
        </w:tc>
      </w:tr>
      <w:tr w:rsidR="00C454A1" w:rsidRPr="00C454A1" w14:paraId="4D5C857E" w14:textId="77777777" w:rsidTr="00DA1990">
        <w:tc>
          <w:tcPr>
            <w:tcW w:w="960" w:type="pct"/>
          </w:tcPr>
          <w:p w14:paraId="293A64AD" w14:textId="09167089" w:rsidR="007F2613" w:rsidRPr="00C454A1" w:rsidRDefault="007F2613"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CADH</w:t>
            </w:r>
          </w:p>
        </w:tc>
        <w:tc>
          <w:tcPr>
            <w:tcW w:w="4040" w:type="pct"/>
          </w:tcPr>
          <w:p w14:paraId="4035070E" w14:textId="45735EEC" w:rsidR="007F2613" w:rsidRPr="00C454A1" w:rsidRDefault="007F2613"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Convención Americana sobre Derechos Humanos</w:t>
            </w:r>
          </w:p>
        </w:tc>
      </w:tr>
      <w:tr w:rsidR="00C454A1" w:rsidRPr="00C454A1" w14:paraId="7C3A79B3" w14:textId="77777777" w:rsidTr="00DA1990">
        <w:tc>
          <w:tcPr>
            <w:tcW w:w="960" w:type="pct"/>
          </w:tcPr>
          <w:p w14:paraId="19B3618E"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lang w:eastAsia="es-ES"/>
              </w:rPr>
              <w:t>CGFM</w:t>
            </w:r>
          </w:p>
        </w:tc>
        <w:tc>
          <w:tcPr>
            <w:tcW w:w="4040" w:type="pct"/>
          </w:tcPr>
          <w:p w14:paraId="11B23225"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lang w:eastAsia="es-ES"/>
              </w:rPr>
              <w:t>Comando General de las Fuerzas Militares</w:t>
            </w:r>
          </w:p>
        </w:tc>
      </w:tr>
      <w:tr w:rsidR="00C454A1" w:rsidRPr="00C454A1" w14:paraId="23029AA8" w14:textId="77777777" w:rsidTr="00DA1990">
        <w:tc>
          <w:tcPr>
            <w:tcW w:w="960" w:type="pct"/>
          </w:tcPr>
          <w:p w14:paraId="1CAC9336" w14:textId="7A111D12" w:rsidR="00654462" w:rsidRPr="00C454A1" w:rsidRDefault="00654462"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CIPRAT</w:t>
            </w:r>
          </w:p>
        </w:tc>
        <w:tc>
          <w:tcPr>
            <w:tcW w:w="4040" w:type="pct"/>
          </w:tcPr>
          <w:p w14:paraId="23984101" w14:textId="1963B98E" w:rsidR="00654462" w:rsidRPr="00C454A1" w:rsidRDefault="007F68F1"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Comisión Intersectorial para la Respuesta Rápida a las Alertas Tempranas</w:t>
            </w:r>
          </w:p>
        </w:tc>
      </w:tr>
      <w:tr w:rsidR="00C454A1" w:rsidRPr="00C454A1" w14:paraId="6B498763" w14:textId="77777777" w:rsidTr="00DA1990">
        <w:tc>
          <w:tcPr>
            <w:tcW w:w="960" w:type="pct"/>
          </w:tcPr>
          <w:p w14:paraId="79244DD1" w14:textId="6987E591" w:rsidR="00303179" w:rsidRPr="00C454A1" w:rsidRDefault="00303179"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CORPOCESAR</w:t>
            </w:r>
          </w:p>
        </w:tc>
        <w:tc>
          <w:tcPr>
            <w:tcW w:w="4040" w:type="pct"/>
          </w:tcPr>
          <w:p w14:paraId="00CA486F" w14:textId="0152451C" w:rsidR="00303179" w:rsidRPr="00C454A1" w:rsidRDefault="00303179"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Corporación Autónoma Regional del Cesar</w:t>
            </w:r>
          </w:p>
        </w:tc>
      </w:tr>
      <w:tr w:rsidR="00C454A1" w:rsidRPr="00C454A1" w14:paraId="45C00D9C" w14:textId="77777777" w:rsidTr="00DA1990">
        <w:tc>
          <w:tcPr>
            <w:tcW w:w="960" w:type="pct"/>
          </w:tcPr>
          <w:p w14:paraId="6A5BB412"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lang w:eastAsia="es-ES"/>
              </w:rPr>
              <w:t>CORPONOR</w:t>
            </w:r>
          </w:p>
        </w:tc>
        <w:tc>
          <w:tcPr>
            <w:tcW w:w="4040" w:type="pct"/>
          </w:tcPr>
          <w:p w14:paraId="5B1813E5"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lang w:eastAsia="es-ES"/>
              </w:rPr>
              <w:t>Corporación Autónoma Regional de la Frontera Nororiental</w:t>
            </w:r>
          </w:p>
        </w:tc>
      </w:tr>
      <w:tr w:rsidR="00C454A1" w:rsidRPr="00C454A1" w14:paraId="3B0559CB" w14:textId="77777777" w:rsidTr="00DA1990">
        <w:tc>
          <w:tcPr>
            <w:tcW w:w="960" w:type="pct"/>
          </w:tcPr>
          <w:p w14:paraId="73D6F635"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DANE</w:t>
            </w:r>
          </w:p>
        </w:tc>
        <w:tc>
          <w:tcPr>
            <w:tcW w:w="4040" w:type="pct"/>
          </w:tcPr>
          <w:p w14:paraId="18B0359C"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Departamento Administrativo Nacional de Estadística</w:t>
            </w:r>
          </w:p>
        </w:tc>
      </w:tr>
      <w:tr w:rsidR="00C454A1" w:rsidRPr="00C454A1" w14:paraId="6A9B01E9" w14:textId="77777777" w:rsidTr="00DA1990">
        <w:tc>
          <w:tcPr>
            <w:tcW w:w="960" w:type="pct"/>
          </w:tcPr>
          <w:p w14:paraId="57529C75"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DAPRE</w:t>
            </w:r>
          </w:p>
        </w:tc>
        <w:tc>
          <w:tcPr>
            <w:tcW w:w="4040" w:type="pct"/>
          </w:tcPr>
          <w:p w14:paraId="17491AEF"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Departamento Administrativo de la Presidencia de la República</w:t>
            </w:r>
          </w:p>
        </w:tc>
      </w:tr>
      <w:tr w:rsidR="00C454A1" w:rsidRPr="00C454A1" w14:paraId="184BC289" w14:textId="77777777" w:rsidTr="00DA1990">
        <w:tc>
          <w:tcPr>
            <w:tcW w:w="960" w:type="pct"/>
          </w:tcPr>
          <w:p w14:paraId="57A54599"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DDHH</w:t>
            </w:r>
          </w:p>
        </w:tc>
        <w:tc>
          <w:tcPr>
            <w:tcW w:w="4040" w:type="pct"/>
          </w:tcPr>
          <w:p w14:paraId="7A6BE561"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Derechos Humanos</w:t>
            </w:r>
          </w:p>
        </w:tc>
      </w:tr>
      <w:tr w:rsidR="00C454A1" w:rsidRPr="00C454A1" w14:paraId="42EB6799" w14:textId="77777777" w:rsidTr="00DA1990">
        <w:tc>
          <w:tcPr>
            <w:tcW w:w="960" w:type="pct"/>
          </w:tcPr>
          <w:p w14:paraId="2D72C4D5"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DIH</w:t>
            </w:r>
          </w:p>
        </w:tc>
        <w:tc>
          <w:tcPr>
            <w:tcW w:w="4040" w:type="pct"/>
          </w:tcPr>
          <w:p w14:paraId="26F5E8A9"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Derecho Internacional Humanitario</w:t>
            </w:r>
          </w:p>
        </w:tc>
      </w:tr>
      <w:tr w:rsidR="00C454A1" w:rsidRPr="00C454A1" w14:paraId="309060DF" w14:textId="77777777" w:rsidTr="00DA1990">
        <w:tc>
          <w:tcPr>
            <w:tcW w:w="960" w:type="pct"/>
          </w:tcPr>
          <w:p w14:paraId="5BF22801"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DNP</w:t>
            </w:r>
          </w:p>
        </w:tc>
        <w:tc>
          <w:tcPr>
            <w:tcW w:w="4040" w:type="pct"/>
          </w:tcPr>
          <w:p w14:paraId="73F59CE1"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Departamento Nacional de Planeación</w:t>
            </w:r>
          </w:p>
        </w:tc>
      </w:tr>
      <w:tr w:rsidR="00C454A1" w:rsidRPr="00C454A1" w14:paraId="4633BD23" w14:textId="77777777" w:rsidTr="00DA1990">
        <w:tc>
          <w:tcPr>
            <w:tcW w:w="960" w:type="pct"/>
          </w:tcPr>
          <w:p w14:paraId="2BABF407" w14:textId="452CC485" w:rsidR="008A1430" w:rsidRPr="00C454A1" w:rsidRDefault="008A1430" w:rsidP="001F3006">
            <w:pPr>
              <w:rPr>
                <w:rFonts w:cs="Times New Roman"/>
                <w:color w:val="000000" w:themeColor="text1"/>
                <w:sz w:val="22"/>
                <w:szCs w:val="22"/>
              </w:rPr>
            </w:pPr>
            <w:r w:rsidRPr="00C454A1">
              <w:rPr>
                <w:rFonts w:cs="Times New Roman"/>
                <w:color w:val="000000" w:themeColor="text1"/>
                <w:sz w:val="22"/>
                <w:szCs w:val="22"/>
              </w:rPr>
              <w:t>DSCI</w:t>
            </w:r>
          </w:p>
        </w:tc>
        <w:tc>
          <w:tcPr>
            <w:tcW w:w="4040" w:type="pct"/>
          </w:tcPr>
          <w:p w14:paraId="7EBD7B65" w14:textId="01FDE1CC" w:rsidR="008A1430" w:rsidRPr="00C454A1" w:rsidRDefault="008A1430" w:rsidP="001F3006">
            <w:pPr>
              <w:rPr>
                <w:rFonts w:cs="Times New Roman"/>
                <w:color w:val="000000" w:themeColor="text1"/>
                <w:sz w:val="22"/>
                <w:szCs w:val="22"/>
              </w:rPr>
            </w:pPr>
            <w:r w:rsidRPr="00C454A1">
              <w:rPr>
                <w:rFonts w:cs="Times New Roman"/>
                <w:color w:val="000000" w:themeColor="text1"/>
                <w:sz w:val="22"/>
                <w:szCs w:val="22"/>
              </w:rPr>
              <w:t>Dirección de Sustitución de Cultivos Ilícitos</w:t>
            </w:r>
          </w:p>
        </w:tc>
      </w:tr>
      <w:tr w:rsidR="00C454A1" w:rsidRPr="00C454A1" w14:paraId="1C04FECB" w14:textId="77777777" w:rsidTr="00DA1990">
        <w:tc>
          <w:tcPr>
            <w:tcW w:w="960" w:type="pct"/>
          </w:tcPr>
          <w:p w14:paraId="2B022E73" w14:textId="532E4455" w:rsidR="00062416" w:rsidRPr="00C454A1" w:rsidRDefault="00062416" w:rsidP="001F3006">
            <w:pPr>
              <w:rPr>
                <w:rFonts w:cs="Times New Roman"/>
                <w:color w:val="000000" w:themeColor="text1"/>
                <w:sz w:val="22"/>
                <w:szCs w:val="22"/>
              </w:rPr>
            </w:pPr>
            <w:r w:rsidRPr="00C454A1">
              <w:rPr>
                <w:rFonts w:cs="Times New Roman"/>
                <w:color w:val="000000" w:themeColor="text1"/>
                <w:sz w:val="22"/>
                <w:szCs w:val="22"/>
              </w:rPr>
              <w:t>EGC</w:t>
            </w:r>
          </w:p>
        </w:tc>
        <w:tc>
          <w:tcPr>
            <w:tcW w:w="4040" w:type="pct"/>
          </w:tcPr>
          <w:p w14:paraId="0DBCB8AA" w14:textId="2FDD1954" w:rsidR="00062416" w:rsidRPr="00C454A1" w:rsidRDefault="00062416" w:rsidP="001F3006">
            <w:pPr>
              <w:rPr>
                <w:rFonts w:cs="Times New Roman"/>
                <w:color w:val="000000" w:themeColor="text1"/>
                <w:sz w:val="22"/>
                <w:szCs w:val="22"/>
              </w:rPr>
            </w:pPr>
            <w:r w:rsidRPr="00C454A1">
              <w:rPr>
                <w:rFonts w:cs="Times New Roman"/>
                <w:color w:val="000000" w:themeColor="text1"/>
                <w:sz w:val="22"/>
                <w:szCs w:val="22"/>
              </w:rPr>
              <w:t>Ejercito Gaitanista de Colombia</w:t>
            </w:r>
          </w:p>
        </w:tc>
      </w:tr>
      <w:tr w:rsidR="00C454A1" w:rsidRPr="00C454A1" w14:paraId="3B7D9EFF" w14:textId="77777777" w:rsidTr="00DA1990">
        <w:tc>
          <w:tcPr>
            <w:tcW w:w="960" w:type="pct"/>
          </w:tcPr>
          <w:p w14:paraId="2DE10B87"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ELN</w:t>
            </w:r>
          </w:p>
        </w:tc>
        <w:tc>
          <w:tcPr>
            <w:tcW w:w="4040" w:type="pct"/>
          </w:tcPr>
          <w:p w14:paraId="2D83FC95"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Ejército de Liberación Nacional</w:t>
            </w:r>
          </w:p>
        </w:tc>
      </w:tr>
      <w:tr w:rsidR="00C454A1" w:rsidRPr="00C454A1" w14:paraId="7D02D472" w14:textId="77777777" w:rsidTr="00DA1990">
        <w:tc>
          <w:tcPr>
            <w:tcW w:w="960" w:type="pct"/>
          </w:tcPr>
          <w:p w14:paraId="5D495F52"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EOP</w:t>
            </w:r>
          </w:p>
        </w:tc>
        <w:tc>
          <w:tcPr>
            <w:tcW w:w="4040" w:type="pct"/>
          </w:tcPr>
          <w:p w14:paraId="62DABFF4"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Estatuto Orgánico del Presupuesto</w:t>
            </w:r>
          </w:p>
        </w:tc>
      </w:tr>
      <w:tr w:rsidR="00C454A1" w:rsidRPr="00C454A1" w14:paraId="11F5AC9D" w14:textId="77777777" w:rsidTr="00DA1990">
        <w:tc>
          <w:tcPr>
            <w:tcW w:w="960" w:type="pct"/>
          </w:tcPr>
          <w:p w14:paraId="250E1B04" w14:textId="150D6917" w:rsidR="00795D2E" w:rsidRPr="00C454A1" w:rsidRDefault="00795D2E" w:rsidP="001F3006">
            <w:pPr>
              <w:rPr>
                <w:rFonts w:cs="Times New Roman"/>
                <w:color w:val="000000" w:themeColor="text1"/>
                <w:sz w:val="22"/>
                <w:szCs w:val="22"/>
              </w:rPr>
            </w:pPr>
            <w:r w:rsidRPr="00C454A1">
              <w:rPr>
                <w:rFonts w:cs="Times New Roman"/>
                <w:color w:val="000000" w:themeColor="text1"/>
                <w:sz w:val="22"/>
                <w:szCs w:val="22"/>
              </w:rPr>
              <w:t>EPL</w:t>
            </w:r>
          </w:p>
        </w:tc>
        <w:tc>
          <w:tcPr>
            <w:tcW w:w="4040" w:type="pct"/>
          </w:tcPr>
          <w:p w14:paraId="292F2D9D" w14:textId="60AA0FDC" w:rsidR="00795D2E" w:rsidRPr="00C454A1" w:rsidRDefault="00795D2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Ejercito Popular de Liberación</w:t>
            </w:r>
          </w:p>
        </w:tc>
      </w:tr>
      <w:tr w:rsidR="00C454A1" w:rsidRPr="00C454A1" w14:paraId="159FE080" w14:textId="77777777" w:rsidTr="00DA1990">
        <w:tc>
          <w:tcPr>
            <w:tcW w:w="960" w:type="pct"/>
          </w:tcPr>
          <w:p w14:paraId="4B0EBD98" w14:textId="27572B6C" w:rsidR="007E02E2" w:rsidRPr="00C454A1" w:rsidRDefault="007E02E2" w:rsidP="001F3006">
            <w:pPr>
              <w:rPr>
                <w:rFonts w:cs="Times New Roman"/>
                <w:color w:val="000000" w:themeColor="text1"/>
                <w:sz w:val="22"/>
                <w:szCs w:val="22"/>
              </w:rPr>
            </w:pPr>
            <w:r w:rsidRPr="00C454A1">
              <w:rPr>
                <w:rFonts w:cs="Times New Roman"/>
                <w:color w:val="000000" w:themeColor="text1"/>
                <w:sz w:val="22"/>
                <w:szCs w:val="22"/>
              </w:rPr>
              <w:t>ETCR</w:t>
            </w:r>
          </w:p>
        </w:tc>
        <w:tc>
          <w:tcPr>
            <w:tcW w:w="4040" w:type="pct"/>
          </w:tcPr>
          <w:p w14:paraId="0F8C54DA" w14:textId="56109474" w:rsidR="007E02E2" w:rsidRPr="00C454A1" w:rsidRDefault="007E02E2"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Espacio Territorial de Capacitación y Reincorporación</w:t>
            </w:r>
          </w:p>
        </w:tc>
      </w:tr>
      <w:tr w:rsidR="00C454A1" w:rsidRPr="00C454A1" w14:paraId="4AE059CE" w14:textId="77777777" w:rsidTr="00DA1990">
        <w:tc>
          <w:tcPr>
            <w:tcW w:w="960" w:type="pct"/>
          </w:tcPr>
          <w:p w14:paraId="709D0D53"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FARC-EP</w:t>
            </w:r>
          </w:p>
        </w:tc>
        <w:tc>
          <w:tcPr>
            <w:tcW w:w="4040" w:type="pct"/>
          </w:tcPr>
          <w:p w14:paraId="5415295B"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lang w:eastAsia="es-ES"/>
              </w:rPr>
              <w:t>Fuerzas Armadas Revolucionarias de Colombia - Ejercito del Pueblo</w:t>
            </w:r>
          </w:p>
        </w:tc>
      </w:tr>
      <w:tr w:rsidR="00C454A1" w:rsidRPr="00C454A1" w14:paraId="18B4DC8F" w14:textId="77777777" w:rsidTr="00DA1990">
        <w:tc>
          <w:tcPr>
            <w:tcW w:w="960" w:type="pct"/>
          </w:tcPr>
          <w:p w14:paraId="2ED000DC" w14:textId="24579E66" w:rsidR="00155637" w:rsidRPr="00C454A1" w:rsidRDefault="00155637" w:rsidP="001F3006">
            <w:pPr>
              <w:rPr>
                <w:rFonts w:cs="Times New Roman"/>
                <w:color w:val="000000" w:themeColor="text1"/>
                <w:sz w:val="22"/>
                <w:szCs w:val="22"/>
              </w:rPr>
            </w:pPr>
            <w:r w:rsidRPr="00C454A1">
              <w:rPr>
                <w:rFonts w:cs="Times New Roman"/>
                <w:color w:val="000000" w:themeColor="text1"/>
                <w:sz w:val="22"/>
                <w:szCs w:val="22"/>
              </w:rPr>
              <w:t>FCP</w:t>
            </w:r>
          </w:p>
        </w:tc>
        <w:tc>
          <w:tcPr>
            <w:tcW w:w="4040" w:type="pct"/>
          </w:tcPr>
          <w:p w14:paraId="7CBDCED6" w14:textId="7D5E7E71" w:rsidR="00155637" w:rsidRPr="00C454A1" w:rsidRDefault="00155637" w:rsidP="001F3006">
            <w:pPr>
              <w:rPr>
                <w:rFonts w:cs="Times New Roman"/>
                <w:color w:val="000000" w:themeColor="text1"/>
                <w:sz w:val="22"/>
                <w:szCs w:val="22"/>
              </w:rPr>
            </w:pPr>
            <w:r w:rsidRPr="00C454A1">
              <w:rPr>
                <w:rFonts w:cs="Times New Roman"/>
                <w:color w:val="000000" w:themeColor="text1"/>
                <w:sz w:val="22"/>
                <w:szCs w:val="22"/>
              </w:rPr>
              <w:t>Fondo Colombia en Paz</w:t>
            </w:r>
          </w:p>
        </w:tc>
      </w:tr>
      <w:tr w:rsidR="00C454A1" w:rsidRPr="00C454A1" w14:paraId="4E027C53" w14:textId="77777777" w:rsidTr="00DA1990">
        <w:tc>
          <w:tcPr>
            <w:tcW w:w="960" w:type="pct"/>
          </w:tcPr>
          <w:p w14:paraId="77DB74EB" w14:textId="39B7C20F" w:rsidR="00CB7CD1" w:rsidRPr="00C454A1" w:rsidRDefault="00CB7CD1" w:rsidP="001F3006">
            <w:pPr>
              <w:rPr>
                <w:rFonts w:cs="Times New Roman"/>
                <w:color w:val="000000" w:themeColor="text1"/>
                <w:sz w:val="22"/>
                <w:szCs w:val="22"/>
              </w:rPr>
            </w:pPr>
            <w:r w:rsidRPr="00C454A1">
              <w:rPr>
                <w:rFonts w:cs="Times New Roman"/>
                <w:color w:val="000000" w:themeColor="text1"/>
                <w:sz w:val="22"/>
                <w:szCs w:val="22"/>
              </w:rPr>
              <w:t>FFMM</w:t>
            </w:r>
          </w:p>
        </w:tc>
        <w:tc>
          <w:tcPr>
            <w:tcW w:w="4040" w:type="pct"/>
          </w:tcPr>
          <w:p w14:paraId="39214FE3" w14:textId="426A41F5" w:rsidR="00CB7CD1" w:rsidRPr="00C454A1" w:rsidRDefault="00CB7CD1" w:rsidP="001F3006">
            <w:pPr>
              <w:rPr>
                <w:rFonts w:cs="Times New Roman"/>
                <w:color w:val="000000" w:themeColor="text1"/>
                <w:sz w:val="22"/>
                <w:szCs w:val="22"/>
              </w:rPr>
            </w:pPr>
            <w:r w:rsidRPr="00C454A1">
              <w:rPr>
                <w:rFonts w:cs="Times New Roman"/>
                <w:color w:val="000000" w:themeColor="text1"/>
                <w:sz w:val="22"/>
                <w:szCs w:val="22"/>
              </w:rPr>
              <w:t>Fuerzas Militares</w:t>
            </w:r>
          </w:p>
        </w:tc>
      </w:tr>
      <w:tr w:rsidR="00C454A1" w:rsidRPr="00C454A1" w14:paraId="2D6AFF32" w14:textId="77777777" w:rsidTr="00DA1990">
        <w:tc>
          <w:tcPr>
            <w:tcW w:w="960" w:type="pct"/>
          </w:tcPr>
          <w:p w14:paraId="1BE21432"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FINAGRO</w:t>
            </w:r>
          </w:p>
        </w:tc>
        <w:tc>
          <w:tcPr>
            <w:tcW w:w="4040" w:type="pct"/>
          </w:tcPr>
          <w:p w14:paraId="4B2D8C45"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Fondo para el Financiamiento del Sector Agropecuario</w:t>
            </w:r>
          </w:p>
        </w:tc>
      </w:tr>
      <w:tr w:rsidR="00C454A1" w:rsidRPr="00C454A1" w14:paraId="0C7B7BF5" w14:textId="77777777" w:rsidTr="00DA1990">
        <w:tc>
          <w:tcPr>
            <w:tcW w:w="960" w:type="pct"/>
          </w:tcPr>
          <w:p w14:paraId="5929C406" w14:textId="6B66F6A9" w:rsidR="00436F4A" w:rsidRPr="00C454A1" w:rsidRDefault="00436F4A" w:rsidP="001F3006">
            <w:pPr>
              <w:rPr>
                <w:rFonts w:cs="Times New Roman"/>
                <w:color w:val="000000" w:themeColor="text1"/>
                <w:sz w:val="22"/>
                <w:szCs w:val="22"/>
              </w:rPr>
            </w:pPr>
            <w:r w:rsidRPr="00C454A1">
              <w:rPr>
                <w:rFonts w:cs="Times New Roman"/>
                <w:color w:val="000000" w:themeColor="text1"/>
                <w:sz w:val="22"/>
                <w:szCs w:val="22"/>
              </w:rPr>
              <w:t>FONPET</w:t>
            </w:r>
          </w:p>
        </w:tc>
        <w:tc>
          <w:tcPr>
            <w:tcW w:w="4040" w:type="pct"/>
          </w:tcPr>
          <w:p w14:paraId="3251F046" w14:textId="38552BC1" w:rsidR="00436F4A" w:rsidRPr="00C454A1" w:rsidRDefault="00436F4A" w:rsidP="001F3006">
            <w:pPr>
              <w:rPr>
                <w:rFonts w:cs="Times New Roman"/>
                <w:color w:val="000000" w:themeColor="text1"/>
                <w:sz w:val="22"/>
                <w:szCs w:val="22"/>
              </w:rPr>
            </w:pPr>
            <w:r w:rsidRPr="00C454A1">
              <w:rPr>
                <w:rFonts w:cs="Times New Roman"/>
                <w:color w:val="000000" w:themeColor="text1"/>
                <w:sz w:val="22"/>
                <w:szCs w:val="22"/>
              </w:rPr>
              <w:t>Fondo Nacional de Pensiones de Entidades Territoriales</w:t>
            </w:r>
          </w:p>
        </w:tc>
      </w:tr>
      <w:tr w:rsidR="00C454A1" w:rsidRPr="00C454A1" w14:paraId="03046707" w14:textId="77777777" w:rsidTr="00DA1990">
        <w:tc>
          <w:tcPr>
            <w:tcW w:w="960" w:type="pct"/>
          </w:tcPr>
          <w:p w14:paraId="7CCCE99E"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FONSA</w:t>
            </w:r>
          </w:p>
        </w:tc>
        <w:tc>
          <w:tcPr>
            <w:tcW w:w="4040" w:type="pct"/>
          </w:tcPr>
          <w:p w14:paraId="5C2B450A"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Fondo de Solidaridad Agropecuario</w:t>
            </w:r>
          </w:p>
        </w:tc>
      </w:tr>
      <w:tr w:rsidR="00C454A1" w:rsidRPr="00C454A1" w14:paraId="2E7685A4" w14:textId="77777777" w:rsidTr="00DA1990">
        <w:tc>
          <w:tcPr>
            <w:tcW w:w="960" w:type="pct"/>
          </w:tcPr>
          <w:p w14:paraId="5AF13B94"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GAO</w:t>
            </w:r>
          </w:p>
        </w:tc>
        <w:tc>
          <w:tcPr>
            <w:tcW w:w="4040" w:type="pct"/>
          </w:tcPr>
          <w:p w14:paraId="738773E8" w14:textId="40C32CD8"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Grupo</w:t>
            </w:r>
            <w:r w:rsidR="00041F82" w:rsidRPr="00C454A1">
              <w:rPr>
                <w:rFonts w:cs="Times New Roman"/>
                <w:color w:val="000000" w:themeColor="text1"/>
                <w:sz w:val="22"/>
                <w:szCs w:val="22"/>
              </w:rPr>
              <w:t>s</w:t>
            </w:r>
            <w:r w:rsidRPr="00C454A1">
              <w:rPr>
                <w:rFonts w:cs="Times New Roman"/>
                <w:color w:val="000000" w:themeColor="text1"/>
                <w:sz w:val="22"/>
                <w:szCs w:val="22"/>
              </w:rPr>
              <w:t xml:space="preserve"> Armados Organizados</w:t>
            </w:r>
          </w:p>
        </w:tc>
      </w:tr>
      <w:tr w:rsidR="00C454A1" w:rsidRPr="00C454A1" w14:paraId="0FB0CF1A" w14:textId="77777777" w:rsidTr="00DA1990">
        <w:tc>
          <w:tcPr>
            <w:tcW w:w="960" w:type="pct"/>
          </w:tcPr>
          <w:p w14:paraId="13F1AFE2"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GDO</w:t>
            </w:r>
          </w:p>
        </w:tc>
        <w:tc>
          <w:tcPr>
            <w:tcW w:w="4040" w:type="pct"/>
          </w:tcPr>
          <w:p w14:paraId="39F539A2"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Grupos Delincuenciales Organizados</w:t>
            </w:r>
          </w:p>
        </w:tc>
      </w:tr>
      <w:tr w:rsidR="00C454A1" w:rsidRPr="00C454A1" w14:paraId="2998C460" w14:textId="77777777" w:rsidTr="00DA1990">
        <w:tc>
          <w:tcPr>
            <w:tcW w:w="960" w:type="pct"/>
          </w:tcPr>
          <w:p w14:paraId="4F2F2685" w14:textId="07B934EE" w:rsidR="00041F82" w:rsidRPr="00C454A1" w:rsidRDefault="00041F82" w:rsidP="001F3006">
            <w:pPr>
              <w:rPr>
                <w:rFonts w:cs="Times New Roman"/>
                <w:color w:val="000000" w:themeColor="text1"/>
                <w:sz w:val="22"/>
                <w:szCs w:val="22"/>
              </w:rPr>
            </w:pPr>
            <w:r w:rsidRPr="00C454A1">
              <w:rPr>
                <w:rFonts w:cs="Times New Roman"/>
                <w:color w:val="000000" w:themeColor="text1"/>
                <w:sz w:val="22"/>
                <w:szCs w:val="22"/>
              </w:rPr>
              <w:t>GAOR</w:t>
            </w:r>
          </w:p>
        </w:tc>
        <w:tc>
          <w:tcPr>
            <w:tcW w:w="4040" w:type="pct"/>
          </w:tcPr>
          <w:p w14:paraId="5EE59BD9" w14:textId="22B0642D" w:rsidR="00041F82" w:rsidRPr="00C454A1" w:rsidRDefault="00041F82" w:rsidP="001F3006">
            <w:pPr>
              <w:rPr>
                <w:rFonts w:cs="Times New Roman"/>
                <w:color w:val="000000" w:themeColor="text1"/>
                <w:sz w:val="22"/>
                <w:szCs w:val="22"/>
              </w:rPr>
            </w:pPr>
            <w:r w:rsidRPr="00C454A1">
              <w:rPr>
                <w:rFonts w:cs="Times New Roman"/>
                <w:color w:val="000000" w:themeColor="text1"/>
                <w:sz w:val="22"/>
                <w:szCs w:val="22"/>
              </w:rPr>
              <w:t>Grupo</w:t>
            </w:r>
            <w:r w:rsidR="00A75ABD" w:rsidRPr="00C454A1">
              <w:rPr>
                <w:rFonts w:cs="Times New Roman"/>
                <w:color w:val="000000" w:themeColor="text1"/>
                <w:sz w:val="22"/>
                <w:szCs w:val="22"/>
              </w:rPr>
              <w:t>s</w:t>
            </w:r>
            <w:r w:rsidRPr="00C454A1">
              <w:rPr>
                <w:rFonts w:cs="Times New Roman"/>
                <w:color w:val="000000" w:themeColor="text1"/>
                <w:sz w:val="22"/>
                <w:szCs w:val="22"/>
              </w:rPr>
              <w:t xml:space="preserve"> Armado</w:t>
            </w:r>
            <w:r w:rsidR="00A75ABD" w:rsidRPr="00C454A1">
              <w:rPr>
                <w:rFonts w:cs="Times New Roman"/>
                <w:color w:val="000000" w:themeColor="text1"/>
                <w:sz w:val="22"/>
                <w:szCs w:val="22"/>
              </w:rPr>
              <w:t>s</w:t>
            </w:r>
            <w:r w:rsidRPr="00C454A1">
              <w:rPr>
                <w:rFonts w:cs="Times New Roman"/>
                <w:color w:val="000000" w:themeColor="text1"/>
                <w:sz w:val="22"/>
                <w:szCs w:val="22"/>
              </w:rPr>
              <w:t xml:space="preserve"> Organizado</w:t>
            </w:r>
            <w:r w:rsidR="00A75ABD" w:rsidRPr="00C454A1">
              <w:rPr>
                <w:rFonts w:cs="Times New Roman"/>
                <w:color w:val="000000" w:themeColor="text1"/>
                <w:sz w:val="22"/>
                <w:szCs w:val="22"/>
              </w:rPr>
              <w:t>s</w:t>
            </w:r>
            <w:r w:rsidRPr="00C454A1">
              <w:rPr>
                <w:rFonts w:cs="Times New Roman"/>
                <w:color w:val="000000" w:themeColor="text1"/>
                <w:sz w:val="22"/>
                <w:szCs w:val="22"/>
              </w:rPr>
              <w:t xml:space="preserve"> Residual</w:t>
            </w:r>
            <w:r w:rsidR="00A75ABD" w:rsidRPr="00C454A1">
              <w:rPr>
                <w:rFonts w:cs="Times New Roman"/>
                <w:color w:val="000000" w:themeColor="text1"/>
                <w:sz w:val="22"/>
                <w:szCs w:val="22"/>
              </w:rPr>
              <w:t>es</w:t>
            </w:r>
          </w:p>
        </w:tc>
      </w:tr>
      <w:tr w:rsidR="00C454A1" w:rsidRPr="00C454A1" w14:paraId="163B1E37" w14:textId="77777777" w:rsidTr="00DA1990">
        <w:tc>
          <w:tcPr>
            <w:tcW w:w="960" w:type="pct"/>
          </w:tcPr>
          <w:p w14:paraId="0D05C45B"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rPr>
              <w:t>GIFMM</w:t>
            </w:r>
          </w:p>
        </w:tc>
        <w:tc>
          <w:tcPr>
            <w:tcW w:w="4040" w:type="pct"/>
          </w:tcPr>
          <w:p w14:paraId="314A9B78"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 xml:space="preserve">Grupo Interagencial de Flujos Migratorios Mixtos </w:t>
            </w:r>
          </w:p>
        </w:tc>
      </w:tr>
      <w:tr w:rsidR="00C454A1" w:rsidRPr="00C454A1" w14:paraId="271A418B" w14:textId="77777777" w:rsidTr="00DA1990">
        <w:tc>
          <w:tcPr>
            <w:tcW w:w="960" w:type="pct"/>
          </w:tcPr>
          <w:p w14:paraId="1EC121F4" w14:textId="0380E449" w:rsidR="00F80DC6" w:rsidRPr="00C454A1" w:rsidRDefault="00F80DC6"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ICBF</w:t>
            </w:r>
          </w:p>
        </w:tc>
        <w:tc>
          <w:tcPr>
            <w:tcW w:w="4040" w:type="pct"/>
          </w:tcPr>
          <w:p w14:paraId="72404815" w14:textId="0DBD5ED8" w:rsidR="00F80DC6" w:rsidRPr="00C454A1" w:rsidRDefault="00F80DC6" w:rsidP="001F3006">
            <w:pPr>
              <w:rPr>
                <w:rFonts w:cs="Times New Roman"/>
                <w:color w:val="000000" w:themeColor="text1"/>
                <w:sz w:val="22"/>
                <w:szCs w:val="22"/>
              </w:rPr>
            </w:pPr>
            <w:r w:rsidRPr="00C454A1">
              <w:rPr>
                <w:rFonts w:cs="Times New Roman"/>
                <w:color w:val="000000" w:themeColor="text1"/>
                <w:sz w:val="22"/>
                <w:szCs w:val="22"/>
              </w:rPr>
              <w:t>Instituto Colombiano de Bienestar Famil</w:t>
            </w:r>
            <w:r w:rsidR="00F578B2" w:rsidRPr="00C454A1">
              <w:rPr>
                <w:rFonts w:cs="Times New Roman"/>
                <w:color w:val="000000" w:themeColor="text1"/>
                <w:sz w:val="22"/>
                <w:szCs w:val="22"/>
              </w:rPr>
              <w:t>iar</w:t>
            </w:r>
          </w:p>
        </w:tc>
      </w:tr>
      <w:tr w:rsidR="00C454A1" w:rsidRPr="00C454A1" w14:paraId="2A62CC14" w14:textId="77777777" w:rsidTr="00DA1990">
        <w:tc>
          <w:tcPr>
            <w:tcW w:w="960" w:type="pct"/>
          </w:tcPr>
          <w:p w14:paraId="7AD1C84F" w14:textId="48C159C6" w:rsidR="0035684D" w:rsidRPr="00C454A1" w:rsidRDefault="0035684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IDEAM</w:t>
            </w:r>
          </w:p>
        </w:tc>
        <w:tc>
          <w:tcPr>
            <w:tcW w:w="4040" w:type="pct"/>
          </w:tcPr>
          <w:p w14:paraId="5CFE7F34" w14:textId="53D9E66D" w:rsidR="0035684D" w:rsidRPr="00C454A1" w:rsidRDefault="00FD52ED" w:rsidP="001F3006">
            <w:pPr>
              <w:rPr>
                <w:rFonts w:cs="Times New Roman"/>
                <w:color w:val="000000" w:themeColor="text1"/>
                <w:sz w:val="22"/>
                <w:szCs w:val="22"/>
              </w:rPr>
            </w:pPr>
            <w:r w:rsidRPr="00C454A1">
              <w:rPr>
                <w:rFonts w:cs="Times New Roman"/>
                <w:color w:val="000000" w:themeColor="text1"/>
                <w:sz w:val="22"/>
                <w:szCs w:val="22"/>
              </w:rPr>
              <w:t>Instituto de Hidrología, Meteorología y Estudios Ambientales</w:t>
            </w:r>
          </w:p>
        </w:tc>
      </w:tr>
      <w:tr w:rsidR="00C454A1" w:rsidRPr="00C454A1" w14:paraId="46F52753" w14:textId="77777777" w:rsidTr="00DA1990">
        <w:tc>
          <w:tcPr>
            <w:tcW w:w="960" w:type="pct"/>
          </w:tcPr>
          <w:p w14:paraId="5478370E" w14:textId="0AB57FBC" w:rsidR="00B909F8" w:rsidRPr="00C454A1" w:rsidRDefault="00B909F8"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JAC</w:t>
            </w:r>
          </w:p>
        </w:tc>
        <w:tc>
          <w:tcPr>
            <w:tcW w:w="4040" w:type="pct"/>
          </w:tcPr>
          <w:p w14:paraId="22E504C8" w14:textId="7FD655F9" w:rsidR="00B909F8" w:rsidRPr="00C454A1" w:rsidRDefault="00B909F8" w:rsidP="001F3006">
            <w:pPr>
              <w:rPr>
                <w:rFonts w:cs="Times New Roman"/>
                <w:color w:val="000000" w:themeColor="text1"/>
                <w:sz w:val="22"/>
                <w:szCs w:val="22"/>
              </w:rPr>
            </w:pPr>
            <w:r w:rsidRPr="00C454A1">
              <w:rPr>
                <w:rFonts w:cs="Times New Roman"/>
                <w:color w:val="000000" w:themeColor="text1"/>
                <w:sz w:val="22"/>
                <w:szCs w:val="22"/>
              </w:rPr>
              <w:t>Juntas de Acción Comunal</w:t>
            </w:r>
          </w:p>
        </w:tc>
      </w:tr>
      <w:tr w:rsidR="00C454A1" w:rsidRPr="00C454A1" w14:paraId="00AB1625" w14:textId="77777777" w:rsidTr="00DA1990">
        <w:tc>
          <w:tcPr>
            <w:tcW w:w="960" w:type="pct"/>
          </w:tcPr>
          <w:p w14:paraId="6E3D3F80" w14:textId="25655CB6" w:rsidR="005E0355" w:rsidRPr="00C454A1" w:rsidRDefault="005E0355"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JEP</w:t>
            </w:r>
          </w:p>
        </w:tc>
        <w:tc>
          <w:tcPr>
            <w:tcW w:w="4040" w:type="pct"/>
          </w:tcPr>
          <w:p w14:paraId="3EBA0052" w14:textId="537FFA67" w:rsidR="005E0355" w:rsidRPr="00C454A1" w:rsidRDefault="005E0355" w:rsidP="001F3006">
            <w:pPr>
              <w:rPr>
                <w:rFonts w:cs="Times New Roman"/>
                <w:color w:val="000000" w:themeColor="text1"/>
                <w:sz w:val="22"/>
                <w:szCs w:val="22"/>
              </w:rPr>
            </w:pPr>
            <w:r w:rsidRPr="00C454A1">
              <w:rPr>
                <w:rFonts w:cs="Times New Roman"/>
                <w:color w:val="000000" w:themeColor="text1"/>
                <w:sz w:val="22"/>
                <w:szCs w:val="22"/>
              </w:rPr>
              <w:t>Jurisdicción Especial para la Paz</w:t>
            </w:r>
          </w:p>
        </w:tc>
      </w:tr>
      <w:tr w:rsidR="00C454A1" w:rsidRPr="00C454A1" w14:paraId="238AA8F1" w14:textId="77777777" w:rsidTr="00DA1990">
        <w:tc>
          <w:tcPr>
            <w:tcW w:w="960" w:type="pct"/>
          </w:tcPr>
          <w:p w14:paraId="7502F2BA"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LEEE</w:t>
            </w:r>
          </w:p>
        </w:tc>
        <w:tc>
          <w:tcPr>
            <w:tcW w:w="4040" w:type="pct"/>
          </w:tcPr>
          <w:p w14:paraId="0D26C61B"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rPr>
              <w:t>Ley Estatutaria de los Estados de Excepción</w:t>
            </w:r>
          </w:p>
        </w:tc>
      </w:tr>
      <w:tr w:rsidR="00C454A1" w:rsidRPr="00C454A1" w14:paraId="4442068F" w14:textId="77777777" w:rsidTr="00DA1990">
        <w:tc>
          <w:tcPr>
            <w:tcW w:w="960" w:type="pct"/>
          </w:tcPr>
          <w:p w14:paraId="02DC726B" w14:textId="5F23192F" w:rsidR="008A729E" w:rsidRPr="00C454A1" w:rsidRDefault="008A729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LGBTIQ+</w:t>
            </w:r>
          </w:p>
        </w:tc>
        <w:tc>
          <w:tcPr>
            <w:tcW w:w="4040" w:type="pct"/>
          </w:tcPr>
          <w:p w14:paraId="5E1E1CC1" w14:textId="1CA98F91" w:rsidR="008A729E" w:rsidRPr="00C454A1" w:rsidRDefault="008A729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Lesbianas, Gays, Bisexuales, Transgénero, Intersexuales y Queer y otras identidades no binarias y sexualidades diversas</w:t>
            </w:r>
          </w:p>
        </w:tc>
      </w:tr>
      <w:tr w:rsidR="00C454A1" w:rsidRPr="00C454A1" w14:paraId="5F247A44" w14:textId="77777777" w:rsidTr="00DA1990">
        <w:tc>
          <w:tcPr>
            <w:tcW w:w="960" w:type="pct"/>
          </w:tcPr>
          <w:p w14:paraId="197FE2B2" w14:textId="3BB6360B" w:rsidR="002F68CD" w:rsidRPr="00C454A1" w:rsidRDefault="00DA048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MinAgricultura</w:t>
            </w:r>
          </w:p>
        </w:tc>
        <w:tc>
          <w:tcPr>
            <w:tcW w:w="4040" w:type="pct"/>
          </w:tcPr>
          <w:p w14:paraId="5A288288"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Agricultura y Desarrollo Rural</w:t>
            </w:r>
          </w:p>
        </w:tc>
      </w:tr>
      <w:tr w:rsidR="00C454A1" w:rsidRPr="00C454A1" w14:paraId="56A068E1" w14:textId="77777777" w:rsidTr="00DA1990">
        <w:tc>
          <w:tcPr>
            <w:tcW w:w="960" w:type="pct"/>
          </w:tcPr>
          <w:p w14:paraId="230B842D" w14:textId="2C1590C2" w:rsidR="00241650" w:rsidRPr="00C454A1" w:rsidRDefault="00241650"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MinAmbiente</w:t>
            </w:r>
          </w:p>
        </w:tc>
        <w:tc>
          <w:tcPr>
            <w:tcW w:w="4040" w:type="pct"/>
          </w:tcPr>
          <w:p w14:paraId="0BDA73FD" w14:textId="584709D8" w:rsidR="00241650" w:rsidRPr="00C454A1" w:rsidRDefault="00241650"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Ambiente</w:t>
            </w:r>
            <w:r w:rsidR="00860CFF" w:rsidRPr="00C454A1">
              <w:rPr>
                <w:rFonts w:cs="Times New Roman"/>
                <w:color w:val="000000" w:themeColor="text1"/>
                <w:sz w:val="22"/>
                <w:szCs w:val="22"/>
                <w:lang w:eastAsia="es-ES"/>
              </w:rPr>
              <w:t xml:space="preserve"> y Desarrollo Sostenible</w:t>
            </w:r>
          </w:p>
        </w:tc>
      </w:tr>
      <w:tr w:rsidR="00C454A1" w:rsidRPr="00C454A1" w14:paraId="5F624DF3" w14:textId="77777777" w:rsidTr="00DA1990">
        <w:tc>
          <w:tcPr>
            <w:tcW w:w="960" w:type="pct"/>
          </w:tcPr>
          <w:p w14:paraId="4222F516" w14:textId="4F05C23B" w:rsidR="002A676E" w:rsidRPr="00C454A1" w:rsidRDefault="002A676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w:t>
            </w:r>
            <w:r w:rsidR="00305D28" w:rsidRPr="00C454A1">
              <w:rPr>
                <w:rFonts w:cs="Times New Roman"/>
                <w:color w:val="000000" w:themeColor="text1"/>
                <w:sz w:val="22"/>
                <w:szCs w:val="22"/>
                <w:lang w:eastAsia="es-ES"/>
              </w:rPr>
              <w:t>in</w:t>
            </w:r>
            <w:r w:rsidRPr="00C454A1">
              <w:rPr>
                <w:rFonts w:cs="Times New Roman"/>
                <w:color w:val="000000" w:themeColor="text1"/>
                <w:sz w:val="22"/>
                <w:szCs w:val="22"/>
                <w:lang w:eastAsia="es-ES"/>
              </w:rPr>
              <w:t>CIT</w:t>
            </w:r>
          </w:p>
        </w:tc>
        <w:tc>
          <w:tcPr>
            <w:tcW w:w="4040" w:type="pct"/>
          </w:tcPr>
          <w:p w14:paraId="522137B0" w14:textId="6FA2584E" w:rsidR="002A676E" w:rsidRPr="00C454A1" w:rsidRDefault="002A676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Comercio, Industria y Turismo</w:t>
            </w:r>
          </w:p>
        </w:tc>
      </w:tr>
      <w:tr w:rsidR="00C454A1" w:rsidRPr="00C454A1" w14:paraId="6B8DA690" w14:textId="77777777" w:rsidTr="00DA1990">
        <w:tc>
          <w:tcPr>
            <w:tcW w:w="960" w:type="pct"/>
          </w:tcPr>
          <w:p w14:paraId="0CDFFC32" w14:textId="59BFBDA4" w:rsidR="000F69E9" w:rsidRPr="00C454A1" w:rsidRDefault="000F69E9"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MinDefensa</w:t>
            </w:r>
          </w:p>
        </w:tc>
        <w:tc>
          <w:tcPr>
            <w:tcW w:w="4040" w:type="pct"/>
          </w:tcPr>
          <w:p w14:paraId="07DAAF8F" w14:textId="48CA19A7" w:rsidR="000F69E9" w:rsidRPr="00C454A1" w:rsidRDefault="000F69E9"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Defensa Nacional</w:t>
            </w:r>
          </w:p>
        </w:tc>
      </w:tr>
      <w:tr w:rsidR="00C454A1" w:rsidRPr="00C454A1" w14:paraId="5ECF6188" w14:textId="77777777" w:rsidTr="00DA1990">
        <w:tc>
          <w:tcPr>
            <w:tcW w:w="960" w:type="pct"/>
          </w:tcPr>
          <w:p w14:paraId="5228AAA3" w14:textId="4CAC0237" w:rsidR="00064732" w:rsidRPr="00C454A1" w:rsidRDefault="00064732"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MinJusticia</w:t>
            </w:r>
          </w:p>
        </w:tc>
        <w:tc>
          <w:tcPr>
            <w:tcW w:w="4040" w:type="pct"/>
          </w:tcPr>
          <w:p w14:paraId="7D27114B" w14:textId="51500C85" w:rsidR="00064732" w:rsidRPr="00C454A1" w:rsidRDefault="00064732"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Justicia y del Derecho</w:t>
            </w:r>
          </w:p>
        </w:tc>
      </w:tr>
      <w:tr w:rsidR="00C454A1" w:rsidRPr="00C454A1" w14:paraId="7DD7CA6D" w14:textId="77777777" w:rsidTr="00DA1990">
        <w:tc>
          <w:tcPr>
            <w:tcW w:w="960" w:type="pct"/>
          </w:tcPr>
          <w:p w14:paraId="1C87C12F" w14:textId="77777777" w:rsidR="006F1D7E" w:rsidRPr="00C454A1" w:rsidRDefault="006F1D7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MinHacienda</w:t>
            </w:r>
          </w:p>
        </w:tc>
        <w:tc>
          <w:tcPr>
            <w:tcW w:w="4040" w:type="pct"/>
          </w:tcPr>
          <w:p w14:paraId="1F0AD69B" w14:textId="77777777" w:rsidR="006F1D7E" w:rsidRPr="00C454A1" w:rsidRDefault="006F1D7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Hacienda y Crédito Público</w:t>
            </w:r>
          </w:p>
        </w:tc>
      </w:tr>
      <w:tr w:rsidR="00C454A1" w:rsidRPr="00C454A1" w14:paraId="14EF425D" w14:textId="77777777" w:rsidTr="00DA1990">
        <w:tc>
          <w:tcPr>
            <w:tcW w:w="960" w:type="pct"/>
          </w:tcPr>
          <w:p w14:paraId="11AFA095" w14:textId="6BFFF7B4" w:rsidR="00B62938" w:rsidRPr="00C454A1" w:rsidRDefault="00B62938"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MinInterior</w:t>
            </w:r>
          </w:p>
        </w:tc>
        <w:tc>
          <w:tcPr>
            <w:tcW w:w="4040" w:type="pct"/>
          </w:tcPr>
          <w:p w14:paraId="19B02103" w14:textId="0173FFF7" w:rsidR="00B62938" w:rsidRPr="00C454A1" w:rsidRDefault="00B62938"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del Interior</w:t>
            </w:r>
          </w:p>
        </w:tc>
      </w:tr>
      <w:tr w:rsidR="00C454A1" w:rsidRPr="00C454A1" w14:paraId="3A78CF06" w14:textId="77777777" w:rsidTr="00DA1990">
        <w:tc>
          <w:tcPr>
            <w:tcW w:w="960" w:type="pct"/>
          </w:tcPr>
          <w:p w14:paraId="1132A155" w14:textId="6BDB41C9" w:rsidR="006F1D7E" w:rsidRPr="00C454A1" w:rsidRDefault="006F1D7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MinMinas</w:t>
            </w:r>
          </w:p>
        </w:tc>
        <w:tc>
          <w:tcPr>
            <w:tcW w:w="4040" w:type="pct"/>
          </w:tcPr>
          <w:p w14:paraId="5E63EC9B" w14:textId="305B123C" w:rsidR="006F1D7E" w:rsidRPr="00C454A1" w:rsidRDefault="006F1D7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Minas y Energía</w:t>
            </w:r>
          </w:p>
        </w:tc>
      </w:tr>
      <w:tr w:rsidR="00C454A1" w:rsidRPr="00C454A1" w14:paraId="69CEF5BF" w14:textId="77777777" w:rsidTr="00DA1990">
        <w:tc>
          <w:tcPr>
            <w:tcW w:w="960" w:type="pct"/>
          </w:tcPr>
          <w:p w14:paraId="63BCBDDA" w14:textId="2426D3D6"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w:t>
            </w:r>
            <w:r w:rsidR="00E155BF" w:rsidRPr="00C454A1">
              <w:rPr>
                <w:rFonts w:cs="Times New Roman"/>
                <w:color w:val="000000" w:themeColor="text1"/>
                <w:sz w:val="22"/>
                <w:szCs w:val="22"/>
                <w:lang w:eastAsia="es-ES"/>
              </w:rPr>
              <w:t>inSalud</w:t>
            </w:r>
          </w:p>
        </w:tc>
        <w:tc>
          <w:tcPr>
            <w:tcW w:w="4040" w:type="pct"/>
          </w:tcPr>
          <w:p w14:paraId="5ACC470F"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Salud y Protección Social</w:t>
            </w:r>
          </w:p>
        </w:tc>
      </w:tr>
      <w:tr w:rsidR="00C454A1" w:rsidRPr="00C454A1" w14:paraId="2B04804B" w14:textId="77777777" w:rsidTr="00DA1990">
        <w:tc>
          <w:tcPr>
            <w:tcW w:w="960" w:type="pct"/>
          </w:tcPr>
          <w:p w14:paraId="43B67E6C"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MVCT</w:t>
            </w:r>
          </w:p>
        </w:tc>
        <w:tc>
          <w:tcPr>
            <w:tcW w:w="4040" w:type="pct"/>
          </w:tcPr>
          <w:p w14:paraId="4B1CCD80"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Ministerio de Vivienda, Ciudad y Territorio</w:t>
            </w:r>
          </w:p>
        </w:tc>
      </w:tr>
      <w:tr w:rsidR="00C454A1" w:rsidRPr="00C454A1" w14:paraId="32D85776" w14:textId="77777777" w:rsidTr="00DA1990">
        <w:tc>
          <w:tcPr>
            <w:tcW w:w="960" w:type="pct"/>
          </w:tcPr>
          <w:p w14:paraId="66BA7A16"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NNA</w:t>
            </w:r>
          </w:p>
        </w:tc>
        <w:tc>
          <w:tcPr>
            <w:tcW w:w="4040" w:type="pct"/>
          </w:tcPr>
          <w:p w14:paraId="1AEA8AB7" w14:textId="77777777" w:rsidR="002F68CD" w:rsidRPr="00C454A1" w:rsidRDefault="002F68CD"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Niños, niñas y adolescentes</w:t>
            </w:r>
          </w:p>
        </w:tc>
      </w:tr>
      <w:tr w:rsidR="00C454A1" w:rsidRPr="00C454A1" w14:paraId="536AD794" w14:textId="77777777" w:rsidTr="00DA1990">
        <w:tc>
          <w:tcPr>
            <w:tcW w:w="960" w:type="pct"/>
          </w:tcPr>
          <w:p w14:paraId="30A0208F"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lang w:eastAsia="es-ES"/>
              </w:rPr>
              <w:t>OCHA</w:t>
            </w:r>
          </w:p>
        </w:tc>
        <w:tc>
          <w:tcPr>
            <w:tcW w:w="4040" w:type="pct"/>
          </w:tcPr>
          <w:p w14:paraId="0A0DEDDC"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lang w:eastAsia="es-ES"/>
              </w:rPr>
              <w:t>Oficina de Naciones Unidas para la Coordinación de Asuntos Humanitarios</w:t>
            </w:r>
          </w:p>
        </w:tc>
      </w:tr>
      <w:tr w:rsidR="00C454A1" w:rsidRPr="00C454A1" w14:paraId="5514F580" w14:textId="77777777" w:rsidTr="00DA1990">
        <w:tc>
          <w:tcPr>
            <w:tcW w:w="960" w:type="pct"/>
          </w:tcPr>
          <w:p w14:paraId="44DD2D9E"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OEA</w:t>
            </w:r>
          </w:p>
        </w:tc>
        <w:tc>
          <w:tcPr>
            <w:tcW w:w="4040" w:type="pct"/>
          </w:tcPr>
          <w:p w14:paraId="742BF2F7"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Organización de Estados Americanos</w:t>
            </w:r>
          </w:p>
        </w:tc>
      </w:tr>
      <w:tr w:rsidR="00C454A1" w:rsidRPr="00C454A1" w14:paraId="76913DBF" w14:textId="77777777" w:rsidTr="00DA1990">
        <w:tc>
          <w:tcPr>
            <w:tcW w:w="960" w:type="pct"/>
          </w:tcPr>
          <w:p w14:paraId="201B0E70"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ONU</w:t>
            </w:r>
          </w:p>
        </w:tc>
        <w:tc>
          <w:tcPr>
            <w:tcW w:w="4040" w:type="pct"/>
          </w:tcPr>
          <w:p w14:paraId="4905977C"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Organización de las Naciones Unidas</w:t>
            </w:r>
          </w:p>
        </w:tc>
      </w:tr>
      <w:tr w:rsidR="00C454A1" w:rsidRPr="00C454A1" w14:paraId="24FCC1D0" w14:textId="77777777" w:rsidTr="00DA1990">
        <w:tc>
          <w:tcPr>
            <w:tcW w:w="960" w:type="pct"/>
          </w:tcPr>
          <w:p w14:paraId="0E04414B" w14:textId="62B1C929" w:rsidR="00830130" w:rsidRPr="00C454A1" w:rsidRDefault="00830130" w:rsidP="001F3006">
            <w:pPr>
              <w:rPr>
                <w:rFonts w:cs="Times New Roman"/>
                <w:color w:val="000000" w:themeColor="text1"/>
                <w:sz w:val="22"/>
                <w:szCs w:val="22"/>
              </w:rPr>
            </w:pPr>
            <w:r w:rsidRPr="00C454A1">
              <w:rPr>
                <w:rFonts w:cs="Times New Roman"/>
                <w:color w:val="000000" w:themeColor="text1"/>
                <w:sz w:val="22"/>
                <w:szCs w:val="22"/>
              </w:rPr>
              <w:t>ONUDI</w:t>
            </w:r>
          </w:p>
        </w:tc>
        <w:tc>
          <w:tcPr>
            <w:tcW w:w="4040" w:type="pct"/>
          </w:tcPr>
          <w:p w14:paraId="54498EEB" w14:textId="198350FB" w:rsidR="00830130" w:rsidRPr="00C454A1" w:rsidRDefault="00830130" w:rsidP="001F3006">
            <w:pPr>
              <w:rPr>
                <w:rFonts w:cs="Times New Roman"/>
                <w:color w:val="000000" w:themeColor="text1"/>
                <w:sz w:val="22"/>
                <w:szCs w:val="22"/>
              </w:rPr>
            </w:pPr>
            <w:r w:rsidRPr="00C454A1">
              <w:rPr>
                <w:rFonts w:cs="Times New Roman"/>
                <w:color w:val="000000" w:themeColor="text1"/>
                <w:sz w:val="22"/>
                <w:szCs w:val="22"/>
              </w:rPr>
              <w:t xml:space="preserve">Organización de las Naciones Unidas para el Desarrollo Industrial </w:t>
            </w:r>
          </w:p>
        </w:tc>
      </w:tr>
      <w:tr w:rsidR="00C454A1" w:rsidRPr="00C454A1" w14:paraId="2721170D" w14:textId="77777777" w:rsidTr="00DA1990">
        <w:tc>
          <w:tcPr>
            <w:tcW w:w="960" w:type="pct"/>
          </w:tcPr>
          <w:p w14:paraId="4EAD4306" w14:textId="7FC87C82" w:rsidR="00EE3A0B" w:rsidRPr="00C454A1" w:rsidRDefault="00EE3A0B" w:rsidP="001F3006">
            <w:pPr>
              <w:rPr>
                <w:rFonts w:cs="Times New Roman"/>
                <w:color w:val="000000" w:themeColor="text1"/>
                <w:sz w:val="22"/>
                <w:szCs w:val="22"/>
              </w:rPr>
            </w:pPr>
            <w:r w:rsidRPr="00C454A1">
              <w:rPr>
                <w:rFonts w:cs="Times New Roman"/>
                <w:color w:val="000000" w:themeColor="text1"/>
                <w:sz w:val="22"/>
                <w:szCs w:val="22"/>
              </w:rPr>
              <w:t>PDET</w:t>
            </w:r>
          </w:p>
        </w:tc>
        <w:tc>
          <w:tcPr>
            <w:tcW w:w="4040" w:type="pct"/>
          </w:tcPr>
          <w:p w14:paraId="67F1178B" w14:textId="31C9ECA4" w:rsidR="00EE3A0B" w:rsidRPr="00C454A1" w:rsidRDefault="00335D00" w:rsidP="001F3006">
            <w:pPr>
              <w:rPr>
                <w:rFonts w:cs="Times New Roman"/>
                <w:color w:val="000000" w:themeColor="text1"/>
                <w:sz w:val="22"/>
                <w:szCs w:val="22"/>
              </w:rPr>
            </w:pPr>
            <w:r w:rsidRPr="00C454A1">
              <w:rPr>
                <w:rFonts w:cs="Times New Roman"/>
                <w:color w:val="000000" w:themeColor="text1"/>
                <w:sz w:val="22"/>
                <w:szCs w:val="22"/>
              </w:rPr>
              <w:t>Programas de Desarrollo con Enfoque Territorial</w:t>
            </w:r>
          </w:p>
        </w:tc>
      </w:tr>
      <w:tr w:rsidR="00C454A1" w:rsidRPr="00C454A1" w14:paraId="1C8B4430" w14:textId="77777777" w:rsidTr="00DA1990">
        <w:tc>
          <w:tcPr>
            <w:tcW w:w="960" w:type="pct"/>
          </w:tcPr>
          <w:p w14:paraId="3CFAB017"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PGN</w:t>
            </w:r>
          </w:p>
        </w:tc>
        <w:tc>
          <w:tcPr>
            <w:tcW w:w="4040" w:type="pct"/>
          </w:tcPr>
          <w:p w14:paraId="784224D0"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Presupuesto General de la Nación</w:t>
            </w:r>
          </w:p>
        </w:tc>
      </w:tr>
      <w:tr w:rsidR="00C454A1" w:rsidRPr="00C454A1" w14:paraId="2FD91665" w14:textId="77777777" w:rsidTr="00DA1990">
        <w:tc>
          <w:tcPr>
            <w:tcW w:w="960" w:type="pct"/>
          </w:tcPr>
          <w:p w14:paraId="25C3AC3F"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PMU</w:t>
            </w:r>
          </w:p>
        </w:tc>
        <w:tc>
          <w:tcPr>
            <w:tcW w:w="4040" w:type="pct"/>
          </w:tcPr>
          <w:p w14:paraId="5EB3B950"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Puesto de Mando Unificado</w:t>
            </w:r>
          </w:p>
        </w:tc>
      </w:tr>
      <w:tr w:rsidR="00C454A1" w:rsidRPr="00C454A1" w14:paraId="47D7CB80" w14:textId="77777777" w:rsidTr="00DA1990">
        <w:tc>
          <w:tcPr>
            <w:tcW w:w="960" w:type="pct"/>
          </w:tcPr>
          <w:p w14:paraId="363CDC7C"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PNIS</w:t>
            </w:r>
          </w:p>
        </w:tc>
        <w:tc>
          <w:tcPr>
            <w:tcW w:w="4040" w:type="pct"/>
          </w:tcPr>
          <w:p w14:paraId="57E358F0" w14:textId="5F26BA65"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Programa Nacional Integral de Sustitución de Cultivos</w:t>
            </w:r>
          </w:p>
        </w:tc>
      </w:tr>
      <w:tr w:rsidR="00C454A1" w:rsidRPr="00C454A1" w14:paraId="440CF76E" w14:textId="77777777" w:rsidTr="00DA1990">
        <w:tc>
          <w:tcPr>
            <w:tcW w:w="960" w:type="pct"/>
          </w:tcPr>
          <w:p w14:paraId="3CA6BEF3"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PNN</w:t>
            </w:r>
          </w:p>
        </w:tc>
        <w:tc>
          <w:tcPr>
            <w:tcW w:w="4040" w:type="pct"/>
          </w:tcPr>
          <w:p w14:paraId="63F834C3"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Parque Nacional Natural</w:t>
            </w:r>
          </w:p>
        </w:tc>
      </w:tr>
      <w:tr w:rsidR="00C454A1" w:rsidRPr="00C454A1" w14:paraId="658B1F06" w14:textId="77777777" w:rsidTr="00DA1990">
        <w:tc>
          <w:tcPr>
            <w:tcW w:w="960" w:type="pct"/>
          </w:tcPr>
          <w:p w14:paraId="407D0197"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RUV</w:t>
            </w:r>
          </w:p>
        </w:tc>
        <w:tc>
          <w:tcPr>
            <w:tcW w:w="4040" w:type="pct"/>
          </w:tcPr>
          <w:p w14:paraId="16B2D467"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Registro Único de Víctimas</w:t>
            </w:r>
          </w:p>
        </w:tc>
      </w:tr>
      <w:tr w:rsidR="00C454A1" w:rsidRPr="00C454A1" w14:paraId="78BA00C7" w14:textId="77777777" w:rsidTr="00DA1990">
        <w:tc>
          <w:tcPr>
            <w:tcW w:w="960" w:type="pct"/>
          </w:tcPr>
          <w:p w14:paraId="25321E72" w14:textId="77777777" w:rsidR="002F68CD" w:rsidRPr="00C454A1" w:rsidRDefault="002F68CD"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SGP</w:t>
            </w:r>
          </w:p>
        </w:tc>
        <w:tc>
          <w:tcPr>
            <w:tcW w:w="4040" w:type="pct"/>
          </w:tcPr>
          <w:p w14:paraId="0EC6B929" w14:textId="77777777" w:rsidR="002F68CD" w:rsidRPr="00C454A1" w:rsidRDefault="002F68CD"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Sistema General de Participaciones</w:t>
            </w:r>
          </w:p>
        </w:tc>
      </w:tr>
      <w:tr w:rsidR="00C454A1" w:rsidRPr="00C454A1" w14:paraId="5B7A1464" w14:textId="77777777" w:rsidTr="00DA1990">
        <w:tc>
          <w:tcPr>
            <w:tcW w:w="960" w:type="pct"/>
          </w:tcPr>
          <w:p w14:paraId="12BCDCEA" w14:textId="77777777" w:rsidR="002F68CD" w:rsidRPr="00C454A1" w:rsidRDefault="002F68CD"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SGR</w:t>
            </w:r>
          </w:p>
        </w:tc>
        <w:tc>
          <w:tcPr>
            <w:tcW w:w="4040" w:type="pct"/>
          </w:tcPr>
          <w:p w14:paraId="7273B1D4" w14:textId="77777777" w:rsidR="002F68CD" w:rsidRPr="00C454A1" w:rsidRDefault="002F68CD"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Sistema General de Regalías</w:t>
            </w:r>
          </w:p>
        </w:tc>
      </w:tr>
      <w:tr w:rsidR="00C454A1" w:rsidRPr="00C454A1" w14:paraId="500878DC" w14:textId="77777777" w:rsidTr="00DA1990">
        <w:tc>
          <w:tcPr>
            <w:tcW w:w="960" w:type="pct"/>
          </w:tcPr>
          <w:p w14:paraId="6AAE5EED" w14:textId="07F6B5B4" w:rsidR="008B5DA6" w:rsidRPr="00C454A1" w:rsidRDefault="008B5DA6"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lastRenderedPageBreak/>
              <w:t>SEPS</w:t>
            </w:r>
          </w:p>
        </w:tc>
        <w:tc>
          <w:tcPr>
            <w:tcW w:w="4040" w:type="pct"/>
          </w:tcPr>
          <w:p w14:paraId="3E7CAD13" w14:textId="0854F35C" w:rsidR="008B5DA6" w:rsidRPr="00C454A1" w:rsidRDefault="008B5DA6"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Subdirección Especializada de Seguridad y Protección</w:t>
            </w:r>
          </w:p>
        </w:tc>
      </w:tr>
      <w:tr w:rsidR="00C454A1" w:rsidRPr="00C454A1" w14:paraId="01986C94" w14:textId="77777777" w:rsidTr="00DA1990">
        <w:tc>
          <w:tcPr>
            <w:tcW w:w="960" w:type="pct"/>
          </w:tcPr>
          <w:p w14:paraId="756D1C43" w14:textId="77777777" w:rsidR="002F68CD" w:rsidRPr="00C454A1" w:rsidRDefault="002F68CD" w:rsidP="001F3006">
            <w:pPr>
              <w:rPr>
                <w:rFonts w:cs="Times New Roman"/>
                <w:color w:val="000000" w:themeColor="text1"/>
                <w:sz w:val="22"/>
                <w:szCs w:val="22"/>
              </w:rPr>
            </w:pPr>
            <w:r w:rsidRPr="00C454A1">
              <w:rPr>
                <w:rFonts w:eastAsia="Times New Roman" w:cs="Times New Roman"/>
                <w:color w:val="000000" w:themeColor="text1"/>
                <w:sz w:val="22"/>
                <w:szCs w:val="22"/>
                <w:lang w:eastAsia="es-MX"/>
              </w:rPr>
              <w:t>SIMCI</w:t>
            </w:r>
          </w:p>
        </w:tc>
        <w:tc>
          <w:tcPr>
            <w:tcW w:w="4040" w:type="pct"/>
          </w:tcPr>
          <w:p w14:paraId="75E231AB" w14:textId="77777777" w:rsidR="002F68CD" w:rsidRPr="00C454A1" w:rsidRDefault="002F68CD" w:rsidP="001F3006">
            <w:pPr>
              <w:rPr>
                <w:rFonts w:cs="Times New Roman"/>
                <w:color w:val="000000" w:themeColor="text1"/>
                <w:sz w:val="22"/>
                <w:szCs w:val="22"/>
              </w:rPr>
            </w:pPr>
            <w:r w:rsidRPr="00C454A1">
              <w:rPr>
                <w:rFonts w:eastAsia="Times New Roman" w:cs="Times New Roman"/>
                <w:color w:val="000000" w:themeColor="text1"/>
                <w:sz w:val="22"/>
                <w:szCs w:val="22"/>
                <w:lang w:eastAsia="es-MX"/>
              </w:rPr>
              <w:t>Sistema Integrado de Monitoreo de Cultivos Ilícitos</w:t>
            </w:r>
          </w:p>
        </w:tc>
      </w:tr>
      <w:tr w:rsidR="00C454A1" w:rsidRPr="00C454A1" w14:paraId="4044898C" w14:textId="77777777" w:rsidTr="00DA1990">
        <w:tc>
          <w:tcPr>
            <w:tcW w:w="960" w:type="pct"/>
          </w:tcPr>
          <w:p w14:paraId="4F8A1C31" w14:textId="77777777" w:rsidR="002F68CD" w:rsidRPr="00C454A1" w:rsidRDefault="002F68CD"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SISEP</w:t>
            </w:r>
          </w:p>
        </w:tc>
        <w:tc>
          <w:tcPr>
            <w:tcW w:w="4040" w:type="pct"/>
          </w:tcPr>
          <w:p w14:paraId="00686703" w14:textId="77777777" w:rsidR="002F68CD" w:rsidRPr="00C454A1" w:rsidRDefault="002F68CD"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val="es-ES"/>
              </w:rPr>
              <w:t>Sistema Integral de Seguridad para el Ejercicio de la Política</w:t>
            </w:r>
          </w:p>
        </w:tc>
      </w:tr>
      <w:tr w:rsidR="00C454A1" w:rsidRPr="00C454A1" w14:paraId="7B67A57F" w14:textId="77777777" w:rsidTr="00DA1990">
        <w:tc>
          <w:tcPr>
            <w:tcW w:w="960" w:type="pct"/>
          </w:tcPr>
          <w:p w14:paraId="01962F85" w14:textId="19D2E571" w:rsidR="00D6608E" w:rsidRPr="00C454A1" w:rsidRDefault="00D6608E"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SNARIV</w:t>
            </w:r>
          </w:p>
        </w:tc>
        <w:tc>
          <w:tcPr>
            <w:tcW w:w="4040" w:type="pct"/>
          </w:tcPr>
          <w:p w14:paraId="79A99FE2" w14:textId="622DB144" w:rsidR="00D6608E" w:rsidRPr="00C454A1" w:rsidRDefault="00D6608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Sistema Nacional de Atención y Reparación Integral a las Víctimas</w:t>
            </w:r>
          </w:p>
        </w:tc>
      </w:tr>
      <w:tr w:rsidR="00C454A1" w:rsidRPr="00C454A1" w14:paraId="22626BFF" w14:textId="77777777" w:rsidTr="00DA1990">
        <w:tc>
          <w:tcPr>
            <w:tcW w:w="960" w:type="pct"/>
          </w:tcPr>
          <w:p w14:paraId="14BAF7D2" w14:textId="77B56495" w:rsidR="00AA763E" w:rsidRPr="00C454A1" w:rsidRDefault="00AA763E"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SNR</w:t>
            </w:r>
          </w:p>
        </w:tc>
        <w:tc>
          <w:tcPr>
            <w:tcW w:w="4040" w:type="pct"/>
          </w:tcPr>
          <w:p w14:paraId="63C1F1B4" w14:textId="720436B1" w:rsidR="00AA763E" w:rsidRPr="00C454A1" w:rsidRDefault="00AA763E"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Superintendencia de Notariado y Registro</w:t>
            </w:r>
          </w:p>
        </w:tc>
      </w:tr>
      <w:tr w:rsidR="00C454A1" w:rsidRPr="00C454A1" w14:paraId="3FA6B427" w14:textId="77777777" w:rsidTr="00DA1990">
        <w:tc>
          <w:tcPr>
            <w:tcW w:w="960" w:type="pct"/>
          </w:tcPr>
          <w:p w14:paraId="393F8289" w14:textId="49CF3197" w:rsidR="001E4F9C" w:rsidRPr="00C454A1" w:rsidRDefault="001E4F9C"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RTDAF</w:t>
            </w:r>
          </w:p>
        </w:tc>
        <w:tc>
          <w:tcPr>
            <w:tcW w:w="4040" w:type="pct"/>
          </w:tcPr>
          <w:p w14:paraId="547FA340" w14:textId="6EA93C14" w:rsidR="001E4F9C" w:rsidRPr="00C454A1" w:rsidRDefault="001E4F9C"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Registro de Tierras Despojadas y Abandonadas Forzosamente</w:t>
            </w:r>
          </w:p>
        </w:tc>
      </w:tr>
      <w:tr w:rsidR="00C454A1" w:rsidRPr="00C454A1" w14:paraId="4BD796AE" w14:textId="77777777" w:rsidTr="00DA1990">
        <w:tc>
          <w:tcPr>
            <w:tcW w:w="960" w:type="pct"/>
          </w:tcPr>
          <w:p w14:paraId="6D0FE779" w14:textId="4735EC36" w:rsidR="00504D39" w:rsidRPr="00C454A1" w:rsidRDefault="00504D39"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RUPTA</w:t>
            </w:r>
          </w:p>
        </w:tc>
        <w:tc>
          <w:tcPr>
            <w:tcW w:w="4040" w:type="pct"/>
          </w:tcPr>
          <w:p w14:paraId="1630090B" w14:textId="33E09ECC" w:rsidR="00504D39" w:rsidRPr="00C454A1" w:rsidRDefault="00504D39"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Registro Único de Tierras y Territorios Abandonados</w:t>
            </w:r>
          </w:p>
        </w:tc>
      </w:tr>
      <w:tr w:rsidR="00C454A1" w:rsidRPr="00C454A1" w14:paraId="29C33C58" w14:textId="77777777" w:rsidTr="00DA1990">
        <w:tc>
          <w:tcPr>
            <w:tcW w:w="960" w:type="pct"/>
          </w:tcPr>
          <w:p w14:paraId="7FB6E576" w14:textId="5269302E" w:rsidR="005E3243" w:rsidRPr="00C454A1" w:rsidRDefault="005E3243"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UAEAC</w:t>
            </w:r>
          </w:p>
        </w:tc>
        <w:tc>
          <w:tcPr>
            <w:tcW w:w="4040" w:type="pct"/>
          </w:tcPr>
          <w:p w14:paraId="268DD222" w14:textId="15F2C46C" w:rsidR="005E3243" w:rsidRPr="00C454A1" w:rsidRDefault="005E3243" w:rsidP="001F3006">
            <w:pPr>
              <w:rPr>
                <w:rFonts w:cs="Times New Roman"/>
                <w:color w:val="000000" w:themeColor="text1"/>
                <w:sz w:val="22"/>
                <w:szCs w:val="22"/>
                <w:lang w:eastAsia="es-ES"/>
              </w:rPr>
            </w:pPr>
            <w:r w:rsidRPr="00C454A1">
              <w:rPr>
                <w:rFonts w:cs="Times New Roman"/>
                <w:color w:val="000000" w:themeColor="text1"/>
                <w:sz w:val="22"/>
                <w:szCs w:val="22"/>
                <w:lang w:eastAsia="es-ES"/>
              </w:rPr>
              <w:t>Unidad Administrativa Especial de la Aeronáutica Civil</w:t>
            </w:r>
          </w:p>
        </w:tc>
      </w:tr>
      <w:tr w:rsidR="00C454A1" w:rsidRPr="00C454A1" w14:paraId="1102BCE9" w14:textId="77777777" w:rsidTr="00DA1990">
        <w:tc>
          <w:tcPr>
            <w:tcW w:w="960" w:type="pct"/>
          </w:tcPr>
          <w:p w14:paraId="205DA730" w14:textId="77777777" w:rsidR="002F68CD" w:rsidRPr="00C454A1" w:rsidRDefault="002F68CD"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UARIV</w:t>
            </w:r>
          </w:p>
        </w:tc>
        <w:tc>
          <w:tcPr>
            <w:tcW w:w="4040" w:type="pct"/>
          </w:tcPr>
          <w:p w14:paraId="43E3B0CF" w14:textId="77777777" w:rsidR="002F68CD" w:rsidRPr="00C454A1" w:rsidRDefault="002F68CD" w:rsidP="001F3006">
            <w:pPr>
              <w:rPr>
                <w:rFonts w:eastAsia="Times New Roman" w:cs="Times New Roman"/>
                <w:color w:val="000000" w:themeColor="text1"/>
                <w:sz w:val="22"/>
                <w:szCs w:val="22"/>
                <w:lang w:eastAsia="es-MX"/>
              </w:rPr>
            </w:pPr>
            <w:r w:rsidRPr="00C454A1">
              <w:rPr>
                <w:rFonts w:cs="Times New Roman"/>
                <w:color w:val="000000" w:themeColor="text1"/>
                <w:sz w:val="22"/>
                <w:szCs w:val="22"/>
                <w:lang w:eastAsia="es-ES"/>
              </w:rPr>
              <w:t>Unidad para la Atención y Reparación Integral a las Víctimas</w:t>
            </w:r>
          </w:p>
        </w:tc>
      </w:tr>
      <w:tr w:rsidR="00C454A1" w:rsidRPr="00C454A1" w14:paraId="47F89379" w14:textId="77777777" w:rsidTr="00DA1990">
        <w:tc>
          <w:tcPr>
            <w:tcW w:w="960" w:type="pct"/>
          </w:tcPr>
          <w:p w14:paraId="697B06C0" w14:textId="6D0668B8" w:rsidR="00073B5E" w:rsidRPr="00C454A1" w:rsidRDefault="00073B5E"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UNGRD</w:t>
            </w:r>
          </w:p>
        </w:tc>
        <w:tc>
          <w:tcPr>
            <w:tcW w:w="4040" w:type="pct"/>
          </w:tcPr>
          <w:p w14:paraId="2FBEDB87" w14:textId="4965D9EF" w:rsidR="00073B5E" w:rsidRPr="00C454A1" w:rsidRDefault="00073B5E" w:rsidP="001F3006">
            <w:pPr>
              <w:rPr>
                <w:rFonts w:eastAsia="Times New Roman" w:cs="Times New Roman"/>
                <w:color w:val="000000" w:themeColor="text1"/>
                <w:sz w:val="22"/>
                <w:szCs w:val="22"/>
                <w:lang w:eastAsia="es-MX"/>
              </w:rPr>
            </w:pPr>
            <w:r w:rsidRPr="00C454A1">
              <w:rPr>
                <w:rFonts w:eastAsia="Times New Roman" w:cs="Times New Roman"/>
                <w:color w:val="000000" w:themeColor="text1"/>
                <w:sz w:val="22"/>
                <w:szCs w:val="22"/>
                <w:lang w:eastAsia="es-MX"/>
              </w:rPr>
              <w:t>Unidad Nacional para la Gestión de Riesgo de Desastre</w:t>
            </w:r>
          </w:p>
        </w:tc>
      </w:tr>
      <w:tr w:rsidR="00C454A1" w:rsidRPr="00C454A1" w14:paraId="5C1545B9" w14:textId="77777777" w:rsidTr="00DA1990">
        <w:tc>
          <w:tcPr>
            <w:tcW w:w="960" w:type="pct"/>
          </w:tcPr>
          <w:p w14:paraId="3115E39A" w14:textId="77777777" w:rsidR="002F68CD" w:rsidRPr="00C454A1" w:rsidRDefault="002F68CD" w:rsidP="001F3006">
            <w:pPr>
              <w:rPr>
                <w:rFonts w:cs="Times New Roman"/>
                <w:color w:val="000000" w:themeColor="text1"/>
                <w:sz w:val="22"/>
                <w:szCs w:val="22"/>
              </w:rPr>
            </w:pPr>
            <w:r w:rsidRPr="00C454A1">
              <w:rPr>
                <w:rFonts w:eastAsia="Times New Roman" w:cs="Times New Roman"/>
                <w:color w:val="000000" w:themeColor="text1"/>
                <w:sz w:val="22"/>
                <w:szCs w:val="22"/>
                <w:lang w:eastAsia="es-MX"/>
              </w:rPr>
              <w:t>UNODC</w:t>
            </w:r>
          </w:p>
        </w:tc>
        <w:tc>
          <w:tcPr>
            <w:tcW w:w="4040" w:type="pct"/>
          </w:tcPr>
          <w:p w14:paraId="2FC96430" w14:textId="77777777" w:rsidR="002F68CD" w:rsidRPr="00C454A1" w:rsidRDefault="002F68CD" w:rsidP="001F3006">
            <w:pPr>
              <w:rPr>
                <w:rFonts w:cs="Times New Roman"/>
                <w:color w:val="000000" w:themeColor="text1"/>
                <w:sz w:val="22"/>
                <w:szCs w:val="22"/>
              </w:rPr>
            </w:pPr>
            <w:r w:rsidRPr="00C454A1">
              <w:rPr>
                <w:rFonts w:eastAsia="Times New Roman" w:cs="Times New Roman"/>
                <w:color w:val="000000" w:themeColor="text1"/>
                <w:sz w:val="22"/>
                <w:szCs w:val="22"/>
                <w:lang w:eastAsia="es-MX"/>
              </w:rPr>
              <w:t>Oficina de las Naciones Unidas contra la Droga y el Delito</w:t>
            </w:r>
          </w:p>
        </w:tc>
      </w:tr>
      <w:tr w:rsidR="00C454A1" w:rsidRPr="00C454A1" w14:paraId="4BE5BAD8" w14:textId="77777777" w:rsidTr="00DA1990">
        <w:tc>
          <w:tcPr>
            <w:tcW w:w="960" w:type="pct"/>
          </w:tcPr>
          <w:p w14:paraId="3720C491"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UNP</w:t>
            </w:r>
          </w:p>
        </w:tc>
        <w:tc>
          <w:tcPr>
            <w:tcW w:w="4040" w:type="pct"/>
          </w:tcPr>
          <w:p w14:paraId="7F21B9E6" w14:textId="77777777" w:rsidR="002F68CD" w:rsidRPr="00C454A1" w:rsidRDefault="002F68CD" w:rsidP="001F3006">
            <w:pPr>
              <w:rPr>
                <w:rFonts w:cs="Times New Roman"/>
                <w:color w:val="000000" w:themeColor="text1"/>
                <w:sz w:val="22"/>
                <w:szCs w:val="22"/>
              </w:rPr>
            </w:pPr>
            <w:r w:rsidRPr="00C454A1">
              <w:rPr>
                <w:rFonts w:cs="Times New Roman"/>
                <w:color w:val="000000" w:themeColor="text1"/>
                <w:sz w:val="22"/>
                <w:szCs w:val="22"/>
              </w:rPr>
              <w:t>Unidad Nacional de Protección</w:t>
            </w:r>
          </w:p>
        </w:tc>
      </w:tr>
      <w:tr w:rsidR="00C454A1" w:rsidRPr="00C454A1" w14:paraId="4CFD49B8" w14:textId="77777777" w:rsidTr="00DA1990">
        <w:tc>
          <w:tcPr>
            <w:tcW w:w="960" w:type="pct"/>
          </w:tcPr>
          <w:p w14:paraId="7363A0AF" w14:textId="537EAE82" w:rsidR="007423BB" w:rsidRPr="00C454A1" w:rsidRDefault="007423BB" w:rsidP="001F3006">
            <w:pPr>
              <w:rPr>
                <w:rFonts w:cs="Times New Roman"/>
                <w:color w:val="000000" w:themeColor="text1"/>
                <w:sz w:val="22"/>
                <w:szCs w:val="22"/>
              </w:rPr>
            </w:pPr>
            <w:r w:rsidRPr="00C454A1">
              <w:rPr>
                <w:rFonts w:cs="Times New Roman"/>
                <w:color w:val="000000" w:themeColor="text1"/>
                <w:sz w:val="22"/>
                <w:szCs w:val="22"/>
              </w:rPr>
              <w:t>ZNVD</w:t>
            </w:r>
          </w:p>
        </w:tc>
        <w:tc>
          <w:tcPr>
            <w:tcW w:w="4040" w:type="pct"/>
          </w:tcPr>
          <w:p w14:paraId="50183D87" w14:textId="3F69F8D2" w:rsidR="007423BB" w:rsidRPr="00C454A1" w:rsidRDefault="007423BB" w:rsidP="001F3006">
            <w:pPr>
              <w:rPr>
                <w:rFonts w:cs="Times New Roman"/>
                <w:color w:val="000000" w:themeColor="text1"/>
                <w:sz w:val="22"/>
                <w:szCs w:val="22"/>
              </w:rPr>
            </w:pPr>
            <w:r w:rsidRPr="00C454A1">
              <w:rPr>
                <w:rFonts w:cs="Times New Roman"/>
                <w:color w:val="000000" w:themeColor="text1"/>
                <w:sz w:val="22"/>
                <w:szCs w:val="22"/>
              </w:rPr>
              <w:t>Zona de No Vuelo para Drones</w:t>
            </w:r>
          </w:p>
        </w:tc>
      </w:tr>
      <w:tr w:rsidR="0037698D" w:rsidRPr="00C454A1" w14:paraId="151A75B1" w14:textId="77777777" w:rsidTr="00DA1990">
        <w:tc>
          <w:tcPr>
            <w:tcW w:w="960" w:type="pct"/>
          </w:tcPr>
          <w:p w14:paraId="64BB00B6" w14:textId="771CD16D" w:rsidR="0037698D" w:rsidRPr="00C454A1" w:rsidRDefault="0037698D" w:rsidP="001F3006">
            <w:pPr>
              <w:rPr>
                <w:rFonts w:cs="Times New Roman"/>
                <w:color w:val="000000" w:themeColor="text1"/>
                <w:sz w:val="22"/>
                <w:szCs w:val="22"/>
              </w:rPr>
            </w:pPr>
            <w:r w:rsidRPr="00C454A1">
              <w:rPr>
                <w:rFonts w:cs="Times New Roman"/>
                <w:color w:val="000000" w:themeColor="text1"/>
                <w:sz w:val="22"/>
                <w:szCs w:val="22"/>
              </w:rPr>
              <w:t>ZOMAC</w:t>
            </w:r>
          </w:p>
        </w:tc>
        <w:tc>
          <w:tcPr>
            <w:tcW w:w="4040" w:type="pct"/>
          </w:tcPr>
          <w:p w14:paraId="75172CB1" w14:textId="3820718A" w:rsidR="0037698D" w:rsidRPr="00C454A1" w:rsidRDefault="0037698D" w:rsidP="001F3006">
            <w:pPr>
              <w:rPr>
                <w:rFonts w:cs="Times New Roman"/>
                <w:color w:val="000000" w:themeColor="text1"/>
                <w:sz w:val="22"/>
                <w:szCs w:val="22"/>
              </w:rPr>
            </w:pPr>
            <w:r w:rsidRPr="00C454A1">
              <w:rPr>
                <w:rFonts w:cs="Times New Roman"/>
                <w:color w:val="000000" w:themeColor="text1"/>
                <w:sz w:val="22"/>
                <w:szCs w:val="22"/>
              </w:rPr>
              <w:t>Zonas más Afectadas por el Conflicto</w:t>
            </w:r>
          </w:p>
        </w:tc>
      </w:tr>
    </w:tbl>
    <w:p w14:paraId="37F2C56B" w14:textId="68A6C930" w:rsidR="00A76B70" w:rsidRPr="00C454A1" w:rsidRDefault="00A76B70" w:rsidP="00943D5A">
      <w:pPr>
        <w:rPr>
          <w:color w:val="000000" w:themeColor="text1"/>
        </w:rPr>
      </w:pPr>
    </w:p>
    <w:p w14:paraId="29E3A4C3" w14:textId="0B911157" w:rsidR="00015EE9" w:rsidRPr="00C454A1" w:rsidRDefault="00190326" w:rsidP="00E64EAC">
      <w:pPr>
        <w:rPr>
          <w:rFonts w:cs="Times New Roman"/>
          <w:b/>
          <w:bCs/>
          <w:color w:val="000000" w:themeColor="text1"/>
          <w:szCs w:val="28"/>
        </w:rPr>
      </w:pPr>
      <w:r w:rsidRPr="00C454A1">
        <w:rPr>
          <w:rFonts w:cs="Times New Roman"/>
          <w:b/>
          <w:bCs/>
          <w:color w:val="000000" w:themeColor="text1"/>
          <w:szCs w:val="28"/>
        </w:rPr>
        <w:t>Síntesis de la decisió</w:t>
      </w:r>
      <w:r w:rsidR="00015EE9" w:rsidRPr="00C454A1">
        <w:rPr>
          <w:rFonts w:cs="Times New Roman"/>
          <w:b/>
          <w:bCs/>
          <w:color w:val="000000" w:themeColor="text1"/>
          <w:szCs w:val="28"/>
        </w:rPr>
        <w:t>n</w:t>
      </w:r>
    </w:p>
    <w:p w14:paraId="3F30610C" w14:textId="77777777" w:rsidR="00015EE9" w:rsidRPr="00C454A1" w:rsidRDefault="00015EE9" w:rsidP="00E64EAC">
      <w:pPr>
        <w:rPr>
          <w:rFonts w:cs="Times New Roman"/>
          <w:b/>
          <w:bCs/>
          <w:color w:val="000000" w:themeColor="text1"/>
          <w:szCs w:val="28"/>
        </w:rPr>
      </w:pPr>
    </w:p>
    <w:p w14:paraId="5CFED81C" w14:textId="3C666717" w:rsidR="002E64AF" w:rsidRPr="00C454A1" w:rsidRDefault="002E64AF" w:rsidP="002E64AF">
      <w:pPr>
        <w:pStyle w:val="Prrafodelista"/>
        <w:ind w:left="0"/>
        <w:rPr>
          <w:color w:val="000000" w:themeColor="text1"/>
          <w:lang w:eastAsia="es-ES"/>
        </w:rPr>
      </w:pPr>
      <w:r w:rsidRPr="00C454A1">
        <w:rPr>
          <w:color w:val="000000" w:themeColor="text1"/>
          <w:lang w:eastAsia="es-ES"/>
        </w:rPr>
        <w:t xml:space="preserve">La Corte Constitucional declaró la exequibilidad parcial del Decreto Legislativo 62 de 2025, que declaró el estado de conmoción interior en la región del Catatumbo, el área metropolitana de Cúcuta y los municipios de Río del Oro y González, en el departamento del Cesar. La Corte consideró que la declaración del estado de conmoción interior era acorde con la Constitución, pero solamente </w:t>
      </w:r>
      <w:r w:rsidR="00FB6137" w:rsidRPr="00C454A1">
        <w:rPr>
          <w:color w:val="000000" w:themeColor="text1"/>
          <w:lang w:eastAsia="es-ES"/>
        </w:rPr>
        <w:t xml:space="preserve">en aquéllas problemáticas que no son estructurales, esto es, </w:t>
      </w:r>
      <w:r w:rsidRPr="00C454A1">
        <w:rPr>
          <w:color w:val="000000" w:themeColor="text1"/>
          <w:lang w:eastAsia="es-ES"/>
        </w:rPr>
        <w:t xml:space="preserve"> lo relativo a</w:t>
      </w:r>
      <w:r w:rsidR="00EE77DF" w:rsidRPr="00C454A1">
        <w:rPr>
          <w:color w:val="000000" w:themeColor="text1"/>
          <w:lang w:eastAsia="es-ES"/>
        </w:rPr>
        <w:t>:</w:t>
      </w:r>
      <w:r w:rsidRPr="00C454A1">
        <w:rPr>
          <w:color w:val="000000" w:themeColor="text1"/>
          <w:lang w:eastAsia="es-ES"/>
        </w:rPr>
        <w:t xml:space="preserve"> </w:t>
      </w:r>
      <w:r w:rsidR="001F4600" w:rsidRPr="00C454A1">
        <w:rPr>
          <w:color w:val="000000" w:themeColor="text1"/>
          <w:lang w:eastAsia="es-ES"/>
        </w:rPr>
        <w:t xml:space="preserve">(i) </w:t>
      </w:r>
      <w:r w:rsidRPr="00C454A1">
        <w:rPr>
          <w:color w:val="000000" w:themeColor="text1"/>
          <w:lang w:eastAsia="es-ES"/>
        </w:rPr>
        <w:t>los hechos y</w:t>
      </w:r>
      <w:r w:rsidR="00186AD5" w:rsidRPr="00C454A1">
        <w:rPr>
          <w:color w:val="000000" w:themeColor="text1"/>
          <w:lang w:eastAsia="es-ES"/>
        </w:rPr>
        <w:t xml:space="preserve"> las</w:t>
      </w:r>
      <w:r w:rsidRPr="00C454A1">
        <w:rPr>
          <w:color w:val="000000" w:themeColor="text1"/>
          <w:lang w:eastAsia="es-ES"/>
        </w:rPr>
        <w:t xml:space="preserve"> medidas relacionadas con la intensificación de los enfrentamientos entre el </w:t>
      </w:r>
      <w:r w:rsidR="00C75918" w:rsidRPr="00C454A1">
        <w:rPr>
          <w:color w:val="000000" w:themeColor="text1"/>
          <w:lang w:eastAsia="es-ES"/>
        </w:rPr>
        <w:t>Ejército de Liberación Nacional (</w:t>
      </w:r>
      <w:r w:rsidRPr="00C454A1">
        <w:rPr>
          <w:color w:val="000000" w:themeColor="text1"/>
          <w:lang w:eastAsia="es-ES"/>
        </w:rPr>
        <w:t>ELN</w:t>
      </w:r>
      <w:r w:rsidR="00C75918" w:rsidRPr="00C454A1">
        <w:rPr>
          <w:color w:val="000000" w:themeColor="text1"/>
          <w:lang w:eastAsia="es-ES"/>
        </w:rPr>
        <w:t>)</w:t>
      </w:r>
      <w:r w:rsidRPr="00C454A1">
        <w:rPr>
          <w:color w:val="000000" w:themeColor="text1"/>
          <w:lang w:eastAsia="es-ES"/>
        </w:rPr>
        <w:t xml:space="preserve"> y otros grupos armados organizados</w:t>
      </w:r>
      <w:r w:rsidR="00186AD5" w:rsidRPr="00C454A1">
        <w:rPr>
          <w:color w:val="000000" w:themeColor="text1"/>
          <w:lang w:eastAsia="es-ES"/>
        </w:rPr>
        <w:t xml:space="preserve"> (GAO)</w:t>
      </w:r>
      <w:r w:rsidR="00EE77DF" w:rsidRPr="00C454A1">
        <w:rPr>
          <w:color w:val="000000" w:themeColor="text1"/>
          <w:lang w:eastAsia="es-ES"/>
        </w:rPr>
        <w:t xml:space="preserve">; (ii) </w:t>
      </w:r>
      <w:r w:rsidRPr="00C454A1">
        <w:rPr>
          <w:color w:val="000000" w:themeColor="text1"/>
          <w:lang w:eastAsia="es-ES"/>
        </w:rPr>
        <w:t>los ataques y hostilidades dirigidos de forma indiscriminada contra la población civil</w:t>
      </w:r>
      <w:r w:rsidR="001F4600" w:rsidRPr="00C454A1">
        <w:rPr>
          <w:color w:val="000000" w:themeColor="text1"/>
          <w:lang w:eastAsia="es-ES"/>
        </w:rPr>
        <w:t xml:space="preserve"> -incluida la población </w:t>
      </w:r>
      <w:r w:rsidRPr="00C454A1">
        <w:rPr>
          <w:color w:val="000000" w:themeColor="text1"/>
          <w:lang w:eastAsia="es-ES"/>
        </w:rPr>
        <w:t>firmante del Acuerdo Final de Paz</w:t>
      </w:r>
      <w:r w:rsidR="00FA6CE1" w:rsidRPr="00C454A1">
        <w:rPr>
          <w:color w:val="000000" w:themeColor="text1"/>
          <w:lang w:eastAsia="es-ES"/>
        </w:rPr>
        <w:t xml:space="preserve"> (AFP)</w:t>
      </w:r>
      <w:r w:rsidRPr="00C454A1">
        <w:rPr>
          <w:color w:val="000000" w:themeColor="text1"/>
          <w:lang w:eastAsia="es-ES"/>
        </w:rPr>
        <w:t xml:space="preserve"> con las extintas </w:t>
      </w:r>
      <w:r w:rsidR="007A2D5F" w:rsidRPr="00C454A1">
        <w:rPr>
          <w:color w:val="000000" w:themeColor="text1"/>
          <w:lang w:eastAsia="es-ES"/>
        </w:rPr>
        <w:t>Fuerzas Armadas Revolucionarias de Colombia -Ejercito del Pueblo (</w:t>
      </w:r>
      <w:r w:rsidRPr="00C454A1">
        <w:rPr>
          <w:color w:val="000000" w:themeColor="text1"/>
          <w:lang w:eastAsia="es-ES"/>
        </w:rPr>
        <w:t>FARC-EP</w:t>
      </w:r>
      <w:r w:rsidR="007A2D5F" w:rsidRPr="00C454A1">
        <w:rPr>
          <w:color w:val="000000" w:themeColor="text1"/>
          <w:lang w:eastAsia="es-ES"/>
        </w:rPr>
        <w:t>)</w:t>
      </w:r>
      <w:r w:rsidR="00EE77DF" w:rsidRPr="00C454A1">
        <w:rPr>
          <w:color w:val="000000" w:themeColor="text1"/>
          <w:lang w:eastAsia="es-ES"/>
        </w:rPr>
        <w:t>; y</w:t>
      </w:r>
      <w:r w:rsidRPr="00C454A1">
        <w:rPr>
          <w:color w:val="000000" w:themeColor="text1"/>
          <w:lang w:eastAsia="es-ES"/>
        </w:rPr>
        <w:t xml:space="preserve"> </w:t>
      </w:r>
      <w:r w:rsidR="001F4600" w:rsidRPr="00C454A1">
        <w:rPr>
          <w:color w:val="000000" w:themeColor="text1"/>
          <w:lang w:eastAsia="es-ES"/>
        </w:rPr>
        <w:t>(ii</w:t>
      </w:r>
      <w:r w:rsidR="00EE77DF" w:rsidRPr="00C454A1">
        <w:rPr>
          <w:color w:val="000000" w:themeColor="text1"/>
          <w:lang w:eastAsia="es-ES"/>
        </w:rPr>
        <w:t>i</w:t>
      </w:r>
      <w:r w:rsidR="001F4600" w:rsidRPr="00C454A1">
        <w:rPr>
          <w:color w:val="000000" w:themeColor="text1"/>
          <w:lang w:eastAsia="es-ES"/>
        </w:rPr>
        <w:t>)</w:t>
      </w:r>
      <w:r w:rsidRPr="00C454A1">
        <w:rPr>
          <w:color w:val="000000" w:themeColor="text1"/>
          <w:lang w:eastAsia="es-ES"/>
        </w:rPr>
        <w:t xml:space="preserve"> la crisis humanitaria derivada de</w:t>
      </w:r>
      <w:r w:rsidR="00FB6137" w:rsidRPr="00C454A1">
        <w:rPr>
          <w:color w:val="000000" w:themeColor="text1"/>
          <w:lang w:eastAsia="es-ES"/>
        </w:rPr>
        <w:t>l aumento inusitado de</w:t>
      </w:r>
      <w:r w:rsidRPr="00C454A1">
        <w:rPr>
          <w:color w:val="000000" w:themeColor="text1"/>
          <w:lang w:eastAsia="es-ES"/>
        </w:rPr>
        <w:t xml:space="preserve"> desplazamientos forzados y confinamientos masivos que ha desbordado la capacidad del Estado para atenderla. </w:t>
      </w:r>
    </w:p>
    <w:p w14:paraId="30F17844" w14:textId="77777777" w:rsidR="00186AD5" w:rsidRPr="00C454A1" w:rsidRDefault="00186AD5" w:rsidP="002E64AF">
      <w:pPr>
        <w:pStyle w:val="Prrafodelista"/>
        <w:ind w:left="0"/>
        <w:rPr>
          <w:color w:val="000000" w:themeColor="text1"/>
          <w:lang w:eastAsia="es-ES"/>
        </w:rPr>
      </w:pPr>
    </w:p>
    <w:p w14:paraId="30424D5F" w14:textId="64A7575C" w:rsidR="009B19DA" w:rsidRPr="00C454A1" w:rsidRDefault="001F4600" w:rsidP="00AE463A">
      <w:pPr>
        <w:rPr>
          <w:color w:val="000000" w:themeColor="text1"/>
          <w:lang w:eastAsia="es-ES"/>
        </w:rPr>
      </w:pPr>
      <w:r w:rsidRPr="00C454A1">
        <w:rPr>
          <w:color w:val="000000" w:themeColor="text1"/>
          <w:lang w:eastAsia="es-ES"/>
        </w:rPr>
        <w:t xml:space="preserve">Frente a este </w:t>
      </w:r>
      <w:r w:rsidR="00CA599D" w:rsidRPr="00C454A1">
        <w:rPr>
          <w:color w:val="000000" w:themeColor="text1"/>
          <w:lang w:eastAsia="es-ES"/>
        </w:rPr>
        <w:t>conjunto</w:t>
      </w:r>
      <w:r w:rsidRPr="00C454A1">
        <w:rPr>
          <w:color w:val="000000" w:themeColor="text1"/>
          <w:lang w:eastAsia="es-ES"/>
        </w:rPr>
        <w:t xml:space="preserve"> de hechos, la</w:t>
      </w:r>
      <w:r w:rsidR="00186AD5" w:rsidRPr="00C454A1">
        <w:rPr>
          <w:color w:val="000000" w:themeColor="text1"/>
          <w:lang w:eastAsia="es-ES"/>
        </w:rPr>
        <w:t xml:space="preserve"> Corte consideró que</w:t>
      </w:r>
      <w:r w:rsidR="00746829" w:rsidRPr="00C454A1">
        <w:rPr>
          <w:color w:val="000000" w:themeColor="text1"/>
          <w:lang w:eastAsia="es-ES"/>
        </w:rPr>
        <w:t>, además de encontrarse debidamente acreditados —por lo que supera</w:t>
      </w:r>
      <w:r w:rsidR="00F756EF" w:rsidRPr="00C454A1">
        <w:rPr>
          <w:color w:val="000000" w:themeColor="text1"/>
          <w:lang w:eastAsia="es-ES"/>
        </w:rPr>
        <w:t>ba</w:t>
      </w:r>
      <w:r w:rsidR="00746829" w:rsidRPr="00C454A1">
        <w:rPr>
          <w:color w:val="000000" w:themeColor="text1"/>
          <w:lang w:eastAsia="es-ES"/>
        </w:rPr>
        <w:t xml:space="preserve">n el juicio del presupuesto fáctico—, fueron correctamente calificados por el Gobierno nacional como graves y extraordinarios, </w:t>
      </w:r>
      <w:r w:rsidR="005A2FC1" w:rsidRPr="00C454A1">
        <w:rPr>
          <w:color w:val="000000" w:themeColor="text1"/>
          <w:lang w:eastAsia="es-ES"/>
        </w:rPr>
        <w:t>así</w:t>
      </w:r>
      <w:r w:rsidR="00746829" w:rsidRPr="00C454A1">
        <w:rPr>
          <w:color w:val="000000" w:themeColor="text1"/>
          <w:lang w:eastAsia="es-ES"/>
        </w:rPr>
        <w:t xml:space="preserve"> como situaciones que atentaban de manera inminente contra la estabilidad institucional, la seguridad del Estado y la convivencia ciudadana. </w:t>
      </w:r>
      <w:r w:rsidR="005A2FC1" w:rsidRPr="00C454A1">
        <w:rPr>
          <w:color w:val="000000" w:themeColor="text1"/>
          <w:lang w:eastAsia="es-ES"/>
        </w:rPr>
        <w:t>Si bien</w:t>
      </w:r>
      <w:r w:rsidR="00F713F9" w:rsidRPr="00C454A1">
        <w:rPr>
          <w:color w:val="000000" w:themeColor="text1"/>
          <w:lang w:eastAsia="es-ES"/>
        </w:rPr>
        <w:t xml:space="preserve"> la violencia, los ataques contra la población civil por parte del ELN y los GAO, y la crisis humanitaria derivada de desplazamientos forzados y confinameintos, entre otros hechos victimizantes, no son fenómenos nuevos en la región del Catatumbo, la Corte advirtió que estas problemáticas se agravaron de forma </w:t>
      </w:r>
      <w:r w:rsidR="005A2FC1" w:rsidRPr="00C454A1">
        <w:rPr>
          <w:color w:val="000000" w:themeColor="text1"/>
          <w:lang w:eastAsia="es-ES"/>
        </w:rPr>
        <w:t xml:space="preserve">rápida e </w:t>
      </w:r>
      <w:r w:rsidR="00F713F9" w:rsidRPr="00C454A1">
        <w:rPr>
          <w:color w:val="000000" w:themeColor="text1"/>
          <w:lang w:eastAsia="es-ES"/>
        </w:rPr>
        <w:t xml:space="preserve">inusitada </w:t>
      </w:r>
      <w:r w:rsidR="00CA599D" w:rsidRPr="00C454A1">
        <w:rPr>
          <w:color w:val="000000" w:themeColor="text1"/>
          <w:lang w:eastAsia="es-ES"/>
        </w:rPr>
        <w:t>durante</w:t>
      </w:r>
      <w:r w:rsidR="00F713F9" w:rsidRPr="00C454A1">
        <w:rPr>
          <w:color w:val="000000" w:themeColor="text1"/>
          <w:lang w:eastAsia="es-ES"/>
        </w:rPr>
        <w:t xml:space="preserve"> los primeros tres meses de 2025, de </w:t>
      </w:r>
      <w:r w:rsidR="00CA599D" w:rsidRPr="00C454A1">
        <w:rPr>
          <w:color w:val="000000" w:themeColor="text1"/>
          <w:lang w:eastAsia="es-ES"/>
        </w:rPr>
        <w:t xml:space="preserve">tal </w:t>
      </w:r>
      <w:r w:rsidR="00F713F9" w:rsidRPr="00C454A1">
        <w:rPr>
          <w:color w:val="000000" w:themeColor="text1"/>
          <w:lang w:eastAsia="es-ES"/>
        </w:rPr>
        <w:t xml:space="preserve">manera que su carácter histórico no </w:t>
      </w:r>
      <w:r w:rsidR="005A2FC1" w:rsidRPr="00C454A1">
        <w:rPr>
          <w:color w:val="000000" w:themeColor="text1"/>
          <w:lang w:eastAsia="es-ES"/>
        </w:rPr>
        <w:t>desvirtuó</w:t>
      </w:r>
      <w:r w:rsidR="00F713F9" w:rsidRPr="00C454A1">
        <w:rPr>
          <w:color w:val="000000" w:themeColor="text1"/>
          <w:lang w:eastAsia="es-ES"/>
        </w:rPr>
        <w:t xml:space="preserve"> </w:t>
      </w:r>
      <w:r w:rsidR="00CA599D" w:rsidRPr="00C454A1">
        <w:rPr>
          <w:color w:val="000000" w:themeColor="text1"/>
          <w:lang w:eastAsia="es-ES"/>
        </w:rPr>
        <w:t>su condición</w:t>
      </w:r>
      <w:r w:rsidR="00F713F9" w:rsidRPr="00C454A1">
        <w:rPr>
          <w:color w:val="000000" w:themeColor="text1"/>
          <w:lang w:eastAsia="es-ES"/>
        </w:rPr>
        <w:t xml:space="preserve"> extraordinari</w:t>
      </w:r>
      <w:r w:rsidR="00CA599D" w:rsidRPr="00C454A1">
        <w:rPr>
          <w:color w:val="000000" w:themeColor="text1"/>
          <w:lang w:eastAsia="es-ES"/>
        </w:rPr>
        <w:t>a</w:t>
      </w:r>
      <w:r w:rsidR="00F713F9" w:rsidRPr="00C454A1">
        <w:rPr>
          <w:color w:val="000000" w:themeColor="text1"/>
          <w:lang w:eastAsia="es-ES"/>
        </w:rPr>
        <w:t xml:space="preserve">. </w:t>
      </w:r>
      <w:r w:rsidR="00746829" w:rsidRPr="00C454A1">
        <w:rPr>
          <w:color w:val="000000" w:themeColor="text1"/>
          <w:lang w:eastAsia="es-ES"/>
        </w:rPr>
        <w:t xml:space="preserve">En consecuencia, para la Corte, </w:t>
      </w:r>
      <w:r w:rsidR="00F713F9" w:rsidRPr="00C454A1">
        <w:rPr>
          <w:color w:val="000000" w:themeColor="text1"/>
          <w:lang w:eastAsia="es-ES"/>
        </w:rPr>
        <w:t xml:space="preserve">tales hechos también </w:t>
      </w:r>
      <w:r w:rsidR="00746829" w:rsidRPr="00C454A1">
        <w:rPr>
          <w:color w:val="000000" w:themeColor="text1"/>
          <w:lang w:eastAsia="es-ES"/>
        </w:rPr>
        <w:t>s</w:t>
      </w:r>
      <w:r w:rsidR="00F756EF" w:rsidRPr="00C454A1">
        <w:rPr>
          <w:color w:val="000000" w:themeColor="text1"/>
          <w:lang w:eastAsia="es-ES"/>
        </w:rPr>
        <w:t>atisfacían</w:t>
      </w:r>
      <w:r w:rsidR="00746829" w:rsidRPr="00C454A1">
        <w:rPr>
          <w:color w:val="000000" w:themeColor="text1"/>
          <w:lang w:eastAsia="es-ES"/>
        </w:rPr>
        <w:t xml:space="preserve"> el examen del presupuesto valorativo. </w:t>
      </w:r>
    </w:p>
    <w:p w14:paraId="261FB8DF" w14:textId="77777777" w:rsidR="009B19DA" w:rsidRPr="00C454A1" w:rsidRDefault="009B19DA" w:rsidP="00AE463A">
      <w:pPr>
        <w:rPr>
          <w:color w:val="000000" w:themeColor="text1"/>
          <w:lang w:eastAsia="es-ES"/>
        </w:rPr>
      </w:pPr>
    </w:p>
    <w:p w14:paraId="72E6BCB4" w14:textId="0FDC24BC" w:rsidR="004971FC" w:rsidRPr="00C454A1" w:rsidRDefault="00186AD5" w:rsidP="009B19DA">
      <w:pPr>
        <w:rPr>
          <w:color w:val="000000" w:themeColor="text1"/>
          <w:lang w:eastAsia="es-ES"/>
        </w:rPr>
      </w:pPr>
      <w:r w:rsidRPr="00C454A1">
        <w:rPr>
          <w:color w:val="000000" w:themeColor="text1"/>
          <w:lang w:eastAsia="es-ES"/>
        </w:rPr>
        <w:t xml:space="preserve">Para llegar a esta conclusión, </w:t>
      </w:r>
      <w:r w:rsidR="00746829" w:rsidRPr="00C454A1">
        <w:rPr>
          <w:color w:val="000000" w:themeColor="text1"/>
          <w:lang w:eastAsia="es-ES"/>
        </w:rPr>
        <w:t xml:space="preserve">la Corte </w:t>
      </w:r>
      <w:r w:rsidR="00B35B06" w:rsidRPr="00C454A1">
        <w:rPr>
          <w:color w:val="000000" w:themeColor="text1"/>
          <w:lang w:eastAsia="es-ES"/>
        </w:rPr>
        <w:t>tuvo en cuenta</w:t>
      </w:r>
      <w:r w:rsidR="00746829" w:rsidRPr="00C454A1">
        <w:rPr>
          <w:color w:val="000000" w:themeColor="text1"/>
          <w:lang w:eastAsia="es-ES"/>
        </w:rPr>
        <w:t>,</w:t>
      </w:r>
      <w:r w:rsidR="00B35B06" w:rsidRPr="00C454A1">
        <w:rPr>
          <w:color w:val="000000" w:themeColor="text1"/>
          <w:lang w:eastAsia="es-ES"/>
        </w:rPr>
        <w:t xml:space="preserve"> </w:t>
      </w:r>
      <w:r w:rsidRPr="00C454A1">
        <w:rPr>
          <w:color w:val="000000" w:themeColor="text1"/>
          <w:lang w:eastAsia="es-ES"/>
        </w:rPr>
        <w:t>entre otros elementos,</w:t>
      </w:r>
      <w:r w:rsidR="00AE463A" w:rsidRPr="00C454A1">
        <w:rPr>
          <w:color w:val="000000" w:themeColor="text1"/>
          <w:lang w:eastAsia="es-ES"/>
        </w:rPr>
        <w:t xml:space="preserve"> los siguientes:</w:t>
      </w:r>
      <w:r w:rsidRPr="00C454A1">
        <w:rPr>
          <w:color w:val="000000" w:themeColor="text1"/>
          <w:lang w:eastAsia="es-ES"/>
        </w:rPr>
        <w:t xml:space="preserve"> (i)</w:t>
      </w:r>
      <w:r w:rsidR="00D744EB" w:rsidRPr="00C454A1">
        <w:rPr>
          <w:color w:val="000000" w:themeColor="text1"/>
          <w:lang w:eastAsia="es-ES"/>
        </w:rPr>
        <w:t xml:space="preserve"> </w:t>
      </w:r>
      <w:r w:rsidR="001A02C8" w:rsidRPr="00C454A1">
        <w:rPr>
          <w:color w:val="000000" w:themeColor="text1"/>
          <w:lang w:eastAsia="es-ES"/>
        </w:rPr>
        <w:t>a</w:t>
      </w:r>
      <w:r w:rsidR="00B45C84" w:rsidRPr="00C454A1">
        <w:rPr>
          <w:color w:val="000000" w:themeColor="text1"/>
          <w:lang w:eastAsia="es-ES"/>
        </w:rPr>
        <w:t>umentos</w:t>
      </w:r>
      <w:r w:rsidR="00D744EB" w:rsidRPr="00C454A1">
        <w:rPr>
          <w:color w:val="000000" w:themeColor="text1"/>
          <w:lang w:eastAsia="es-ES"/>
        </w:rPr>
        <w:t xml:space="preserve"> </w:t>
      </w:r>
      <w:r w:rsidR="00102A4C" w:rsidRPr="00C454A1">
        <w:rPr>
          <w:color w:val="000000" w:themeColor="text1"/>
          <w:lang w:eastAsia="es-ES"/>
        </w:rPr>
        <w:t xml:space="preserve">importantes </w:t>
      </w:r>
      <w:r w:rsidR="00D744EB" w:rsidRPr="00C454A1">
        <w:rPr>
          <w:color w:val="000000" w:themeColor="text1"/>
          <w:lang w:eastAsia="es-ES"/>
        </w:rPr>
        <w:t xml:space="preserve">en las cifras de homicidios, lesiones personales y desapariciones forzadas en los primeros </w:t>
      </w:r>
      <w:r w:rsidR="005A2FC1" w:rsidRPr="00C454A1">
        <w:rPr>
          <w:color w:val="000000" w:themeColor="text1"/>
          <w:lang w:eastAsia="es-ES"/>
        </w:rPr>
        <w:t>22</w:t>
      </w:r>
      <w:r w:rsidR="00102A4C" w:rsidRPr="00C454A1">
        <w:rPr>
          <w:color w:val="000000" w:themeColor="text1"/>
          <w:lang w:eastAsia="es-ES"/>
        </w:rPr>
        <w:t xml:space="preserve"> </w:t>
      </w:r>
      <w:r w:rsidR="00D744EB" w:rsidRPr="00C454A1">
        <w:rPr>
          <w:color w:val="000000" w:themeColor="text1"/>
          <w:lang w:eastAsia="es-ES"/>
        </w:rPr>
        <w:t xml:space="preserve">días del año, incluido el homicidio de al menos seis firmantes del AFP en </w:t>
      </w:r>
      <w:r w:rsidR="005A2FC1" w:rsidRPr="00C454A1">
        <w:rPr>
          <w:color w:val="000000" w:themeColor="text1"/>
          <w:lang w:eastAsia="es-ES"/>
        </w:rPr>
        <w:t xml:space="preserve">un lapso de </w:t>
      </w:r>
      <w:r w:rsidR="00D744EB" w:rsidRPr="00C454A1">
        <w:rPr>
          <w:color w:val="000000" w:themeColor="text1"/>
          <w:lang w:eastAsia="es-ES"/>
        </w:rPr>
        <w:t>tres días. (ii) Un incremento sin precedentes de los desplazamientos forzados en la región. S</w:t>
      </w:r>
      <w:r w:rsidR="00AE463A" w:rsidRPr="00C454A1">
        <w:rPr>
          <w:color w:val="000000" w:themeColor="text1"/>
          <w:lang w:eastAsia="es-ES"/>
        </w:rPr>
        <w:t xml:space="preserve">egún cifras de la Unidad </w:t>
      </w:r>
      <w:r w:rsidR="00AE463A" w:rsidRPr="00C454A1">
        <w:rPr>
          <w:color w:val="000000" w:themeColor="text1"/>
          <w:lang w:eastAsia="es-ES"/>
        </w:rPr>
        <w:lastRenderedPageBreak/>
        <w:t xml:space="preserve">para la Atención y Reparación Integral a las Víctimas (UARIV), durante los primeros 22 días de enero de 2025, se registró un </w:t>
      </w:r>
      <w:r w:rsidR="00D744EB" w:rsidRPr="00C454A1">
        <w:rPr>
          <w:color w:val="000000" w:themeColor="text1"/>
          <w:lang w:eastAsia="es-ES"/>
        </w:rPr>
        <w:t>aumento</w:t>
      </w:r>
      <w:r w:rsidR="00AE463A" w:rsidRPr="00C454A1">
        <w:rPr>
          <w:color w:val="000000" w:themeColor="text1"/>
          <w:lang w:eastAsia="es-ES"/>
        </w:rPr>
        <w:t xml:space="preserve"> del 67% en el número de víctimas de desplazamiento forzado en la región —incluidas 180 personas firmantes del AFP y sus núcleos familiares— en comparación con el total de desplazamientos ocurridos en toda la región a lo largo de 202</w:t>
      </w:r>
      <w:r w:rsidR="005A2FC1" w:rsidRPr="00C454A1">
        <w:rPr>
          <w:color w:val="000000" w:themeColor="text1"/>
          <w:lang w:eastAsia="es-ES"/>
        </w:rPr>
        <w:t>4</w:t>
      </w:r>
      <w:r w:rsidR="00AE463A" w:rsidRPr="00C454A1">
        <w:rPr>
          <w:color w:val="000000" w:themeColor="text1"/>
          <w:lang w:eastAsia="es-ES"/>
        </w:rPr>
        <w:t>, así como un aumento del 142 % frente al promedio anual de desplazamientos forzados del trienio anterior.</w:t>
      </w:r>
      <w:r w:rsidR="00B05D96" w:rsidRPr="00C454A1">
        <w:rPr>
          <w:color w:val="000000" w:themeColor="text1"/>
          <w:lang w:eastAsia="es-ES"/>
        </w:rPr>
        <w:t xml:space="preserve"> Los datos de la UARIV y la Defensoría del Pueblo muestran, además, que los desplazamientos forzados masivos reportados entre enero y marzo de 2025 en la región del Catatumbo fueron 41 veces superiores a los registrados por la UARIV durante todo el año 2023 en esa misma región. Estas magnitudes permiten concluir que se trata del evento de desplazamiento forzado interno de mayor envergadura registrado en la historia reciente del país, el cual, además, se concentró en un período </w:t>
      </w:r>
      <w:r w:rsidR="005A2FC1" w:rsidRPr="00C454A1">
        <w:rPr>
          <w:color w:val="000000" w:themeColor="text1"/>
          <w:lang w:eastAsia="es-ES"/>
        </w:rPr>
        <w:t>excepcionalmente breve</w:t>
      </w:r>
      <w:r w:rsidR="00AE463A" w:rsidRPr="00C454A1">
        <w:rPr>
          <w:color w:val="000000" w:themeColor="text1"/>
          <w:lang w:eastAsia="es-ES"/>
        </w:rPr>
        <w:t xml:space="preserve">. </w:t>
      </w:r>
      <w:r w:rsidRPr="00C454A1">
        <w:rPr>
          <w:color w:val="000000" w:themeColor="text1"/>
          <w:lang w:eastAsia="es-ES"/>
        </w:rPr>
        <w:t>(ii</w:t>
      </w:r>
      <w:r w:rsidR="00D744EB" w:rsidRPr="00C454A1">
        <w:rPr>
          <w:color w:val="000000" w:themeColor="text1"/>
          <w:lang w:eastAsia="es-ES"/>
        </w:rPr>
        <w:t>i</w:t>
      </w:r>
      <w:r w:rsidRPr="00C454A1">
        <w:rPr>
          <w:color w:val="000000" w:themeColor="text1"/>
          <w:lang w:eastAsia="es-ES"/>
        </w:rPr>
        <w:t>)</w:t>
      </w:r>
      <w:r w:rsidR="007B2CA8" w:rsidRPr="00C454A1">
        <w:rPr>
          <w:color w:val="000000" w:themeColor="text1"/>
          <w:lang w:eastAsia="es-ES"/>
        </w:rPr>
        <w:t>.</w:t>
      </w:r>
      <w:r w:rsidR="00D744EB" w:rsidRPr="00C454A1">
        <w:rPr>
          <w:color w:val="000000" w:themeColor="text1"/>
          <w:lang w:eastAsia="es-ES"/>
        </w:rPr>
        <w:t xml:space="preserve"> La existencia de más de 30.000 personas confinadas</w:t>
      </w:r>
      <w:r w:rsidR="00124AC0" w:rsidRPr="00C454A1">
        <w:rPr>
          <w:color w:val="000000" w:themeColor="text1"/>
          <w:lang w:eastAsia="es-ES"/>
        </w:rPr>
        <w:t xml:space="preserve"> en la región a finales de enero de 2025, cifra que supera ampliamente el total nacional de víctimas de este hecho victimizante inscritas en el Registro Único de Víctimas (RUV) durante 2024, y que resulta cercana al total nacional reportado </w:t>
      </w:r>
      <w:r w:rsidR="004969C5" w:rsidRPr="00C454A1">
        <w:rPr>
          <w:color w:val="000000" w:themeColor="text1"/>
          <w:lang w:eastAsia="es-ES"/>
        </w:rPr>
        <w:t xml:space="preserve">en 2023 </w:t>
      </w:r>
      <w:r w:rsidR="00124AC0" w:rsidRPr="00C454A1">
        <w:rPr>
          <w:color w:val="000000" w:themeColor="text1"/>
          <w:lang w:eastAsia="es-ES"/>
        </w:rPr>
        <w:t>según la misma fuente</w:t>
      </w:r>
      <w:r w:rsidR="00D744EB" w:rsidRPr="00C454A1">
        <w:rPr>
          <w:color w:val="000000" w:themeColor="text1"/>
          <w:lang w:eastAsia="es-ES"/>
        </w:rPr>
        <w:t>.</w:t>
      </w:r>
      <w:r w:rsidRPr="00C454A1">
        <w:rPr>
          <w:color w:val="000000" w:themeColor="text1"/>
          <w:lang w:eastAsia="es-ES"/>
        </w:rPr>
        <w:t xml:space="preserve"> (iv) </w:t>
      </w:r>
      <w:r w:rsidR="007B2CA8" w:rsidRPr="00C454A1">
        <w:rPr>
          <w:color w:val="000000" w:themeColor="text1"/>
          <w:lang w:eastAsia="es-ES"/>
        </w:rPr>
        <w:t>Cambios</w:t>
      </w:r>
      <w:r w:rsidRPr="00C454A1">
        <w:rPr>
          <w:color w:val="000000" w:themeColor="text1"/>
          <w:lang w:eastAsia="es-ES"/>
        </w:rPr>
        <w:t xml:space="preserve"> cualitativo</w:t>
      </w:r>
      <w:r w:rsidR="007B2CA8" w:rsidRPr="00C454A1">
        <w:rPr>
          <w:color w:val="000000" w:themeColor="text1"/>
          <w:lang w:eastAsia="es-ES"/>
        </w:rPr>
        <w:t xml:space="preserve">s y </w:t>
      </w:r>
      <w:r w:rsidR="00001913" w:rsidRPr="00C454A1">
        <w:rPr>
          <w:color w:val="000000" w:themeColor="text1"/>
          <w:lang w:eastAsia="es-ES"/>
        </w:rPr>
        <w:t>cuantitativos en la dinámica de los enfrentamientos entre el ELN y otros GAO, no solo en términos de intensificación de la confrontación entre estos grupos delincuenciales, sino también de un aumento exponencial de los ataques directos contra la población civil mediante el uso de nuevas tecnologías</w:t>
      </w:r>
      <w:r w:rsidR="007B2CA8" w:rsidRPr="00C454A1">
        <w:rPr>
          <w:color w:val="000000" w:themeColor="text1"/>
          <w:lang w:eastAsia="es-ES"/>
        </w:rPr>
        <w:t xml:space="preserve"> como drones</w:t>
      </w:r>
      <w:r w:rsidR="00D744EB" w:rsidRPr="00C454A1">
        <w:rPr>
          <w:color w:val="000000" w:themeColor="text1"/>
          <w:lang w:eastAsia="es-ES"/>
        </w:rPr>
        <w:t xml:space="preserve"> y mecanismos de control social</w:t>
      </w:r>
      <w:r w:rsidR="00102A4C" w:rsidRPr="00C454A1">
        <w:rPr>
          <w:color w:val="000000" w:themeColor="text1"/>
          <w:lang w:eastAsia="es-ES"/>
        </w:rPr>
        <w:t xml:space="preserve"> como los confinamientos</w:t>
      </w:r>
      <w:r w:rsidRPr="00C454A1">
        <w:rPr>
          <w:color w:val="000000" w:themeColor="text1"/>
          <w:lang w:eastAsia="es-ES"/>
        </w:rPr>
        <w:t>.</w:t>
      </w:r>
      <w:r w:rsidR="001F4600" w:rsidRPr="00C454A1">
        <w:rPr>
          <w:color w:val="000000" w:themeColor="text1"/>
          <w:lang w:eastAsia="es-ES"/>
        </w:rPr>
        <w:t xml:space="preserve"> </w:t>
      </w:r>
    </w:p>
    <w:p w14:paraId="33E17EEE" w14:textId="77777777" w:rsidR="001F4600" w:rsidRPr="00C454A1" w:rsidRDefault="001F4600" w:rsidP="002E64AF">
      <w:pPr>
        <w:pStyle w:val="Prrafodelista"/>
        <w:ind w:left="0"/>
        <w:rPr>
          <w:color w:val="000000" w:themeColor="text1"/>
          <w:lang w:eastAsia="es-ES"/>
        </w:rPr>
      </w:pPr>
    </w:p>
    <w:p w14:paraId="0B579C10" w14:textId="27A7D493" w:rsidR="00FB6137" w:rsidRPr="00C454A1" w:rsidRDefault="004969C5" w:rsidP="002E64AF">
      <w:pPr>
        <w:pStyle w:val="Prrafodelista"/>
        <w:ind w:left="0"/>
        <w:rPr>
          <w:color w:val="000000" w:themeColor="text1"/>
          <w:lang w:eastAsia="es-ES"/>
        </w:rPr>
      </w:pPr>
      <w:r w:rsidRPr="00C454A1">
        <w:rPr>
          <w:color w:val="000000" w:themeColor="text1"/>
          <w:lang w:eastAsia="es-ES"/>
        </w:rPr>
        <w:t>De todas maneras, y e</w:t>
      </w:r>
      <w:r w:rsidR="00186AD5" w:rsidRPr="00C454A1">
        <w:rPr>
          <w:color w:val="000000" w:themeColor="text1"/>
          <w:lang w:eastAsia="es-ES"/>
        </w:rPr>
        <w:t>n c</w:t>
      </w:r>
      <w:r w:rsidR="00F756EF" w:rsidRPr="00C454A1">
        <w:rPr>
          <w:color w:val="000000" w:themeColor="text1"/>
          <w:lang w:eastAsia="es-ES"/>
        </w:rPr>
        <w:t>ontraste</w:t>
      </w:r>
      <w:r w:rsidRPr="00C454A1">
        <w:rPr>
          <w:color w:val="000000" w:themeColor="text1"/>
          <w:lang w:eastAsia="es-ES"/>
        </w:rPr>
        <w:t xml:space="preserve"> con lo descrito anteriormente</w:t>
      </w:r>
      <w:r w:rsidR="00186AD5" w:rsidRPr="00C454A1">
        <w:rPr>
          <w:color w:val="000000" w:themeColor="text1"/>
          <w:lang w:eastAsia="es-ES"/>
        </w:rPr>
        <w:t xml:space="preserve">, </w:t>
      </w:r>
      <w:r w:rsidR="00FB6137" w:rsidRPr="00C454A1">
        <w:rPr>
          <w:color w:val="000000" w:themeColor="text1"/>
          <w:lang w:eastAsia="es-ES"/>
        </w:rPr>
        <w:t>la Corte</w:t>
      </w:r>
      <w:r w:rsidRPr="00C454A1">
        <w:rPr>
          <w:color w:val="000000" w:themeColor="text1"/>
          <w:lang w:eastAsia="es-ES"/>
        </w:rPr>
        <w:t xml:space="preserve"> concluyó que</w:t>
      </w:r>
      <w:r w:rsidR="00FB6137" w:rsidRPr="00C454A1">
        <w:rPr>
          <w:color w:val="000000" w:themeColor="text1"/>
          <w:lang w:eastAsia="es-ES"/>
        </w:rPr>
        <w:t xml:space="preserve"> </w:t>
      </w:r>
      <w:r w:rsidR="00186AD5" w:rsidRPr="00C454A1">
        <w:rPr>
          <w:color w:val="000000" w:themeColor="text1"/>
          <w:lang w:eastAsia="es-ES"/>
        </w:rPr>
        <w:t xml:space="preserve">los </w:t>
      </w:r>
      <w:r w:rsidR="00F756EF" w:rsidRPr="00C454A1">
        <w:rPr>
          <w:color w:val="000000" w:themeColor="text1"/>
          <w:lang w:eastAsia="es-ES"/>
        </w:rPr>
        <w:t>demás</w:t>
      </w:r>
      <w:r w:rsidR="001F4600" w:rsidRPr="00C454A1">
        <w:rPr>
          <w:color w:val="000000" w:themeColor="text1"/>
          <w:lang w:eastAsia="es-ES"/>
        </w:rPr>
        <w:t xml:space="preserve"> hechos </w:t>
      </w:r>
      <w:r w:rsidR="00F756EF" w:rsidRPr="00C454A1">
        <w:rPr>
          <w:color w:val="000000" w:themeColor="text1"/>
          <w:lang w:eastAsia="es-ES"/>
        </w:rPr>
        <w:t xml:space="preserve">invocados </w:t>
      </w:r>
      <w:r w:rsidRPr="00C454A1">
        <w:rPr>
          <w:color w:val="000000" w:themeColor="text1"/>
          <w:lang w:eastAsia="es-ES"/>
        </w:rPr>
        <w:t xml:space="preserve">por el Gobierno nacional </w:t>
      </w:r>
      <w:r w:rsidR="00F756EF" w:rsidRPr="00C454A1">
        <w:rPr>
          <w:color w:val="000000" w:themeColor="text1"/>
          <w:lang w:eastAsia="es-ES"/>
        </w:rPr>
        <w:t>para sustentar</w:t>
      </w:r>
      <w:r w:rsidR="001F4600" w:rsidRPr="00C454A1">
        <w:rPr>
          <w:color w:val="000000" w:themeColor="text1"/>
          <w:lang w:eastAsia="es-ES"/>
        </w:rPr>
        <w:t xml:space="preserve"> la declaración del estado de conmoción interior </w:t>
      </w:r>
      <w:r w:rsidRPr="00C454A1">
        <w:rPr>
          <w:color w:val="000000" w:themeColor="text1"/>
          <w:lang w:eastAsia="es-ES"/>
        </w:rPr>
        <w:t xml:space="preserve">en la región del Catatumbo, </w:t>
      </w:r>
      <w:r w:rsidRPr="00C454A1">
        <w:rPr>
          <w:rFonts w:eastAsiaTheme="majorEastAsia" w:cs="Times New Roman"/>
          <w:color w:val="000000" w:themeColor="text1"/>
          <w:szCs w:val="28"/>
        </w:rPr>
        <w:t>los municipios del área metropolitana de Cúcuta y los municipios de Río de Oro y González del departamento del Cesar</w:t>
      </w:r>
      <w:r w:rsidRPr="00C454A1">
        <w:rPr>
          <w:color w:val="000000" w:themeColor="text1"/>
          <w:lang w:eastAsia="es-ES"/>
        </w:rPr>
        <w:t xml:space="preserve"> </w:t>
      </w:r>
      <w:r w:rsidR="00F756EF" w:rsidRPr="00C454A1">
        <w:rPr>
          <w:color w:val="000000" w:themeColor="text1"/>
          <w:lang w:eastAsia="es-ES"/>
        </w:rPr>
        <w:t>correspondían a</w:t>
      </w:r>
      <w:r w:rsidR="00FB6137" w:rsidRPr="00C454A1">
        <w:rPr>
          <w:color w:val="000000" w:themeColor="text1"/>
          <w:lang w:eastAsia="es-ES"/>
        </w:rPr>
        <w:t xml:space="preserve"> </w:t>
      </w:r>
      <w:r w:rsidR="001F4600" w:rsidRPr="00C454A1">
        <w:rPr>
          <w:color w:val="000000" w:themeColor="text1"/>
          <w:lang w:eastAsia="es-ES"/>
        </w:rPr>
        <w:t xml:space="preserve">problemáticas estructurales que </w:t>
      </w:r>
      <w:r w:rsidRPr="00C454A1">
        <w:rPr>
          <w:color w:val="000000" w:themeColor="text1"/>
          <w:lang w:eastAsia="es-ES"/>
        </w:rPr>
        <w:t>dichos territorios</w:t>
      </w:r>
      <w:r w:rsidR="002E64AF" w:rsidRPr="00C454A1">
        <w:rPr>
          <w:color w:val="000000" w:themeColor="text1"/>
          <w:lang w:eastAsia="es-ES"/>
        </w:rPr>
        <w:t xml:space="preserve"> ha</w:t>
      </w:r>
      <w:r w:rsidRPr="00C454A1">
        <w:rPr>
          <w:color w:val="000000" w:themeColor="text1"/>
          <w:lang w:eastAsia="es-ES"/>
        </w:rPr>
        <w:t>n</w:t>
      </w:r>
      <w:r w:rsidR="002E64AF" w:rsidRPr="00C454A1">
        <w:rPr>
          <w:color w:val="000000" w:themeColor="text1"/>
          <w:lang w:eastAsia="es-ES"/>
        </w:rPr>
        <w:t xml:space="preserve"> enfrentado </w:t>
      </w:r>
      <w:r w:rsidR="00F756EF" w:rsidRPr="00C454A1">
        <w:rPr>
          <w:color w:val="000000" w:themeColor="text1"/>
          <w:lang w:eastAsia="es-ES"/>
        </w:rPr>
        <w:t>durante</w:t>
      </w:r>
      <w:r w:rsidR="002E64AF" w:rsidRPr="00C454A1">
        <w:rPr>
          <w:color w:val="000000" w:themeColor="text1"/>
          <w:lang w:eastAsia="es-ES"/>
        </w:rPr>
        <w:t xml:space="preserve"> </w:t>
      </w:r>
      <w:r w:rsidR="00895D07" w:rsidRPr="00C454A1">
        <w:rPr>
          <w:color w:val="000000" w:themeColor="text1"/>
          <w:lang w:eastAsia="es-ES"/>
        </w:rPr>
        <w:t>años</w:t>
      </w:r>
      <w:r w:rsidR="00F756EF" w:rsidRPr="00C454A1">
        <w:rPr>
          <w:color w:val="000000" w:themeColor="text1"/>
          <w:lang w:eastAsia="es-ES"/>
        </w:rPr>
        <w:t xml:space="preserve"> y que</w:t>
      </w:r>
      <w:r w:rsidR="001F4600" w:rsidRPr="00C454A1">
        <w:rPr>
          <w:color w:val="000000" w:themeColor="text1"/>
          <w:lang w:eastAsia="es-ES"/>
        </w:rPr>
        <w:t xml:space="preserve"> </w:t>
      </w:r>
      <w:r w:rsidR="00F756EF" w:rsidRPr="00C454A1">
        <w:rPr>
          <w:color w:val="000000" w:themeColor="text1"/>
          <w:lang w:eastAsia="es-ES"/>
        </w:rPr>
        <w:t xml:space="preserve">no presentaron un agravamiento inusitado, razón por la cual </w:t>
      </w:r>
      <w:r w:rsidR="001F4600" w:rsidRPr="00C454A1">
        <w:rPr>
          <w:color w:val="000000" w:themeColor="text1"/>
          <w:lang w:eastAsia="es-ES"/>
        </w:rPr>
        <w:t>no p</w:t>
      </w:r>
      <w:r w:rsidR="00F756EF" w:rsidRPr="00C454A1">
        <w:rPr>
          <w:color w:val="000000" w:themeColor="text1"/>
          <w:lang w:eastAsia="es-ES"/>
        </w:rPr>
        <w:t>odían</w:t>
      </w:r>
      <w:r w:rsidR="001F4600" w:rsidRPr="00C454A1">
        <w:rPr>
          <w:color w:val="000000" w:themeColor="text1"/>
          <w:lang w:eastAsia="es-ES"/>
        </w:rPr>
        <w:t xml:space="preserve"> </w:t>
      </w:r>
      <w:r w:rsidR="00F756EF" w:rsidRPr="00C454A1">
        <w:rPr>
          <w:color w:val="000000" w:themeColor="text1"/>
          <w:lang w:eastAsia="es-ES"/>
        </w:rPr>
        <w:t>clasificarse como extraordinarias ni se ajustaban a los elementos del presupuesto valorativo</w:t>
      </w:r>
      <w:r w:rsidR="001F4600" w:rsidRPr="00C454A1">
        <w:rPr>
          <w:color w:val="000000" w:themeColor="text1"/>
          <w:lang w:eastAsia="es-ES"/>
        </w:rPr>
        <w:t xml:space="preserve">. Estos hechos son: (i) la presencia histórica del ELN, los </w:t>
      </w:r>
      <w:r w:rsidR="00EE77DF" w:rsidRPr="00C454A1">
        <w:rPr>
          <w:color w:val="000000" w:themeColor="text1"/>
          <w:lang w:eastAsia="es-ES"/>
        </w:rPr>
        <w:t>GAO</w:t>
      </w:r>
      <w:r w:rsidR="001F4600" w:rsidRPr="00C454A1">
        <w:rPr>
          <w:color w:val="000000" w:themeColor="text1"/>
          <w:lang w:eastAsia="es-ES"/>
        </w:rPr>
        <w:t xml:space="preserve"> y</w:t>
      </w:r>
      <w:r w:rsidR="001137BF" w:rsidRPr="00C454A1">
        <w:rPr>
          <w:color w:val="000000" w:themeColor="text1"/>
          <w:lang w:eastAsia="es-ES"/>
        </w:rPr>
        <w:t xml:space="preserve"> grupos delincuenciales organizados (</w:t>
      </w:r>
      <w:r w:rsidR="001F4600" w:rsidRPr="00C454A1">
        <w:rPr>
          <w:color w:val="000000" w:themeColor="text1"/>
          <w:lang w:eastAsia="es-ES"/>
        </w:rPr>
        <w:t>GDO</w:t>
      </w:r>
      <w:r w:rsidR="001137BF" w:rsidRPr="00C454A1">
        <w:rPr>
          <w:color w:val="000000" w:themeColor="text1"/>
          <w:lang w:eastAsia="es-ES"/>
        </w:rPr>
        <w:t>)</w:t>
      </w:r>
      <w:r w:rsidR="00FB6137" w:rsidRPr="00C454A1">
        <w:rPr>
          <w:color w:val="000000" w:themeColor="text1"/>
          <w:lang w:eastAsia="es-ES"/>
        </w:rPr>
        <w:t>,</w:t>
      </w:r>
      <w:r w:rsidR="001F4600" w:rsidRPr="00C454A1">
        <w:rPr>
          <w:color w:val="000000" w:themeColor="text1"/>
          <w:lang w:eastAsia="es-ES"/>
        </w:rPr>
        <w:t xml:space="preserve"> (ii) la concentración de cultivos ilícitos, (iii) las deficiencias e incumplimientos en la implementación del </w:t>
      </w:r>
      <w:r w:rsidR="00E073AA" w:rsidRPr="00C454A1">
        <w:rPr>
          <w:color w:val="000000" w:themeColor="text1"/>
        </w:rPr>
        <w:t>Programa Nacional Integral de Sustitución de Cultivos</w:t>
      </w:r>
      <w:r w:rsidR="00E073AA" w:rsidRPr="00C454A1">
        <w:rPr>
          <w:color w:val="000000" w:themeColor="text1"/>
          <w:lang w:eastAsia="es-ES"/>
        </w:rPr>
        <w:t xml:space="preserve"> (</w:t>
      </w:r>
      <w:r w:rsidR="001F4600" w:rsidRPr="00C454A1">
        <w:rPr>
          <w:color w:val="000000" w:themeColor="text1"/>
          <w:lang w:eastAsia="es-ES"/>
        </w:rPr>
        <w:t>PNIS</w:t>
      </w:r>
      <w:r w:rsidR="00E073AA" w:rsidRPr="00C454A1">
        <w:rPr>
          <w:color w:val="000000" w:themeColor="text1"/>
          <w:lang w:eastAsia="es-ES"/>
        </w:rPr>
        <w:t>)</w:t>
      </w:r>
      <w:r w:rsidR="001F4600" w:rsidRPr="00C454A1">
        <w:rPr>
          <w:color w:val="000000" w:themeColor="text1"/>
          <w:lang w:eastAsia="es-ES"/>
        </w:rPr>
        <w:t>, (iv) las necesidades básicas insatisfechas de la población por insuficiencia en la política social</w:t>
      </w:r>
      <w:r w:rsidR="00FB6137" w:rsidRPr="00C454A1">
        <w:rPr>
          <w:color w:val="000000" w:themeColor="text1"/>
          <w:lang w:eastAsia="es-ES"/>
        </w:rPr>
        <w:t>,</w:t>
      </w:r>
      <w:r w:rsidR="001F4600" w:rsidRPr="00C454A1">
        <w:rPr>
          <w:color w:val="000000" w:themeColor="text1"/>
          <w:lang w:eastAsia="es-ES"/>
        </w:rPr>
        <w:t xml:space="preserve"> y (v) los daños a la infraestructura energética y vial, así como las afectaciones a las operaciones del sector de hidrocarburos. </w:t>
      </w:r>
    </w:p>
    <w:p w14:paraId="272B5A76" w14:textId="77777777" w:rsidR="00FB6137" w:rsidRPr="00C454A1" w:rsidRDefault="00FB6137" w:rsidP="002E64AF">
      <w:pPr>
        <w:pStyle w:val="Prrafodelista"/>
        <w:ind w:left="0"/>
        <w:rPr>
          <w:color w:val="000000" w:themeColor="text1"/>
          <w:lang w:eastAsia="es-ES"/>
        </w:rPr>
      </w:pPr>
    </w:p>
    <w:p w14:paraId="0725EABC" w14:textId="763FE31E" w:rsidR="001F4600" w:rsidRPr="00C454A1" w:rsidRDefault="00C65E55" w:rsidP="002E64AF">
      <w:pPr>
        <w:pStyle w:val="Prrafodelista"/>
        <w:ind w:left="0"/>
        <w:rPr>
          <w:color w:val="000000" w:themeColor="text1"/>
          <w:lang w:eastAsia="es-ES"/>
        </w:rPr>
      </w:pPr>
      <w:r w:rsidRPr="00C454A1">
        <w:rPr>
          <w:color w:val="000000" w:themeColor="text1"/>
          <w:lang w:eastAsia="es-ES"/>
        </w:rPr>
        <w:t xml:space="preserve">La </w:t>
      </w:r>
      <w:r w:rsidR="00512516" w:rsidRPr="00C454A1">
        <w:rPr>
          <w:color w:val="000000" w:themeColor="text1"/>
          <w:lang w:eastAsia="es-ES"/>
        </w:rPr>
        <w:t>C</w:t>
      </w:r>
      <w:r w:rsidRPr="00C454A1">
        <w:rPr>
          <w:color w:val="000000" w:themeColor="text1"/>
          <w:lang w:eastAsia="es-ES"/>
        </w:rPr>
        <w:t xml:space="preserve">orporación reiteró </w:t>
      </w:r>
      <w:r w:rsidR="001F4600" w:rsidRPr="00C454A1">
        <w:rPr>
          <w:color w:val="000000" w:themeColor="text1"/>
          <w:lang w:eastAsia="es-ES"/>
        </w:rPr>
        <w:t>que</w:t>
      </w:r>
      <w:r w:rsidRPr="00C454A1">
        <w:rPr>
          <w:color w:val="000000" w:themeColor="text1"/>
          <w:lang w:eastAsia="es-ES"/>
        </w:rPr>
        <w:t>,</w:t>
      </w:r>
      <w:r w:rsidR="001F4600" w:rsidRPr="00C454A1">
        <w:rPr>
          <w:color w:val="000000" w:themeColor="text1"/>
          <w:lang w:eastAsia="es-ES"/>
        </w:rPr>
        <w:t xml:space="preserve"> en el estado de conmoción interior</w:t>
      </w:r>
      <w:r w:rsidRPr="00C454A1">
        <w:rPr>
          <w:color w:val="000000" w:themeColor="text1"/>
          <w:lang w:eastAsia="es-ES"/>
        </w:rPr>
        <w:t>,</w:t>
      </w:r>
      <w:r w:rsidR="001F4600" w:rsidRPr="00C454A1">
        <w:rPr>
          <w:color w:val="000000" w:themeColor="text1"/>
          <w:lang w:eastAsia="es-ES"/>
        </w:rPr>
        <w:t xml:space="preserve"> no está permitid</w:t>
      </w:r>
      <w:r w:rsidR="00D671E6" w:rsidRPr="00C454A1">
        <w:rPr>
          <w:color w:val="000000" w:themeColor="text1"/>
          <w:lang w:eastAsia="es-ES"/>
        </w:rPr>
        <w:t>a</w:t>
      </w:r>
      <w:r w:rsidR="001F4600" w:rsidRPr="00C454A1">
        <w:rPr>
          <w:color w:val="000000" w:themeColor="text1"/>
          <w:lang w:eastAsia="es-ES"/>
        </w:rPr>
        <w:t xml:space="preserve"> la utilización expansiva de los poderes excepcionales para resolver problemas crónicos o estructurales, pues </w:t>
      </w:r>
      <w:r w:rsidR="00D671E6" w:rsidRPr="00C454A1">
        <w:rPr>
          <w:color w:val="000000" w:themeColor="text1"/>
          <w:lang w:eastAsia="es-ES"/>
        </w:rPr>
        <w:t xml:space="preserve">estos </w:t>
      </w:r>
      <w:r w:rsidR="001F4600" w:rsidRPr="00C454A1">
        <w:rPr>
          <w:color w:val="000000" w:themeColor="text1"/>
          <w:lang w:eastAsia="es-ES"/>
        </w:rPr>
        <w:t xml:space="preserve">deben ser solucionados por las autoridades mediante los mecanismos ordinarios. </w:t>
      </w:r>
      <w:r w:rsidRPr="00C454A1">
        <w:rPr>
          <w:color w:val="000000" w:themeColor="text1"/>
          <w:lang w:eastAsia="es-ES"/>
        </w:rPr>
        <w:t>En consecuencia</w:t>
      </w:r>
      <w:r w:rsidR="001F4600" w:rsidRPr="00C454A1">
        <w:rPr>
          <w:color w:val="000000" w:themeColor="text1"/>
          <w:lang w:eastAsia="es-ES"/>
        </w:rPr>
        <w:t xml:space="preserve">, declaró inexequible el Decreto 62 de 2025 </w:t>
      </w:r>
      <w:r w:rsidR="00BC4775" w:rsidRPr="00C454A1">
        <w:rPr>
          <w:color w:val="000000" w:themeColor="text1"/>
          <w:lang w:eastAsia="es-ES"/>
        </w:rPr>
        <w:t>respecto de</w:t>
      </w:r>
      <w:r w:rsidR="001F4600" w:rsidRPr="00C454A1">
        <w:rPr>
          <w:color w:val="000000" w:themeColor="text1"/>
          <w:lang w:eastAsia="es-ES"/>
        </w:rPr>
        <w:t xml:space="preserve"> este </w:t>
      </w:r>
      <w:r w:rsidR="00895D07" w:rsidRPr="00C454A1">
        <w:rPr>
          <w:color w:val="000000" w:themeColor="text1"/>
          <w:lang w:eastAsia="es-ES"/>
        </w:rPr>
        <w:t xml:space="preserve">último </w:t>
      </w:r>
      <w:r w:rsidR="00BC4775" w:rsidRPr="00C454A1">
        <w:rPr>
          <w:color w:val="000000" w:themeColor="text1"/>
          <w:lang w:eastAsia="es-ES"/>
        </w:rPr>
        <w:t>conjunto</w:t>
      </w:r>
      <w:r w:rsidR="001F4600" w:rsidRPr="00C454A1">
        <w:rPr>
          <w:color w:val="000000" w:themeColor="text1"/>
          <w:lang w:eastAsia="es-ES"/>
        </w:rPr>
        <w:t xml:space="preserve"> de hechos.</w:t>
      </w:r>
    </w:p>
    <w:p w14:paraId="7A8CF7CD" w14:textId="77777777" w:rsidR="001F4600" w:rsidRPr="00C454A1" w:rsidRDefault="001F4600" w:rsidP="002E64AF">
      <w:pPr>
        <w:pStyle w:val="Prrafodelista"/>
        <w:ind w:left="0"/>
        <w:rPr>
          <w:color w:val="000000" w:themeColor="text1"/>
          <w:lang w:eastAsia="es-ES"/>
        </w:rPr>
      </w:pPr>
    </w:p>
    <w:p w14:paraId="5951F881" w14:textId="66EF6D3F" w:rsidR="00D9564A" w:rsidRPr="00C454A1" w:rsidRDefault="00C65E55" w:rsidP="008F18FF">
      <w:pPr>
        <w:pStyle w:val="Prrafodelista"/>
        <w:ind w:left="0"/>
        <w:rPr>
          <w:rFonts w:cs="Times New Roman"/>
          <w:color w:val="000000" w:themeColor="text1"/>
          <w:szCs w:val="28"/>
          <w:bdr w:val="none" w:sz="0" w:space="0" w:color="auto" w:frame="1"/>
        </w:rPr>
      </w:pPr>
      <w:r w:rsidRPr="00C454A1">
        <w:rPr>
          <w:color w:val="000000" w:themeColor="text1"/>
          <w:lang w:eastAsia="es-ES"/>
        </w:rPr>
        <w:t>E</w:t>
      </w:r>
      <w:r w:rsidR="001F4600" w:rsidRPr="00C454A1">
        <w:rPr>
          <w:color w:val="000000" w:themeColor="text1"/>
          <w:lang w:eastAsia="es-ES"/>
        </w:rPr>
        <w:t xml:space="preserve">n relación con los hechos que </w:t>
      </w:r>
      <w:r w:rsidR="00D279B0" w:rsidRPr="00C454A1">
        <w:rPr>
          <w:color w:val="000000" w:themeColor="text1"/>
          <w:lang w:eastAsia="es-ES"/>
        </w:rPr>
        <w:t xml:space="preserve">superaron el </w:t>
      </w:r>
      <w:r w:rsidR="00F756EF" w:rsidRPr="00C454A1">
        <w:rPr>
          <w:color w:val="000000" w:themeColor="text1"/>
          <w:lang w:eastAsia="es-ES"/>
        </w:rPr>
        <w:t>examen</w:t>
      </w:r>
      <w:r w:rsidR="00D279B0" w:rsidRPr="00C454A1">
        <w:rPr>
          <w:color w:val="000000" w:themeColor="text1"/>
          <w:lang w:eastAsia="es-ES"/>
        </w:rPr>
        <w:t xml:space="preserve"> del presupuesto valorativo</w:t>
      </w:r>
      <w:r w:rsidR="001F4600" w:rsidRPr="00C454A1">
        <w:rPr>
          <w:color w:val="000000" w:themeColor="text1"/>
          <w:lang w:eastAsia="es-ES"/>
        </w:rPr>
        <w:t xml:space="preserve">, </w:t>
      </w:r>
      <w:r w:rsidRPr="00C454A1">
        <w:rPr>
          <w:color w:val="000000" w:themeColor="text1"/>
          <w:lang w:eastAsia="es-ES"/>
        </w:rPr>
        <w:t xml:space="preserve">la Corte encontró que </w:t>
      </w:r>
      <w:r w:rsidR="001F4600" w:rsidRPr="00C454A1">
        <w:rPr>
          <w:color w:val="000000" w:themeColor="text1"/>
          <w:lang w:eastAsia="es-ES"/>
        </w:rPr>
        <w:t>el Decreto 62 de 2025 también cumpl</w:t>
      </w:r>
      <w:r w:rsidR="00F756EF" w:rsidRPr="00C454A1">
        <w:rPr>
          <w:color w:val="000000" w:themeColor="text1"/>
          <w:lang w:eastAsia="es-ES"/>
        </w:rPr>
        <w:t>ía</w:t>
      </w:r>
      <w:r w:rsidR="001F4600" w:rsidRPr="00C454A1">
        <w:rPr>
          <w:color w:val="000000" w:themeColor="text1"/>
          <w:lang w:eastAsia="es-ES"/>
        </w:rPr>
        <w:t xml:space="preserve"> con el presupuesto de suficiencia. </w:t>
      </w:r>
      <w:r w:rsidR="00D279B0" w:rsidRPr="00C454A1">
        <w:rPr>
          <w:color w:val="000000" w:themeColor="text1"/>
          <w:lang w:eastAsia="es-ES"/>
        </w:rPr>
        <w:t xml:space="preserve">Para la </w:t>
      </w:r>
      <w:r w:rsidR="00512516" w:rsidRPr="00C454A1">
        <w:rPr>
          <w:color w:val="000000" w:themeColor="text1"/>
          <w:lang w:eastAsia="es-ES"/>
        </w:rPr>
        <w:t>C</w:t>
      </w:r>
      <w:r w:rsidRPr="00C454A1">
        <w:rPr>
          <w:color w:val="000000" w:themeColor="text1"/>
          <w:lang w:eastAsia="es-ES"/>
        </w:rPr>
        <w:t>orporación</w:t>
      </w:r>
      <w:r w:rsidR="00D279B0" w:rsidRPr="00C454A1">
        <w:rPr>
          <w:color w:val="000000" w:themeColor="text1"/>
          <w:lang w:eastAsia="es-ES"/>
        </w:rPr>
        <w:t>, aunque</w:t>
      </w:r>
      <w:r w:rsidR="00D279B0" w:rsidRPr="00C454A1">
        <w:rPr>
          <w:rFonts w:cs="Times New Roman"/>
          <w:color w:val="000000" w:themeColor="text1"/>
          <w:szCs w:val="28"/>
          <w:bdr w:val="none" w:sz="0" w:space="0" w:color="auto" w:frame="1"/>
        </w:rPr>
        <w:t xml:space="preserve"> </w:t>
      </w:r>
      <w:r w:rsidR="002E64AF" w:rsidRPr="00C454A1">
        <w:rPr>
          <w:rFonts w:cs="Times New Roman"/>
          <w:color w:val="000000" w:themeColor="text1"/>
          <w:szCs w:val="28"/>
          <w:bdr w:val="none" w:sz="0" w:space="0" w:color="auto" w:frame="1"/>
        </w:rPr>
        <w:t xml:space="preserve">el ordenamiento prevé </w:t>
      </w:r>
      <w:r w:rsidR="001F4600" w:rsidRPr="00C454A1">
        <w:rPr>
          <w:rFonts w:cs="Times New Roman"/>
          <w:color w:val="000000" w:themeColor="text1"/>
          <w:szCs w:val="28"/>
          <w:bdr w:val="none" w:sz="0" w:space="0" w:color="auto" w:frame="1"/>
        </w:rPr>
        <w:t>un gran número de</w:t>
      </w:r>
      <w:r w:rsidR="002E64AF" w:rsidRPr="00C454A1">
        <w:rPr>
          <w:rFonts w:cs="Times New Roman"/>
          <w:color w:val="000000" w:themeColor="text1"/>
          <w:szCs w:val="28"/>
          <w:bdr w:val="none" w:sz="0" w:space="0" w:color="auto" w:frame="1"/>
        </w:rPr>
        <w:t xml:space="preserve"> </w:t>
      </w:r>
      <w:r w:rsidR="002E64AF" w:rsidRPr="00C454A1">
        <w:rPr>
          <w:rFonts w:cs="Times New Roman"/>
          <w:color w:val="000000" w:themeColor="text1"/>
          <w:szCs w:val="28"/>
          <w:bdr w:val="none" w:sz="0" w:space="0" w:color="auto" w:frame="1"/>
        </w:rPr>
        <w:lastRenderedPageBreak/>
        <w:t>facultades y mecanismos ordinarios a los que puede acudir el Gobierno nacional para enfrentar alteraciones del orden público y crisis humanitaria</w:t>
      </w:r>
      <w:r w:rsidR="0029531E" w:rsidRPr="00C454A1">
        <w:rPr>
          <w:rFonts w:cs="Times New Roman"/>
          <w:color w:val="000000" w:themeColor="text1"/>
          <w:szCs w:val="28"/>
          <w:bdr w:val="none" w:sz="0" w:space="0" w:color="auto" w:frame="1"/>
        </w:rPr>
        <w:t>s</w:t>
      </w:r>
      <w:r w:rsidR="002E64AF" w:rsidRPr="00C454A1">
        <w:rPr>
          <w:rFonts w:cs="Times New Roman"/>
          <w:color w:val="000000" w:themeColor="text1"/>
          <w:szCs w:val="28"/>
          <w:bdr w:val="none" w:sz="0" w:space="0" w:color="auto" w:frame="1"/>
        </w:rPr>
        <w:t>, en este caso, existe</w:t>
      </w:r>
      <w:r w:rsidR="001F4600" w:rsidRPr="00C454A1">
        <w:rPr>
          <w:rFonts w:cs="Times New Roman"/>
          <w:color w:val="000000" w:themeColor="text1"/>
          <w:szCs w:val="28"/>
          <w:bdr w:val="none" w:sz="0" w:space="0" w:color="auto" w:frame="1"/>
        </w:rPr>
        <w:t>n</w:t>
      </w:r>
      <w:r w:rsidR="002E64AF" w:rsidRPr="00C454A1">
        <w:rPr>
          <w:rFonts w:cs="Times New Roman"/>
          <w:color w:val="000000" w:themeColor="text1"/>
          <w:szCs w:val="28"/>
          <w:bdr w:val="none" w:sz="0" w:space="0" w:color="auto" w:frame="1"/>
        </w:rPr>
        <w:t xml:space="preserve"> elementos que evidencian su insuficiencia dada la magnitud, </w:t>
      </w:r>
      <w:r w:rsidR="00583230" w:rsidRPr="00C454A1">
        <w:rPr>
          <w:rFonts w:cs="Times New Roman"/>
          <w:color w:val="000000" w:themeColor="text1"/>
          <w:szCs w:val="28"/>
          <w:bdr w:val="none" w:sz="0" w:space="0" w:color="auto" w:frame="1"/>
        </w:rPr>
        <w:t xml:space="preserve">la </w:t>
      </w:r>
      <w:r w:rsidR="002E64AF" w:rsidRPr="00C454A1">
        <w:rPr>
          <w:rFonts w:cs="Times New Roman"/>
          <w:color w:val="000000" w:themeColor="text1"/>
          <w:szCs w:val="28"/>
          <w:bdr w:val="none" w:sz="0" w:space="0" w:color="auto" w:frame="1"/>
        </w:rPr>
        <w:t xml:space="preserve">gravedad y </w:t>
      </w:r>
      <w:r w:rsidR="001F4600" w:rsidRPr="00C454A1">
        <w:rPr>
          <w:rFonts w:cs="Times New Roman"/>
          <w:color w:val="000000" w:themeColor="text1"/>
          <w:szCs w:val="28"/>
          <w:bdr w:val="none" w:sz="0" w:space="0" w:color="auto" w:frame="1"/>
        </w:rPr>
        <w:t xml:space="preserve">el </w:t>
      </w:r>
      <w:r w:rsidR="002E64AF" w:rsidRPr="00C454A1">
        <w:rPr>
          <w:rFonts w:cs="Times New Roman"/>
          <w:color w:val="000000" w:themeColor="text1"/>
          <w:szCs w:val="28"/>
          <w:bdr w:val="none" w:sz="0" w:space="0" w:color="auto" w:frame="1"/>
        </w:rPr>
        <w:t xml:space="preserve">carácter inusitado de </w:t>
      </w:r>
      <w:r w:rsidR="001F4600" w:rsidRPr="00C454A1">
        <w:rPr>
          <w:rFonts w:cs="Times New Roman"/>
          <w:color w:val="000000" w:themeColor="text1"/>
          <w:szCs w:val="28"/>
          <w:bdr w:val="none" w:sz="0" w:space="0" w:color="auto" w:frame="1"/>
        </w:rPr>
        <w:t>la crisis</w:t>
      </w:r>
      <w:r w:rsidR="002E64AF" w:rsidRPr="00C454A1">
        <w:rPr>
          <w:rFonts w:cs="Times New Roman"/>
          <w:color w:val="000000" w:themeColor="text1"/>
          <w:szCs w:val="28"/>
          <w:bdr w:val="none" w:sz="0" w:space="0" w:color="auto" w:frame="1"/>
        </w:rPr>
        <w:t>.</w:t>
      </w:r>
      <w:r w:rsidR="001F4600" w:rsidRPr="00C454A1">
        <w:rPr>
          <w:rFonts w:cs="Times New Roman"/>
          <w:color w:val="000000" w:themeColor="text1"/>
          <w:szCs w:val="28"/>
          <w:bdr w:val="none" w:sz="0" w:space="0" w:color="auto" w:frame="1"/>
        </w:rPr>
        <w:t xml:space="preserve"> </w:t>
      </w:r>
      <w:r w:rsidR="000C0CBC" w:rsidRPr="00C454A1">
        <w:rPr>
          <w:rFonts w:cs="Times New Roman"/>
          <w:color w:val="000000" w:themeColor="text1"/>
          <w:szCs w:val="28"/>
          <w:bdr w:val="none" w:sz="0" w:space="0" w:color="auto" w:frame="1"/>
        </w:rPr>
        <w:t xml:space="preserve"> </w:t>
      </w:r>
    </w:p>
    <w:p w14:paraId="6A905404" w14:textId="77777777" w:rsidR="00D9564A" w:rsidRPr="00C454A1" w:rsidRDefault="00D9564A" w:rsidP="008F18FF">
      <w:pPr>
        <w:pStyle w:val="Prrafodelista"/>
        <w:ind w:left="0"/>
        <w:rPr>
          <w:rFonts w:cs="Times New Roman"/>
          <w:color w:val="000000" w:themeColor="text1"/>
          <w:szCs w:val="28"/>
          <w:bdr w:val="none" w:sz="0" w:space="0" w:color="auto" w:frame="1"/>
        </w:rPr>
      </w:pPr>
    </w:p>
    <w:p w14:paraId="279E0899" w14:textId="7C08C847" w:rsidR="00FA6CE1" w:rsidRPr="00C454A1" w:rsidRDefault="001F4600" w:rsidP="008F18FF">
      <w:pPr>
        <w:pStyle w:val="Prrafodelista"/>
        <w:ind w:left="0"/>
        <w:rPr>
          <w:rFonts w:cs="Times New Roman"/>
          <w:color w:val="000000" w:themeColor="text1"/>
          <w:szCs w:val="28"/>
          <w:bdr w:val="none" w:sz="0" w:space="0" w:color="auto" w:frame="1"/>
        </w:rPr>
      </w:pPr>
      <w:r w:rsidRPr="00C454A1">
        <w:rPr>
          <w:rFonts w:cs="Times New Roman"/>
          <w:color w:val="000000" w:themeColor="text1"/>
          <w:szCs w:val="28"/>
          <w:bdr w:val="none" w:sz="0" w:space="0" w:color="auto" w:frame="1"/>
        </w:rPr>
        <w:t xml:space="preserve">En este sentido, la Corte constató que las atribuciones ordinarias no son suficientes porque, debido al escalamiento súbito </w:t>
      </w:r>
      <w:r w:rsidR="00895D07" w:rsidRPr="00C454A1">
        <w:rPr>
          <w:rFonts w:cs="Times New Roman"/>
          <w:color w:val="000000" w:themeColor="text1"/>
          <w:szCs w:val="28"/>
          <w:bdr w:val="none" w:sz="0" w:space="0" w:color="auto" w:frame="1"/>
        </w:rPr>
        <w:t>e inusitado</w:t>
      </w:r>
      <w:r w:rsidRPr="00C454A1">
        <w:rPr>
          <w:rFonts w:cs="Times New Roman"/>
          <w:color w:val="000000" w:themeColor="text1"/>
          <w:szCs w:val="28"/>
          <w:bdr w:val="none" w:sz="0" w:space="0" w:color="auto" w:frame="1"/>
        </w:rPr>
        <w:t xml:space="preserve"> de la violencia en la región, que </w:t>
      </w:r>
      <w:r w:rsidR="00895D07" w:rsidRPr="00C454A1">
        <w:rPr>
          <w:rFonts w:cs="Times New Roman"/>
          <w:color w:val="000000" w:themeColor="text1"/>
          <w:szCs w:val="28"/>
          <w:bdr w:val="none" w:sz="0" w:space="0" w:color="auto" w:frame="1"/>
        </w:rPr>
        <w:t>deriv</w:t>
      </w:r>
      <w:r w:rsidRPr="00C454A1">
        <w:rPr>
          <w:rFonts w:cs="Times New Roman"/>
          <w:color w:val="000000" w:themeColor="text1"/>
          <w:szCs w:val="28"/>
          <w:bdr w:val="none" w:sz="0" w:space="0" w:color="auto" w:frame="1"/>
        </w:rPr>
        <w:t xml:space="preserve">ó en la mayor crisis humanitaria registrada en la historia reciente del país, la capacidad de respuesta institucional fue desbordada. En consecuencia, la exequibilidad parcial del </w:t>
      </w:r>
      <w:r w:rsidR="002E64AF" w:rsidRPr="00C454A1">
        <w:rPr>
          <w:rFonts w:eastAsia="Aptos" w:cs="Arial"/>
          <w:color w:val="000000" w:themeColor="text1"/>
          <w:lang w:val="es-ES"/>
        </w:rPr>
        <w:t xml:space="preserve">Decreto Legislativo 62 de 2025 </w:t>
      </w:r>
      <w:r w:rsidR="002E64AF" w:rsidRPr="00C454A1">
        <w:rPr>
          <w:rFonts w:cs="Times New Roman"/>
          <w:color w:val="000000" w:themeColor="text1"/>
          <w:szCs w:val="28"/>
          <w:bdr w:val="none" w:sz="0" w:space="0" w:color="auto" w:frame="1"/>
        </w:rPr>
        <w:t>solamente cobija aquellas medidas que sean necesarias para el fortalecimiento de la fuerza pública, la atención humanitaria, los derechos y garantías fundamentales de la población civil, y la financiación para esos propósitos específicos</w:t>
      </w:r>
      <w:r w:rsidRPr="00C454A1">
        <w:rPr>
          <w:rFonts w:cs="Times New Roman"/>
          <w:color w:val="000000" w:themeColor="text1"/>
          <w:szCs w:val="28"/>
          <w:bdr w:val="none" w:sz="0" w:space="0" w:color="auto" w:frame="1"/>
        </w:rPr>
        <w:t>.</w:t>
      </w:r>
    </w:p>
    <w:p w14:paraId="6253F16C" w14:textId="77777777" w:rsidR="00FA6CE1" w:rsidRPr="00C454A1" w:rsidRDefault="00FA6CE1" w:rsidP="008F18FF">
      <w:pPr>
        <w:pStyle w:val="Prrafodelista"/>
        <w:ind w:left="0"/>
        <w:rPr>
          <w:rFonts w:cs="Times New Roman"/>
          <w:color w:val="000000" w:themeColor="text1"/>
          <w:szCs w:val="28"/>
          <w:bdr w:val="none" w:sz="0" w:space="0" w:color="auto" w:frame="1"/>
        </w:rPr>
      </w:pPr>
    </w:p>
    <w:sdt>
      <w:sdtPr>
        <w:rPr>
          <w:rFonts w:ascii="Times New Roman" w:eastAsiaTheme="minorHAnsi" w:hAnsi="Times New Roman" w:cstheme="minorBidi"/>
          <w:b w:val="0"/>
          <w:bCs w:val="0"/>
          <w:color w:val="000000" w:themeColor="text1"/>
          <w:kern w:val="2"/>
          <w:szCs w:val="24"/>
          <w:lang w:val="es-CO"/>
          <w14:ligatures w14:val="standardContextual"/>
        </w:rPr>
        <w:id w:val="-875701176"/>
        <w:docPartObj>
          <w:docPartGallery w:val="Table of Contents"/>
          <w:docPartUnique/>
        </w:docPartObj>
      </w:sdtPr>
      <w:sdtEndPr>
        <w:rPr>
          <w:noProof/>
        </w:rPr>
      </w:sdtEndPr>
      <w:sdtContent>
        <w:p w14:paraId="0CF402DA" w14:textId="052BC5CC" w:rsidR="00893E78" w:rsidRPr="00C454A1" w:rsidRDefault="00893E78">
          <w:pPr>
            <w:pStyle w:val="TtuloTDC"/>
            <w:rPr>
              <w:rFonts w:ascii="Times New Roman" w:hAnsi="Times New Roman" w:cs="Times New Roman"/>
              <w:color w:val="000000" w:themeColor="text1"/>
            </w:rPr>
          </w:pPr>
          <w:r w:rsidRPr="00C454A1">
            <w:rPr>
              <w:rFonts w:ascii="Times New Roman" w:hAnsi="Times New Roman" w:cs="Times New Roman"/>
              <w:color w:val="000000" w:themeColor="text1"/>
            </w:rPr>
            <w:t>Tabla de contenido</w:t>
          </w:r>
        </w:p>
        <w:p w14:paraId="27A14A5C" w14:textId="50EFE539" w:rsidR="00893E78" w:rsidRPr="00C454A1" w:rsidRDefault="00893E78"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r w:rsidRPr="00C454A1">
            <w:rPr>
              <w:rFonts w:ascii="Times New Roman" w:hAnsi="Times New Roman" w:cs="Times New Roman"/>
              <w:b w:val="0"/>
              <w:bCs w:val="0"/>
              <w:color w:val="000000" w:themeColor="text1"/>
              <w:sz w:val="28"/>
              <w:szCs w:val="28"/>
            </w:rPr>
            <w:fldChar w:fldCharType="begin"/>
          </w:r>
          <w:r w:rsidRPr="00C454A1">
            <w:rPr>
              <w:rFonts w:ascii="Times New Roman" w:hAnsi="Times New Roman" w:cs="Times New Roman"/>
              <w:b w:val="0"/>
              <w:bCs w:val="0"/>
              <w:color w:val="000000" w:themeColor="text1"/>
              <w:sz w:val="28"/>
              <w:szCs w:val="28"/>
            </w:rPr>
            <w:instrText xml:space="preserve"> TOC \o "1-3" \h \z \u </w:instrText>
          </w:r>
          <w:r w:rsidRPr="00C454A1">
            <w:rPr>
              <w:rFonts w:ascii="Times New Roman" w:hAnsi="Times New Roman" w:cs="Times New Roman"/>
              <w:b w:val="0"/>
              <w:bCs w:val="0"/>
              <w:color w:val="000000" w:themeColor="text1"/>
              <w:sz w:val="28"/>
              <w:szCs w:val="28"/>
            </w:rPr>
            <w:fldChar w:fldCharType="separate"/>
          </w:r>
          <w:hyperlink w:anchor="_Toc223979923" w:history="1">
            <w:r w:rsidRPr="00C454A1">
              <w:rPr>
                <w:rStyle w:val="Hipervnculo"/>
                <w:rFonts w:ascii="Times New Roman" w:hAnsi="Times New Roman" w:cs="Times New Roman"/>
                <w:b w:val="0"/>
                <w:bCs w:val="0"/>
                <w:iCs/>
                <w:noProof/>
                <w:color w:val="000000" w:themeColor="text1"/>
                <w:sz w:val="28"/>
                <w:szCs w:val="28"/>
                <w:lang w:eastAsia="es-ES"/>
              </w:rPr>
              <w:t>I.</w:t>
            </w:r>
            <w:r w:rsidRPr="00C454A1">
              <w:rPr>
                <w:rFonts w:ascii="Times New Roman" w:eastAsiaTheme="minorEastAsia" w:hAnsi="Times New Roman" w:cs="Times New Roman"/>
                <w:b w:val="0"/>
                <w:bCs w:val="0"/>
                <w:caps/>
                <w:noProof/>
                <w:color w:val="000000" w:themeColor="text1"/>
                <w:sz w:val="28"/>
                <w:szCs w:val="28"/>
              </w:rPr>
              <w:tab/>
            </w:r>
            <w:r w:rsidRPr="00C454A1">
              <w:rPr>
                <w:rStyle w:val="Hipervnculo"/>
                <w:rFonts w:ascii="Times New Roman" w:hAnsi="Times New Roman" w:cs="Times New Roman"/>
                <w:b w:val="0"/>
                <w:bCs w:val="0"/>
                <w:iCs/>
                <w:noProof/>
                <w:color w:val="000000" w:themeColor="text1"/>
                <w:sz w:val="28"/>
                <w:szCs w:val="28"/>
                <w:lang w:eastAsia="es-ES"/>
              </w:rPr>
              <w:t>ANTECEDENTES</w:t>
            </w:r>
            <w:r w:rsidRPr="00C454A1">
              <w:rPr>
                <w:rFonts w:ascii="Times New Roman" w:hAnsi="Times New Roman" w:cs="Times New Roman"/>
                <w:b w:val="0"/>
                <w:bCs w:val="0"/>
                <w:noProof/>
                <w:webHidden/>
                <w:color w:val="000000" w:themeColor="text1"/>
                <w:sz w:val="28"/>
                <w:szCs w:val="28"/>
              </w:rPr>
              <w:tab/>
            </w:r>
            <w:r w:rsidRPr="00C454A1">
              <w:rPr>
                <w:rFonts w:ascii="Times New Roman" w:hAnsi="Times New Roman" w:cs="Times New Roman"/>
                <w:b w:val="0"/>
                <w:bCs w:val="0"/>
                <w:noProof/>
                <w:webHidden/>
                <w:color w:val="000000" w:themeColor="text1"/>
                <w:sz w:val="28"/>
                <w:szCs w:val="28"/>
              </w:rPr>
              <w:fldChar w:fldCharType="begin"/>
            </w:r>
            <w:r w:rsidRPr="00C454A1">
              <w:rPr>
                <w:rFonts w:ascii="Times New Roman" w:hAnsi="Times New Roman" w:cs="Times New Roman"/>
                <w:b w:val="0"/>
                <w:bCs w:val="0"/>
                <w:noProof/>
                <w:webHidden/>
                <w:color w:val="000000" w:themeColor="text1"/>
                <w:sz w:val="28"/>
                <w:szCs w:val="28"/>
              </w:rPr>
              <w:instrText xml:space="preserve"> PAGEREF _Toc223979923 \h </w:instrText>
            </w:r>
            <w:r w:rsidRPr="00C454A1">
              <w:rPr>
                <w:rFonts w:ascii="Times New Roman" w:hAnsi="Times New Roman" w:cs="Times New Roman"/>
                <w:b w:val="0"/>
                <w:bCs w:val="0"/>
                <w:noProof/>
                <w:webHidden/>
                <w:color w:val="000000" w:themeColor="text1"/>
                <w:sz w:val="28"/>
                <w:szCs w:val="28"/>
              </w:rPr>
            </w:r>
            <w:r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6</w:t>
            </w:r>
            <w:r w:rsidRPr="00C454A1">
              <w:rPr>
                <w:rFonts w:ascii="Times New Roman" w:hAnsi="Times New Roman" w:cs="Times New Roman"/>
                <w:b w:val="0"/>
                <w:bCs w:val="0"/>
                <w:noProof/>
                <w:webHidden/>
                <w:color w:val="000000" w:themeColor="text1"/>
                <w:sz w:val="28"/>
                <w:szCs w:val="28"/>
              </w:rPr>
              <w:fldChar w:fldCharType="end"/>
            </w:r>
          </w:hyperlink>
        </w:p>
        <w:p w14:paraId="71AE7F6A" w14:textId="4E0EEEBF"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24" w:history="1">
            <w:r w:rsidR="00893E78" w:rsidRPr="00C454A1">
              <w:rPr>
                <w:rStyle w:val="Hipervnculo"/>
                <w:rFonts w:ascii="Times New Roman" w:hAnsi="Times New Roman" w:cs="Times New Roman"/>
                <w:b w:val="0"/>
                <w:bCs w:val="0"/>
                <w:iCs/>
                <w:noProof/>
                <w:color w:val="000000" w:themeColor="text1"/>
                <w:sz w:val="28"/>
                <w:szCs w:val="28"/>
              </w:rPr>
              <w:t>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rPr>
              <w:t>Trámite procesal</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_Toc223979924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6</w:t>
            </w:r>
            <w:r w:rsidR="00893E78" w:rsidRPr="00C454A1">
              <w:rPr>
                <w:rFonts w:ascii="Times New Roman" w:hAnsi="Times New Roman" w:cs="Times New Roman"/>
                <w:b w:val="0"/>
                <w:bCs w:val="0"/>
                <w:noProof/>
                <w:webHidden/>
                <w:color w:val="000000" w:themeColor="text1"/>
                <w:sz w:val="28"/>
                <w:szCs w:val="28"/>
              </w:rPr>
              <w:fldChar w:fldCharType="end"/>
            </w:r>
          </w:hyperlink>
        </w:p>
        <w:p w14:paraId="4E5AF719" w14:textId="024658DA"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25" w:history="1">
            <w:r w:rsidR="00893E78" w:rsidRPr="00C454A1">
              <w:rPr>
                <w:rStyle w:val="Hipervnculo"/>
                <w:rFonts w:ascii="Times New Roman" w:hAnsi="Times New Roman" w:cs="Times New Roman"/>
                <w:b w:val="0"/>
                <w:bCs w:val="0"/>
                <w:iCs/>
                <w:noProof/>
                <w:color w:val="000000" w:themeColor="text1"/>
                <w:sz w:val="28"/>
                <w:szCs w:val="28"/>
              </w:rPr>
              <w:t>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rPr>
              <w:t>Decreto objeto de revisión</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_Toc223979925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7</w:t>
            </w:r>
            <w:r w:rsidR="00893E78" w:rsidRPr="00C454A1">
              <w:rPr>
                <w:rFonts w:ascii="Times New Roman" w:hAnsi="Times New Roman" w:cs="Times New Roman"/>
                <w:b w:val="0"/>
                <w:bCs w:val="0"/>
                <w:noProof/>
                <w:webHidden/>
                <w:color w:val="000000" w:themeColor="text1"/>
                <w:sz w:val="28"/>
                <w:szCs w:val="28"/>
              </w:rPr>
              <w:fldChar w:fldCharType="end"/>
            </w:r>
          </w:hyperlink>
        </w:p>
        <w:p w14:paraId="12C66203" w14:textId="144AB2DF"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26" w:history="1">
            <w:r w:rsidR="00893E78" w:rsidRPr="00C454A1">
              <w:rPr>
                <w:rStyle w:val="Hipervnculo"/>
                <w:rFonts w:ascii="Times New Roman" w:hAnsi="Times New Roman" w:cs="Times New Roman"/>
                <w:b w:val="0"/>
                <w:bCs w:val="0"/>
                <w:iCs/>
                <w:noProof/>
                <w:color w:val="000000" w:themeColor="text1"/>
                <w:sz w:val="28"/>
                <w:szCs w:val="28"/>
              </w:rPr>
              <w:t>3.</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rPr>
              <w:t>Pruebas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_Toc223979926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16</w:t>
            </w:r>
            <w:r w:rsidR="00893E78" w:rsidRPr="00C454A1">
              <w:rPr>
                <w:rFonts w:ascii="Times New Roman" w:hAnsi="Times New Roman" w:cs="Times New Roman"/>
                <w:b w:val="0"/>
                <w:bCs w:val="0"/>
                <w:noProof/>
                <w:webHidden/>
                <w:color w:val="000000" w:themeColor="text1"/>
                <w:sz w:val="28"/>
                <w:szCs w:val="28"/>
              </w:rPr>
              <w:fldChar w:fldCharType="end"/>
            </w:r>
          </w:hyperlink>
        </w:p>
        <w:p w14:paraId="5FAABE17" w14:textId="37E5383E"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27" w:history="1">
            <w:r w:rsidR="00893E78" w:rsidRPr="00C454A1">
              <w:rPr>
                <w:rStyle w:val="Hipervnculo"/>
                <w:rFonts w:ascii="Times New Roman" w:hAnsi="Times New Roman" w:cs="Times New Roman"/>
                <w:b w:val="0"/>
                <w:bCs w:val="0"/>
                <w:iCs/>
                <w:noProof/>
                <w:color w:val="000000" w:themeColor="text1"/>
                <w:sz w:val="28"/>
                <w:szCs w:val="28"/>
              </w:rPr>
              <w:t>4.</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rPr>
              <w:t>Intervenciones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_Toc223979927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16</w:t>
            </w:r>
            <w:r w:rsidR="00893E78" w:rsidRPr="00C454A1">
              <w:rPr>
                <w:rFonts w:ascii="Times New Roman" w:hAnsi="Times New Roman" w:cs="Times New Roman"/>
                <w:b w:val="0"/>
                <w:bCs w:val="0"/>
                <w:noProof/>
                <w:webHidden/>
                <w:color w:val="000000" w:themeColor="text1"/>
                <w:sz w:val="28"/>
                <w:szCs w:val="28"/>
              </w:rPr>
              <w:fldChar w:fldCharType="end"/>
            </w:r>
          </w:hyperlink>
        </w:p>
        <w:p w14:paraId="344B709E" w14:textId="20FFAB43"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28" w:history="1">
            <w:r w:rsidR="00893E78" w:rsidRPr="00C454A1">
              <w:rPr>
                <w:rStyle w:val="Hipervnculo"/>
                <w:rFonts w:ascii="Times New Roman" w:hAnsi="Times New Roman" w:cs="Times New Roman"/>
                <w:b w:val="0"/>
                <w:bCs w:val="0"/>
                <w:iCs/>
                <w:noProof/>
                <w:color w:val="000000" w:themeColor="text1"/>
                <w:sz w:val="28"/>
                <w:szCs w:val="28"/>
              </w:rPr>
              <w:t>5.</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rPr>
              <w:t>Concepto de la Procuraduría General de la Nación</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_Toc223979928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17</w:t>
            </w:r>
            <w:r w:rsidR="00893E78" w:rsidRPr="00C454A1">
              <w:rPr>
                <w:rFonts w:ascii="Times New Roman" w:hAnsi="Times New Roman" w:cs="Times New Roman"/>
                <w:b w:val="0"/>
                <w:bCs w:val="0"/>
                <w:noProof/>
                <w:webHidden/>
                <w:color w:val="000000" w:themeColor="text1"/>
                <w:sz w:val="28"/>
                <w:szCs w:val="28"/>
              </w:rPr>
              <w:fldChar w:fldCharType="end"/>
            </w:r>
          </w:hyperlink>
        </w:p>
        <w:p w14:paraId="4D2C2554" w14:textId="126A84BD"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29" w:history="1">
            <w:r w:rsidR="00893E78" w:rsidRPr="00C454A1">
              <w:rPr>
                <w:rStyle w:val="Hipervnculo"/>
                <w:rFonts w:ascii="Times New Roman" w:hAnsi="Times New Roman" w:cs="Times New Roman"/>
                <w:b w:val="0"/>
                <w:bCs w:val="0"/>
                <w:iCs/>
                <w:noProof/>
                <w:color w:val="000000" w:themeColor="text1"/>
                <w:sz w:val="28"/>
                <w:szCs w:val="28"/>
                <w:lang w:eastAsia="es-ES"/>
              </w:rPr>
              <w:t>II.</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lang w:eastAsia="es-ES"/>
              </w:rPr>
              <w:t>CONSIDERACIONES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_Toc223979929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20</w:t>
            </w:r>
            <w:r w:rsidR="00893E78" w:rsidRPr="00C454A1">
              <w:rPr>
                <w:rFonts w:ascii="Times New Roman" w:hAnsi="Times New Roman" w:cs="Times New Roman"/>
                <w:b w:val="0"/>
                <w:bCs w:val="0"/>
                <w:noProof/>
                <w:webHidden/>
                <w:color w:val="000000" w:themeColor="text1"/>
                <w:sz w:val="28"/>
                <w:szCs w:val="28"/>
              </w:rPr>
              <w:fldChar w:fldCharType="end"/>
            </w:r>
          </w:hyperlink>
        </w:p>
        <w:p w14:paraId="31A0EFBE" w14:textId="24BF24B7"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0" w:history="1">
            <w:r w:rsidR="00893E78" w:rsidRPr="00C454A1">
              <w:rPr>
                <w:rStyle w:val="Hipervnculo"/>
                <w:rFonts w:ascii="Times New Roman" w:hAnsi="Times New Roman" w:cs="Times New Roman"/>
                <w:b w:val="0"/>
                <w:bCs w:val="0"/>
                <w:iCs/>
                <w:noProof/>
                <w:color w:val="000000" w:themeColor="text1"/>
                <w:sz w:val="28"/>
                <w:szCs w:val="28"/>
                <w:bdr w:val="none" w:sz="0" w:space="0" w:color="auto" w:frame="1"/>
                <w:lang w:eastAsia="es-CO"/>
              </w:rPr>
              <w:t>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bdr w:val="none" w:sz="0" w:space="0" w:color="auto" w:frame="1"/>
                <w:lang w:eastAsia="es-CO"/>
              </w:rPr>
              <w:t>Competencia</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_Toc223979930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20</w:t>
            </w:r>
            <w:r w:rsidR="00893E78" w:rsidRPr="00C454A1">
              <w:rPr>
                <w:rFonts w:ascii="Times New Roman" w:hAnsi="Times New Roman" w:cs="Times New Roman"/>
                <w:b w:val="0"/>
                <w:bCs w:val="0"/>
                <w:noProof/>
                <w:webHidden/>
                <w:color w:val="000000" w:themeColor="text1"/>
                <w:sz w:val="28"/>
                <w:szCs w:val="28"/>
              </w:rPr>
              <w:fldChar w:fldCharType="end"/>
            </w:r>
          </w:hyperlink>
        </w:p>
        <w:p w14:paraId="061A18E7" w14:textId="4652D2A2"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1" w:history="1">
            <w:r w:rsidR="00893E78" w:rsidRPr="00C454A1">
              <w:rPr>
                <w:rStyle w:val="Hipervnculo"/>
                <w:rFonts w:ascii="Times New Roman" w:hAnsi="Times New Roman" w:cs="Times New Roman"/>
                <w:b w:val="0"/>
                <w:bCs w:val="0"/>
                <w:noProof/>
                <w:color w:val="000000" w:themeColor="text1"/>
                <w:sz w:val="28"/>
                <w:szCs w:val="28"/>
                <w:lang w:eastAsia="es-ES"/>
              </w:rPr>
              <w:t>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bdr w:val="none" w:sz="0" w:space="0" w:color="auto" w:frame="1"/>
                <w:lang w:eastAsia="es-CO"/>
              </w:rPr>
              <w:t>Problema jurídico y metodología de la decisión</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_Toc223979931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22</w:t>
            </w:r>
            <w:r w:rsidR="00893E78" w:rsidRPr="00C454A1">
              <w:rPr>
                <w:rFonts w:ascii="Times New Roman" w:hAnsi="Times New Roman" w:cs="Times New Roman"/>
                <w:b w:val="0"/>
                <w:bCs w:val="0"/>
                <w:noProof/>
                <w:webHidden/>
                <w:color w:val="000000" w:themeColor="text1"/>
                <w:sz w:val="28"/>
                <w:szCs w:val="28"/>
              </w:rPr>
              <w:fldChar w:fldCharType="end"/>
            </w:r>
          </w:hyperlink>
        </w:p>
        <w:p w14:paraId="323A1755" w14:textId="06188718"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2" w:history="1">
            <w:r w:rsidR="00893E78" w:rsidRPr="00C454A1">
              <w:rPr>
                <w:rStyle w:val="Hipervnculo"/>
                <w:rFonts w:ascii="Times New Roman" w:hAnsi="Times New Roman" w:cs="Times New Roman"/>
                <w:b w:val="0"/>
                <w:bCs w:val="0"/>
                <w:noProof/>
                <w:color w:val="000000" w:themeColor="text1"/>
                <w:sz w:val="28"/>
                <w:szCs w:val="28"/>
                <w:lang w:eastAsia="es-ES"/>
              </w:rPr>
              <w:t>3.</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Los estado de excepción</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_Toc223979932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22</w:t>
            </w:r>
            <w:r w:rsidR="00893E78" w:rsidRPr="00C454A1">
              <w:rPr>
                <w:rFonts w:ascii="Times New Roman" w:hAnsi="Times New Roman" w:cs="Times New Roman"/>
                <w:b w:val="0"/>
                <w:bCs w:val="0"/>
                <w:noProof/>
                <w:webHidden/>
                <w:color w:val="000000" w:themeColor="text1"/>
                <w:sz w:val="28"/>
                <w:szCs w:val="28"/>
              </w:rPr>
              <w:fldChar w:fldCharType="end"/>
            </w:r>
          </w:hyperlink>
        </w:p>
        <w:p w14:paraId="799DE14E" w14:textId="7AF556A8"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3" w:history="1">
            <w:r w:rsidR="00893E78" w:rsidRPr="00C454A1">
              <w:rPr>
                <w:rStyle w:val="Hipervnculo"/>
                <w:rFonts w:ascii="Times New Roman" w:hAnsi="Times New Roman" w:cs="Times New Roman"/>
                <w:b w:val="0"/>
                <w:bCs w:val="0"/>
                <w:noProof/>
                <w:color w:val="000000" w:themeColor="text1"/>
                <w:sz w:val="28"/>
                <w:szCs w:val="28"/>
                <w:lang w:eastAsia="es-ES"/>
              </w:rPr>
              <w:t>3.1.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El régimen constitucional y estatutario de los estados de excepción. Reiteración de jurisprudencia</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_Toc223979933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22</w:t>
            </w:r>
            <w:r w:rsidR="00893E78" w:rsidRPr="00C454A1">
              <w:rPr>
                <w:rFonts w:ascii="Times New Roman" w:hAnsi="Times New Roman" w:cs="Times New Roman"/>
                <w:b w:val="0"/>
                <w:bCs w:val="0"/>
                <w:noProof/>
                <w:webHidden/>
                <w:color w:val="000000" w:themeColor="text1"/>
                <w:sz w:val="28"/>
                <w:szCs w:val="28"/>
              </w:rPr>
              <w:fldChar w:fldCharType="end"/>
            </w:r>
          </w:hyperlink>
        </w:p>
        <w:p w14:paraId="38D96DD7" w14:textId="79199F05"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4" w:history="1">
            <w:r w:rsidR="00893E78" w:rsidRPr="00C454A1">
              <w:rPr>
                <w:rStyle w:val="Hipervnculo"/>
                <w:rFonts w:ascii="Times New Roman" w:hAnsi="Times New Roman" w:cs="Times New Roman"/>
                <w:b w:val="0"/>
                <w:bCs w:val="0"/>
                <w:noProof/>
                <w:color w:val="000000" w:themeColor="text1"/>
                <w:sz w:val="28"/>
                <w:szCs w:val="28"/>
              </w:rPr>
              <w:t>3.2.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 xml:space="preserve">Requisitos formales y presupuestos materiales de la declaratoria del estado de conmoción interior. </w:t>
            </w:r>
            <w:r w:rsidR="00893E78" w:rsidRPr="00C454A1">
              <w:rPr>
                <w:rStyle w:val="Hipervnculo"/>
                <w:rFonts w:ascii="Times New Roman" w:hAnsi="Times New Roman" w:cs="Times New Roman"/>
                <w:b w:val="0"/>
                <w:bCs w:val="0"/>
                <w:noProof/>
                <w:color w:val="000000" w:themeColor="text1"/>
                <w:sz w:val="28"/>
                <w:szCs w:val="28"/>
                <w:lang w:eastAsia="es-ES"/>
              </w:rPr>
              <w:t>Reiteración de jurisprudencia</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_Toc223979934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24</w:t>
            </w:r>
            <w:r w:rsidR="00893E78" w:rsidRPr="00C454A1">
              <w:rPr>
                <w:rFonts w:ascii="Times New Roman" w:hAnsi="Times New Roman" w:cs="Times New Roman"/>
                <w:b w:val="0"/>
                <w:bCs w:val="0"/>
                <w:noProof/>
                <w:webHidden/>
                <w:color w:val="000000" w:themeColor="text1"/>
                <w:sz w:val="28"/>
                <w:szCs w:val="28"/>
              </w:rPr>
              <w:fldChar w:fldCharType="end"/>
            </w:r>
          </w:hyperlink>
        </w:p>
        <w:p w14:paraId="0857985E" w14:textId="1BA83626"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5" w:history="1">
            <w:r w:rsidR="00893E78" w:rsidRPr="00C454A1">
              <w:rPr>
                <w:rStyle w:val="Hipervnculo"/>
                <w:rFonts w:ascii="Times New Roman" w:hAnsi="Times New Roman" w:cs="Times New Roman"/>
                <w:b w:val="0"/>
                <w:bCs w:val="0"/>
                <w:noProof/>
                <w:color w:val="000000" w:themeColor="text1"/>
                <w:sz w:val="28"/>
                <w:szCs w:val="28"/>
              </w:rPr>
              <w:t>3.2.1.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Requisitos formales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_Toc223979935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26</w:t>
            </w:r>
            <w:r w:rsidR="00893E78" w:rsidRPr="00C454A1">
              <w:rPr>
                <w:rFonts w:ascii="Times New Roman" w:hAnsi="Times New Roman" w:cs="Times New Roman"/>
                <w:b w:val="0"/>
                <w:bCs w:val="0"/>
                <w:noProof/>
                <w:webHidden/>
                <w:color w:val="000000" w:themeColor="text1"/>
                <w:sz w:val="28"/>
                <w:szCs w:val="28"/>
              </w:rPr>
              <w:fldChar w:fldCharType="end"/>
            </w:r>
          </w:hyperlink>
        </w:p>
        <w:p w14:paraId="237CF7A9" w14:textId="5CA65379"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6" w:history="1">
            <w:r w:rsidR="00893E78" w:rsidRPr="00C454A1">
              <w:rPr>
                <w:rStyle w:val="Hipervnculo"/>
                <w:rFonts w:ascii="Times New Roman" w:hAnsi="Times New Roman" w:cs="Times New Roman"/>
                <w:b w:val="0"/>
                <w:bCs w:val="0"/>
                <w:noProof/>
                <w:color w:val="000000" w:themeColor="text1"/>
                <w:sz w:val="28"/>
                <w:szCs w:val="28"/>
              </w:rPr>
              <w:t>3.2.2.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Requisitos materiales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_Toc223979936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27</w:t>
            </w:r>
            <w:r w:rsidR="00893E78" w:rsidRPr="00C454A1">
              <w:rPr>
                <w:rFonts w:ascii="Times New Roman" w:hAnsi="Times New Roman" w:cs="Times New Roman"/>
                <w:b w:val="0"/>
                <w:bCs w:val="0"/>
                <w:noProof/>
                <w:webHidden/>
                <w:color w:val="000000" w:themeColor="text1"/>
                <w:sz w:val="28"/>
                <w:szCs w:val="28"/>
              </w:rPr>
              <w:fldChar w:fldCharType="end"/>
            </w:r>
          </w:hyperlink>
        </w:p>
        <w:p w14:paraId="0C35DA00" w14:textId="0891FAFF"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7" w:history="1">
            <w:r w:rsidR="00893E78" w:rsidRPr="00C454A1">
              <w:rPr>
                <w:rStyle w:val="Hipervnculo"/>
                <w:rFonts w:ascii="Times New Roman" w:hAnsi="Times New Roman" w:cs="Times New Roman"/>
                <w:b w:val="0"/>
                <w:bCs w:val="0"/>
                <w:noProof/>
                <w:color w:val="000000" w:themeColor="text1"/>
                <w:sz w:val="28"/>
                <w:szCs w:val="28"/>
                <w:lang w:eastAsia="es-ES"/>
              </w:rPr>
              <w:t>4.</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La jurisprudencia constitucional en materia de estados de excepción cuyo fundamento son problemas estructurales o crónicos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_Toc223979937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44</w:t>
            </w:r>
            <w:r w:rsidR="00893E78" w:rsidRPr="00C454A1">
              <w:rPr>
                <w:rFonts w:ascii="Times New Roman" w:hAnsi="Times New Roman" w:cs="Times New Roman"/>
                <w:b w:val="0"/>
                <w:bCs w:val="0"/>
                <w:noProof/>
                <w:webHidden/>
                <w:color w:val="000000" w:themeColor="text1"/>
                <w:sz w:val="28"/>
                <w:szCs w:val="28"/>
              </w:rPr>
              <w:fldChar w:fldCharType="end"/>
            </w:r>
          </w:hyperlink>
        </w:p>
        <w:p w14:paraId="08F8F00B" w14:textId="12057001"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8" w:history="1">
            <w:r w:rsidR="00893E78" w:rsidRPr="00C454A1">
              <w:rPr>
                <w:rStyle w:val="Hipervnculo"/>
                <w:rFonts w:ascii="Times New Roman" w:hAnsi="Times New Roman" w:cs="Times New Roman"/>
                <w:b w:val="0"/>
                <w:bCs w:val="0"/>
                <w:noProof/>
                <w:color w:val="000000" w:themeColor="text1"/>
                <w:sz w:val="28"/>
                <w:szCs w:val="28"/>
                <w:lang w:eastAsia="es-ES"/>
              </w:rPr>
              <w:t>4.1.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Pronunciamientos de la Corte Constitucional respecto del carácter extraordinario de la perturbación al orden público como elemento del juicio valorativo</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_Toc223979938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44</w:t>
            </w:r>
            <w:r w:rsidR="00893E78" w:rsidRPr="00C454A1">
              <w:rPr>
                <w:rFonts w:ascii="Times New Roman" w:hAnsi="Times New Roman" w:cs="Times New Roman"/>
                <w:b w:val="0"/>
                <w:bCs w:val="0"/>
                <w:noProof/>
                <w:webHidden/>
                <w:color w:val="000000" w:themeColor="text1"/>
                <w:sz w:val="28"/>
                <w:szCs w:val="28"/>
              </w:rPr>
              <w:fldChar w:fldCharType="end"/>
            </w:r>
          </w:hyperlink>
        </w:p>
        <w:p w14:paraId="511D98C2" w14:textId="100B99E7"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39" w:history="1">
            <w:r w:rsidR="00893E78" w:rsidRPr="00C454A1">
              <w:rPr>
                <w:rStyle w:val="Hipervnculo"/>
                <w:rFonts w:ascii="Times New Roman" w:hAnsi="Times New Roman" w:cs="Times New Roman"/>
                <w:b w:val="0"/>
                <w:bCs w:val="0"/>
                <w:noProof/>
                <w:color w:val="000000" w:themeColor="text1"/>
                <w:sz w:val="28"/>
                <w:szCs w:val="28"/>
                <w:lang w:eastAsia="es-ES"/>
              </w:rPr>
              <w:t>4.2.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Pronunciamientos de la Corte Constitucional acerca del carácter extraordinario o sobreviniente de los hechos invocados para declarar un estado de emergencia económica, social y ecológica</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_Toc223979939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47</w:t>
            </w:r>
            <w:r w:rsidR="00893E78" w:rsidRPr="00C454A1">
              <w:rPr>
                <w:rFonts w:ascii="Times New Roman" w:hAnsi="Times New Roman" w:cs="Times New Roman"/>
                <w:b w:val="0"/>
                <w:bCs w:val="0"/>
                <w:noProof/>
                <w:webHidden/>
                <w:color w:val="000000" w:themeColor="text1"/>
                <w:sz w:val="28"/>
                <w:szCs w:val="28"/>
              </w:rPr>
              <w:fldChar w:fldCharType="end"/>
            </w:r>
          </w:hyperlink>
        </w:p>
        <w:p w14:paraId="777A1E3E" w14:textId="52AFF35C"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0" w:history="1">
            <w:r w:rsidR="00893E78" w:rsidRPr="00C454A1">
              <w:rPr>
                <w:rStyle w:val="Hipervnculo"/>
                <w:rFonts w:ascii="Times New Roman" w:hAnsi="Times New Roman" w:cs="Times New Roman"/>
                <w:b w:val="0"/>
                <w:bCs w:val="0"/>
                <w:noProof/>
                <w:color w:val="000000" w:themeColor="text1"/>
                <w:sz w:val="28"/>
                <w:szCs w:val="28"/>
                <w:lang w:eastAsia="es-ES"/>
              </w:rPr>
              <w:t>5.</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Examen de los requisitos formales del Decreto 62 de 2025</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_Toc223979940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52</w:t>
            </w:r>
            <w:r w:rsidR="00893E78" w:rsidRPr="00C454A1">
              <w:rPr>
                <w:rFonts w:ascii="Times New Roman" w:hAnsi="Times New Roman" w:cs="Times New Roman"/>
                <w:b w:val="0"/>
                <w:bCs w:val="0"/>
                <w:noProof/>
                <w:webHidden/>
                <w:color w:val="000000" w:themeColor="text1"/>
                <w:sz w:val="28"/>
                <w:szCs w:val="28"/>
              </w:rPr>
              <w:fldChar w:fldCharType="end"/>
            </w:r>
          </w:hyperlink>
        </w:p>
        <w:p w14:paraId="22E73393" w14:textId="0A8AFB19"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1" w:history="1">
            <w:r w:rsidR="00893E78" w:rsidRPr="00C454A1">
              <w:rPr>
                <w:rStyle w:val="Hipervnculo"/>
                <w:rFonts w:ascii="Times New Roman" w:hAnsi="Times New Roman" w:cs="Times New Roman"/>
                <w:b w:val="0"/>
                <w:bCs w:val="0"/>
                <w:iCs/>
                <w:noProof/>
                <w:color w:val="000000" w:themeColor="text1"/>
                <w:sz w:val="28"/>
                <w:szCs w:val="28"/>
              </w:rPr>
              <w:t>5.1.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rPr>
              <w:t>Firma del presidente de la República y de todos los ministros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_Toc223979941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52</w:t>
            </w:r>
            <w:r w:rsidR="00893E78" w:rsidRPr="00C454A1">
              <w:rPr>
                <w:rFonts w:ascii="Times New Roman" w:hAnsi="Times New Roman" w:cs="Times New Roman"/>
                <w:b w:val="0"/>
                <w:bCs w:val="0"/>
                <w:noProof/>
                <w:webHidden/>
                <w:color w:val="000000" w:themeColor="text1"/>
                <w:sz w:val="28"/>
                <w:szCs w:val="28"/>
              </w:rPr>
              <w:fldChar w:fldCharType="end"/>
            </w:r>
          </w:hyperlink>
        </w:p>
        <w:p w14:paraId="1AB25C68" w14:textId="085EBDA9"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2" w:history="1">
            <w:r w:rsidR="00893E78" w:rsidRPr="00C454A1">
              <w:rPr>
                <w:rStyle w:val="Hipervnculo"/>
                <w:rFonts w:ascii="Times New Roman" w:hAnsi="Times New Roman" w:cs="Times New Roman"/>
                <w:b w:val="0"/>
                <w:bCs w:val="0"/>
                <w:noProof/>
                <w:color w:val="000000" w:themeColor="text1"/>
                <w:sz w:val="28"/>
                <w:szCs w:val="28"/>
              </w:rPr>
              <w:t>5.2.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Motivación expresa y suficiente</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_Toc223979942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53</w:t>
            </w:r>
            <w:r w:rsidR="00893E78" w:rsidRPr="00C454A1">
              <w:rPr>
                <w:rFonts w:ascii="Times New Roman" w:hAnsi="Times New Roman" w:cs="Times New Roman"/>
                <w:b w:val="0"/>
                <w:bCs w:val="0"/>
                <w:noProof/>
                <w:webHidden/>
                <w:color w:val="000000" w:themeColor="text1"/>
                <w:sz w:val="28"/>
                <w:szCs w:val="28"/>
              </w:rPr>
              <w:fldChar w:fldCharType="end"/>
            </w:r>
          </w:hyperlink>
        </w:p>
        <w:p w14:paraId="478FB8A1" w14:textId="22ED99C6"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3" w:history="1">
            <w:r w:rsidR="00893E78" w:rsidRPr="00C454A1">
              <w:rPr>
                <w:rStyle w:val="Hipervnculo"/>
                <w:rFonts w:ascii="Times New Roman" w:hAnsi="Times New Roman" w:cs="Times New Roman"/>
                <w:b w:val="0"/>
                <w:bCs w:val="0"/>
                <w:iCs/>
                <w:noProof/>
                <w:color w:val="000000" w:themeColor="text1"/>
                <w:sz w:val="28"/>
                <w:szCs w:val="28"/>
              </w:rPr>
              <w:t>5.3.</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rPr>
              <w:t>Delimitación temporal</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_Toc223979943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54</w:t>
            </w:r>
            <w:r w:rsidR="00893E78" w:rsidRPr="00C454A1">
              <w:rPr>
                <w:rFonts w:ascii="Times New Roman" w:hAnsi="Times New Roman" w:cs="Times New Roman"/>
                <w:b w:val="0"/>
                <w:bCs w:val="0"/>
                <w:noProof/>
                <w:webHidden/>
                <w:color w:val="000000" w:themeColor="text1"/>
                <w:sz w:val="28"/>
                <w:szCs w:val="28"/>
              </w:rPr>
              <w:fldChar w:fldCharType="end"/>
            </w:r>
          </w:hyperlink>
        </w:p>
        <w:p w14:paraId="6FAAD0D3" w14:textId="43397324"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4" w:history="1">
            <w:r w:rsidR="00893E78" w:rsidRPr="00C454A1">
              <w:rPr>
                <w:rStyle w:val="Hipervnculo"/>
                <w:rFonts w:ascii="Times New Roman" w:hAnsi="Times New Roman" w:cs="Times New Roman"/>
                <w:b w:val="0"/>
                <w:bCs w:val="0"/>
                <w:iCs/>
                <w:noProof/>
                <w:color w:val="000000" w:themeColor="text1"/>
                <w:sz w:val="28"/>
                <w:szCs w:val="28"/>
              </w:rPr>
              <w:t>5.4.</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rPr>
              <w:t>Delimitación territorial</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_Toc223979944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54</w:t>
            </w:r>
            <w:r w:rsidR="00893E78" w:rsidRPr="00C454A1">
              <w:rPr>
                <w:rFonts w:ascii="Times New Roman" w:hAnsi="Times New Roman" w:cs="Times New Roman"/>
                <w:b w:val="0"/>
                <w:bCs w:val="0"/>
                <w:noProof/>
                <w:webHidden/>
                <w:color w:val="000000" w:themeColor="text1"/>
                <w:sz w:val="28"/>
                <w:szCs w:val="28"/>
              </w:rPr>
              <w:fldChar w:fldCharType="end"/>
            </w:r>
          </w:hyperlink>
        </w:p>
        <w:p w14:paraId="071A34C7" w14:textId="23D627C1"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5" w:history="1">
            <w:r w:rsidR="00893E78" w:rsidRPr="00C454A1">
              <w:rPr>
                <w:rStyle w:val="Hipervnculo"/>
                <w:rFonts w:ascii="Times New Roman" w:hAnsi="Times New Roman" w:cs="Times New Roman"/>
                <w:b w:val="0"/>
                <w:bCs w:val="0"/>
                <w:noProof/>
                <w:color w:val="000000" w:themeColor="text1"/>
                <w:sz w:val="28"/>
                <w:szCs w:val="28"/>
                <w:lang w:eastAsia="es-ES"/>
              </w:rPr>
              <w:t>5.5.</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Verificación de la comunicación a los secretarios generales de la Organización de Estados Americanos y la Organización de las Naciones Unidas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_Toc223979945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56</w:t>
            </w:r>
            <w:r w:rsidR="00893E78" w:rsidRPr="00C454A1">
              <w:rPr>
                <w:rFonts w:ascii="Times New Roman" w:hAnsi="Times New Roman" w:cs="Times New Roman"/>
                <w:b w:val="0"/>
                <w:bCs w:val="0"/>
                <w:noProof/>
                <w:webHidden/>
                <w:color w:val="000000" w:themeColor="text1"/>
                <w:sz w:val="28"/>
                <w:szCs w:val="28"/>
              </w:rPr>
              <w:fldChar w:fldCharType="end"/>
            </w:r>
          </w:hyperlink>
        </w:p>
        <w:p w14:paraId="13676F04" w14:textId="7FF3BBB1"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6" w:history="1">
            <w:r w:rsidR="00893E78" w:rsidRPr="00C454A1">
              <w:rPr>
                <w:rStyle w:val="Hipervnculo"/>
                <w:rFonts w:ascii="Times New Roman" w:hAnsi="Times New Roman" w:cs="Times New Roman"/>
                <w:b w:val="0"/>
                <w:bCs w:val="0"/>
                <w:noProof/>
                <w:color w:val="000000" w:themeColor="text1"/>
                <w:sz w:val="28"/>
                <w:szCs w:val="28"/>
                <w:lang w:eastAsia="es-ES"/>
              </w:rPr>
              <w:t>6.</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Examen de los presupuestos materiales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_Toc223979946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56</w:t>
            </w:r>
            <w:r w:rsidR="00893E78" w:rsidRPr="00C454A1">
              <w:rPr>
                <w:rFonts w:ascii="Times New Roman" w:hAnsi="Times New Roman" w:cs="Times New Roman"/>
                <w:b w:val="0"/>
                <w:bCs w:val="0"/>
                <w:noProof/>
                <w:webHidden/>
                <w:color w:val="000000" w:themeColor="text1"/>
                <w:sz w:val="28"/>
                <w:szCs w:val="28"/>
              </w:rPr>
              <w:fldChar w:fldCharType="end"/>
            </w:r>
          </w:hyperlink>
        </w:p>
        <w:p w14:paraId="021AB331" w14:textId="44E34F8E"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7" w:history="1">
            <w:r w:rsidR="00893E78" w:rsidRPr="00C454A1">
              <w:rPr>
                <w:rStyle w:val="Hipervnculo"/>
                <w:rFonts w:ascii="Times New Roman" w:hAnsi="Times New Roman" w:cs="Times New Roman"/>
                <w:b w:val="0"/>
                <w:bCs w:val="0"/>
                <w:noProof/>
                <w:color w:val="000000" w:themeColor="text1"/>
                <w:sz w:val="28"/>
                <w:szCs w:val="28"/>
                <w:lang w:eastAsia="es-ES"/>
              </w:rPr>
              <w:t>6.1.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Presupuesto fáctico</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_Toc223979947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57</w:t>
            </w:r>
            <w:r w:rsidR="00893E78" w:rsidRPr="00C454A1">
              <w:rPr>
                <w:rFonts w:ascii="Times New Roman" w:hAnsi="Times New Roman" w:cs="Times New Roman"/>
                <w:b w:val="0"/>
                <w:bCs w:val="0"/>
                <w:noProof/>
                <w:webHidden/>
                <w:color w:val="000000" w:themeColor="text1"/>
                <w:sz w:val="28"/>
                <w:szCs w:val="28"/>
              </w:rPr>
              <w:fldChar w:fldCharType="end"/>
            </w:r>
          </w:hyperlink>
        </w:p>
        <w:p w14:paraId="5558FDE5" w14:textId="614BFEB9"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8" w:history="1">
            <w:r w:rsidR="00893E78" w:rsidRPr="00C454A1">
              <w:rPr>
                <w:rStyle w:val="Hipervnculo"/>
                <w:rFonts w:ascii="Times New Roman" w:eastAsia="Times New Roman" w:hAnsi="Times New Roman" w:cs="Times New Roman"/>
                <w:b w:val="0"/>
                <w:bCs w:val="0"/>
                <w:noProof/>
                <w:color w:val="000000" w:themeColor="text1"/>
                <w:sz w:val="28"/>
                <w:szCs w:val="28"/>
              </w:rPr>
              <w:t>6.1.1.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eastAsia="Times New Roman" w:hAnsi="Times New Roman" w:cs="Times New Roman"/>
                <w:b w:val="0"/>
                <w:bCs w:val="0"/>
                <w:noProof/>
                <w:color w:val="000000" w:themeColor="text1"/>
                <w:sz w:val="28"/>
                <w:szCs w:val="28"/>
              </w:rPr>
              <w:t>Grupo 1: los problemas históricos de orden público en la región del Catatumbo</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_Toc223979948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57</w:t>
            </w:r>
            <w:r w:rsidR="00893E78" w:rsidRPr="00C454A1">
              <w:rPr>
                <w:rFonts w:ascii="Times New Roman" w:hAnsi="Times New Roman" w:cs="Times New Roman"/>
                <w:b w:val="0"/>
                <w:bCs w:val="0"/>
                <w:noProof/>
                <w:webHidden/>
                <w:color w:val="000000" w:themeColor="text1"/>
                <w:sz w:val="28"/>
                <w:szCs w:val="28"/>
              </w:rPr>
              <w:fldChar w:fldCharType="end"/>
            </w:r>
          </w:hyperlink>
        </w:p>
        <w:p w14:paraId="521122A5" w14:textId="0312ED67"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49" w:history="1">
            <w:r w:rsidR="00893E78" w:rsidRPr="00C454A1">
              <w:rPr>
                <w:rStyle w:val="Hipervnculo"/>
                <w:rFonts w:ascii="Times New Roman" w:eastAsia="Times New Roman" w:hAnsi="Times New Roman" w:cs="Times New Roman"/>
                <w:b w:val="0"/>
                <w:bCs w:val="0"/>
                <w:noProof/>
                <w:color w:val="000000" w:themeColor="text1"/>
                <w:sz w:val="28"/>
                <w:szCs w:val="28"/>
              </w:rPr>
              <w:t>6.1.2.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eastAsia="Times New Roman" w:hAnsi="Times New Roman" w:cs="Times New Roman"/>
                <w:b w:val="0"/>
                <w:bCs w:val="0"/>
                <w:noProof/>
                <w:color w:val="000000" w:themeColor="text1"/>
                <w:sz w:val="28"/>
                <w:szCs w:val="28"/>
              </w:rPr>
              <w:t>Grupo 2: hechos relacionados con el presunto agravamiento inusitado de la perturbación del orden público en la región del Catatumbo a partir del 16 de enero de 2025</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_Toc223979949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64</w:t>
            </w:r>
            <w:r w:rsidR="00893E78" w:rsidRPr="00C454A1">
              <w:rPr>
                <w:rFonts w:ascii="Times New Roman" w:hAnsi="Times New Roman" w:cs="Times New Roman"/>
                <w:b w:val="0"/>
                <w:bCs w:val="0"/>
                <w:noProof/>
                <w:webHidden/>
                <w:color w:val="000000" w:themeColor="text1"/>
                <w:sz w:val="28"/>
                <w:szCs w:val="28"/>
              </w:rPr>
              <w:fldChar w:fldCharType="end"/>
            </w:r>
          </w:hyperlink>
        </w:p>
        <w:p w14:paraId="766AE65C" w14:textId="55B903D7"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0" w:history="1">
            <w:r w:rsidR="00893E78" w:rsidRPr="00C454A1">
              <w:rPr>
                <w:rStyle w:val="Hipervnculo"/>
                <w:rFonts w:ascii="Times New Roman" w:eastAsia="Times New Roman" w:hAnsi="Times New Roman" w:cs="Times New Roman"/>
                <w:b w:val="0"/>
                <w:bCs w:val="0"/>
                <w:noProof/>
                <w:color w:val="000000" w:themeColor="text1"/>
                <w:sz w:val="28"/>
                <w:szCs w:val="28"/>
              </w:rPr>
              <w:t>6.1.3.</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eastAsia="Times New Roman" w:hAnsi="Times New Roman" w:cs="Times New Roman"/>
                <w:b w:val="0"/>
                <w:bCs w:val="0"/>
                <w:noProof/>
                <w:color w:val="000000" w:themeColor="text1"/>
                <w:sz w:val="28"/>
                <w:szCs w:val="28"/>
              </w:rPr>
              <w:t>Considerandos del acápite I de la parte motiva del decreto declaratorio que no se refieren a hechos concretos y verificables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_Toc223979950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74</w:t>
            </w:r>
            <w:r w:rsidR="00893E78" w:rsidRPr="00C454A1">
              <w:rPr>
                <w:rFonts w:ascii="Times New Roman" w:hAnsi="Times New Roman" w:cs="Times New Roman"/>
                <w:b w:val="0"/>
                <w:bCs w:val="0"/>
                <w:noProof/>
                <w:webHidden/>
                <w:color w:val="000000" w:themeColor="text1"/>
                <w:sz w:val="28"/>
                <w:szCs w:val="28"/>
              </w:rPr>
              <w:fldChar w:fldCharType="end"/>
            </w:r>
          </w:hyperlink>
        </w:p>
        <w:p w14:paraId="7E145021" w14:textId="508CDF2C"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1" w:history="1">
            <w:r w:rsidR="00893E78" w:rsidRPr="00C454A1">
              <w:rPr>
                <w:rStyle w:val="Hipervnculo"/>
                <w:rFonts w:ascii="Times New Roman" w:hAnsi="Times New Roman" w:cs="Times New Roman"/>
                <w:b w:val="0"/>
                <w:bCs w:val="0"/>
                <w:noProof/>
                <w:color w:val="000000" w:themeColor="text1"/>
                <w:sz w:val="28"/>
                <w:szCs w:val="28"/>
                <w:lang w:eastAsia="es-ES"/>
              </w:rPr>
              <w:t>6.2.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Presupuesto valorativo</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_Toc223979951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77</w:t>
            </w:r>
            <w:r w:rsidR="00893E78" w:rsidRPr="00C454A1">
              <w:rPr>
                <w:rFonts w:ascii="Times New Roman" w:hAnsi="Times New Roman" w:cs="Times New Roman"/>
                <w:b w:val="0"/>
                <w:bCs w:val="0"/>
                <w:noProof/>
                <w:webHidden/>
                <w:color w:val="000000" w:themeColor="text1"/>
                <w:sz w:val="28"/>
                <w:szCs w:val="28"/>
              </w:rPr>
              <w:fldChar w:fldCharType="end"/>
            </w:r>
          </w:hyperlink>
        </w:p>
        <w:p w14:paraId="6C52F3CD" w14:textId="76517C86"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2" w:history="1">
            <w:r w:rsidR="00893E78" w:rsidRPr="00C454A1">
              <w:rPr>
                <w:rStyle w:val="Hipervnculo"/>
                <w:rFonts w:ascii="Times New Roman" w:hAnsi="Times New Roman" w:cs="Times New Roman"/>
                <w:b w:val="0"/>
                <w:bCs w:val="0"/>
                <w:noProof/>
                <w:color w:val="000000" w:themeColor="text1"/>
                <w:sz w:val="28"/>
                <w:szCs w:val="28"/>
                <w:lang w:eastAsia="es-ES"/>
              </w:rPr>
              <w:t>6.2.1.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 xml:space="preserve">La </w:t>
            </w:r>
            <w:r w:rsidR="00893E78" w:rsidRPr="00C454A1">
              <w:rPr>
                <w:rStyle w:val="Hipervnculo"/>
                <w:rFonts w:ascii="Times New Roman" w:hAnsi="Times New Roman" w:cs="Times New Roman"/>
                <w:b w:val="0"/>
                <w:bCs w:val="0"/>
                <w:i/>
                <w:iCs/>
                <w:noProof/>
                <w:color w:val="000000" w:themeColor="text1"/>
                <w:sz w:val="28"/>
                <w:szCs w:val="28"/>
                <w:lang w:eastAsia="es-ES"/>
              </w:rPr>
              <w:t>gravedad</w:t>
            </w:r>
            <w:r w:rsidR="00893E78" w:rsidRPr="00C454A1">
              <w:rPr>
                <w:rStyle w:val="Hipervnculo"/>
                <w:rFonts w:ascii="Times New Roman" w:hAnsi="Times New Roman" w:cs="Times New Roman"/>
                <w:b w:val="0"/>
                <w:bCs w:val="0"/>
                <w:noProof/>
                <w:color w:val="000000" w:themeColor="text1"/>
                <w:sz w:val="28"/>
                <w:szCs w:val="28"/>
                <w:lang w:eastAsia="es-ES"/>
              </w:rPr>
              <w:t xml:space="preserve"> de la perturbación del orden público</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_Toc223979952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78</w:t>
            </w:r>
            <w:r w:rsidR="00893E78" w:rsidRPr="00C454A1">
              <w:rPr>
                <w:rFonts w:ascii="Times New Roman" w:hAnsi="Times New Roman" w:cs="Times New Roman"/>
                <w:b w:val="0"/>
                <w:bCs w:val="0"/>
                <w:noProof/>
                <w:webHidden/>
                <w:color w:val="000000" w:themeColor="text1"/>
                <w:sz w:val="28"/>
                <w:szCs w:val="28"/>
              </w:rPr>
              <w:fldChar w:fldCharType="end"/>
            </w:r>
          </w:hyperlink>
        </w:p>
        <w:p w14:paraId="455FFC61" w14:textId="72F9011A"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3" w:history="1">
            <w:r w:rsidR="00893E78" w:rsidRPr="00C454A1">
              <w:rPr>
                <w:rStyle w:val="Hipervnculo"/>
                <w:rFonts w:ascii="Times New Roman" w:hAnsi="Times New Roman" w:cs="Times New Roman"/>
                <w:b w:val="0"/>
                <w:bCs w:val="0"/>
                <w:noProof/>
                <w:color w:val="000000" w:themeColor="text1"/>
                <w:sz w:val="28"/>
                <w:szCs w:val="28"/>
                <w:lang w:eastAsia="es-ES"/>
              </w:rPr>
              <w:t>6.2.2.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 xml:space="preserve">El carácter </w:t>
            </w:r>
            <w:r w:rsidR="00893E78" w:rsidRPr="00C454A1">
              <w:rPr>
                <w:rStyle w:val="Hipervnculo"/>
                <w:rFonts w:ascii="Times New Roman" w:hAnsi="Times New Roman" w:cs="Times New Roman"/>
                <w:b w:val="0"/>
                <w:bCs w:val="0"/>
                <w:i/>
                <w:iCs/>
                <w:noProof/>
                <w:color w:val="000000" w:themeColor="text1"/>
                <w:sz w:val="28"/>
                <w:szCs w:val="28"/>
                <w:lang w:eastAsia="es-ES"/>
              </w:rPr>
              <w:t>extraordinario</w:t>
            </w:r>
            <w:r w:rsidR="00893E78" w:rsidRPr="00C454A1">
              <w:rPr>
                <w:rStyle w:val="Hipervnculo"/>
                <w:rFonts w:ascii="Times New Roman" w:hAnsi="Times New Roman" w:cs="Times New Roman"/>
                <w:b w:val="0"/>
                <w:bCs w:val="0"/>
                <w:noProof/>
                <w:color w:val="000000" w:themeColor="text1"/>
                <w:sz w:val="28"/>
                <w:szCs w:val="28"/>
                <w:lang w:eastAsia="es-ES"/>
              </w:rPr>
              <w:t xml:space="preserve"> de la perturbación del orden público</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_Toc223979953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79</w:t>
            </w:r>
            <w:r w:rsidR="00893E78" w:rsidRPr="00C454A1">
              <w:rPr>
                <w:rFonts w:ascii="Times New Roman" w:hAnsi="Times New Roman" w:cs="Times New Roman"/>
                <w:b w:val="0"/>
                <w:bCs w:val="0"/>
                <w:noProof/>
                <w:webHidden/>
                <w:color w:val="000000" w:themeColor="text1"/>
                <w:sz w:val="28"/>
                <w:szCs w:val="28"/>
              </w:rPr>
              <w:fldChar w:fldCharType="end"/>
            </w:r>
          </w:hyperlink>
        </w:p>
        <w:p w14:paraId="0E61E74A" w14:textId="4C159105"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4" w:history="1">
            <w:r w:rsidR="00893E78" w:rsidRPr="00C454A1">
              <w:rPr>
                <w:rStyle w:val="Hipervnculo"/>
                <w:rFonts w:ascii="Times New Roman" w:hAnsi="Times New Roman" w:cs="Times New Roman"/>
                <w:b w:val="0"/>
                <w:bCs w:val="0"/>
                <w:noProof/>
                <w:color w:val="000000" w:themeColor="text1"/>
                <w:sz w:val="28"/>
                <w:szCs w:val="28"/>
                <w:lang w:eastAsia="es-ES"/>
              </w:rPr>
              <w:t>6.2.3.</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 xml:space="preserve">Afectación </w:t>
            </w:r>
            <w:r w:rsidR="00893E78" w:rsidRPr="00C454A1">
              <w:rPr>
                <w:rStyle w:val="Hipervnculo"/>
                <w:rFonts w:ascii="Times New Roman" w:hAnsi="Times New Roman" w:cs="Times New Roman"/>
                <w:b w:val="0"/>
                <w:bCs w:val="0"/>
                <w:i/>
                <w:iCs/>
                <w:noProof/>
                <w:color w:val="000000" w:themeColor="text1"/>
                <w:sz w:val="28"/>
                <w:szCs w:val="28"/>
                <w:lang w:eastAsia="es-ES"/>
              </w:rPr>
              <w:t>inminente</w:t>
            </w:r>
            <w:r w:rsidR="00893E78" w:rsidRPr="00C454A1">
              <w:rPr>
                <w:rStyle w:val="Hipervnculo"/>
                <w:rFonts w:ascii="Times New Roman" w:hAnsi="Times New Roman" w:cs="Times New Roman"/>
                <w:b w:val="0"/>
                <w:bCs w:val="0"/>
                <w:noProof/>
                <w:color w:val="000000" w:themeColor="text1"/>
                <w:sz w:val="28"/>
                <w:szCs w:val="28"/>
                <w:lang w:eastAsia="es-ES"/>
              </w:rPr>
              <w:t xml:space="preserve"> a la estabilidad institucional, la seguridad del Estado o a la convivencia ciudadana</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_Toc223979954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108</w:t>
            </w:r>
            <w:r w:rsidR="00893E78" w:rsidRPr="00C454A1">
              <w:rPr>
                <w:rFonts w:ascii="Times New Roman" w:hAnsi="Times New Roman" w:cs="Times New Roman"/>
                <w:b w:val="0"/>
                <w:bCs w:val="0"/>
                <w:noProof/>
                <w:webHidden/>
                <w:color w:val="000000" w:themeColor="text1"/>
                <w:sz w:val="28"/>
                <w:szCs w:val="28"/>
              </w:rPr>
              <w:fldChar w:fldCharType="end"/>
            </w:r>
          </w:hyperlink>
        </w:p>
        <w:p w14:paraId="5CF2B163" w14:textId="4CCE00EF"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5" w:history="1">
            <w:r w:rsidR="00893E78" w:rsidRPr="00C454A1">
              <w:rPr>
                <w:rStyle w:val="Hipervnculo"/>
                <w:rFonts w:ascii="Times New Roman" w:hAnsi="Times New Roman" w:cs="Times New Roman"/>
                <w:b w:val="0"/>
                <w:bCs w:val="0"/>
                <w:noProof/>
                <w:color w:val="000000" w:themeColor="text1"/>
                <w:sz w:val="28"/>
                <w:szCs w:val="28"/>
                <w:lang w:eastAsia="es-ES"/>
              </w:rPr>
              <w:t>6.2.4.</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Conclusión sobre el presupuesto valorativo</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_Toc223979955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113</w:t>
            </w:r>
            <w:r w:rsidR="00893E78" w:rsidRPr="00C454A1">
              <w:rPr>
                <w:rFonts w:ascii="Times New Roman" w:hAnsi="Times New Roman" w:cs="Times New Roman"/>
                <w:b w:val="0"/>
                <w:bCs w:val="0"/>
                <w:noProof/>
                <w:webHidden/>
                <w:color w:val="000000" w:themeColor="text1"/>
                <w:sz w:val="28"/>
                <w:szCs w:val="28"/>
              </w:rPr>
              <w:fldChar w:fldCharType="end"/>
            </w:r>
          </w:hyperlink>
        </w:p>
        <w:p w14:paraId="658C02F2" w14:textId="1A0A3F35"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6" w:history="1">
            <w:r w:rsidR="00893E78" w:rsidRPr="00C454A1">
              <w:rPr>
                <w:rStyle w:val="Hipervnculo"/>
                <w:rFonts w:ascii="Times New Roman" w:hAnsi="Times New Roman" w:cs="Times New Roman"/>
                <w:b w:val="0"/>
                <w:bCs w:val="0"/>
                <w:noProof/>
                <w:color w:val="000000" w:themeColor="text1"/>
                <w:sz w:val="28"/>
                <w:szCs w:val="28"/>
                <w:lang w:eastAsia="es-ES"/>
              </w:rPr>
              <w:t>6.3.</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Presupuesto de suficiencia</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_Toc223979956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115</w:t>
            </w:r>
            <w:r w:rsidR="00893E78" w:rsidRPr="00C454A1">
              <w:rPr>
                <w:rFonts w:ascii="Times New Roman" w:hAnsi="Times New Roman" w:cs="Times New Roman"/>
                <w:b w:val="0"/>
                <w:bCs w:val="0"/>
                <w:noProof/>
                <w:webHidden/>
                <w:color w:val="000000" w:themeColor="text1"/>
                <w:sz w:val="28"/>
                <w:szCs w:val="28"/>
              </w:rPr>
              <w:fldChar w:fldCharType="end"/>
            </w:r>
          </w:hyperlink>
        </w:p>
        <w:p w14:paraId="4759F1E7" w14:textId="068BD73B"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7" w:history="1">
            <w:r w:rsidR="00893E78" w:rsidRPr="00C454A1">
              <w:rPr>
                <w:rStyle w:val="Hipervnculo"/>
                <w:rFonts w:ascii="Times New Roman" w:hAnsi="Times New Roman" w:cs="Times New Roman"/>
                <w:b w:val="0"/>
                <w:bCs w:val="0"/>
                <w:noProof/>
                <w:color w:val="000000" w:themeColor="text1"/>
                <w:sz w:val="28"/>
                <w:szCs w:val="28"/>
              </w:rPr>
              <w:t>6.3.1.</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 xml:space="preserve">Resumen de los argumentos del Gobierno nacional sobre la </w:t>
            </w:r>
            <w:r w:rsidR="00893E78" w:rsidRPr="00C454A1">
              <w:rPr>
                <w:rStyle w:val="Hipervnculo"/>
                <w:rFonts w:ascii="Times New Roman" w:hAnsi="Times New Roman" w:cs="Times New Roman"/>
                <w:b w:val="0"/>
                <w:bCs w:val="0"/>
                <w:noProof/>
                <w:color w:val="000000" w:themeColor="text1"/>
                <w:sz w:val="28"/>
                <w:szCs w:val="28"/>
                <w:lang w:eastAsia="es-ES"/>
              </w:rPr>
              <w:t>insuficiencia</w:t>
            </w:r>
            <w:r w:rsidR="00893E78" w:rsidRPr="00C454A1">
              <w:rPr>
                <w:rStyle w:val="Hipervnculo"/>
                <w:rFonts w:ascii="Times New Roman" w:hAnsi="Times New Roman" w:cs="Times New Roman"/>
                <w:b w:val="0"/>
                <w:bCs w:val="0"/>
                <w:noProof/>
                <w:color w:val="000000" w:themeColor="text1"/>
                <w:sz w:val="28"/>
                <w:szCs w:val="28"/>
              </w:rPr>
              <w:t xml:space="preserve"> de sus atribuciones ordinarias</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_Toc223979957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116</w:t>
            </w:r>
            <w:r w:rsidR="00893E78" w:rsidRPr="00C454A1">
              <w:rPr>
                <w:rFonts w:ascii="Times New Roman" w:hAnsi="Times New Roman" w:cs="Times New Roman"/>
                <w:b w:val="0"/>
                <w:bCs w:val="0"/>
                <w:noProof/>
                <w:webHidden/>
                <w:color w:val="000000" w:themeColor="text1"/>
                <w:sz w:val="28"/>
                <w:szCs w:val="28"/>
              </w:rPr>
              <w:fldChar w:fldCharType="end"/>
            </w:r>
          </w:hyperlink>
        </w:p>
        <w:p w14:paraId="60A20BA6" w14:textId="6C598C18"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8" w:history="1">
            <w:r w:rsidR="00893E78" w:rsidRPr="00C454A1">
              <w:rPr>
                <w:rStyle w:val="Hipervnculo"/>
                <w:rFonts w:ascii="Times New Roman" w:hAnsi="Times New Roman" w:cs="Times New Roman"/>
                <w:b w:val="0"/>
                <w:bCs w:val="0"/>
                <w:noProof/>
                <w:color w:val="000000" w:themeColor="text1"/>
                <w:sz w:val="28"/>
                <w:szCs w:val="28"/>
              </w:rPr>
              <w:t>6.3.2.</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rPr>
              <w:t>Descripción general de las atribuciones, mecanismos y herramientas ordinarias a disposición del Gobierno nacional</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_Toc223979958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126</w:t>
            </w:r>
            <w:r w:rsidR="00893E78" w:rsidRPr="00C454A1">
              <w:rPr>
                <w:rFonts w:ascii="Times New Roman" w:hAnsi="Times New Roman" w:cs="Times New Roman"/>
                <w:b w:val="0"/>
                <w:bCs w:val="0"/>
                <w:noProof/>
                <w:webHidden/>
                <w:color w:val="000000" w:themeColor="text1"/>
                <w:sz w:val="28"/>
                <w:szCs w:val="28"/>
              </w:rPr>
              <w:fldChar w:fldCharType="end"/>
            </w:r>
          </w:hyperlink>
        </w:p>
        <w:p w14:paraId="43A5CC40" w14:textId="06E2F0F9"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59" w:history="1">
            <w:r w:rsidR="00893E78" w:rsidRPr="00C454A1">
              <w:rPr>
                <w:rStyle w:val="Hipervnculo"/>
                <w:rFonts w:ascii="Times New Roman" w:eastAsia="Times New Roman" w:hAnsi="Times New Roman" w:cs="Times New Roman"/>
                <w:b w:val="0"/>
                <w:bCs w:val="0"/>
                <w:noProof/>
                <w:color w:val="000000" w:themeColor="text1"/>
                <w:sz w:val="28"/>
                <w:szCs w:val="28"/>
                <w:lang w:val="es-ES"/>
              </w:rPr>
              <w:t>6.3.3.</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eastAsia="Times New Roman" w:hAnsi="Times New Roman" w:cs="Times New Roman"/>
                <w:b w:val="0"/>
                <w:bCs w:val="0"/>
                <w:noProof/>
                <w:color w:val="000000" w:themeColor="text1"/>
                <w:sz w:val="28"/>
                <w:szCs w:val="28"/>
                <w:lang w:val="es-ES"/>
              </w:rPr>
              <w:t xml:space="preserve">Análisis </w:t>
            </w:r>
            <w:r w:rsidR="00893E78" w:rsidRPr="00C454A1">
              <w:rPr>
                <w:rStyle w:val="Hipervnculo"/>
                <w:rFonts w:ascii="Times New Roman" w:eastAsia="Times New Roman" w:hAnsi="Times New Roman" w:cs="Times New Roman"/>
                <w:b w:val="0"/>
                <w:bCs w:val="0"/>
                <w:i/>
                <w:iCs/>
                <w:noProof/>
                <w:color w:val="000000" w:themeColor="text1"/>
                <w:sz w:val="28"/>
                <w:szCs w:val="28"/>
                <w:lang w:val="es-ES"/>
              </w:rPr>
              <w:t>global</w:t>
            </w:r>
            <w:r w:rsidR="00893E78" w:rsidRPr="00C454A1">
              <w:rPr>
                <w:rStyle w:val="Hipervnculo"/>
                <w:rFonts w:ascii="Times New Roman" w:eastAsia="Times New Roman" w:hAnsi="Times New Roman" w:cs="Times New Roman"/>
                <w:b w:val="0"/>
                <w:bCs w:val="0"/>
                <w:noProof/>
                <w:color w:val="000000" w:themeColor="text1"/>
                <w:sz w:val="28"/>
                <w:szCs w:val="28"/>
                <w:lang w:val="es-ES"/>
              </w:rPr>
              <w:t xml:space="preserve"> de la suficiencia de los mecanismos ordinarios a la luz de los argumentos y elementos de juicio aportados por el Gobierno nacional</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_Toc223979959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135</w:t>
            </w:r>
            <w:r w:rsidR="00893E78" w:rsidRPr="00C454A1">
              <w:rPr>
                <w:rFonts w:ascii="Times New Roman" w:hAnsi="Times New Roman" w:cs="Times New Roman"/>
                <w:b w:val="0"/>
                <w:bCs w:val="0"/>
                <w:noProof/>
                <w:webHidden/>
                <w:color w:val="000000" w:themeColor="text1"/>
                <w:sz w:val="28"/>
                <w:szCs w:val="28"/>
              </w:rPr>
              <w:fldChar w:fldCharType="end"/>
            </w:r>
          </w:hyperlink>
        </w:p>
        <w:p w14:paraId="4A999123" w14:textId="6A3ADFDE" w:rsidR="00893E78" w:rsidRPr="00C454A1" w:rsidRDefault="001F3006" w:rsidP="00893E78">
          <w:pPr>
            <w:pStyle w:val="TDC1"/>
            <w:tabs>
              <w:tab w:val="left" w:pos="84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60" w:history="1">
            <w:r w:rsidR="00893E78" w:rsidRPr="00C454A1">
              <w:rPr>
                <w:rStyle w:val="Hipervnculo"/>
                <w:rFonts w:ascii="Times New Roman" w:eastAsia="Aptos" w:hAnsi="Times New Roman" w:cs="Times New Roman"/>
                <w:b w:val="0"/>
                <w:bCs w:val="0"/>
                <w:noProof/>
                <w:color w:val="000000" w:themeColor="text1"/>
                <w:sz w:val="28"/>
                <w:szCs w:val="28"/>
                <w:lang w:val="es-ES"/>
              </w:rPr>
              <w:t>6.3.4.</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eastAsia="Times New Roman" w:hAnsi="Times New Roman" w:cs="Times New Roman"/>
                <w:b w:val="0"/>
                <w:bCs w:val="0"/>
                <w:noProof/>
                <w:color w:val="000000" w:themeColor="text1"/>
                <w:sz w:val="28"/>
                <w:szCs w:val="28"/>
                <w:lang w:val="es-ES"/>
              </w:rPr>
              <w:t>Conclusión</w:t>
            </w:r>
            <w:r w:rsidR="00893E78" w:rsidRPr="00C454A1">
              <w:rPr>
                <w:rStyle w:val="Hipervnculo"/>
                <w:rFonts w:ascii="Times New Roman" w:eastAsia="Aptos" w:hAnsi="Times New Roman" w:cs="Times New Roman"/>
                <w:b w:val="0"/>
                <w:bCs w:val="0"/>
                <w:noProof/>
                <w:color w:val="000000" w:themeColor="text1"/>
                <w:sz w:val="28"/>
                <w:szCs w:val="28"/>
                <w:lang w:val="es-ES"/>
              </w:rPr>
              <w:t xml:space="preserve"> sobre el juicio de suficiencia</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_Toc223979960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141</w:t>
            </w:r>
            <w:r w:rsidR="00893E78" w:rsidRPr="00C454A1">
              <w:rPr>
                <w:rFonts w:ascii="Times New Roman" w:hAnsi="Times New Roman" w:cs="Times New Roman"/>
                <w:b w:val="0"/>
                <w:bCs w:val="0"/>
                <w:noProof/>
                <w:webHidden/>
                <w:color w:val="000000" w:themeColor="text1"/>
                <w:sz w:val="28"/>
                <w:szCs w:val="28"/>
              </w:rPr>
              <w:fldChar w:fldCharType="end"/>
            </w:r>
          </w:hyperlink>
        </w:p>
        <w:p w14:paraId="0061B60C" w14:textId="167AC431"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61" w:history="1">
            <w:r w:rsidR="00893E78" w:rsidRPr="00C454A1">
              <w:rPr>
                <w:rStyle w:val="Hipervnculo"/>
                <w:rFonts w:ascii="Times New Roman" w:hAnsi="Times New Roman" w:cs="Times New Roman"/>
                <w:b w:val="0"/>
                <w:bCs w:val="0"/>
                <w:noProof/>
                <w:color w:val="000000" w:themeColor="text1"/>
                <w:sz w:val="28"/>
                <w:szCs w:val="28"/>
                <w:lang w:eastAsia="es-ES"/>
              </w:rPr>
              <w:t>7.</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noProof/>
                <w:color w:val="000000" w:themeColor="text1"/>
                <w:sz w:val="28"/>
                <w:szCs w:val="28"/>
                <w:lang w:eastAsia="es-ES"/>
              </w:rPr>
              <w:t>Conclusión</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_Toc223979961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142</w:t>
            </w:r>
            <w:r w:rsidR="00893E78" w:rsidRPr="00C454A1">
              <w:rPr>
                <w:rFonts w:ascii="Times New Roman" w:hAnsi="Times New Roman" w:cs="Times New Roman"/>
                <w:b w:val="0"/>
                <w:bCs w:val="0"/>
                <w:noProof/>
                <w:webHidden/>
                <w:color w:val="000000" w:themeColor="text1"/>
                <w:sz w:val="28"/>
                <w:szCs w:val="28"/>
              </w:rPr>
              <w:fldChar w:fldCharType="end"/>
            </w:r>
          </w:hyperlink>
        </w:p>
        <w:p w14:paraId="3F91A507" w14:textId="73103652" w:rsidR="00893E78" w:rsidRPr="00C454A1" w:rsidRDefault="001F3006" w:rsidP="00893E78">
          <w:pPr>
            <w:pStyle w:val="TDC1"/>
            <w:tabs>
              <w:tab w:val="left" w:pos="560"/>
              <w:tab w:val="right" w:leader="dot" w:pos="8830"/>
            </w:tabs>
            <w:spacing w:before="0" w:after="0"/>
            <w:rPr>
              <w:rFonts w:ascii="Times New Roman" w:eastAsiaTheme="minorEastAsia" w:hAnsi="Times New Roman" w:cs="Times New Roman"/>
              <w:b w:val="0"/>
              <w:bCs w:val="0"/>
              <w:caps/>
              <w:noProof/>
              <w:color w:val="000000" w:themeColor="text1"/>
              <w:sz w:val="28"/>
              <w:szCs w:val="28"/>
            </w:rPr>
          </w:pPr>
          <w:hyperlink w:anchor="_Toc223979962" w:history="1">
            <w:r w:rsidR="00893E78" w:rsidRPr="00C454A1">
              <w:rPr>
                <w:rStyle w:val="Hipervnculo"/>
                <w:rFonts w:ascii="Times New Roman" w:hAnsi="Times New Roman" w:cs="Times New Roman"/>
                <w:b w:val="0"/>
                <w:bCs w:val="0"/>
                <w:iCs/>
                <w:noProof/>
                <w:color w:val="000000" w:themeColor="text1"/>
                <w:sz w:val="28"/>
                <w:szCs w:val="28"/>
                <w:lang w:eastAsia="es-ES"/>
              </w:rPr>
              <w:t>III.</w:t>
            </w:r>
            <w:r w:rsidR="00893E78" w:rsidRPr="00C454A1">
              <w:rPr>
                <w:rFonts w:ascii="Times New Roman" w:eastAsiaTheme="minorEastAsia" w:hAnsi="Times New Roman" w:cs="Times New Roman"/>
                <w:b w:val="0"/>
                <w:bCs w:val="0"/>
                <w:caps/>
                <w:noProof/>
                <w:color w:val="000000" w:themeColor="text1"/>
                <w:sz w:val="28"/>
                <w:szCs w:val="28"/>
              </w:rPr>
              <w:tab/>
            </w:r>
            <w:r w:rsidR="00893E78" w:rsidRPr="00C454A1">
              <w:rPr>
                <w:rStyle w:val="Hipervnculo"/>
                <w:rFonts w:ascii="Times New Roman" w:hAnsi="Times New Roman" w:cs="Times New Roman"/>
                <w:b w:val="0"/>
                <w:bCs w:val="0"/>
                <w:iCs/>
                <w:noProof/>
                <w:color w:val="000000" w:themeColor="text1"/>
                <w:sz w:val="28"/>
                <w:szCs w:val="28"/>
                <w:lang w:eastAsia="es-ES"/>
              </w:rPr>
              <w:t>DECISIÓN</w:t>
            </w:r>
            <w:r w:rsidR="00893E78" w:rsidRPr="00C454A1">
              <w:rPr>
                <w:rFonts w:ascii="Times New Roman" w:hAnsi="Times New Roman" w:cs="Times New Roman"/>
                <w:b w:val="0"/>
                <w:bCs w:val="0"/>
                <w:noProof/>
                <w:webHidden/>
                <w:color w:val="000000" w:themeColor="text1"/>
                <w:sz w:val="28"/>
                <w:szCs w:val="28"/>
              </w:rPr>
              <w:tab/>
            </w:r>
            <w:r w:rsidR="00893E78" w:rsidRPr="00C454A1">
              <w:rPr>
                <w:rFonts w:ascii="Times New Roman" w:hAnsi="Times New Roman" w:cs="Times New Roman"/>
                <w:b w:val="0"/>
                <w:bCs w:val="0"/>
                <w:noProof/>
                <w:webHidden/>
                <w:color w:val="000000" w:themeColor="text1"/>
                <w:sz w:val="28"/>
                <w:szCs w:val="28"/>
              </w:rPr>
              <w:fldChar w:fldCharType="begin"/>
            </w:r>
            <w:r w:rsidR="00893E78" w:rsidRPr="00C454A1">
              <w:rPr>
                <w:rFonts w:ascii="Times New Roman" w:hAnsi="Times New Roman" w:cs="Times New Roman"/>
                <w:b w:val="0"/>
                <w:bCs w:val="0"/>
                <w:noProof/>
                <w:webHidden/>
                <w:color w:val="000000" w:themeColor="text1"/>
                <w:sz w:val="28"/>
                <w:szCs w:val="28"/>
              </w:rPr>
              <w:instrText xml:space="preserve"> PAGEREF _Toc223979962 \h </w:instrText>
            </w:r>
            <w:r w:rsidR="00893E78" w:rsidRPr="00C454A1">
              <w:rPr>
                <w:rFonts w:ascii="Times New Roman" w:hAnsi="Times New Roman" w:cs="Times New Roman"/>
                <w:b w:val="0"/>
                <w:bCs w:val="0"/>
                <w:noProof/>
                <w:webHidden/>
                <w:color w:val="000000" w:themeColor="text1"/>
                <w:sz w:val="28"/>
                <w:szCs w:val="28"/>
              </w:rPr>
            </w:r>
            <w:r w:rsidR="00893E78" w:rsidRPr="00C454A1">
              <w:rPr>
                <w:rFonts w:ascii="Times New Roman" w:hAnsi="Times New Roman" w:cs="Times New Roman"/>
                <w:b w:val="0"/>
                <w:bCs w:val="0"/>
                <w:noProof/>
                <w:webHidden/>
                <w:color w:val="000000" w:themeColor="text1"/>
                <w:sz w:val="28"/>
                <w:szCs w:val="28"/>
              </w:rPr>
              <w:fldChar w:fldCharType="separate"/>
            </w:r>
            <w:r w:rsidR="00881E6A">
              <w:rPr>
                <w:rFonts w:ascii="Times New Roman" w:hAnsi="Times New Roman" w:cs="Times New Roman"/>
                <w:b w:val="0"/>
                <w:bCs w:val="0"/>
                <w:noProof/>
                <w:webHidden/>
                <w:color w:val="000000" w:themeColor="text1"/>
                <w:sz w:val="28"/>
                <w:szCs w:val="28"/>
              </w:rPr>
              <w:t>144</w:t>
            </w:r>
            <w:r w:rsidR="00893E78" w:rsidRPr="00C454A1">
              <w:rPr>
                <w:rFonts w:ascii="Times New Roman" w:hAnsi="Times New Roman" w:cs="Times New Roman"/>
                <w:b w:val="0"/>
                <w:bCs w:val="0"/>
                <w:noProof/>
                <w:webHidden/>
                <w:color w:val="000000" w:themeColor="text1"/>
                <w:sz w:val="28"/>
                <w:szCs w:val="28"/>
              </w:rPr>
              <w:fldChar w:fldCharType="end"/>
            </w:r>
          </w:hyperlink>
        </w:p>
        <w:p w14:paraId="081E166D" w14:textId="68724CDD" w:rsidR="00893E78" w:rsidRPr="00C454A1" w:rsidRDefault="00893E78" w:rsidP="00893E78">
          <w:pPr>
            <w:rPr>
              <w:color w:val="000000" w:themeColor="text1"/>
            </w:rPr>
          </w:pPr>
          <w:r w:rsidRPr="00C454A1">
            <w:rPr>
              <w:rFonts w:cs="Times New Roman"/>
              <w:noProof/>
              <w:color w:val="000000" w:themeColor="text1"/>
              <w:szCs w:val="28"/>
            </w:rPr>
            <w:fldChar w:fldCharType="end"/>
          </w:r>
        </w:p>
      </w:sdtContent>
    </w:sdt>
    <w:p w14:paraId="4C4A91EA" w14:textId="3DF415F0" w:rsidR="00FA6CE1" w:rsidRPr="00C454A1" w:rsidRDefault="00FA6CE1" w:rsidP="00631C27">
      <w:pPr>
        <w:pStyle w:val="Prrafodelista"/>
        <w:widowControl w:val="0"/>
        <w:numPr>
          <w:ilvl w:val="0"/>
          <w:numId w:val="1"/>
        </w:numPr>
        <w:ind w:left="0" w:firstLine="0"/>
        <w:outlineLvl w:val="0"/>
        <w:rPr>
          <w:rFonts w:cs="Times New Roman"/>
          <w:b/>
          <w:bCs/>
          <w:iCs/>
          <w:color w:val="000000" w:themeColor="text1"/>
          <w:szCs w:val="28"/>
          <w:lang w:eastAsia="es-ES"/>
        </w:rPr>
      </w:pPr>
      <w:bookmarkStart w:id="18" w:name="_Toc223979923"/>
      <w:r w:rsidRPr="00C454A1">
        <w:rPr>
          <w:rFonts w:cs="Times New Roman"/>
          <w:b/>
          <w:bCs/>
          <w:iCs/>
          <w:color w:val="000000" w:themeColor="text1"/>
          <w:szCs w:val="28"/>
          <w:lang w:eastAsia="es-ES"/>
        </w:rPr>
        <w:t>ANTECEDENTES</w:t>
      </w:r>
      <w:bookmarkEnd w:id="18"/>
    </w:p>
    <w:p w14:paraId="116A9F4F" w14:textId="77777777" w:rsidR="00D07886" w:rsidRPr="00C454A1" w:rsidRDefault="00D07886" w:rsidP="00631C27">
      <w:pPr>
        <w:rPr>
          <w:color w:val="000000" w:themeColor="text1"/>
        </w:rPr>
      </w:pPr>
    </w:p>
    <w:p w14:paraId="172AED8A" w14:textId="5825E007" w:rsidR="003245A6" w:rsidRPr="00C454A1" w:rsidRDefault="003245A6" w:rsidP="00631C27">
      <w:pPr>
        <w:pStyle w:val="Prrafodelista"/>
        <w:widowControl w:val="0"/>
        <w:numPr>
          <w:ilvl w:val="0"/>
          <w:numId w:val="4"/>
        </w:numPr>
        <w:ind w:left="709" w:hanging="709"/>
        <w:outlineLvl w:val="0"/>
        <w:rPr>
          <w:rFonts w:cs="Times New Roman"/>
          <w:b/>
          <w:iCs/>
          <w:color w:val="000000" w:themeColor="text1"/>
          <w:szCs w:val="28"/>
        </w:rPr>
      </w:pPr>
      <w:bookmarkStart w:id="19" w:name="_Toc190338925"/>
      <w:bookmarkStart w:id="20" w:name="_Toc190339259"/>
      <w:bookmarkStart w:id="21" w:name="_Toc223979924"/>
      <w:r w:rsidRPr="00C454A1">
        <w:rPr>
          <w:rFonts w:cs="Times New Roman"/>
          <w:b/>
          <w:iCs/>
          <w:color w:val="000000" w:themeColor="text1"/>
          <w:szCs w:val="28"/>
        </w:rPr>
        <w:t>Trámite procesal</w:t>
      </w:r>
      <w:bookmarkEnd w:id="19"/>
      <w:bookmarkEnd w:id="20"/>
      <w:bookmarkEnd w:id="21"/>
    </w:p>
    <w:p w14:paraId="1F68C392" w14:textId="77777777" w:rsidR="003245A6" w:rsidRPr="00C454A1" w:rsidRDefault="003245A6" w:rsidP="00631C27">
      <w:pPr>
        <w:rPr>
          <w:color w:val="000000" w:themeColor="text1"/>
        </w:rPr>
      </w:pPr>
    </w:p>
    <w:p w14:paraId="605797BE" w14:textId="4CA9609A" w:rsidR="006C1371" w:rsidRPr="00C454A1" w:rsidRDefault="009763FD" w:rsidP="002F18CD">
      <w:pPr>
        <w:numPr>
          <w:ilvl w:val="0"/>
          <w:numId w:val="2"/>
        </w:numPr>
        <w:ind w:left="0" w:firstLine="0"/>
        <w:rPr>
          <w:color w:val="000000" w:themeColor="text1"/>
        </w:rPr>
      </w:pPr>
      <w:bookmarkStart w:id="22" w:name="_Toc190338926"/>
      <w:bookmarkStart w:id="23" w:name="_Toc190339145"/>
      <w:bookmarkStart w:id="24" w:name="_Toc190339260"/>
      <w:bookmarkStart w:id="25" w:name="_Toc190339436"/>
      <w:r w:rsidRPr="00C454A1">
        <w:rPr>
          <w:color w:val="000000" w:themeColor="text1"/>
        </w:rPr>
        <w:t xml:space="preserve">El </w:t>
      </w:r>
      <w:r w:rsidR="00D11B65" w:rsidRPr="00C454A1">
        <w:rPr>
          <w:color w:val="000000" w:themeColor="text1"/>
        </w:rPr>
        <w:t>24 de enero de 2025</w:t>
      </w:r>
      <w:r w:rsidRPr="00C454A1">
        <w:rPr>
          <w:color w:val="000000" w:themeColor="text1"/>
        </w:rPr>
        <w:t xml:space="preserve">, </w:t>
      </w:r>
      <w:r w:rsidR="000529EA" w:rsidRPr="00C454A1">
        <w:rPr>
          <w:color w:val="000000" w:themeColor="text1"/>
        </w:rPr>
        <w:t xml:space="preserve">el </w:t>
      </w:r>
      <w:r w:rsidR="00D671E6" w:rsidRPr="00C454A1">
        <w:rPr>
          <w:color w:val="000000" w:themeColor="text1"/>
        </w:rPr>
        <w:t>presidente</w:t>
      </w:r>
      <w:r w:rsidR="000529EA" w:rsidRPr="00C454A1">
        <w:rPr>
          <w:color w:val="000000" w:themeColor="text1"/>
        </w:rPr>
        <w:t xml:space="preserve"> de la República dictó el Decreto Legislativo </w:t>
      </w:r>
      <w:r w:rsidR="00D11B65" w:rsidRPr="00C454A1">
        <w:rPr>
          <w:color w:val="000000" w:themeColor="text1"/>
        </w:rPr>
        <w:t>62</w:t>
      </w:r>
      <w:r w:rsidR="001625B8" w:rsidRPr="00C454A1">
        <w:rPr>
          <w:color w:val="000000" w:themeColor="text1"/>
        </w:rPr>
        <w:t xml:space="preserve"> de 2025, por medio del cual declaró </w:t>
      </w:r>
      <w:r w:rsidR="006C1371" w:rsidRPr="00C454A1">
        <w:rPr>
          <w:color w:val="000000" w:themeColor="text1"/>
        </w:rPr>
        <w:t>“</w:t>
      </w:r>
      <w:r w:rsidR="001625B8" w:rsidRPr="00C454A1">
        <w:rPr>
          <w:color w:val="000000" w:themeColor="text1"/>
        </w:rPr>
        <w:t xml:space="preserve">el estado de conmoción </w:t>
      </w:r>
      <w:r w:rsidR="006C1371" w:rsidRPr="00C454A1">
        <w:rPr>
          <w:rFonts w:eastAsiaTheme="majorEastAsia"/>
          <w:color w:val="000000" w:themeColor="text1"/>
        </w:rPr>
        <w:t>interior en la región del Catatumbo, los municipios del área metropolitana de Cúcuta y los municipios de Río de Oro y González del departamento del Cesar”</w:t>
      </w:r>
      <w:r w:rsidR="00163154" w:rsidRPr="00C454A1">
        <w:rPr>
          <w:rFonts w:eastAsiaTheme="majorEastAsia"/>
          <w:color w:val="000000" w:themeColor="text1"/>
        </w:rPr>
        <w:t xml:space="preserve">, en ejercicio de la facultad prevista por el artículo </w:t>
      </w:r>
      <w:r w:rsidR="008B5048" w:rsidRPr="00C454A1">
        <w:rPr>
          <w:rFonts w:eastAsiaTheme="majorEastAsia"/>
          <w:color w:val="000000" w:themeColor="text1"/>
        </w:rPr>
        <w:t>213 de la Constitución Política.</w:t>
      </w:r>
      <w:bookmarkEnd w:id="22"/>
      <w:bookmarkEnd w:id="23"/>
      <w:bookmarkEnd w:id="24"/>
      <w:bookmarkEnd w:id="25"/>
      <w:r w:rsidR="008B5048" w:rsidRPr="00C454A1">
        <w:rPr>
          <w:rFonts w:eastAsiaTheme="majorEastAsia"/>
          <w:color w:val="000000" w:themeColor="text1"/>
        </w:rPr>
        <w:t xml:space="preserve"> </w:t>
      </w:r>
    </w:p>
    <w:p w14:paraId="68EA33BF" w14:textId="77777777" w:rsidR="00C94797" w:rsidRPr="00C454A1" w:rsidRDefault="00C94797" w:rsidP="00631C27">
      <w:pPr>
        <w:rPr>
          <w:color w:val="000000" w:themeColor="text1"/>
        </w:rPr>
      </w:pPr>
    </w:p>
    <w:p w14:paraId="1D324797" w14:textId="71DA4EEA" w:rsidR="00DD4E3C" w:rsidRPr="00C454A1" w:rsidRDefault="00C94797" w:rsidP="002F18CD">
      <w:pPr>
        <w:numPr>
          <w:ilvl w:val="0"/>
          <w:numId w:val="2"/>
        </w:numPr>
        <w:ind w:left="0" w:firstLine="0"/>
        <w:rPr>
          <w:rFonts w:cs="Times New Roman"/>
          <w:color w:val="000000" w:themeColor="text1"/>
          <w:szCs w:val="28"/>
        </w:rPr>
      </w:pPr>
      <w:bookmarkStart w:id="26" w:name="_Toc190338927"/>
      <w:bookmarkStart w:id="27" w:name="_Toc190339146"/>
      <w:bookmarkStart w:id="28" w:name="_Toc190339261"/>
      <w:bookmarkStart w:id="29" w:name="_Toc190339437"/>
      <w:r w:rsidRPr="00C454A1">
        <w:rPr>
          <w:rFonts w:cs="Times New Roman"/>
          <w:color w:val="000000" w:themeColor="text1"/>
          <w:szCs w:val="28"/>
        </w:rPr>
        <w:t xml:space="preserve">El 27 de enero de 2025, la Secretaría Jurídica de la Presidencia de la República remitió a la Corte Constitucional copia auténtica del Decreto Legislativo </w:t>
      </w:r>
      <w:r w:rsidRPr="00C454A1">
        <w:rPr>
          <w:rFonts w:cs="Times New Roman"/>
          <w:bCs/>
          <w:color w:val="000000" w:themeColor="text1"/>
          <w:szCs w:val="28"/>
        </w:rPr>
        <w:t>62 de 2025</w:t>
      </w:r>
      <w:r w:rsidRPr="00C454A1">
        <w:rPr>
          <w:rFonts w:cs="Times New Roman"/>
          <w:bCs/>
          <w:color w:val="000000" w:themeColor="text1"/>
          <w:szCs w:val="28"/>
          <w:vertAlign w:val="superscript"/>
        </w:rPr>
        <w:footnoteReference w:id="3"/>
      </w:r>
      <w:r w:rsidRPr="00C454A1">
        <w:rPr>
          <w:rFonts w:cs="Times New Roman"/>
          <w:bCs/>
          <w:color w:val="000000" w:themeColor="text1"/>
          <w:szCs w:val="28"/>
        </w:rPr>
        <w:t>.</w:t>
      </w:r>
      <w:bookmarkEnd w:id="26"/>
      <w:bookmarkEnd w:id="27"/>
      <w:bookmarkEnd w:id="28"/>
      <w:bookmarkEnd w:id="29"/>
      <w:r w:rsidRPr="00C454A1">
        <w:rPr>
          <w:rFonts w:cs="Times New Roman"/>
          <w:bCs/>
          <w:color w:val="000000" w:themeColor="text1"/>
          <w:szCs w:val="28"/>
        </w:rPr>
        <w:t xml:space="preserve"> </w:t>
      </w:r>
    </w:p>
    <w:p w14:paraId="3C5ED165" w14:textId="77777777" w:rsidR="00C94797" w:rsidRPr="00C454A1" w:rsidRDefault="00C94797" w:rsidP="00631C27">
      <w:pPr>
        <w:pStyle w:val="Prrafodelista"/>
        <w:rPr>
          <w:rFonts w:cs="Times New Roman"/>
          <w:color w:val="000000" w:themeColor="text1"/>
          <w:szCs w:val="28"/>
        </w:rPr>
      </w:pPr>
    </w:p>
    <w:p w14:paraId="1D67B8D7" w14:textId="31A28863" w:rsidR="00BF516E" w:rsidRPr="00C454A1" w:rsidRDefault="00C94797" w:rsidP="00BF516E">
      <w:pPr>
        <w:numPr>
          <w:ilvl w:val="0"/>
          <w:numId w:val="2"/>
        </w:numPr>
        <w:ind w:left="0" w:firstLine="0"/>
        <w:rPr>
          <w:rFonts w:cs="Times New Roman"/>
          <w:color w:val="000000" w:themeColor="text1"/>
          <w:szCs w:val="28"/>
        </w:rPr>
      </w:pPr>
      <w:bookmarkStart w:id="30" w:name="_Toc190338928"/>
      <w:bookmarkStart w:id="31" w:name="_Toc190339147"/>
      <w:bookmarkStart w:id="32" w:name="_Toc190339262"/>
      <w:bookmarkStart w:id="33" w:name="_Toc190339438"/>
      <w:r w:rsidRPr="00C454A1">
        <w:rPr>
          <w:rFonts w:cs="Times New Roman"/>
          <w:color w:val="000000" w:themeColor="text1"/>
          <w:szCs w:val="28"/>
        </w:rPr>
        <w:lastRenderedPageBreak/>
        <w:t>En la sesión de la Sala Plena de</w:t>
      </w:r>
      <w:r w:rsidR="00D546B9" w:rsidRPr="00C454A1">
        <w:rPr>
          <w:rFonts w:cs="Times New Roman"/>
          <w:color w:val="000000" w:themeColor="text1"/>
          <w:szCs w:val="28"/>
        </w:rPr>
        <w:t>l</w:t>
      </w:r>
      <w:r w:rsidRPr="00C454A1">
        <w:rPr>
          <w:rFonts w:cs="Times New Roman"/>
          <w:color w:val="000000" w:themeColor="text1"/>
          <w:szCs w:val="28"/>
        </w:rPr>
        <w:t xml:space="preserve"> 28 de enero de 2025, el expediente de la referencia fue repartido por sorteo a la magistrada Paola Andrea Meneses Mosquera</w:t>
      </w:r>
      <w:r w:rsidRPr="00C454A1">
        <w:rPr>
          <w:rStyle w:val="Refdenotaalpie"/>
          <w:rFonts w:cs="Times New Roman"/>
          <w:color w:val="000000" w:themeColor="text1"/>
          <w:szCs w:val="28"/>
        </w:rPr>
        <w:footnoteReference w:id="4"/>
      </w:r>
      <w:bookmarkEnd w:id="30"/>
      <w:bookmarkEnd w:id="31"/>
      <w:bookmarkEnd w:id="32"/>
      <w:bookmarkEnd w:id="33"/>
      <w:r w:rsidR="00BF09B2" w:rsidRPr="00C454A1">
        <w:rPr>
          <w:rFonts w:cs="Times New Roman"/>
          <w:color w:val="000000" w:themeColor="text1"/>
          <w:szCs w:val="28"/>
        </w:rPr>
        <w:t xml:space="preserve">. </w:t>
      </w:r>
    </w:p>
    <w:p w14:paraId="67FB8D75" w14:textId="77777777" w:rsidR="00C94797" w:rsidRPr="00C454A1" w:rsidRDefault="00C94797" w:rsidP="00631C27">
      <w:pPr>
        <w:pStyle w:val="Prrafodelista"/>
        <w:rPr>
          <w:rFonts w:cs="Times New Roman"/>
          <w:color w:val="000000" w:themeColor="text1"/>
          <w:szCs w:val="28"/>
        </w:rPr>
      </w:pPr>
    </w:p>
    <w:p w14:paraId="6C5A870A" w14:textId="1B5E161D" w:rsidR="00C94797" w:rsidRPr="00C454A1" w:rsidRDefault="00C94797" w:rsidP="002F18CD">
      <w:pPr>
        <w:numPr>
          <w:ilvl w:val="0"/>
          <w:numId w:val="2"/>
        </w:numPr>
        <w:ind w:left="0" w:firstLine="0"/>
        <w:rPr>
          <w:rFonts w:cs="Times New Roman"/>
          <w:color w:val="000000" w:themeColor="text1"/>
          <w:szCs w:val="28"/>
        </w:rPr>
      </w:pPr>
      <w:bookmarkStart w:id="34" w:name="_Toc190338929"/>
      <w:bookmarkStart w:id="35" w:name="_Toc190339148"/>
      <w:bookmarkStart w:id="36" w:name="_Toc190339263"/>
      <w:bookmarkStart w:id="37" w:name="_Toc190339439"/>
      <w:r w:rsidRPr="00C454A1">
        <w:rPr>
          <w:rFonts w:cs="Times New Roman"/>
          <w:color w:val="000000" w:themeColor="text1"/>
          <w:szCs w:val="28"/>
        </w:rPr>
        <w:t xml:space="preserve">Mediante el auto de </w:t>
      </w:r>
      <w:r w:rsidR="00045A07" w:rsidRPr="00C454A1">
        <w:rPr>
          <w:rFonts w:cs="Times New Roman"/>
          <w:color w:val="000000" w:themeColor="text1"/>
          <w:szCs w:val="28"/>
        </w:rPr>
        <w:t>31 de enero de 2025,</w:t>
      </w:r>
      <w:r w:rsidRPr="00C454A1">
        <w:rPr>
          <w:rFonts w:cs="Times New Roman"/>
          <w:color w:val="000000" w:themeColor="text1"/>
          <w:szCs w:val="28"/>
        </w:rPr>
        <w:t xml:space="preserve"> la magistrada </w:t>
      </w:r>
      <w:r w:rsidR="007F244B" w:rsidRPr="00C454A1">
        <w:rPr>
          <w:rFonts w:cs="Times New Roman"/>
          <w:color w:val="000000" w:themeColor="text1"/>
          <w:szCs w:val="28"/>
        </w:rPr>
        <w:t xml:space="preserve">Paola </w:t>
      </w:r>
      <w:r w:rsidR="007E399E" w:rsidRPr="00C454A1">
        <w:rPr>
          <w:rFonts w:cs="Times New Roman"/>
          <w:color w:val="000000" w:themeColor="text1"/>
          <w:szCs w:val="28"/>
        </w:rPr>
        <w:t>Andrea Meneses Mosquera</w:t>
      </w:r>
      <w:r w:rsidRPr="00C454A1">
        <w:rPr>
          <w:rFonts w:cs="Times New Roman"/>
          <w:color w:val="000000" w:themeColor="text1"/>
          <w:szCs w:val="28"/>
        </w:rPr>
        <w:t xml:space="preserve"> dispuso (i) avocar conocimiento del asunto; (ii) decret</w:t>
      </w:r>
      <w:r w:rsidR="00AA6788" w:rsidRPr="00C454A1">
        <w:rPr>
          <w:rFonts w:cs="Times New Roman"/>
          <w:color w:val="000000" w:themeColor="text1"/>
          <w:szCs w:val="28"/>
        </w:rPr>
        <w:t>ar</w:t>
      </w:r>
      <w:r w:rsidRPr="00C454A1">
        <w:rPr>
          <w:rFonts w:cs="Times New Roman"/>
          <w:color w:val="000000" w:themeColor="text1"/>
          <w:szCs w:val="28"/>
        </w:rPr>
        <w:t xml:space="preserve"> la práctica de pruebas</w:t>
      </w:r>
      <w:r w:rsidR="001C0E23" w:rsidRPr="00C454A1">
        <w:rPr>
          <w:rStyle w:val="Refdenotaalpie"/>
          <w:rFonts w:cs="Times New Roman"/>
          <w:color w:val="000000" w:themeColor="text1"/>
          <w:szCs w:val="28"/>
        </w:rPr>
        <w:footnoteReference w:id="5"/>
      </w:r>
      <w:r w:rsidRPr="00C454A1">
        <w:rPr>
          <w:rFonts w:cs="Times New Roman"/>
          <w:color w:val="000000" w:themeColor="text1"/>
          <w:szCs w:val="28"/>
        </w:rPr>
        <w:t xml:space="preserve">; (iii) </w:t>
      </w:r>
      <w:r w:rsidR="00F763F6" w:rsidRPr="00C454A1">
        <w:rPr>
          <w:rFonts w:cs="Times New Roman"/>
          <w:color w:val="000000" w:themeColor="text1"/>
          <w:szCs w:val="28"/>
        </w:rPr>
        <w:t xml:space="preserve">fijar en lista el </w:t>
      </w:r>
      <w:r w:rsidR="0083290C" w:rsidRPr="00C454A1">
        <w:rPr>
          <w:rFonts w:cs="Times New Roman"/>
          <w:color w:val="000000" w:themeColor="text1"/>
          <w:szCs w:val="28"/>
        </w:rPr>
        <w:t>proceso</w:t>
      </w:r>
      <w:r w:rsidR="00FD55CD" w:rsidRPr="00C454A1">
        <w:rPr>
          <w:rFonts w:cs="Times New Roman"/>
          <w:color w:val="000000" w:themeColor="text1"/>
          <w:szCs w:val="28"/>
        </w:rPr>
        <w:t xml:space="preserve"> en la Secretaría General de la Corte Constitucional para los fines previstos por los artículo</w:t>
      </w:r>
      <w:r w:rsidR="003E7F99" w:rsidRPr="00C454A1">
        <w:rPr>
          <w:rFonts w:cs="Times New Roman"/>
          <w:color w:val="000000" w:themeColor="text1"/>
          <w:szCs w:val="28"/>
        </w:rPr>
        <w:t>s</w:t>
      </w:r>
      <w:r w:rsidR="00FD55CD" w:rsidRPr="00C454A1">
        <w:rPr>
          <w:rFonts w:cs="Times New Roman"/>
          <w:color w:val="000000" w:themeColor="text1"/>
          <w:szCs w:val="28"/>
        </w:rPr>
        <w:t xml:space="preserve"> 242.1 de la Constitución y 37 del Decreto 2067 de 1991</w:t>
      </w:r>
      <w:r w:rsidR="00763C28" w:rsidRPr="00C454A1">
        <w:rPr>
          <w:rFonts w:cs="Times New Roman"/>
          <w:color w:val="000000" w:themeColor="text1"/>
          <w:szCs w:val="28"/>
        </w:rPr>
        <w:t>;</w:t>
      </w:r>
      <w:r w:rsidR="00F763F6" w:rsidRPr="00C454A1">
        <w:rPr>
          <w:rFonts w:cs="Times New Roman"/>
          <w:color w:val="000000" w:themeColor="text1"/>
          <w:szCs w:val="28"/>
        </w:rPr>
        <w:t xml:space="preserve"> (</w:t>
      </w:r>
      <w:r w:rsidR="00D265A1" w:rsidRPr="00C454A1">
        <w:rPr>
          <w:rFonts w:cs="Times New Roman"/>
          <w:color w:val="000000" w:themeColor="text1"/>
          <w:szCs w:val="28"/>
        </w:rPr>
        <w:t>i</w:t>
      </w:r>
      <w:r w:rsidR="00F763F6" w:rsidRPr="00C454A1">
        <w:rPr>
          <w:rFonts w:cs="Times New Roman"/>
          <w:color w:val="000000" w:themeColor="text1"/>
          <w:szCs w:val="28"/>
        </w:rPr>
        <w:t>v) correr traslado a la Procuraduría General de la Nación para el respectivo concepto</w:t>
      </w:r>
      <w:bookmarkEnd w:id="34"/>
      <w:bookmarkEnd w:id="35"/>
      <w:bookmarkEnd w:id="36"/>
      <w:bookmarkEnd w:id="37"/>
      <w:r w:rsidR="00D265A1" w:rsidRPr="00C454A1">
        <w:rPr>
          <w:rFonts w:cs="Times New Roman"/>
          <w:color w:val="000000" w:themeColor="text1"/>
          <w:szCs w:val="28"/>
        </w:rPr>
        <w:t xml:space="preserve">; (v) comunicar la iniciación del asunto al </w:t>
      </w:r>
      <w:r w:rsidR="00D671E6" w:rsidRPr="00C454A1">
        <w:rPr>
          <w:rFonts w:cs="Times New Roman"/>
          <w:color w:val="000000" w:themeColor="text1"/>
          <w:szCs w:val="28"/>
        </w:rPr>
        <w:t>p</w:t>
      </w:r>
      <w:r w:rsidR="00D265A1" w:rsidRPr="00C454A1">
        <w:rPr>
          <w:rFonts w:cs="Times New Roman"/>
          <w:color w:val="000000" w:themeColor="text1"/>
          <w:szCs w:val="28"/>
        </w:rPr>
        <w:t xml:space="preserve">residente de la República y a los ministerios que conforman el </w:t>
      </w:r>
      <w:r w:rsidR="007525E1" w:rsidRPr="00C454A1">
        <w:rPr>
          <w:rFonts w:cs="Times New Roman"/>
          <w:color w:val="000000" w:themeColor="text1"/>
          <w:szCs w:val="28"/>
        </w:rPr>
        <w:t>Gobierno nacional</w:t>
      </w:r>
      <w:r w:rsidR="008D74F1" w:rsidRPr="00C454A1">
        <w:rPr>
          <w:rFonts w:cs="Times New Roman"/>
          <w:color w:val="000000" w:themeColor="text1"/>
          <w:szCs w:val="28"/>
        </w:rPr>
        <w:t>, para exponer las razones que justifican la constitucionalida</w:t>
      </w:r>
      <w:r w:rsidR="004F4699" w:rsidRPr="00C454A1">
        <w:rPr>
          <w:rFonts w:cs="Times New Roman"/>
          <w:color w:val="000000" w:themeColor="text1"/>
          <w:szCs w:val="28"/>
        </w:rPr>
        <w:t>d</w:t>
      </w:r>
      <w:r w:rsidR="008D74F1" w:rsidRPr="00C454A1">
        <w:rPr>
          <w:rFonts w:cs="Times New Roman"/>
          <w:color w:val="000000" w:themeColor="text1"/>
          <w:szCs w:val="28"/>
        </w:rPr>
        <w:t xml:space="preserve"> del decreto </w:t>
      </w:r>
      <w:r w:rsidR="008D74F1" w:rsidRPr="00C454A1">
        <w:rPr>
          <w:rFonts w:cs="Times New Roman"/>
          <w:i/>
          <w:iCs/>
          <w:color w:val="000000" w:themeColor="text1"/>
          <w:szCs w:val="28"/>
        </w:rPr>
        <w:t>sub examine</w:t>
      </w:r>
      <w:r w:rsidR="00D265A1" w:rsidRPr="00C454A1">
        <w:rPr>
          <w:rFonts w:cs="Times New Roman"/>
          <w:color w:val="000000" w:themeColor="text1"/>
          <w:szCs w:val="28"/>
        </w:rPr>
        <w:t xml:space="preserve"> y, por último, (v</w:t>
      </w:r>
      <w:r w:rsidR="00B715CE" w:rsidRPr="00C454A1">
        <w:rPr>
          <w:rFonts w:cs="Times New Roman"/>
          <w:color w:val="000000" w:themeColor="text1"/>
          <w:szCs w:val="28"/>
        </w:rPr>
        <w:t>i</w:t>
      </w:r>
      <w:r w:rsidR="00D265A1" w:rsidRPr="00C454A1">
        <w:rPr>
          <w:rFonts w:cs="Times New Roman"/>
          <w:color w:val="000000" w:themeColor="text1"/>
          <w:szCs w:val="28"/>
        </w:rPr>
        <w:t xml:space="preserve">) invitar a </w:t>
      </w:r>
      <w:r w:rsidR="00F95C11" w:rsidRPr="00C454A1">
        <w:rPr>
          <w:rFonts w:cs="Times New Roman"/>
          <w:color w:val="000000" w:themeColor="text1"/>
          <w:szCs w:val="28"/>
        </w:rPr>
        <w:t xml:space="preserve">participar a distintas </w:t>
      </w:r>
      <w:r w:rsidR="00687B20" w:rsidRPr="00C454A1">
        <w:rPr>
          <w:rFonts w:cs="Times New Roman"/>
          <w:color w:val="000000" w:themeColor="text1"/>
          <w:szCs w:val="28"/>
        </w:rPr>
        <w:t>autoridades, organizaciones, instituciones y personas para</w:t>
      </w:r>
      <w:r w:rsidR="00147CB7" w:rsidRPr="00C454A1">
        <w:rPr>
          <w:rFonts w:cs="Times New Roman"/>
          <w:color w:val="000000" w:themeColor="text1"/>
          <w:szCs w:val="28"/>
        </w:rPr>
        <w:t xml:space="preserve"> que, si lo estimaban pertinente, se </w:t>
      </w:r>
      <w:r w:rsidR="00A42353" w:rsidRPr="00C454A1">
        <w:rPr>
          <w:rFonts w:cs="Times New Roman"/>
          <w:color w:val="000000" w:themeColor="text1"/>
          <w:szCs w:val="28"/>
        </w:rPr>
        <w:t>pronunciaran</w:t>
      </w:r>
      <w:r w:rsidR="00147CB7" w:rsidRPr="00C454A1">
        <w:rPr>
          <w:rFonts w:cs="Times New Roman"/>
          <w:color w:val="000000" w:themeColor="text1"/>
          <w:szCs w:val="28"/>
        </w:rPr>
        <w:t xml:space="preserve"> sobre la constitucionalidad del Decreto </w:t>
      </w:r>
      <w:r w:rsidR="00445897" w:rsidRPr="00C454A1">
        <w:rPr>
          <w:rFonts w:cs="Times New Roman"/>
          <w:color w:val="000000" w:themeColor="text1"/>
          <w:szCs w:val="28"/>
        </w:rPr>
        <w:t xml:space="preserve">Legislativo </w:t>
      </w:r>
      <w:r w:rsidR="006C5C49" w:rsidRPr="00C454A1">
        <w:rPr>
          <w:rFonts w:cs="Times New Roman"/>
          <w:color w:val="000000" w:themeColor="text1"/>
          <w:szCs w:val="28"/>
        </w:rPr>
        <w:t xml:space="preserve">62 de 2025. </w:t>
      </w:r>
      <w:r w:rsidR="000843B0" w:rsidRPr="00C454A1">
        <w:rPr>
          <w:rFonts w:cs="Times New Roman"/>
          <w:color w:val="000000" w:themeColor="text1"/>
          <w:szCs w:val="28"/>
        </w:rPr>
        <w:t xml:space="preserve">Además, por medio del </w:t>
      </w:r>
      <w:r w:rsidR="00DB3DE4" w:rsidRPr="00C454A1">
        <w:rPr>
          <w:rFonts w:cs="Times New Roman"/>
          <w:color w:val="000000" w:themeColor="text1"/>
          <w:szCs w:val="28"/>
        </w:rPr>
        <w:t>A</w:t>
      </w:r>
      <w:r w:rsidR="000843B0" w:rsidRPr="00C454A1">
        <w:rPr>
          <w:rFonts w:cs="Times New Roman"/>
          <w:color w:val="000000" w:themeColor="text1"/>
          <w:szCs w:val="28"/>
        </w:rPr>
        <w:t xml:space="preserve">uto de 6 de febrero de 2025, la magistrada </w:t>
      </w:r>
      <w:r w:rsidR="002B6BC9" w:rsidRPr="00C454A1">
        <w:rPr>
          <w:rFonts w:cs="Times New Roman"/>
          <w:color w:val="000000" w:themeColor="text1"/>
          <w:szCs w:val="28"/>
        </w:rPr>
        <w:t xml:space="preserve">ordenó el traslado de las grabaciones de las sesiones técnicas que </w:t>
      </w:r>
      <w:r w:rsidR="00406CCD" w:rsidRPr="00C454A1">
        <w:rPr>
          <w:rFonts w:cs="Times New Roman"/>
          <w:color w:val="000000" w:themeColor="text1"/>
          <w:szCs w:val="28"/>
        </w:rPr>
        <w:t>se llevaron a cabo</w:t>
      </w:r>
      <w:r w:rsidR="00C26309" w:rsidRPr="00C454A1">
        <w:rPr>
          <w:rFonts w:cs="Times New Roman"/>
          <w:color w:val="000000" w:themeColor="text1"/>
          <w:szCs w:val="28"/>
        </w:rPr>
        <w:t xml:space="preserve"> los días 31 de enero y 3 de febrero del mismo año</w:t>
      </w:r>
      <w:r w:rsidR="00187086" w:rsidRPr="00C454A1">
        <w:rPr>
          <w:rFonts w:cs="Times New Roman"/>
          <w:color w:val="000000" w:themeColor="text1"/>
          <w:szCs w:val="28"/>
        </w:rPr>
        <w:t xml:space="preserve">, en el marco del trámite de seguimiento al cumplimiento </w:t>
      </w:r>
      <w:r w:rsidR="00D546B9" w:rsidRPr="00C454A1">
        <w:rPr>
          <w:rFonts w:cs="Times New Roman"/>
          <w:color w:val="000000" w:themeColor="text1"/>
          <w:szCs w:val="28"/>
        </w:rPr>
        <w:t xml:space="preserve">de </w:t>
      </w:r>
      <w:r w:rsidR="00187086" w:rsidRPr="00C454A1">
        <w:rPr>
          <w:rFonts w:cs="Times New Roman"/>
          <w:color w:val="000000" w:themeColor="text1"/>
          <w:szCs w:val="28"/>
        </w:rPr>
        <w:t>las órdenes de la sentencia SU-020 de 2022</w:t>
      </w:r>
      <w:r w:rsidR="00D546B9" w:rsidRPr="00C454A1">
        <w:rPr>
          <w:rFonts w:cs="Times New Roman"/>
          <w:color w:val="000000" w:themeColor="text1"/>
          <w:szCs w:val="28"/>
        </w:rPr>
        <w:t>, al expediente RE-361</w:t>
      </w:r>
      <w:r w:rsidR="00187086" w:rsidRPr="00C454A1">
        <w:rPr>
          <w:rFonts w:cs="Times New Roman"/>
          <w:color w:val="000000" w:themeColor="text1"/>
          <w:szCs w:val="28"/>
        </w:rPr>
        <w:t xml:space="preserve">. </w:t>
      </w:r>
    </w:p>
    <w:p w14:paraId="3F1BA729" w14:textId="77777777" w:rsidR="009763FD" w:rsidRPr="00C454A1" w:rsidRDefault="009763FD" w:rsidP="00631C27">
      <w:pPr>
        <w:pStyle w:val="Prrafodelista"/>
        <w:rPr>
          <w:rFonts w:cs="Times New Roman"/>
          <w:color w:val="000000" w:themeColor="text1"/>
          <w:szCs w:val="28"/>
        </w:rPr>
      </w:pPr>
    </w:p>
    <w:p w14:paraId="0B8825E3" w14:textId="77777777" w:rsidR="00BF79DB" w:rsidRPr="00C454A1" w:rsidRDefault="00440591" w:rsidP="009F1A20">
      <w:pPr>
        <w:numPr>
          <w:ilvl w:val="0"/>
          <w:numId w:val="2"/>
        </w:numPr>
        <w:ind w:left="0" w:firstLine="0"/>
        <w:rPr>
          <w:rFonts w:cs="Times New Roman"/>
          <w:color w:val="000000" w:themeColor="text1"/>
          <w:szCs w:val="28"/>
        </w:rPr>
      </w:pPr>
      <w:bookmarkStart w:id="38" w:name="_Toc190338930"/>
      <w:bookmarkStart w:id="39" w:name="_Toc190339149"/>
      <w:bookmarkStart w:id="40" w:name="_Toc190339264"/>
      <w:bookmarkStart w:id="41" w:name="_Toc190339440"/>
      <w:r w:rsidRPr="00C454A1">
        <w:rPr>
          <w:rFonts w:cs="Times New Roman"/>
          <w:color w:val="000000" w:themeColor="text1"/>
          <w:szCs w:val="28"/>
        </w:rPr>
        <w:t>L</w:t>
      </w:r>
      <w:r w:rsidR="009763FD" w:rsidRPr="00C454A1">
        <w:rPr>
          <w:rFonts w:cs="Times New Roman"/>
          <w:color w:val="000000" w:themeColor="text1"/>
          <w:szCs w:val="28"/>
        </w:rPr>
        <w:t>a Corte recibió las pruebas solicitadas y el concepto de</w:t>
      </w:r>
      <w:r w:rsidR="007C2964" w:rsidRPr="00C454A1">
        <w:rPr>
          <w:rFonts w:cs="Times New Roman"/>
          <w:color w:val="000000" w:themeColor="text1"/>
          <w:szCs w:val="28"/>
        </w:rPr>
        <w:t xml:space="preserve"> </w:t>
      </w:r>
      <w:r w:rsidR="009763FD" w:rsidRPr="00C454A1">
        <w:rPr>
          <w:rFonts w:cs="Times New Roman"/>
          <w:color w:val="000000" w:themeColor="text1"/>
          <w:szCs w:val="28"/>
        </w:rPr>
        <w:t>l</w:t>
      </w:r>
      <w:r w:rsidR="007C2964" w:rsidRPr="00C454A1">
        <w:rPr>
          <w:rFonts w:cs="Times New Roman"/>
          <w:color w:val="000000" w:themeColor="text1"/>
          <w:szCs w:val="28"/>
        </w:rPr>
        <w:t>a</w:t>
      </w:r>
      <w:r w:rsidR="009763FD" w:rsidRPr="00C454A1">
        <w:rPr>
          <w:rFonts w:cs="Times New Roman"/>
          <w:color w:val="000000" w:themeColor="text1"/>
          <w:szCs w:val="28"/>
        </w:rPr>
        <w:t xml:space="preserve"> </w:t>
      </w:r>
      <w:r w:rsidR="008F28B9" w:rsidRPr="00C454A1">
        <w:rPr>
          <w:rFonts w:cs="Times New Roman"/>
          <w:color w:val="000000" w:themeColor="text1"/>
          <w:szCs w:val="28"/>
        </w:rPr>
        <w:t>Procuraduría General de la</w:t>
      </w:r>
      <w:r w:rsidR="009763FD" w:rsidRPr="00C454A1">
        <w:rPr>
          <w:rFonts w:cs="Times New Roman"/>
          <w:color w:val="000000" w:themeColor="text1"/>
          <w:szCs w:val="28"/>
        </w:rPr>
        <w:t xml:space="preserve"> Nación</w:t>
      </w:r>
      <w:r w:rsidRPr="00C454A1">
        <w:rPr>
          <w:rFonts w:cs="Times New Roman"/>
          <w:color w:val="000000" w:themeColor="text1"/>
          <w:szCs w:val="28"/>
        </w:rPr>
        <w:t xml:space="preserve">. </w:t>
      </w:r>
    </w:p>
    <w:p w14:paraId="186F415F" w14:textId="77777777" w:rsidR="00BF79DB" w:rsidRPr="00C454A1" w:rsidRDefault="00BF79DB" w:rsidP="00BF79DB">
      <w:pPr>
        <w:rPr>
          <w:rFonts w:cs="Times New Roman"/>
          <w:color w:val="000000" w:themeColor="text1"/>
          <w:szCs w:val="28"/>
        </w:rPr>
      </w:pPr>
    </w:p>
    <w:p w14:paraId="268DB3DC" w14:textId="243C940B" w:rsidR="007027C6" w:rsidRPr="00C454A1" w:rsidRDefault="007027C6" w:rsidP="009F1A20">
      <w:pPr>
        <w:numPr>
          <w:ilvl w:val="0"/>
          <w:numId w:val="2"/>
        </w:numPr>
        <w:ind w:left="0" w:firstLine="0"/>
        <w:rPr>
          <w:rFonts w:cs="Times New Roman"/>
          <w:color w:val="000000" w:themeColor="text1"/>
          <w:szCs w:val="28"/>
        </w:rPr>
      </w:pPr>
      <w:r w:rsidRPr="00C454A1">
        <w:rPr>
          <w:rFonts w:cs="Times New Roman"/>
          <w:color w:val="000000" w:themeColor="text1"/>
          <w:szCs w:val="28"/>
        </w:rPr>
        <w:t xml:space="preserve">En sesión del 29 de abril de 2025, </w:t>
      </w:r>
      <w:r w:rsidR="00D671E6" w:rsidRPr="00C454A1">
        <w:rPr>
          <w:rFonts w:cs="Times New Roman"/>
          <w:color w:val="000000" w:themeColor="text1"/>
          <w:szCs w:val="28"/>
        </w:rPr>
        <w:t xml:space="preserve">el proyecto </w:t>
      </w:r>
      <w:r w:rsidRPr="00C454A1">
        <w:rPr>
          <w:rFonts w:cs="Times New Roman"/>
          <w:color w:val="000000" w:themeColor="text1"/>
          <w:szCs w:val="28"/>
        </w:rPr>
        <w:t>de sentencia presentad</w:t>
      </w:r>
      <w:r w:rsidR="00D671E6" w:rsidRPr="00C454A1">
        <w:rPr>
          <w:rFonts w:cs="Times New Roman"/>
          <w:color w:val="000000" w:themeColor="text1"/>
          <w:szCs w:val="28"/>
        </w:rPr>
        <w:t>o</w:t>
      </w:r>
      <w:r w:rsidRPr="00C454A1">
        <w:rPr>
          <w:rFonts w:cs="Times New Roman"/>
          <w:color w:val="000000" w:themeColor="text1"/>
          <w:szCs w:val="28"/>
        </w:rPr>
        <w:t xml:space="preserve"> por la magistrada Paola Andrea Meneses Mosquera</w:t>
      </w:r>
      <w:r w:rsidR="00B65AE0" w:rsidRPr="00C454A1">
        <w:rPr>
          <w:rFonts w:cs="Times New Roman"/>
          <w:color w:val="000000" w:themeColor="text1"/>
          <w:szCs w:val="28"/>
        </w:rPr>
        <w:t xml:space="preserve"> </w:t>
      </w:r>
      <w:r w:rsidRPr="00C454A1">
        <w:rPr>
          <w:rFonts w:cs="Times New Roman"/>
          <w:color w:val="000000" w:themeColor="text1"/>
          <w:szCs w:val="28"/>
        </w:rPr>
        <w:t>fue derrotad</w:t>
      </w:r>
      <w:r w:rsidR="00D671E6" w:rsidRPr="00C454A1">
        <w:rPr>
          <w:rFonts w:cs="Times New Roman"/>
          <w:color w:val="000000" w:themeColor="text1"/>
          <w:szCs w:val="28"/>
        </w:rPr>
        <w:t>o</w:t>
      </w:r>
      <w:r w:rsidRPr="00C454A1">
        <w:rPr>
          <w:rFonts w:cs="Times New Roman"/>
          <w:color w:val="000000" w:themeColor="text1"/>
          <w:szCs w:val="28"/>
        </w:rPr>
        <w:t xml:space="preserve"> en la Sala Plena. </w:t>
      </w:r>
      <w:r w:rsidR="00EC6898" w:rsidRPr="00C454A1">
        <w:rPr>
          <w:rFonts w:cs="Times New Roman"/>
          <w:color w:val="000000" w:themeColor="text1"/>
          <w:szCs w:val="28"/>
        </w:rPr>
        <w:t xml:space="preserve">El nuevo </w:t>
      </w:r>
      <w:r w:rsidRPr="00C454A1">
        <w:rPr>
          <w:rFonts w:cs="Times New Roman"/>
          <w:color w:val="000000" w:themeColor="text1"/>
          <w:szCs w:val="28"/>
        </w:rPr>
        <w:t>reparto correspondió a las magistradas Natalia Ángel Cabo y Cristina Pardo Schlesinger.</w:t>
      </w:r>
    </w:p>
    <w:p w14:paraId="2539B4A6" w14:textId="77777777" w:rsidR="007027C6" w:rsidRPr="00C454A1" w:rsidRDefault="007027C6" w:rsidP="009F792C">
      <w:pPr>
        <w:pStyle w:val="Prrafodelista"/>
        <w:rPr>
          <w:rFonts w:cs="Times New Roman"/>
          <w:color w:val="000000" w:themeColor="text1"/>
          <w:szCs w:val="28"/>
        </w:rPr>
      </w:pPr>
    </w:p>
    <w:p w14:paraId="4EF8EFFD" w14:textId="3FCFEB96" w:rsidR="009763FD" w:rsidRPr="00C454A1" w:rsidRDefault="00440591" w:rsidP="009F1A20">
      <w:pPr>
        <w:numPr>
          <w:ilvl w:val="0"/>
          <w:numId w:val="2"/>
        </w:numPr>
        <w:ind w:left="0" w:firstLine="0"/>
        <w:rPr>
          <w:rFonts w:cs="Times New Roman"/>
          <w:color w:val="000000" w:themeColor="text1"/>
          <w:szCs w:val="28"/>
        </w:rPr>
      </w:pPr>
      <w:r w:rsidRPr="00C454A1">
        <w:rPr>
          <w:rFonts w:cs="Times New Roman"/>
          <w:color w:val="000000" w:themeColor="text1"/>
          <w:szCs w:val="28"/>
        </w:rPr>
        <w:t>Cumplidos</w:t>
      </w:r>
      <w:r w:rsidR="009763FD" w:rsidRPr="00C454A1">
        <w:rPr>
          <w:rFonts w:cs="Times New Roman"/>
          <w:color w:val="000000" w:themeColor="text1"/>
          <w:szCs w:val="28"/>
        </w:rPr>
        <w:t xml:space="preserve"> los trámites </w:t>
      </w:r>
      <w:r w:rsidR="000347AB" w:rsidRPr="00C454A1">
        <w:rPr>
          <w:rFonts w:cs="Times New Roman"/>
          <w:color w:val="000000" w:themeColor="text1"/>
          <w:szCs w:val="28"/>
        </w:rPr>
        <w:t>de rigor</w:t>
      </w:r>
      <w:r w:rsidR="009763FD" w:rsidRPr="00C454A1">
        <w:rPr>
          <w:rFonts w:cs="Times New Roman"/>
          <w:color w:val="000000" w:themeColor="text1"/>
          <w:szCs w:val="28"/>
        </w:rPr>
        <w:t xml:space="preserve">, </w:t>
      </w:r>
      <w:r w:rsidR="00357DA1" w:rsidRPr="00C454A1">
        <w:rPr>
          <w:rFonts w:cs="Times New Roman"/>
          <w:color w:val="000000" w:themeColor="text1"/>
          <w:szCs w:val="28"/>
        </w:rPr>
        <w:t xml:space="preserve">la Sala Plena </w:t>
      </w:r>
      <w:r w:rsidR="009763FD" w:rsidRPr="00C454A1">
        <w:rPr>
          <w:rFonts w:cs="Times New Roman"/>
          <w:color w:val="000000" w:themeColor="text1"/>
          <w:szCs w:val="28"/>
        </w:rPr>
        <w:t xml:space="preserve">procede a </w:t>
      </w:r>
      <w:r w:rsidR="00C0619E" w:rsidRPr="00C454A1">
        <w:rPr>
          <w:rFonts w:cs="Times New Roman"/>
          <w:color w:val="000000" w:themeColor="text1"/>
          <w:szCs w:val="28"/>
        </w:rPr>
        <w:t>analizar el Decreto Legislativo 62 de 2025</w:t>
      </w:r>
      <w:r w:rsidR="009763FD" w:rsidRPr="00C454A1">
        <w:rPr>
          <w:rFonts w:cs="Times New Roman"/>
          <w:color w:val="000000" w:themeColor="text1"/>
          <w:szCs w:val="28"/>
        </w:rPr>
        <w:t>.</w:t>
      </w:r>
      <w:bookmarkEnd w:id="38"/>
      <w:bookmarkEnd w:id="39"/>
      <w:bookmarkEnd w:id="40"/>
      <w:bookmarkEnd w:id="41"/>
      <w:r w:rsidR="009763FD" w:rsidRPr="00C454A1">
        <w:rPr>
          <w:rFonts w:cs="Times New Roman"/>
          <w:color w:val="000000" w:themeColor="text1"/>
          <w:szCs w:val="28"/>
        </w:rPr>
        <w:t xml:space="preserve"> </w:t>
      </w:r>
    </w:p>
    <w:p w14:paraId="1B969467" w14:textId="77777777" w:rsidR="00D07886" w:rsidRPr="00C454A1" w:rsidRDefault="00D07886" w:rsidP="00631C27">
      <w:pPr>
        <w:rPr>
          <w:color w:val="000000" w:themeColor="text1"/>
        </w:rPr>
      </w:pPr>
    </w:p>
    <w:p w14:paraId="715CFC39" w14:textId="73FA7ACC" w:rsidR="003245A6" w:rsidRPr="00C454A1" w:rsidRDefault="00DA21B7" w:rsidP="00631C27">
      <w:pPr>
        <w:pStyle w:val="Prrafodelista"/>
        <w:widowControl w:val="0"/>
        <w:numPr>
          <w:ilvl w:val="0"/>
          <w:numId w:val="4"/>
        </w:numPr>
        <w:ind w:left="709" w:hanging="709"/>
        <w:outlineLvl w:val="0"/>
        <w:rPr>
          <w:rFonts w:cs="Times New Roman"/>
          <w:b/>
          <w:iCs/>
          <w:color w:val="000000" w:themeColor="text1"/>
          <w:szCs w:val="28"/>
        </w:rPr>
      </w:pPr>
      <w:bookmarkStart w:id="42" w:name="_Toc190338931"/>
      <w:bookmarkStart w:id="43" w:name="_Toc190339265"/>
      <w:bookmarkStart w:id="44" w:name="_Toc223979925"/>
      <w:r w:rsidRPr="00C454A1">
        <w:rPr>
          <w:rFonts w:cs="Times New Roman"/>
          <w:b/>
          <w:iCs/>
          <w:color w:val="000000" w:themeColor="text1"/>
          <w:szCs w:val="28"/>
        </w:rPr>
        <w:t>Decreto objeto de revisión</w:t>
      </w:r>
      <w:bookmarkEnd w:id="42"/>
      <w:bookmarkEnd w:id="43"/>
      <w:bookmarkEnd w:id="44"/>
    </w:p>
    <w:p w14:paraId="647B53A2" w14:textId="77777777" w:rsidR="00D07886" w:rsidRPr="00C454A1" w:rsidRDefault="00D07886" w:rsidP="002F18CD">
      <w:pPr>
        <w:rPr>
          <w:color w:val="000000" w:themeColor="text1"/>
        </w:rPr>
      </w:pPr>
    </w:p>
    <w:p w14:paraId="47688DB8" w14:textId="363BAD2A" w:rsidR="004039DC" w:rsidRPr="00C454A1" w:rsidRDefault="00DA21B7" w:rsidP="002F18CD">
      <w:pPr>
        <w:numPr>
          <w:ilvl w:val="0"/>
          <w:numId w:val="2"/>
        </w:numPr>
        <w:ind w:left="0" w:firstLine="0"/>
        <w:rPr>
          <w:rFonts w:cs="Times New Roman"/>
          <w:color w:val="000000" w:themeColor="text1"/>
          <w:szCs w:val="28"/>
        </w:rPr>
      </w:pPr>
      <w:bookmarkStart w:id="45" w:name="_Toc190338932"/>
      <w:bookmarkStart w:id="46" w:name="_Toc190339151"/>
      <w:bookmarkStart w:id="47" w:name="_Toc190339266"/>
      <w:bookmarkStart w:id="48" w:name="_Toc190339442"/>
      <w:r w:rsidRPr="00C454A1">
        <w:rPr>
          <w:rFonts w:cs="Times New Roman"/>
          <w:color w:val="000000" w:themeColor="text1"/>
          <w:szCs w:val="28"/>
        </w:rPr>
        <w:t>A continuación, la Sala transcribe el Decreto</w:t>
      </w:r>
      <w:r w:rsidR="00045D6F" w:rsidRPr="00C454A1">
        <w:rPr>
          <w:rFonts w:cs="Times New Roman"/>
          <w:color w:val="000000" w:themeColor="text1"/>
          <w:szCs w:val="28"/>
        </w:rPr>
        <w:t xml:space="preserve"> Legislativo </w:t>
      </w:r>
      <w:r w:rsidRPr="00C454A1">
        <w:rPr>
          <w:rFonts w:cs="Times New Roman"/>
          <w:color w:val="000000" w:themeColor="text1"/>
          <w:szCs w:val="28"/>
        </w:rPr>
        <w:t>62 de 2025</w:t>
      </w:r>
      <w:r w:rsidR="007E710C" w:rsidRPr="00C454A1">
        <w:rPr>
          <w:rFonts w:eastAsiaTheme="majorEastAsia" w:cs="Times New Roman"/>
          <w:color w:val="000000" w:themeColor="text1"/>
          <w:szCs w:val="28"/>
        </w:rPr>
        <w:t>.</w:t>
      </w:r>
      <w:bookmarkEnd w:id="45"/>
      <w:bookmarkEnd w:id="46"/>
      <w:bookmarkEnd w:id="47"/>
      <w:bookmarkEnd w:id="48"/>
    </w:p>
    <w:p w14:paraId="6E4FEDC2" w14:textId="77777777" w:rsidR="004039DC" w:rsidRPr="00C454A1" w:rsidRDefault="004039DC" w:rsidP="00631C27">
      <w:pPr>
        <w:pStyle w:val="Prrafodelista"/>
        <w:widowControl w:val="0"/>
        <w:ind w:left="0" w:right="51"/>
        <w:outlineLvl w:val="0"/>
        <w:rPr>
          <w:rFonts w:cs="Times New Roman"/>
          <w:color w:val="000000" w:themeColor="text1"/>
          <w:sz w:val="20"/>
          <w:szCs w:val="20"/>
        </w:rPr>
      </w:pPr>
    </w:p>
    <w:p w14:paraId="652C0E69" w14:textId="77777777" w:rsidR="004E1934" w:rsidRPr="00C454A1" w:rsidRDefault="004E1934" w:rsidP="00631C27">
      <w:pPr>
        <w:pStyle w:val="Prrafodelista"/>
        <w:widowControl w:val="0"/>
        <w:ind w:left="0" w:right="51"/>
        <w:jc w:val="center"/>
        <w:outlineLvl w:val="0"/>
        <w:rPr>
          <w:rFonts w:cs="Times New Roman"/>
          <w:color w:val="000000" w:themeColor="text1"/>
          <w:sz w:val="20"/>
          <w:szCs w:val="20"/>
        </w:rPr>
        <w:sectPr w:rsidR="004E1934" w:rsidRPr="00C454A1" w:rsidSect="005528DA">
          <w:headerReference w:type="default" r:id="rId9"/>
          <w:footerReference w:type="default" r:id="rId10"/>
          <w:pgSz w:w="12242" w:h="18700"/>
          <w:pgMar w:top="1701" w:right="1134" w:bottom="1701" w:left="1701" w:header="737" w:footer="709" w:gutter="0"/>
          <w:cols w:space="708"/>
          <w:titlePg/>
          <w:docGrid w:linePitch="360"/>
        </w:sectPr>
      </w:pPr>
      <w:bookmarkStart w:id="49" w:name="_Toc190338933"/>
      <w:bookmarkStart w:id="50" w:name="_Toc190339152"/>
      <w:bookmarkStart w:id="51" w:name="_Toc190339267"/>
      <w:bookmarkStart w:id="52" w:name="_Toc190339443"/>
    </w:p>
    <w:p w14:paraId="63122C2F" w14:textId="67FB1BD1" w:rsidR="004F792B" w:rsidRPr="00C454A1" w:rsidRDefault="004F792B" w:rsidP="00A85A4A">
      <w:pPr>
        <w:jc w:val="center"/>
        <w:rPr>
          <w:b/>
          <w:bCs/>
          <w:color w:val="000000" w:themeColor="text1"/>
          <w:sz w:val="20"/>
          <w:szCs w:val="20"/>
        </w:rPr>
      </w:pPr>
      <w:r w:rsidRPr="00C454A1">
        <w:rPr>
          <w:color w:val="000000" w:themeColor="text1"/>
        </w:rPr>
        <w:lastRenderedPageBreak/>
        <w:t>“</w:t>
      </w:r>
      <w:r w:rsidRPr="00C454A1">
        <w:rPr>
          <w:b/>
          <w:bCs/>
          <w:color w:val="000000" w:themeColor="text1"/>
          <w:sz w:val="20"/>
          <w:szCs w:val="20"/>
        </w:rPr>
        <w:t>DECRETO 62 DE 2025</w:t>
      </w:r>
      <w:bookmarkEnd w:id="49"/>
      <w:bookmarkEnd w:id="50"/>
      <w:bookmarkEnd w:id="51"/>
      <w:bookmarkEnd w:id="52"/>
    </w:p>
    <w:p w14:paraId="4B35E7CE" w14:textId="77777777" w:rsidR="004F792B" w:rsidRPr="00C454A1" w:rsidRDefault="004F792B" w:rsidP="00A85A4A">
      <w:pPr>
        <w:jc w:val="center"/>
        <w:rPr>
          <w:rFonts w:cs="Times New Roman"/>
          <w:b/>
          <w:bCs/>
          <w:color w:val="000000" w:themeColor="text1"/>
          <w:sz w:val="20"/>
          <w:szCs w:val="20"/>
        </w:rPr>
      </w:pPr>
      <w:bookmarkStart w:id="53" w:name="_Toc190338934"/>
      <w:bookmarkStart w:id="54" w:name="_Toc190339153"/>
      <w:bookmarkStart w:id="55" w:name="_Toc190339268"/>
      <w:bookmarkStart w:id="56" w:name="_Toc190339444"/>
      <w:r w:rsidRPr="00C454A1">
        <w:rPr>
          <w:rFonts w:cs="Times New Roman"/>
          <w:b/>
          <w:bCs/>
          <w:color w:val="000000" w:themeColor="text1"/>
          <w:sz w:val="20"/>
          <w:szCs w:val="20"/>
        </w:rPr>
        <w:t>(enero 24)</w:t>
      </w:r>
      <w:bookmarkEnd w:id="53"/>
      <w:bookmarkEnd w:id="54"/>
      <w:bookmarkEnd w:id="55"/>
      <w:bookmarkEnd w:id="56"/>
    </w:p>
    <w:p w14:paraId="6E0AB6C7" w14:textId="77777777" w:rsidR="004F792B" w:rsidRPr="00C454A1" w:rsidRDefault="004F792B" w:rsidP="00A85A4A">
      <w:pPr>
        <w:jc w:val="center"/>
        <w:rPr>
          <w:rFonts w:cs="Times New Roman"/>
          <w:b/>
          <w:bCs/>
          <w:color w:val="000000" w:themeColor="text1"/>
          <w:sz w:val="20"/>
          <w:szCs w:val="20"/>
        </w:rPr>
      </w:pPr>
      <w:bookmarkStart w:id="57" w:name="_Toc190338935"/>
      <w:bookmarkStart w:id="58" w:name="_Toc190339154"/>
      <w:bookmarkStart w:id="59" w:name="_Toc190339269"/>
      <w:bookmarkStart w:id="60" w:name="_Toc190339445"/>
      <w:r w:rsidRPr="00C454A1">
        <w:rPr>
          <w:rFonts w:cs="Times New Roman"/>
          <w:b/>
          <w:bCs/>
          <w:color w:val="000000" w:themeColor="text1"/>
          <w:sz w:val="20"/>
          <w:szCs w:val="20"/>
        </w:rPr>
        <w:t>Por el cual se decreta el estado de conmoción interior en la región del Catatumbo, los municipios del área metropolitana de Cúcuta y los municipios de Río de Oro y González del departamento del Cesar</w:t>
      </w:r>
      <w:bookmarkEnd w:id="57"/>
      <w:bookmarkEnd w:id="58"/>
      <w:bookmarkEnd w:id="59"/>
      <w:bookmarkEnd w:id="60"/>
    </w:p>
    <w:p w14:paraId="5EC9E804" w14:textId="77777777" w:rsidR="004F792B" w:rsidRPr="00C454A1" w:rsidRDefault="004F792B" w:rsidP="00631C27">
      <w:pPr>
        <w:pStyle w:val="Prrafodelista"/>
        <w:widowControl w:val="0"/>
        <w:ind w:left="0" w:right="51"/>
        <w:outlineLvl w:val="0"/>
        <w:rPr>
          <w:rFonts w:cs="Times New Roman"/>
          <w:b/>
          <w:bCs/>
          <w:color w:val="000000" w:themeColor="text1"/>
          <w:sz w:val="20"/>
          <w:szCs w:val="20"/>
        </w:rPr>
      </w:pPr>
    </w:p>
    <w:p w14:paraId="0A6185E5" w14:textId="77777777" w:rsidR="004F792B" w:rsidRPr="00C454A1" w:rsidRDefault="004F792B" w:rsidP="00631C27">
      <w:pPr>
        <w:pStyle w:val="NormalWeb"/>
        <w:jc w:val="center"/>
        <w:rPr>
          <w:color w:val="000000" w:themeColor="text1"/>
          <w:sz w:val="20"/>
          <w:szCs w:val="20"/>
        </w:rPr>
      </w:pPr>
      <w:r w:rsidRPr="00C454A1">
        <w:rPr>
          <w:rStyle w:val="Textoennegrita"/>
          <w:rFonts w:eastAsiaTheme="majorEastAsia"/>
          <w:color w:val="000000" w:themeColor="text1"/>
          <w:sz w:val="20"/>
          <w:szCs w:val="20"/>
        </w:rPr>
        <w:t>EL PRESIDENTE DE LA REPÚBLICA DE COLOMBIA</w:t>
      </w:r>
      <w:r w:rsidRPr="00C454A1">
        <w:rPr>
          <w:color w:val="000000" w:themeColor="text1"/>
          <w:sz w:val="20"/>
          <w:szCs w:val="20"/>
        </w:rPr>
        <w:t>, </w:t>
      </w:r>
    </w:p>
    <w:p w14:paraId="5A5A62DA" w14:textId="5584EF60" w:rsidR="004F792B" w:rsidRPr="00C454A1" w:rsidRDefault="004F792B" w:rsidP="00631C27">
      <w:pPr>
        <w:pStyle w:val="NormalWeb"/>
        <w:jc w:val="center"/>
        <w:rPr>
          <w:color w:val="000000" w:themeColor="text1"/>
          <w:sz w:val="20"/>
          <w:szCs w:val="20"/>
        </w:rPr>
      </w:pPr>
      <w:r w:rsidRPr="00C454A1">
        <w:rPr>
          <w:rStyle w:val="vcitation"/>
          <w:rFonts w:eastAsiaTheme="majorEastAsia"/>
          <w:color w:val="000000" w:themeColor="text1"/>
          <w:sz w:val="20"/>
          <w:szCs w:val="20"/>
        </w:rPr>
        <w:t xml:space="preserve">en ejercicio de las facultades constitucionales y legales, en especial de las conferidas en el artículo </w:t>
      </w:r>
      <w:r w:rsidRPr="00C454A1">
        <w:rPr>
          <w:rStyle w:val="vcitation"/>
          <w:rFonts w:eastAsiaTheme="majorEastAsia"/>
          <w:color w:val="000000" w:themeColor="text1"/>
          <w:sz w:val="20"/>
          <w:szCs w:val="20"/>
        </w:rPr>
        <w:lastRenderedPageBreak/>
        <w:t>213 de la Constitución Política y el artículo 34 de la Ley 137 de 1994, y</w:t>
      </w:r>
    </w:p>
    <w:p w14:paraId="588F3C08" w14:textId="77777777" w:rsidR="004F792B" w:rsidRPr="00C454A1" w:rsidRDefault="004F792B" w:rsidP="00631C27">
      <w:pPr>
        <w:pStyle w:val="NormalWeb"/>
        <w:jc w:val="center"/>
        <w:rPr>
          <w:color w:val="000000" w:themeColor="text1"/>
          <w:sz w:val="20"/>
          <w:szCs w:val="20"/>
        </w:rPr>
      </w:pPr>
      <w:r w:rsidRPr="00C454A1">
        <w:rPr>
          <w:color w:val="000000" w:themeColor="text1"/>
          <w:sz w:val="20"/>
          <w:szCs w:val="20"/>
        </w:rPr>
        <w:t>  </w:t>
      </w:r>
    </w:p>
    <w:p w14:paraId="09FEDBE5" w14:textId="77777777" w:rsidR="004F792B" w:rsidRPr="00C454A1" w:rsidRDefault="004F792B" w:rsidP="00631C27">
      <w:pPr>
        <w:pStyle w:val="NormalWeb"/>
        <w:jc w:val="center"/>
        <w:rPr>
          <w:color w:val="000000" w:themeColor="text1"/>
          <w:sz w:val="20"/>
          <w:szCs w:val="20"/>
        </w:rPr>
      </w:pPr>
      <w:bookmarkStart w:id="61" w:name="ver_30346951"/>
      <w:bookmarkEnd w:id="61"/>
      <w:r w:rsidRPr="00C454A1">
        <w:rPr>
          <w:rStyle w:val="Textoennegrita"/>
          <w:rFonts w:eastAsiaTheme="majorEastAsia"/>
          <w:color w:val="000000" w:themeColor="text1"/>
          <w:sz w:val="20"/>
          <w:szCs w:val="20"/>
        </w:rPr>
        <w:t>CONSIDERANDO</w:t>
      </w:r>
      <w:r w:rsidRPr="00C454A1">
        <w:rPr>
          <w:color w:val="000000" w:themeColor="text1"/>
          <w:sz w:val="20"/>
          <w:szCs w:val="20"/>
        </w:rPr>
        <w:t> </w:t>
      </w:r>
    </w:p>
    <w:p w14:paraId="1146A3A1" w14:textId="77777777" w:rsidR="004F792B" w:rsidRPr="00C454A1" w:rsidRDefault="004F792B" w:rsidP="00631C27">
      <w:pPr>
        <w:pStyle w:val="NormalWeb"/>
        <w:jc w:val="center"/>
        <w:rPr>
          <w:color w:val="000000" w:themeColor="text1"/>
          <w:sz w:val="20"/>
          <w:szCs w:val="20"/>
        </w:rPr>
      </w:pPr>
      <w:r w:rsidRPr="00C454A1">
        <w:rPr>
          <w:color w:val="000000" w:themeColor="text1"/>
          <w:sz w:val="20"/>
          <w:szCs w:val="20"/>
        </w:rPr>
        <w:t>  </w:t>
      </w:r>
    </w:p>
    <w:p w14:paraId="5E001D3F" w14:textId="1C500896" w:rsidR="004F792B" w:rsidRPr="00C454A1" w:rsidRDefault="004F792B" w:rsidP="00631C27">
      <w:pPr>
        <w:pStyle w:val="NormalWeb"/>
        <w:rPr>
          <w:color w:val="000000" w:themeColor="text1"/>
          <w:sz w:val="20"/>
          <w:szCs w:val="20"/>
        </w:rPr>
      </w:pPr>
      <w:r w:rsidRPr="00C454A1">
        <w:rPr>
          <w:rStyle w:val="vcitation"/>
          <w:rFonts w:eastAsiaTheme="majorEastAsia"/>
          <w:color w:val="000000" w:themeColor="text1"/>
          <w:sz w:val="20"/>
          <w:szCs w:val="20"/>
        </w:rPr>
        <w:t>Que el artículo 213 de la Constitución Política dispone que, </w:t>
      </w:r>
      <w:r w:rsidR="00320F06" w:rsidRPr="00C454A1">
        <w:rPr>
          <w:rStyle w:val="nfasis"/>
          <w:rFonts w:eastAsiaTheme="majorEastAsia"/>
          <w:i w:val="0"/>
          <w:iCs w:val="0"/>
          <w:color w:val="000000" w:themeColor="text1"/>
          <w:sz w:val="20"/>
          <w:szCs w:val="20"/>
        </w:rPr>
        <w:t>“</w:t>
      </w:r>
      <w:r w:rsidRPr="00C454A1">
        <w:rPr>
          <w:rStyle w:val="nfasis"/>
          <w:rFonts w:eastAsiaTheme="majorEastAsia"/>
          <w:i w:val="0"/>
          <w:iCs w:val="0"/>
          <w:color w:val="000000" w:themeColor="text1"/>
          <w:sz w:val="20"/>
          <w:szCs w:val="20"/>
        </w:rPr>
        <w:t>en caso de grave perturbación del orden público que atente de manera inminente contra la estabilidad institucional, la seguridad del Estado, </w:t>
      </w:r>
      <w:r w:rsidRPr="00C454A1">
        <w:rPr>
          <w:color w:val="000000" w:themeColor="text1"/>
          <w:sz w:val="20"/>
          <w:szCs w:val="20"/>
        </w:rPr>
        <w:t>o</w:t>
      </w:r>
      <w:r w:rsidRPr="00C454A1">
        <w:rPr>
          <w:i/>
          <w:iCs/>
          <w:color w:val="000000" w:themeColor="text1"/>
          <w:sz w:val="20"/>
          <w:szCs w:val="20"/>
        </w:rPr>
        <w:t> </w:t>
      </w:r>
      <w:r w:rsidRPr="00C454A1">
        <w:rPr>
          <w:rStyle w:val="nfasis"/>
          <w:rFonts w:eastAsiaTheme="majorEastAsia"/>
          <w:i w:val="0"/>
          <w:iCs w:val="0"/>
          <w:color w:val="000000" w:themeColor="text1"/>
          <w:sz w:val="20"/>
          <w:szCs w:val="20"/>
        </w:rPr>
        <w:t>la convivencia ciudadana, </w:t>
      </w:r>
      <w:r w:rsidRPr="00C454A1">
        <w:rPr>
          <w:i/>
          <w:iCs/>
          <w:color w:val="000000" w:themeColor="text1"/>
          <w:sz w:val="20"/>
          <w:szCs w:val="20"/>
        </w:rPr>
        <w:t>y </w:t>
      </w:r>
      <w:r w:rsidRPr="00C454A1">
        <w:rPr>
          <w:rStyle w:val="nfasis"/>
          <w:rFonts w:eastAsiaTheme="majorEastAsia"/>
          <w:i w:val="0"/>
          <w:iCs w:val="0"/>
          <w:color w:val="000000" w:themeColor="text1"/>
          <w:sz w:val="20"/>
          <w:szCs w:val="20"/>
        </w:rPr>
        <w:t xml:space="preserve">que no pueda ser conjurada mediante el uso de las atribuciones ordinarias de las autoridades de Policía, el Presidente de la República, con la firma de todos los ministros, </w:t>
      </w:r>
      <w:r w:rsidRPr="00C454A1">
        <w:rPr>
          <w:rStyle w:val="nfasis"/>
          <w:rFonts w:eastAsiaTheme="majorEastAsia"/>
          <w:i w:val="0"/>
          <w:iCs w:val="0"/>
          <w:color w:val="000000" w:themeColor="text1"/>
          <w:sz w:val="20"/>
          <w:szCs w:val="20"/>
        </w:rPr>
        <w:lastRenderedPageBreak/>
        <w:t>podrá declarar el Estado de Conmoción Interior, en toda la República </w:t>
      </w:r>
      <w:r w:rsidRPr="00C454A1">
        <w:rPr>
          <w:color w:val="000000" w:themeColor="text1"/>
          <w:sz w:val="20"/>
          <w:szCs w:val="20"/>
        </w:rPr>
        <w:t>o</w:t>
      </w:r>
      <w:r w:rsidRPr="00C454A1">
        <w:rPr>
          <w:i/>
          <w:iCs/>
          <w:color w:val="000000" w:themeColor="text1"/>
          <w:sz w:val="20"/>
          <w:szCs w:val="20"/>
        </w:rPr>
        <w:t> </w:t>
      </w:r>
      <w:r w:rsidRPr="00C454A1">
        <w:rPr>
          <w:rStyle w:val="nfasis"/>
          <w:rFonts w:eastAsiaTheme="majorEastAsia"/>
          <w:i w:val="0"/>
          <w:iCs w:val="0"/>
          <w:color w:val="000000" w:themeColor="text1"/>
          <w:sz w:val="20"/>
          <w:szCs w:val="20"/>
        </w:rPr>
        <w:t>parte de ella, por término no mayor de noventa días, prorrogable hasta por dos períodos iguales, el segundo de los cuales requiere concepto previo </w:t>
      </w:r>
      <w:r w:rsidRPr="00C454A1">
        <w:rPr>
          <w:i/>
          <w:iCs/>
          <w:color w:val="000000" w:themeColor="text1"/>
          <w:sz w:val="20"/>
          <w:szCs w:val="20"/>
        </w:rPr>
        <w:t>y </w:t>
      </w:r>
      <w:r w:rsidRPr="00C454A1">
        <w:rPr>
          <w:rStyle w:val="nfasis"/>
          <w:rFonts w:eastAsiaTheme="majorEastAsia"/>
          <w:i w:val="0"/>
          <w:iCs w:val="0"/>
          <w:color w:val="000000" w:themeColor="text1"/>
          <w:sz w:val="20"/>
          <w:szCs w:val="20"/>
        </w:rPr>
        <w:t>favorable del Senado de la República</w:t>
      </w:r>
      <w:r w:rsidR="00320F06" w:rsidRPr="00C454A1">
        <w:rPr>
          <w:rStyle w:val="nfasis"/>
          <w:rFonts w:eastAsiaTheme="majorEastAsia"/>
          <w:i w:val="0"/>
          <w:iCs w:val="0"/>
          <w:color w:val="000000" w:themeColor="text1"/>
          <w:sz w:val="20"/>
          <w:szCs w:val="20"/>
        </w:rPr>
        <w:t>”</w:t>
      </w:r>
      <w:r w:rsidRPr="00C454A1">
        <w:rPr>
          <w:rStyle w:val="nfasis"/>
          <w:rFonts w:eastAsiaTheme="majorEastAsia"/>
          <w:i w:val="0"/>
          <w:iCs w:val="0"/>
          <w:color w:val="000000" w:themeColor="text1"/>
          <w:sz w:val="20"/>
          <w:szCs w:val="20"/>
        </w:rPr>
        <w:t>.</w:t>
      </w:r>
      <w:r w:rsidRPr="00C454A1">
        <w:rPr>
          <w:color w:val="000000" w:themeColor="text1"/>
          <w:sz w:val="20"/>
          <w:szCs w:val="20"/>
        </w:rPr>
        <w:t> </w:t>
      </w:r>
    </w:p>
    <w:p w14:paraId="456ED7D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85B7121" w14:textId="763AB70D"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la declaratoria de estado de conmoción interior habilita al </w:t>
      </w:r>
      <w:r w:rsidR="007525E1" w:rsidRPr="00C454A1">
        <w:rPr>
          <w:color w:val="000000" w:themeColor="text1"/>
          <w:sz w:val="20"/>
          <w:szCs w:val="20"/>
        </w:rPr>
        <w:t>Gobierno nacional</w:t>
      </w:r>
      <w:r w:rsidRPr="00C454A1">
        <w:rPr>
          <w:color w:val="000000" w:themeColor="text1"/>
          <w:sz w:val="20"/>
          <w:szCs w:val="20"/>
        </w:rPr>
        <w:t xml:space="preserve"> para dictar decretos legislativos en aras de conjurar las causas de la perturbación al orden público e impedir la extensión de sus efectos, para lo cual podrá, entre otras, suspender las leyes incompatibles con este estado de excepción. </w:t>
      </w:r>
    </w:p>
    <w:p w14:paraId="770FDBE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673E963" w14:textId="1F2F8EBE" w:rsidR="004F792B" w:rsidRPr="00C454A1" w:rsidRDefault="004F792B" w:rsidP="00631C27">
      <w:pPr>
        <w:pStyle w:val="NormalWeb"/>
        <w:rPr>
          <w:color w:val="000000" w:themeColor="text1"/>
          <w:sz w:val="20"/>
          <w:szCs w:val="20"/>
        </w:rPr>
      </w:pPr>
      <w:r w:rsidRPr="00C454A1">
        <w:rPr>
          <w:color w:val="000000" w:themeColor="text1"/>
          <w:sz w:val="20"/>
          <w:szCs w:val="20"/>
        </w:rPr>
        <w:t>Que la Corte Constitucional ha reiterado de manera uniforme que el orden público </w:t>
      </w:r>
      <w:r w:rsidR="003D57B5" w:rsidRPr="00C454A1">
        <w:rPr>
          <w:color w:val="000000" w:themeColor="text1"/>
          <w:sz w:val="20"/>
          <w:szCs w:val="20"/>
        </w:rPr>
        <w:t>‘</w:t>
      </w:r>
      <w:r w:rsidRPr="00C454A1">
        <w:rPr>
          <w:rStyle w:val="nfasis"/>
          <w:rFonts w:eastAsiaTheme="majorEastAsia"/>
          <w:color w:val="000000" w:themeColor="text1"/>
          <w:sz w:val="20"/>
          <w:szCs w:val="20"/>
        </w:rPr>
        <w:t>remite </w:t>
      </w:r>
      <w:r w:rsidRPr="00C454A1">
        <w:rPr>
          <w:color w:val="000000" w:themeColor="text1"/>
          <w:sz w:val="20"/>
          <w:szCs w:val="20"/>
        </w:rPr>
        <w:t>a </w:t>
      </w:r>
      <w:r w:rsidRPr="00C454A1">
        <w:rPr>
          <w:rStyle w:val="nfasis"/>
          <w:rFonts w:eastAsiaTheme="majorEastAsia"/>
          <w:color w:val="000000" w:themeColor="text1"/>
          <w:sz w:val="20"/>
          <w:szCs w:val="20"/>
        </w:rPr>
        <w:t>unas condiciones necesarias para el desenvolvimiento armónico </w:t>
      </w:r>
      <w:r w:rsidRPr="00C454A1">
        <w:rPr>
          <w:color w:val="000000" w:themeColor="text1"/>
          <w:sz w:val="20"/>
          <w:szCs w:val="20"/>
        </w:rPr>
        <w:t>y </w:t>
      </w:r>
      <w:r w:rsidRPr="00C454A1">
        <w:rPr>
          <w:rStyle w:val="nfasis"/>
          <w:rFonts w:eastAsiaTheme="majorEastAsia"/>
          <w:color w:val="000000" w:themeColor="text1"/>
          <w:sz w:val="20"/>
          <w:szCs w:val="20"/>
        </w:rPr>
        <w:t>pacífico de las relaciones sociales </w:t>
      </w:r>
      <w:r w:rsidRPr="00C454A1">
        <w:rPr>
          <w:color w:val="000000" w:themeColor="text1"/>
          <w:sz w:val="20"/>
          <w:szCs w:val="20"/>
        </w:rPr>
        <w:t>y, </w:t>
      </w:r>
      <w:r w:rsidRPr="00C454A1">
        <w:rPr>
          <w:rStyle w:val="nfasis"/>
          <w:rFonts w:eastAsiaTheme="majorEastAsia"/>
          <w:color w:val="000000" w:themeColor="text1"/>
          <w:sz w:val="20"/>
          <w:szCs w:val="20"/>
        </w:rPr>
        <w:t>en consecuencia, para la realización de los derechos" </w:t>
      </w:r>
      <w:r w:rsidRPr="00C454A1">
        <w:rPr>
          <w:rStyle w:val="vcitation"/>
          <w:rFonts w:eastAsiaTheme="majorEastAsia"/>
          <w:color w:val="000000" w:themeColor="text1"/>
          <w:sz w:val="20"/>
          <w:szCs w:val="20"/>
        </w:rPr>
        <w:t>(Sentencia C-802 de 2002) y que, a su vez,</w:t>
      </w:r>
      <w:r w:rsidR="00170F53" w:rsidRPr="00C454A1">
        <w:rPr>
          <w:rStyle w:val="vcitation"/>
          <w:rFonts w:eastAsiaTheme="majorEastAsia"/>
          <w:color w:val="000000" w:themeColor="text1"/>
          <w:sz w:val="20"/>
          <w:szCs w:val="20"/>
        </w:rPr>
        <w:t xml:space="preserve"> </w:t>
      </w:r>
      <w:r w:rsidRPr="00C454A1">
        <w:rPr>
          <w:rStyle w:val="nfasis"/>
          <w:rFonts w:eastAsiaTheme="majorEastAsia"/>
          <w:color w:val="000000" w:themeColor="text1"/>
          <w:sz w:val="20"/>
          <w:szCs w:val="20"/>
        </w:rPr>
        <w:t>"el concepto clásico de orden público, entendido como "el conjunto de condiciones de seguridad, tranquilidad </w:t>
      </w:r>
      <w:r w:rsidRPr="00C454A1">
        <w:rPr>
          <w:color w:val="000000" w:themeColor="text1"/>
          <w:sz w:val="20"/>
          <w:szCs w:val="20"/>
        </w:rPr>
        <w:t>y </w:t>
      </w:r>
      <w:r w:rsidRPr="00C454A1">
        <w:rPr>
          <w:rStyle w:val="nfasis"/>
          <w:rFonts w:eastAsiaTheme="majorEastAsia"/>
          <w:color w:val="000000" w:themeColor="text1"/>
          <w:sz w:val="20"/>
          <w:szCs w:val="20"/>
        </w:rPr>
        <w:t>salubridad que permiten la prosperidad general </w:t>
      </w:r>
      <w:r w:rsidRPr="00C454A1">
        <w:rPr>
          <w:color w:val="000000" w:themeColor="text1"/>
          <w:sz w:val="20"/>
          <w:szCs w:val="20"/>
        </w:rPr>
        <w:t>y </w:t>
      </w:r>
      <w:r w:rsidRPr="00C454A1">
        <w:rPr>
          <w:rStyle w:val="nfasis"/>
          <w:rFonts w:eastAsiaTheme="majorEastAsia"/>
          <w:color w:val="000000" w:themeColor="text1"/>
          <w:sz w:val="20"/>
          <w:szCs w:val="20"/>
        </w:rPr>
        <w:t>el goce de los derechos humanos", debe completarse con el medio ambiente sano, como soporte del adecuado desenvolvimiento de la vida en sociedad. En este sentido, el orden público debe definirse como las condiciones de seguridad, tranquilidad </w:t>
      </w:r>
      <w:r w:rsidRPr="00C454A1">
        <w:rPr>
          <w:color w:val="000000" w:themeColor="text1"/>
          <w:sz w:val="20"/>
          <w:szCs w:val="20"/>
        </w:rPr>
        <w:t>y </w:t>
      </w:r>
      <w:r w:rsidRPr="00C454A1">
        <w:rPr>
          <w:rStyle w:val="nfasis"/>
          <w:rFonts w:eastAsiaTheme="majorEastAsia"/>
          <w:color w:val="000000" w:themeColor="text1"/>
          <w:sz w:val="20"/>
          <w:szCs w:val="20"/>
        </w:rPr>
        <w:t>de sanidad medioambiental, necesarias para la convivencia </w:t>
      </w:r>
      <w:r w:rsidRPr="00C454A1">
        <w:rPr>
          <w:color w:val="000000" w:themeColor="text1"/>
          <w:sz w:val="20"/>
          <w:szCs w:val="20"/>
        </w:rPr>
        <w:t>y </w:t>
      </w:r>
      <w:r w:rsidRPr="00C454A1">
        <w:rPr>
          <w:rStyle w:val="nfasis"/>
          <w:rFonts w:eastAsiaTheme="majorEastAsia"/>
          <w:color w:val="000000" w:themeColor="text1"/>
          <w:sz w:val="20"/>
          <w:szCs w:val="20"/>
        </w:rPr>
        <w:t>la vigencia de los derechos constitucionales, al amparo del principio de dignidad humana</w:t>
      </w:r>
      <w:r w:rsidR="003D57B5" w:rsidRPr="00C454A1">
        <w:rPr>
          <w:rStyle w:val="nfasis"/>
          <w:rFonts w:eastAsiaTheme="majorEastAsia"/>
          <w:color w:val="000000" w:themeColor="text1"/>
          <w:sz w:val="20"/>
          <w:szCs w:val="20"/>
        </w:rPr>
        <w:t>’</w:t>
      </w:r>
      <w:r w:rsidRPr="00C454A1">
        <w:rPr>
          <w:rStyle w:val="nfasis"/>
          <w:rFonts w:eastAsiaTheme="majorEastAsia"/>
          <w:color w:val="000000" w:themeColor="text1"/>
          <w:sz w:val="20"/>
          <w:szCs w:val="20"/>
        </w:rPr>
        <w:t> </w:t>
      </w:r>
      <w:r w:rsidRPr="00C454A1">
        <w:rPr>
          <w:color w:val="000000" w:themeColor="text1"/>
          <w:sz w:val="20"/>
          <w:szCs w:val="20"/>
        </w:rPr>
        <w:t>(Sentencia C225 de 2017). </w:t>
      </w:r>
    </w:p>
    <w:p w14:paraId="17CD44E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8D9CFED" w14:textId="2DE8C1E5" w:rsidR="004F792B" w:rsidRPr="00C454A1" w:rsidRDefault="004F792B" w:rsidP="00631C27">
      <w:pPr>
        <w:pStyle w:val="NormalWeb"/>
        <w:rPr>
          <w:rStyle w:val="vcitation"/>
          <w:rFonts w:eastAsiaTheme="majorEastAsia"/>
          <w:color w:val="000000" w:themeColor="text1"/>
          <w:sz w:val="20"/>
          <w:szCs w:val="20"/>
        </w:rPr>
      </w:pPr>
      <w:r w:rsidRPr="00C454A1">
        <w:rPr>
          <w:rStyle w:val="vcitation"/>
          <w:rFonts w:eastAsiaTheme="majorEastAsia"/>
          <w:color w:val="000000" w:themeColor="text1"/>
          <w:sz w:val="20"/>
          <w:szCs w:val="20"/>
        </w:rPr>
        <w:t>Que los artículos 213 y 214 de la Constitución Política, la Ley 137 de 1994 -Estatutaria de los Estados de Excepción-y los tratados internacionales que reconocen Derechos Humanos y prohíben su limitación en los estados de excepción prevén requisitos formales y materiales que deben observar los estados de excepción y, en particular, el estado de conmoción interior.</w:t>
      </w:r>
    </w:p>
    <w:p w14:paraId="170A87CC" w14:textId="77777777" w:rsidR="004F792B" w:rsidRPr="00C454A1" w:rsidRDefault="004F792B" w:rsidP="00631C27">
      <w:pPr>
        <w:pStyle w:val="NormalWeb"/>
        <w:rPr>
          <w:rStyle w:val="vcitation"/>
          <w:rFonts w:eastAsiaTheme="majorEastAsia"/>
          <w:color w:val="000000" w:themeColor="text1"/>
          <w:sz w:val="20"/>
          <w:szCs w:val="20"/>
        </w:rPr>
      </w:pPr>
      <w:r w:rsidRPr="00C454A1">
        <w:rPr>
          <w:rStyle w:val="vcitation"/>
          <w:rFonts w:eastAsiaTheme="majorEastAsia"/>
          <w:color w:val="000000" w:themeColor="text1"/>
          <w:sz w:val="20"/>
          <w:szCs w:val="20"/>
        </w:rPr>
        <w:t>  </w:t>
      </w:r>
    </w:p>
    <w:p w14:paraId="0A0868A4" w14:textId="5F5D50B0" w:rsidR="004F792B" w:rsidRPr="00C454A1" w:rsidRDefault="004F792B" w:rsidP="00631C27">
      <w:pPr>
        <w:pStyle w:val="NormalWeb"/>
        <w:rPr>
          <w:rStyle w:val="vcitation"/>
          <w:rFonts w:eastAsiaTheme="majorEastAsia"/>
          <w:color w:val="000000" w:themeColor="text1"/>
          <w:sz w:val="20"/>
          <w:szCs w:val="20"/>
        </w:rPr>
      </w:pPr>
      <w:r w:rsidRPr="00C454A1">
        <w:rPr>
          <w:rStyle w:val="vcitation"/>
          <w:rFonts w:eastAsiaTheme="majorEastAsia"/>
          <w:color w:val="000000" w:themeColor="text1"/>
          <w:sz w:val="20"/>
          <w:szCs w:val="20"/>
        </w:rPr>
        <w:t>Que los referidos requisitos formales y materiales de los decretos de declaratoria de los estados de conmoción interior han sido definidos por la Corte Constitucional en las sentencias C-556 de 1992, C-031 de 1993, C-300 de 1994, C-027 de 1996, C-802 de 2002 y </w:t>
      </w:r>
      <w:r w:rsidR="00C908A9" w:rsidRPr="00C454A1">
        <w:rPr>
          <w:rStyle w:val="vcitation"/>
          <w:rFonts w:eastAsiaTheme="majorEastAsia"/>
          <w:color w:val="000000" w:themeColor="text1"/>
          <w:sz w:val="20"/>
          <w:szCs w:val="20"/>
        </w:rPr>
        <w:t>C-070 de 2009</w:t>
      </w:r>
      <w:r w:rsidRPr="00C454A1">
        <w:rPr>
          <w:rStyle w:val="vcitation"/>
          <w:rFonts w:eastAsiaTheme="majorEastAsia"/>
          <w:color w:val="000000" w:themeColor="text1"/>
          <w:sz w:val="20"/>
          <w:szCs w:val="20"/>
        </w:rPr>
        <w:t>, entre otras.</w:t>
      </w:r>
    </w:p>
    <w:p w14:paraId="7FA312A6" w14:textId="77777777" w:rsidR="004F792B" w:rsidRPr="00C454A1" w:rsidRDefault="004F792B" w:rsidP="00631C27">
      <w:pPr>
        <w:pStyle w:val="NormalWeb"/>
        <w:rPr>
          <w:rStyle w:val="vcitation"/>
          <w:rFonts w:eastAsiaTheme="majorEastAsia"/>
          <w:color w:val="000000" w:themeColor="text1"/>
          <w:sz w:val="20"/>
          <w:szCs w:val="20"/>
        </w:rPr>
      </w:pPr>
      <w:r w:rsidRPr="00C454A1">
        <w:rPr>
          <w:rStyle w:val="vcitation"/>
          <w:rFonts w:eastAsiaTheme="majorEastAsia"/>
          <w:color w:val="000000" w:themeColor="text1"/>
          <w:sz w:val="20"/>
          <w:szCs w:val="20"/>
        </w:rPr>
        <w:t>  </w:t>
      </w:r>
    </w:p>
    <w:p w14:paraId="2E0F578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a la luz de dichas sentencias, el decreto por medio del cual se declara un estado de conmoción interior debe observar los siguientes requisitos formales: (i) estar suscrito por el presidente de la República y todos los ministros del despacho, (ji) contener la debida motivación, (iii) fijar el ámbito temporal o término de duración del estado de conmoción interior, (iv) determinar su ámbito territorial de aplicación, (v) haber comunicado la adopción del estado de conmoción interior al Secretario General de la Organización de las Naciones Unidas y al Secretario General de la Organización de los Estados Americanos, (vi) convocar al Congreso de la República para que se reúna y (vii) remitir el decreto a la Corte Constitucional para su control. </w:t>
      </w:r>
    </w:p>
    <w:p w14:paraId="1D9E8F9F"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  </w:t>
      </w:r>
    </w:p>
    <w:p w14:paraId="66F8809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a su vez, este decreto debe cumplir los siguiente requisitos materiales: (i) presupuesto fáctico, esto es, basarse en hechos concretos, perceptibles y verificables, que constituyan graves perturbaciones del orden público que atenten de manera inminente contra la estabilidad institucional, la seguridad del Estado y la convivencia ciudadana, (ii) presupuesto valorativo, a saber, que las referidas perturbaciones del orden público sean objetivamente graves e intensas, y (iii) presupuesto de necesidad o insuficiencia de las medidas ordinarias, es decir, que dichas perturbaciones no puedan ser conjuradas mediante el uso de las competencias, funciones y herramientas ordinarias de las autoridades estatales y, por tanto, resulta necesario emplear medidas extraordinarias. </w:t>
      </w:r>
    </w:p>
    <w:p w14:paraId="666A9CD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30FB87A"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l. PRESUPUESTO FÁCTICO</w:t>
      </w:r>
      <w:r w:rsidRPr="00C454A1">
        <w:rPr>
          <w:color w:val="000000" w:themeColor="text1"/>
          <w:sz w:val="20"/>
          <w:szCs w:val="20"/>
        </w:rPr>
        <w:t> </w:t>
      </w:r>
    </w:p>
    <w:p w14:paraId="2D24E80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BE627D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el área metropolitana de Cúcuta está conformada por Cúcuta, capital departamental y núcleo del área, así como por los municipios de Villa del Rosario, Los Patios, El Zulia, San Cayetano y Puerto Santander. </w:t>
      </w:r>
    </w:p>
    <w:p w14:paraId="4794228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8FD556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la región del Catatumbo está ubicada en el nororiente del departamento de Norte de Santander y está conformada por los municipios de Ocaña, Ábrego, El Carmen, Convención, Teorama, San Calixto, Hacarí, La Playa, El Tarra, Tibú y Sardinata, así como por los territorios indígenas de los resguardos Motilón Barí y Catalaura La Gabarra, donde habita el pueblo Barí. </w:t>
      </w:r>
    </w:p>
    <w:p w14:paraId="49C251B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EC6D37E" w14:textId="43191FFF"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en la ecorregión Catatumbo, se ubica el Parque Nacional Natural Catatumbo -Barí, que comprende una extensión de 158.125 has. Así mismo, se encuentra el Área Natural Única </w:t>
      </w:r>
      <w:r w:rsidR="00890E9C" w:rsidRPr="00C454A1">
        <w:rPr>
          <w:color w:val="000000" w:themeColor="text1"/>
          <w:sz w:val="20"/>
          <w:szCs w:val="20"/>
        </w:rPr>
        <w:t>‘</w:t>
      </w:r>
      <w:r w:rsidRPr="00C454A1">
        <w:rPr>
          <w:color w:val="000000" w:themeColor="text1"/>
          <w:sz w:val="20"/>
          <w:szCs w:val="20"/>
        </w:rPr>
        <w:t>Los Estoraques</w:t>
      </w:r>
      <w:r w:rsidR="00890E9C" w:rsidRPr="00C454A1">
        <w:rPr>
          <w:color w:val="000000" w:themeColor="text1"/>
          <w:sz w:val="20"/>
          <w:szCs w:val="20"/>
        </w:rPr>
        <w:t>’</w:t>
      </w:r>
      <w:r w:rsidRPr="00C454A1">
        <w:rPr>
          <w:color w:val="000000" w:themeColor="text1"/>
          <w:sz w:val="20"/>
          <w:szCs w:val="20"/>
        </w:rPr>
        <w:t xml:space="preserve"> como integrante del Sistema de Parques Nacionales Naturales. </w:t>
      </w:r>
    </w:p>
    <w:p w14:paraId="6CAC711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E7AB9C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además, dicha área cuenta con valores ecológicos y geológicos excepcionales, además de rasgos no representados en otras zonas protegidas de Colombia, que se expresan en su geomorfología, aspectos biofísicos de sus ecosistemas, fauna y flora endémica características de este lugar. Dentro de las áreas protegidas se encuentran la zona de protección y desarrollo de los recursos naturales renovables y del medio ambiente la Reserva Forestal Protectora Jurisdicciones y el Área de Reserva Forestal Protectora la Cuenca Hidrográfica del Río Tejo. </w:t>
      </w:r>
    </w:p>
    <w:p w14:paraId="3534B81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28827AC" w14:textId="08EE7D56"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el Frente de Guerra Nororiental del Ejército de Liberación Nacional (ELN), los Grupos Armados Organizados residuales (GAOr) Segunda Marquetalia y Estado Mayor Central, y el Grupo Delincuencial Organizado (GDO) conocido como los </w:t>
      </w:r>
      <w:r w:rsidR="00AE43D7" w:rsidRPr="00C454A1">
        <w:rPr>
          <w:color w:val="000000" w:themeColor="text1"/>
          <w:sz w:val="20"/>
          <w:szCs w:val="20"/>
        </w:rPr>
        <w:t>‘</w:t>
      </w:r>
      <w:r w:rsidRPr="00C454A1">
        <w:rPr>
          <w:color w:val="000000" w:themeColor="text1"/>
          <w:sz w:val="20"/>
          <w:szCs w:val="20"/>
        </w:rPr>
        <w:t>Pelusos</w:t>
      </w:r>
      <w:r w:rsidR="00AE43D7" w:rsidRPr="00C454A1">
        <w:rPr>
          <w:color w:val="000000" w:themeColor="text1"/>
          <w:sz w:val="20"/>
          <w:szCs w:val="20"/>
        </w:rPr>
        <w:t>’</w:t>
      </w:r>
      <w:r w:rsidRPr="00C454A1">
        <w:rPr>
          <w:color w:val="000000" w:themeColor="text1"/>
          <w:sz w:val="20"/>
          <w:szCs w:val="20"/>
        </w:rPr>
        <w:t xml:space="preserve"> hacen presencia en la región del Catatumbo, y el grupo armado organizado Clan del Golfo intenta ingresar a la misma. </w:t>
      </w:r>
    </w:p>
    <w:p w14:paraId="7C66C3FA"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D794D8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los municipios de Río de Oro y González están ubicados al sur del departamento de Cesar y constituyen una de las puertas de entrada a la región del Catatumbo, siendo utilizada por el ELN para el tránsito de sus estructuras, víctimas de secuestro, </w:t>
      </w:r>
      <w:r w:rsidRPr="00C454A1">
        <w:rPr>
          <w:color w:val="000000" w:themeColor="text1"/>
          <w:sz w:val="20"/>
          <w:szCs w:val="20"/>
        </w:rPr>
        <w:lastRenderedPageBreak/>
        <w:t>rentas criminales, así como la comercialización y transporte de servicios, bienes e insumos utilizados para el financiamiento de sus actividades. Asimismo, en esos municipios se registra la influencia de redes de apoyo al ELN. </w:t>
      </w:r>
    </w:p>
    <w:p w14:paraId="019EEEC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93A585A" w14:textId="52AEEDF4" w:rsidR="004F792B" w:rsidRPr="00C454A1" w:rsidRDefault="004F792B" w:rsidP="00631C27">
      <w:pPr>
        <w:pStyle w:val="NormalWeb"/>
        <w:rPr>
          <w:color w:val="000000" w:themeColor="text1"/>
          <w:sz w:val="20"/>
          <w:szCs w:val="20"/>
        </w:rPr>
      </w:pPr>
      <w:r w:rsidRPr="00C454A1">
        <w:rPr>
          <w:color w:val="000000" w:themeColor="text1"/>
          <w:sz w:val="20"/>
          <w:szCs w:val="20"/>
        </w:rPr>
        <w:t>Que, con posterioridad a la firma del Acuerdo Final para la Terminación del Conflicto y la Construcción de una Paz Estable y Duradera (en adelante acuerdo final de paz) suscrito con las Fuerzas Armadas Revolucionarias de Colombia -Ejército del Pueblo (FARC-EP), el Estado colombiano asumió, a manera de Declaración Unilateral de Estado, compromisos vinculantes en el contexto internacional para garantizar el cumplimiento de las obligaciones derivadas de dicho instrumento y reafirmó la buena fe y el respeto de Colombia frente al derecho internacional, así como el compromiso de diseñar, implementar y ejecutar medidas relacionadas con la terminación del conflicto, entre otras, en la región del Catatumbo. </w:t>
      </w:r>
    </w:p>
    <w:p w14:paraId="5E5C404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41B937B" w14:textId="35925AD7" w:rsidR="004F792B" w:rsidRPr="00C454A1" w:rsidRDefault="004F792B" w:rsidP="00631C27">
      <w:pPr>
        <w:pStyle w:val="NormalWeb"/>
        <w:rPr>
          <w:color w:val="000000" w:themeColor="text1"/>
          <w:sz w:val="20"/>
          <w:szCs w:val="20"/>
        </w:rPr>
      </w:pPr>
      <w:r w:rsidRPr="00C454A1">
        <w:rPr>
          <w:rStyle w:val="vcitation"/>
          <w:rFonts w:eastAsiaTheme="majorEastAsia"/>
          <w:color w:val="000000" w:themeColor="text1"/>
          <w:sz w:val="20"/>
          <w:szCs w:val="20"/>
        </w:rPr>
        <w:t xml:space="preserve">Que, en </w:t>
      </w:r>
      <w:r w:rsidRPr="00C454A1">
        <w:rPr>
          <w:color w:val="000000" w:themeColor="text1"/>
          <w:sz w:val="20"/>
          <w:szCs w:val="20"/>
        </w:rPr>
        <w:t>la </w:t>
      </w:r>
      <w:r w:rsidR="00C908A9" w:rsidRPr="00C454A1">
        <w:rPr>
          <w:color w:val="000000" w:themeColor="text1"/>
          <w:sz w:val="20"/>
          <w:szCs w:val="20"/>
        </w:rPr>
        <w:t>sentencia SU-020 del 27 de enero de 2022</w:t>
      </w:r>
      <w:r w:rsidRPr="00C454A1">
        <w:rPr>
          <w:color w:val="000000" w:themeColor="text1"/>
          <w:sz w:val="20"/>
          <w:szCs w:val="20"/>
        </w:rPr>
        <w:t>, la Corte Constitucional declaró el estado de cosas inconstitucional por el bajo nivel de cumplimiento en la implementación del componente de garantías de seguridad a favor de la población signataria del acuerdo final de paz en proceso de reincorporación a la vida civil y de sus familias.</w:t>
      </w:r>
    </w:p>
    <w:p w14:paraId="00F5906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7B28F0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dicha decisión, la Corte resaltó que esta población </w:t>
      </w:r>
      <w:r w:rsidRPr="00C454A1">
        <w:rPr>
          <w:i/>
          <w:iCs/>
          <w:color w:val="000000" w:themeColor="text1"/>
          <w:sz w:val="20"/>
          <w:szCs w:val="20"/>
        </w:rPr>
        <w:t>"enfrenta graves riesgos que no solo </w:t>
      </w:r>
      <w:r w:rsidRPr="00C454A1">
        <w:rPr>
          <w:color w:val="000000" w:themeColor="text1"/>
          <w:sz w:val="20"/>
          <w:szCs w:val="20"/>
        </w:rPr>
        <w:t>se </w:t>
      </w:r>
      <w:r w:rsidRPr="00C454A1">
        <w:rPr>
          <w:i/>
          <w:iCs/>
          <w:color w:val="000000" w:themeColor="text1"/>
          <w:sz w:val="20"/>
          <w:szCs w:val="20"/>
        </w:rPr>
        <w:t>proyectan negativamente sobre sus derechos fundamentales </w:t>
      </w:r>
      <w:r w:rsidRPr="00C454A1">
        <w:rPr>
          <w:color w:val="000000" w:themeColor="text1"/>
          <w:sz w:val="20"/>
          <w:szCs w:val="20"/>
        </w:rPr>
        <w:t>a </w:t>
      </w:r>
      <w:r w:rsidRPr="00C454A1">
        <w:rPr>
          <w:i/>
          <w:iCs/>
          <w:color w:val="000000" w:themeColor="text1"/>
          <w:sz w:val="20"/>
          <w:szCs w:val="20"/>
        </w:rPr>
        <w:t>la vida, </w:t>
      </w:r>
      <w:r w:rsidRPr="00C454A1">
        <w:rPr>
          <w:color w:val="000000" w:themeColor="text1"/>
          <w:sz w:val="20"/>
          <w:szCs w:val="20"/>
        </w:rPr>
        <w:t>a </w:t>
      </w:r>
      <w:r w:rsidRPr="00C454A1">
        <w:rPr>
          <w:i/>
          <w:iCs/>
          <w:color w:val="000000" w:themeColor="text1"/>
          <w:sz w:val="20"/>
          <w:szCs w:val="20"/>
        </w:rPr>
        <w:t>la integridad personal, </w:t>
      </w:r>
      <w:r w:rsidRPr="00C454A1">
        <w:rPr>
          <w:color w:val="000000" w:themeColor="text1"/>
          <w:sz w:val="20"/>
          <w:szCs w:val="20"/>
        </w:rPr>
        <w:t>a </w:t>
      </w:r>
      <w:r w:rsidRPr="00C454A1">
        <w:rPr>
          <w:i/>
          <w:iCs/>
          <w:color w:val="000000" w:themeColor="text1"/>
          <w:sz w:val="20"/>
          <w:szCs w:val="20"/>
        </w:rPr>
        <w:t>la seguridad </w:t>
      </w:r>
      <w:r w:rsidRPr="00C454A1">
        <w:rPr>
          <w:color w:val="000000" w:themeColor="text1"/>
          <w:sz w:val="20"/>
          <w:szCs w:val="20"/>
        </w:rPr>
        <w:t>y a </w:t>
      </w:r>
      <w:r w:rsidRPr="00C454A1">
        <w:rPr>
          <w:i/>
          <w:iCs/>
          <w:color w:val="000000" w:themeColor="text1"/>
          <w:sz w:val="20"/>
          <w:szCs w:val="20"/>
        </w:rPr>
        <w:t>la paz, sino repercuten de modo profundo en 'los procesos políticos, sociales, económicos </w:t>
      </w:r>
      <w:r w:rsidRPr="00C454A1">
        <w:rPr>
          <w:color w:val="000000" w:themeColor="text1"/>
          <w:sz w:val="20"/>
          <w:szCs w:val="20"/>
        </w:rPr>
        <w:t>y </w:t>
      </w:r>
      <w:r w:rsidRPr="00C454A1">
        <w:rPr>
          <w:i/>
          <w:iCs/>
          <w:color w:val="000000" w:themeColor="text1"/>
          <w:sz w:val="20"/>
          <w:szCs w:val="20"/>
        </w:rPr>
        <w:t>culturales que permitirían el éxito del proceso de reincorporación </w:t>
      </w:r>
      <w:r w:rsidRPr="00C454A1">
        <w:rPr>
          <w:color w:val="000000" w:themeColor="text1"/>
          <w:sz w:val="20"/>
          <w:szCs w:val="20"/>
        </w:rPr>
        <w:t>y, </w:t>
      </w:r>
      <w:r w:rsidRPr="00C454A1">
        <w:rPr>
          <w:i/>
          <w:iCs/>
          <w:color w:val="000000" w:themeColor="text1"/>
          <w:sz w:val="20"/>
          <w:szCs w:val="20"/>
        </w:rPr>
        <w:t>con este, del Acuerdo Final de Paz"'.</w:t>
      </w:r>
      <w:r w:rsidRPr="00C454A1">
        <w:rPr>
          <w:color w:val="000000" w:themeColor="text1"/>
          <w:sz w:val="20"/>
          <w:szCs w:val="20"/>
        </w:rPr>
        <w:t> </w:t>
      </w:r>
    </w:p>
    <w:p w14:paraId="4825A27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6D66088" w14:textId="7B6AB0D8"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mediante el Plan Nacional de Desarrollo 2022-2026 </w:t>
      </w:r>
      <w:r w:rsidR="00BC2700" w:rsidRPr="00C454A1">
        <w:rPr>
          <w:color w:val="000000" w:themeColor="text1"/>
          <w:sz w:val="20"/>
          <w:szCs w:val="20"/>
        </w:rPr>
        <w:t>‘</w:t>
      </w:r>
      <w:r w:rsidRPr="00C454A1">
        <w:rPr>
          <w:color w:val="000000" w:themeColor="text1"/>
          <w:sz w:val="20"/>
          <w:szCs w:val="20"/>
        </w:rPr>
        <w:t>Colombia Potencia Mundial de la Vida</w:t>
      </w:r>
      <w:r w:rsidR="00BC2700" w:rsidRPr="00C454A1">
        <w:rPr>
          <w:color w:val="000000" w:themeColor="text1"/>
          <w:sz w:val="20"/>
          <w:szCs w:val="20"/>
        </w:rPr>
        <w:t>’</w:t>
      </w:r>
      <w:r w:rsidRPr="00C454A1">
        <w:rPr>
          <w:color w:val="000000" w:themeColor="text1"/>
          <w:sz w:val="20"/>
          <w:szCs w:val="20"/>
        </w:rPr>
        <w:t xml:space="preserve">, adoptado por la Ley 2294 de 2023, se diseñó, bajo el eje transformador de Seguridad Humana, la política pública de la Paz Total, entendida como la apuesta participativa, amplia, incluyente e integral para la consolidación de una paz estable y duradera en todo el territorio nacional y, particularmente, en </w:t>
      </w:r>
      <w:r w:rsidR="00B509E9" w:rsidRPr="00C454A1">
        <w:rPr>
          <w:color w:val="000000" w:themeColor="text1"/>
          <w:sz w:val="20"/>
          <w:szCs w:val="20"/>
        </w:rPr>
        <w:t>l</w:t>
      </w:r>
      <w:r w:rsidRPr="00C454A1">
        <w:rPr>
          <w:color w:val="000000" w:themeColor="text1"/>
          <w:sz w:val="20"/>
          <w:szCs w:val="20"/>
        </w:rPr>
        <w:t>os territorios más afectados por el conflicto armado, como la región del Catatumbo.</w:t>
      </w:r>
    </w:p>
    <w:p w14:paraId="49422F2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B18AF29" w14:textId="273620B2"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en el marco de dichos compromisos y políticas públicas, el Gobierno ha incentivado y promovido la presencia y </w:t>
      </w:r>
      <w:r w:rsidR="00B509E9" w:rsidRPr="00C454A1">
        <w:rPr>
          <w:color w:val="000000" w:themeColor="text1"/>
          <w:sz w:val="20"/>
          <w:szCs w:val="20"/>
        </w:rPr>
        <w:t>l</w:t>
      </w:r>
      <w:r w:rsidRPr="00C454A1">
        <w:rPr>
          <w:color w:val="000000" w:themeColor="text1"/>
          <w:sz w:val="20"/>
          <w:szCs w:val="20"/>
        </w:rPr>
        <w:t xml:space="preserve">as ofertas institucionales en la región del Catatumbo, mediante programas dirigidos a la sustitución de los cultivos ilícitos y </w:t>
      </w:r>
      <w:r w:rsidR="00B509E9" w:rsidRPr="00C454A1">
        <w:rPr>
          <w:color w:val="000000" w:themeColor="text1"/>
          <w:sz w:val="20"/>
          <w:szCs w:val="20"/>
        </w:rPr>
        <w:t>l</w:t>
      </w:r>
      <w:r w:rsidRPr="00C454A1">
        <w:rPr>
          <w:color w:val="000000" w:themeColor="text1"/>
          <w:sz w:val="20"/>
          <w:szCs w:val="20"/>
        </w:rPr>
        <w:t>a vinculación a actividades de economía productiva legal, entre otros. </w:t>
      </w:r>
    </w:p>
    <w:p w14:paraId="4D047B4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FF951C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no obstante lo anterior, según el reporte para 2023 del Sistema Integrado de Monitoreo de Cultivos Ilícitos (SIMCI), administrado por el Observatorio de Drogas de Colombia del Ministerio de Justicia y del Derecho, los municipios de Norte de Santander pertenecientes a la región del Catatumbo concentraban 43.178,86 hectáreas de cultivos de coca, de las cuales el 63,3 % (27.329,49 hectáreas) </w:t>
      </w:r>
      <w:r w:rsidRPr="00C454A1">
        <w:rPr>
          <w:color w:val="000000" w:themeColor="text1"/>
          <w:sz w:val="20"/>
          <w:szCs w:val="20"/>
        </w:rPr>
        <w:lastRenderedPageBreak/>
        <w:t>estaban ubicadas en los municipios de Sardinata y Tibú; así mismo, que, desde entonces, dichos cultivos se han incrementado, habida cuenta de la reactivación del mercado de la coca para fines ilícitos. </w:t>
      </w:r>
    </w:p>
    <w:p w14:paraId="5AC2AE4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9A4F77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a su vez, el ELN ha incrementado sus ataques y hostilidades contra la población civil y, especialmente, contra los firmantes del acuerdo final de paz en la región del Catatumbo, lo cual es promovido y financiado, entre otros, con los recursos provenientes de las actividades y economías ilegales en esta región. </w:t>
      </w:r>
    </w:p>
    <w:p w14:paraId="48B58A7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78E883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el marco de la Política de Paz Total y en ejercicio de sus facultades constitucionales y legales, el presidente de la República expidió la Resolución 264 del 15 de noviembre de 2022, mediante la cual autorizó la reanudación de la Mesa de Diálogos de Paz con el ELN. </w:t>
      </w:r>
    </w:p>
    <w:p w14:paraId="320BB52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630EACB" w14:textId="13E8C244"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en desarrollo de los diálogos de paz referidos, se suscribieron acuerdos de cese al fuego con dicha organización, que dieron lugar a que el </w:t>
      </w:r>
      <w:r w:rsidR="007525E1" w:rsidRPr="00C454A1">
        <w:rPr>
          <w:color w:val="000000" w:themeColor="text1"/>
          <w:sz w:val="20"/>
          <w:szCs w:val="20"/>
        </w:rPr>
        <w:t>Gobierno nacional</w:t>
      </w:r>
      <w:r w:rsidRPr="00C454A1">
        <w:rPr>
          <w:color w:val="000000" w:themeColor="text1"/>
          <w:sz w:val="20"/>
          <w:szCs w:val="20"/>
        </w:rPr>
        <w:t xml:space="preserve"> dictara los Decretos 1117 del 5 de julio de 2023 y 104 del 5 de febrero de 2024, mediante los cuales se decretó el Cese al Fuego </w:t>
      </w:r>
      <w:r w:rsidR="00A91510" w:rsidRPr="00C454A1">
        <w:rPr>
          <w:color w:val="000000" w:themeColor="text1"/>
          <w:sz w:val="20"/>
          <w:szCs w:val="20"/>
        </w:rPr>
        <w:t>d</w:t>
      </w:r>
      <w:r w:rsidRPr="00C454A1">
        <w:rPr>
          <w:color w:val="000000" w:themeColor="text1"/>
          <w:sz w:val="20"/>
          <w:szCs w:val="20"/>
        </w:rPr>
        <w:t xml:space="preserve">e carácter Bilateral y Temporal de carácter Nacional (CFBTN) entre el </w:t>
      </w:r>
      <w:r w:rsidR="007525E1" w:rsidRPr="00C454A1">
        <w:rPr>
          <w:color w:val="000000" w:themeColor="text1"/>
          <w:sz w:val="20"/>
          <w:szCs w:val="20"/>
        </w:rPr>
        <w:t>Gobierno nacional</w:t>
      </w:r>
      <w:r w:rsidRPr="00C454A1">
        <w:rPr>
          <w:color w:val="000000" w:themeColor="text1"/>
          <w:sz w:val="20"/>
          <w:szCs w:val="20"/>
        </w:rPr>
        <w:t xml:space="preserve"> y la organización armada. </w:t>
      </w:r>
    </w:p>
    <w:p w14:paraId="1DAC108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D02563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a partir del 4 de agosto de 2024, el cese al fuego expiró y se reanudaron las operaciones militares y los operativos policiales contra el ELN. </w:t>
      </w:r>
    </w:p>
    <w:p w14:paraId="0DB27A0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2FF8C80" w14:textId="49DC1C89" w:rsidR="004F792B" w:rsidRPr="00C454A1" w:rsidRDefault="004F792B" w:rsidP="00631C27">
      <w:pPr>
        <w:pStyle w:val="NormalWeb"/>
        <w:rPr>
          <w:color w:val="000000" w:themeColor="text1"/>
          <w:sz w:val="20"/>
          <w:szCs w:val="20"/>
        </w:rPr>
      </w:pPr>
      <w:r w:rsidRPr="00C454A1">
        <w:rPr>
          <w:color w:val="000000" w:themeColor="text1"/>
          <w:sz w:val="20"/>
          <w:szCs w:val="20"/>
        </w:rPr>
        <w:t>Que, el 15 de noviembre de 2024, la Defensoría del Pueblo emitió la Alerta Temprana de Inminencia 026 de 2024, </w:t>
      </w:r>
      <w:r w:rsidR="00A91510" w:rsidRPr="00C454A1">
        <w:rPr>
          <w:color w:val="000000" w:themeColor="text1"/>
          <w:sz w:val="20"/>
          <w:szCs w:val="20"/>
        </w:rPr>
        <w:t>‘</w:t>
      </w:r>
      <w:r w:rsidRPr="00C454A1">
        <w:rPr>
          <w:rStyle w:val="nfasis"/>
          <w:rFonts w:eastAsiaTheme="majorEastAsia"/>
          <w:color w:val="000000" w:themeColor="text1"/>
          <w:sz w:val="20"/>
          <w:szCs w:val="20"/>
        </w:rPr>
        <w:t>ante el riesgo que se cierne para diversos sectores poblacionales de municipios que conforman la subregión del Catatumbo en Norte de Santander </w:t>
      </w:r>
      <w:r w:rsidRPr="00C454A1">
        <w:rPr>
          <w:color w:val="000000" w:themeColor="text1"/>
          <w:sz w:val="20"/>
          <w:szCs w:val="20"/>
        </w:rPr>
        <w:t>y </w:t>
      </w:r>
      <w:r w:rsidRPr="00C454A1">
        <w:rPr>
          <w:rStyle w:val="nfasis"/>
          <w:rFonts w:eastAsiaTheme="majorEastAsia"/>
          <w:color w:val="000000" w:themeColor="text1"/>
          <w:sz w:val="20"/>
          <w:szCs w:val="20"/>
        </w:rPr>
        <w:t>el Sur del Cesar, debido </w:t>
      </w:r>
      <w:r w:rsidRPr="00C454A1">
        <w:rPr>
          <w:color w:val="000000" w:themeColor="text1"/>
          <w:sz w:val="20"/>
          <w:szCs w:val="20"/>
        </w:rPr>
        <w:t>a </w:t>
      </w:r>
      <w:r w:rsidRPr="00C454A1">
        <w:rPr>
          <w:rStyle w:val="nfasis"/>
          <w:rFonts w:eastAsiaTheme="majorEastAsia"/>
          <w:color w:val="000000" w:themeColor="text1"/>
          <w:sz w:val="20"/>
          <w:szCs w:val="20"/>
        </w:rPr>
        <w:t>las nuevas dinámicas que ha adquirido el conflicto armado interno en los últimos meses en estas zonas</w:t>
      </w:r>
      <w:r w:rsidR="00A91510" w:rsidRPr="00C454A1">
        <w:rPr>
          <w:rStyle w:val="nfasis"/>
          <w:rFonts w:eastAsiaTheme="majorEastAsia"/>
          <w:color w:val="000000" w:themeColor="text1"/>
          <w:sz w:val="20"/>
          <w:szCs w:val="20"/>
        </w:rPr>
        <w:t>’</w:t>
      </w:r>
      <w:r w:rsidRPr="00C454A1">
        <w:rPr>
          <w:rStyle w:val="nfasis"/>
          <w:rFonts w:eastAsiaTheme="majorEastAsia"/>
          <w:color w:val="000000" w:themeColor="text1"/>
          <w:sz w:val="20"/>
          <w:szCs w:val="20"/>
        </w:rPr>
        <w:t>.</w:t>
      </w:r>
      <w:r w:rsidRPr="00C454A1">
        <w:rPr>
          <w:color w:val="000000" w:themeColor="text1"/>
          <w:sz w:val="20"/>
          <w:szCs w:val="20"/>
        </w:rPr>
        <w:t> </w:t>
      </w:r>
    </w:p>
    <w:p w14:paraId="70BDC1F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AC64AA3" w14:textId="55F3A4D4" w:rsidR="004F792B" w:rsidRPr="00C454A1" w:rsidRDefault="004F792B" w:rsidP="00631C27">
      <w:pPr>
        <w:pStyle w:val="NormalWeb"/>
        <w:rPr>
          <w:color w:val="000000" w:themeColor="text1"/>
          <w:sz w:val="20"/>
          <w:szCs w:val="20"/>
        </w:rPr>
      </w:pPr>
      <w:r w:rsidRPr="00C454A1">
        <w:rPr>
          <w:color w:val="000000" w:themeColor="text1"/>
          <w:sz w:val="20"/>
          <w:szCs w:val="20"/>
        </w:rPr>
        <w:t>Que, de manera expresa, la Institución Nacional de Derechos Humanos delimitó esta alerta al ámbito geográfico conformado por </w:t>
      </w:r>
      <w:r w:rsidR="00A91510" w:rsidRPr="00C454A1">
        <w:rPr>
          <w:rStyle w:val="nfasis"/>
          <w:rFonts w:eastAsiaTheme="majorEastAsia"/>
          <w:color w:val="000000" w:themeColor="text1"/>
          <w:sz w:val="20"/>
          <w:szCs w:val="20"/>
        </w:rPr>
        <w:t>‘</w:t>
      </w:r>
      <w:r w:rsidRPr="00C454A1">
        <w:rPr>
          <w:rStyle w:val="nfasis"/>
          <w:rFonts w:eastAsiaTheme="majorEastAsia"/>
          <w:color w:val="000000" w:themeColor="text1"/>
          <w:sz w:val="20"/>
          <w:szCs w:val="20"/>
        </w:rPr>
        <w:t>los municipios de Río de Oro </w:t>
      </w:r>
      <w:r w:rsidRPr="00C454A1">
        <w:rPr>
          <w:color w:val="000000" w:themeColor="text1"/>
          <w:sz w:val="20"/>
          <w:szCs w:val="20"/>
        </w:rPr>
        <w:t>y </w:t>
      </w:r>
      <w:r w:rsidRPr="00C454A1">
        <w:rPr>
          <w:rStyle w:val="nfasis"/>
          <w:rFonts w:eastAsiaTheme="majorEastAsia"/>
          <w:color w:val="000000" w:themeColor="text1"/>
          <w:sz w:val="20"/>
          <w:szCs w:val="20"/>
        </w:rPr>
        <w:t>González en el departamento del Cesar </w:t>
      </w:r>
      <w:r w:rsidRPr="00C454A1">
        <w:rPr>
          <w:color w:val="000000" w:themeColor="text1"/>
          <w:sz w:val="20"/>
          <w:szCs w:val="20"/>
        </w:rPr>
        <w:t>y </w:t>
      </w:r>
      <w:r w:rsidRPr="00C454A1">
        <w:rPr>
          <w:rStyle w:val="nfasis"/>
          <w:rFonts w:eastAsiaTheme="majorEastAsia"/>
          <w:color w:val="000000" w:themeColor="text1"/>
          <w:sz w:val="20"/>
          <w:szCs w:val="20"/>
        </w:rPr>
        <w:t>los municipios de Ocaña, El Carmen, Convención, Teorama, Ábrego </w:t>
      </w:r>
      <w:r w:rsidRPr="00C454A1">
        <w:rPr>
          <w:color w:val="000000" w:themeColor="text1"/>
          <w:sz w:val="20"/>
          <w:szCs w:val="20"/>
        </w:rPr>
        <w:t>y </w:t>
      </w:r>
      <w:r w:rsidRPr="00C454A1">
        <w:rPr>
          <w:rStyle w:val="nfasis"/>
          <w:rFonts w:eastAsiaTheme="majorEastAsia"/>
          <w:color w:val="000000" w:themeColor="text1"/>
          <w:sz w:val="20"/>
          <w:szCs w:val="20"/>
        </w:rPr>
        <w:t>la Playa de Belén, en Norte de Santander</w:t>
      </w:r>
      <w:r w:rsidR="00A91510" w:rsidRPr="00C454A1">
        <w:rPr>
          <w:rStyle w:val="nfasis"/>
          <w:rFonts w:eastAsiaTheme="majorEastAsia"/>
          <w:color w:val="000000" w:themeColor="text1"/>
          <w:sz w:val="20"/>
          <w:szCs w:val="20"/>
        </w:rPr>
        <w:t>’</w:t>
      </w:r>
      <w:r w:rsidRPr="00C454A1">
        <w:rPr>
          <w:rStyle w:val="nfasis"/>
          <w:rFonts w:eastAsiaTheme="majorEastAsia"/>
          <w:color w:val="000000" w:themeColor="text1"/>
          <w:sz w:val="20"/>
          <w:szCs w:val="20"/>
        </w:rPr>
        <w:t>, </w:t>
      </w:r>
      <w:r w:rsidRPr="00C454A1">
        <w:rPr>
          <w:color w:val="000000" w:themeColor="text1"/>
          <w:sz w:val="20"/>
          <w:szCs w:val="20"/>
        </w:rPr>
        <w:t>es decir, que no abarcó la totalidad del territorio en el que tiene lugar la grave perturbación del orden público que origina la presente conmoción interior. </w:t>
      </w:r>
    </w:p>
    <w:p w14:paraId="642A347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22ABC1A"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dicha alerta, la Defensoría del Pueblo formuló recomendaciones al Gobierno y a distintas entidades estatales orientadas, entre otras, a la disuasión, el control, la mitigación del contexto de amenaza, la implementación de medidas de prevención urgentes, la judicialización y acceso a la justicia y la implementación de acciones de asistencia y atención humanitaria. </w:t>
      </w:r>
    </w:p>
    <w:p w14:paraId="7C7EFE3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EEC97B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en atención a dichas recomendaciones, las Fuerzas Militares y la Policía Nacional llevaron a cabo, además de acciones de protección a la población civil, operaciones militares para la ubicación y posterior incautación y destrucción </w:t>
      </w:r>
      <w:r w:rsidRPr="00C454A1">
        <w:rPr>
          <w:color w:val="000000" w:themeColor="text1"/>
          <w:sz w:val="20"/>
          <w:szCs w:val="20"/>
        </w:rPr>
        <w:lastRenderedPageBreak/>
        <w:t>controlada de laboratorios de producción de clorhidrato de cocaína, actividades de observación e identificación de actores criminales y acciones de captura en flagrancia relacionadas con delitos de hurto y extorsión, entre otras. </w:t>
      </w:r>
    </w:p>
    <w:p w14:paraId="4584553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0C5F8C0" w14:textId="12309A1D"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conforme a lo comunicado a la opinión pública por parte de la delegación del </w:t>
      </w:r>
      <w:r w:rsidR="007525E1" w:rsidRPr="00C454A1">
        <w:rPr>
          <w:color w:val="000000" w:themeColor="text1"/>
          <w:sz w:val="20"/>
          <w:szCs w:val="20"/>
        </w:rPr>
        <w:t>Gobierno nacional</w:t>
      </w:r>
      <w:r w:rsidRPr="00C454A1">
        <w:rPr>
          <w:color w:val="000000" w:themeColor="text1"/>
          <w:sz w:val="20"/>
          <w:szCs w:val="20"/>
        </w:rPr>
        <w:t xml:space="preserve"> en la mesa de diálogos para la paz con el ELN, entre los días 19 y 25 de noviembre de 2024, las partes adelantaron una jornada de conversaciones producto de la cual convinieron llevar a cabo el primer encuentro de una nueva etapa en el proceso de negociación, que tendría lugar en el mes de enero de 2025. </w:t>
      </w:r>
    </w:p>
    <w:p w14:paraId="45E4821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A5F89DD" w14:textId="588A2F5C" w:rsidR="004F792B" w:rsidRPr="00C454A1" w:rsidRDefault="004F792B" w:rsidP="00631C27">
      <w:pPr>
        <w:pStyle w:val="NormalWeb"/>
        <w:rPr>
          <w:color w:val="000000" w:themeColor="text1"/>
          <w:sz w:val="20"/>
          <w:szCs w:val="20"/>
        </w:rPr>
      </w:pPr>
      <w:r w:rsidRPr="00C454A1">
        <w:rPr>
          <w:rStyle w:val="vcitation"/>
          <w:rFonts w:eastAsiaTheme="majorEastAsia"/>
          <w:color w:val="000000" w:themeColor="text1"/>
          <w:sz w:val="20"/>
          <w:szCs w:val="20"/>
        </w:rPr>
        <w:t>Que, en el marco de las actividades de seguimiento al cumplimiento del estado de cosas inconstitucional declarado mediante la </w:t>
      </w:r>
      <w:r w:rsidR="00C908A9" w:rsidRPr="00C454A1">
        <w:rPr>
          <w:rStyle w:val="vcitation"/>
          <w:rFonts w:eastAsiaTheme="majorEastAsia"/>
          <w:color w:val="000000" w:themeColor="text1"/>
          <w:sz w:val="20"/>
          <w:szCs w:val="20"/>
        </w:rPr>
        <w:t>sentencia SU-020 del 27 de enero de 2022</w:t>
      </w:r>
      <w:r w:rsidRPr="00C454A1">
        <w:rPr>
          <w:rStyle w:val="vcitation"/>
          <w:rFonts w:eastAsiaTheme="majorEastAsia"/>
          <w:color w:val="000000" w:themeColor="text1"/>
          <w:sz w:val="20"/>
          <w:szCs w:val="20"/>
        </w:rPr>
        <w:t>, la Corte Constitucional dictó el Auto 1929 de 25 de noviembre de 2024, mediante el cual identificó bloqueos institucionales que impiden el adecuado funcionamiento del Sistema de Prevención y Alerta para la Reacción Rápida, diseñado para evitar y mitigar daños a los derechos fundamentales de los líderes sociales y la población en proceso de reincorporación a la vida civil.</w:t>
      </w:r>
    </w:p>
    <w:p w14:paraId="6E38E2F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767E4F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atención a lo anterior, según información de la Subdirección Especializada de la Unidad Nacional de Protección encargada de la población firmante del acuerdo final de paz, el riesgo extraordinario que recae sobre este grupo en la región del Catatumbo llevó a que se aprobaran 140 protegidos con esquemas individuales, colectivos y medidas blandas, que están vigentes en la actualidad. </w:t>
      </w:r>
    </w:p>
    <w:p w14:paraId="07C88DD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3F7037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según información de la Agencia para la Reincorporación y la Normalización (ARN), desde el 1 de diciembre del 2017 y hasta el 31 de diciembre de 2024, se registraron 22 homicidios de firmantes del acuerdo final de paz en la región del Catatumbo. </w:t>
      </w:r>
    </w:p>
    <w:p w14:paraId="264DD90F"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38CD79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según fuentes de inteligencia, desde el departamento de Arauca, el ELN envió integrantes del Frente de Guerra Oriental hacia la región del Catatumbo para fortalecer su presencia y ejecutar las acciones criminales que iniciaron a partir del 15 de enero de 2025. </w:t>
      </w:r>
    </w:p>
    <w:p w14:paraId="1D3765B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146F21A" w14:textId="0AE1083C"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pese a los esfuerzos del </w:t>
      </w:r>
      <w:r w:rsidR="007525E1" w:rsidRPr="00C454A1">
        <w:rPr>
          <w:color w:val="000000" w:themeColor="text1"/>
          <w:sz w:val="20"/>
          <w:szCs w:val="20"/>
        </w:rPr>
        <w:t>Gobierno nacional</w:t>
      </w:r>
      <w:r w:rsidRPr="00C454A1">
        <w:rPr>
          <w:color w:val="000000" w:themeColor="text1"/>
          <w:sz w:val="20"/>
          <w:szCs w:val="20"/>
        </w:rPr>
        <w:t xml:space="preserve"> para la protección de los líderes sociales y la población en proceso de reincorporación a la vida civil, la ARN ha reportado que, desde el 15 de enero de 2025, 102 firmantes del acuerdo final de paz han sido desplazados forzadamente con sus familias; 5, asesinados, y 11, desaparecidos, en la región del Catatumbo. </w:t>
      </w:r>
    </w:p>
    <w:p w14:paraId="49C2C59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023B66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desde el 16 de enero de 2025, la grave perturbación del orden público en la región del Catatumbo se ha intensificado como consecuencia del despliegue militar, las hostilidades y las operaciones armadas del ELN en contra de la población civil y las instituciones, lo que ha generado una grave e imprevisible crisis humanitaria que compromete, entre otras, a poblaciones especialmente vulnerables </w:t>
      </w:r>
      <w:r w:rsidRPr="00C454A1">
        <w:rPr>
          <w:color w:val="000000" w:themeColor="text1"/>
          <w:sz w:val="20"/>
          <w:szCs w:val="20"/>
        </w:rPr>
        <w:lastRenderedPageBreak/>
        <w:t>como el pueblo indígena Barí, líderes sociales, niños, niñas y adolescentes, campesinos y campesinas. </w:t>
      </w:r>
    </w:p>
    <w:p w14:paraId="051896B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B5B6891" w14:textId="7F072FEE" w:rsidR="004F792B" w:rsidRPr="00C454A1" w:rsidRDefault="004F792B" w:rsidP="00631C27">
      <w:pPr>
        <w:pStyle w:val="NormalWeb"/>
        <w:rPr>
          <w:color w:val="000000" w:themeColor="text1"/>
          <w:sz w:val="20"/>
          <w:szCs w:val="20"/>
        </w:rPr>
      </w:pPr>
      <w:r w:rsidRPr="00C454A1">
        <w:rPr>
          <w:color w:val="000000" w:themeColor="text1"/>
          <w:sz w:val="20"/>
          <w:szCs w:val="20"/>
        </w:rPr>
        <w:t>Que, según la información reportada por las autoridades territoriales en los Puestos de Mando Unificados, en el marco de la escalada de violencia y con corte al 21 de enero de 2025, se han confirmado 38 homicidios (incluidos 5 firmantes del acuerdo final de paz), sin que sea posible descartar la existencia de un número mayor de víctimas mortales ante las extremas dificultades que enfrentan las autoridades para la recolección e identificación de cuerpos en las zonas más afectadas por la confrontación, así como múltiples casos de lesiones personales y desapariciones forzadas. </w:t>
      </w:r>
    </w:p>
    <w:p w14:paraId="1CC733F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121EB9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atención a la situación presentada, 395 personas han sido extraídas, entre las que se encuentran 14 firmantes de paz y 17 de sus familiares, quienes se han refugiado en unidades militares; además, se encuentra pendiente la evacuación de 52 personas. </w:t>
      </w:r>
    </w:p>
    <w:p w14:paraId="2D57DDA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EDFAC7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de acuerdo con la información proporcionada por el Comité de Justicia Transicional, con corte a 22 de enero de 2025, el consolidado de la población desplazada forzadamente es de 36.137 personas. En contraste, durante todo el año 2024 el RUV reportó un total de 5.422 desplazados forzadamente. </w:t>
      </w:r>
    </w:p>
    <w:p w14:paraId="05E8CFD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F7A26D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según el Puesto de Mando Unificado departamental, con corte a 21 de enero de 2025, de ese número de personas desplazadas forzadamente, 16.482 se encuentran resguardadas en albergues y refugios ubicados en distintos municipios de Norte de Santander, así: </w:t>
      </w:r>
    </w:p>
    <w:p w14:paraId="1C303D9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4"/>
        <w:gridCol w:w="1306"/>
        <w:gridCol w:w="1303"/>
      </w:tblGrid>
      <w:tr w:rsidR="00C454A1" w:rsidRPr="00C454A1" w14:paraId="5A1687A8"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01B710D7" w14:textId="77777777" w:rsidR="004F792B" w:rsidRPr="00C454A1" w:rsidRDefault="004F792B" w:rsidP="00631C27">
            <w:pPr>
              <w:pStyle w:val="NormalWeb"/>
              <w:jc w:val="center"/>
              <w:rPr>
                <w:color w:val="000000" w:themeColor="text1"/>
                <w:sz w:val="16"/>
                <w:szCs w:val="16"/>
              </w:rPr>
            </w:pPr>
            <w:r w:rsidRPr="00C454A1">
              <w:rPr>
                <w:rStyle w:val="Textoennegrita"/>
                <w:rFonts w:eastAsiaTheme="majorEastAsia"/>
                <w:color w:val="000000" w:themeColor="text1"/>
                <w:sz w:val="16"/>
                <w:szCs w:val="16"/>
              </w:rPr>
              <w:t>Lugar</w:t>
            </w:r>
            <w:r w:rsidRPr="00C454A1">
              <w:rPr>
                <w:color w:val="000000" w:themeColor="text1"/>
                <w:sz w:val="16"/>
                <w:szCs w:val="16"/>
              </w:rPr>
              <w:t>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670DB2D0" w14:textId="77777777" w:rsidR="004F792B" w:rsidRPr="00C454A1" w:rsidRDefault="004F792B" w:rsidP="00631C27">
            <w:pPr>
              <w:pStyle w:val="NormalWeb"/>
              <w:jc w:val="center"/>
              <w:rPr>
                <w:color w:val="000000" w:themeColor="text1"/>
                <w:sz w:val="16"/>
                <w:szCs w:val="16"/>
              </w:rPr>
            </w:pPr>
            <w:r w:rsidRPr="00C454A1">
              <w:rPr>
                <w:rStyle w:val="Textoennegrita"/>
                <w:rFonts w:eastAsiaTheme="majorEastAsia"/>
                <w:color w:val="000000" w:themeColor="text1"/>
                <w:sz w:val="16"/>
                <w:szCs w:val="16"/>
              </w:rPr>
              <w:t># albergues y refugios</w:t>
            </w:r>
            <w:r w:rsidRPr="00C454A1">
              <w:rPr>
                <w:color w:val="000000" w:themeColor="text1"/>
                <w:sz w:val="16"/>
                <w:szCs w:val="16"/>
              </w:rPr>
              <w:t>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1391C3F0" w14:textId="77777777" w:rsidR="004F792B" w:rsidRPr="00C454A1" w:rsidRDefault="004F792B" w:rsidP="00631C27">
            <w:pPr>
              <w:pStyle w:val="NormalWeb"/>
              <w:jc w:val="center"/>
              <w:rPr>
                <w:color w:val="000000" w:themeColor="text1"/>
                <w:sz w:val="16"/>
                <w:szCs w:val="16"/>
              </w:rPr>
            </w:pPr>
            <w:r w:rsidRPr="00C454A1">
              <w:rPr>
                <w:rStyle w:val="Textoennegrita"/>
                <w:rFonts w:eastAsiaTheme="majorEastAsia"/>
                <w:color w:val="000000" w:themeColor="text1"/>
                <w:sz w:val="16"/>
                <w:szCs w:val="16"/>
              </w:rPr>
              <w:t>Personas</w:t>
            </w:r>
            <w:r w:rsidRPr="00C454A1">
              <w:rPr>
                <w:color w:val="000000" w:themeColor="text1"/>
                <w:sz w:val="16"/>
                <w:szCs w:val="16"/>
              </w:rPr>
              <w:t> </w:t>
            </w:r>
          </w:p>
        </w:tc>
      </w:tr>
      <w:tr w:rsidR="00C454A1" w:rsidRPr="00C454A1" w14:paraId="4762DE02"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2D5F1E16"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OCAÑA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3511F49B"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5 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0CE1A425"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5.725 </w:t>
            </w:r>
          </w:p>
        </w:tc>
      </w:tr>
      <w:tr w:rsidR="00C454A1" w:rsidRPr="00C454A1" w14:paraId="5ABB902A"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36EBBFE7"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ÁBREGO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0D2DDE35"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1 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33B25033"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44 </w:t>
            </w:r>
          </w:p>
        </w:tc>
      </w:tr>
      <w:tr w:rsidR="00C454A1" w:rsidRPr="00C454A1" w14:paraId="138F8C4D"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68967AB7"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TEORAMA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6FEEA80D"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1 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31B1F84E"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9 </w:t>
            </w:r>
          </w:p>
        </w:tc>
      </w:tr>
      <w:tr w:rsidR="00C454A1" w:rsidRPr="00C454A1" w14:paraId="678228B0"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05060FC9"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HACARÍ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54985322"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1 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72BA1345"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237 </w:t>
            </w:r>
          </w:p>
        </w:tc>
      </w:tr>
      <w:tr w:rsidR="00C454A1" w:rsidRPr="00C454A1" w14:paraId="7A30EDF6"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075FD410"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SAN CALIXTO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0257216A"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1 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63A98A71"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20 </w:t>
            </w:r>
          </w:p>
        </w:tc>
      </w:tr>
      <w:tr w:rsidR="00C454A1" w:rsidRPr="00C454A1" w14:paraId="438C7B37"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4225F033"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CONVENCIÓN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447CBBB4"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1 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0039C6CE"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120 </w:t>
            </w:r>
          </w:p>
        </w:tc>
      </w:tr>
      <w:tr w:rsidR="00C454A1" w:rsidRPr="00C454A1" w14:paraId="71C255CB"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7F5FD787"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EL TARRA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1ADC4983"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7 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0FFCD69F"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709 </w:t>
            </w:r>
          </w:p>
        </w:tc>
      </w:tr>
      <w:tr w:rsidR="00C454A1" w:rsidRPr="00C454A1" w14:paraId="4F0AB6F0"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47624A40"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CÚCUTA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20C75CAF"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28 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1B3B5A7A"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8.756 </w:t>
            </w:r>
          </w:p>
        </w:tc>
      </w:tr>
      <w:tr w:rsidR="00C454A1" w:rsidRPr="00C454A1" w14:paraId="5C1FE943"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6918ED00"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TIBÚ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7C4914B4"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10 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1AAC3953"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862 </w:t>
            </w:r>
          </w:p>
        </w:tc>
      </w:tr>
      <w:tr w:rsidR="00C454A1" w:rsidRPr="00C454A1" w14:paraId="6297B50E" w14:textId="77777777" w:rsidTr="00DA1990">
        <w:trPr>
          <w:tblCellSpacing w:w="0" w:type="dxa"/>
          <w:jc w:val="center"/>
        </w:trPr>
        <w:tc>
          <w:tcPr>
            <w:tcW w:w="1918" w:type="pct"/>
            <w:tcBorders>
              <w:top w:val="outset" w:sz="6" w:space="0" w:color="auto"/>
              <w:left w:val="outset" w:sz="6" w:space="0" w:color="auto"/>
              <w:bottom w:val="outset" w:sz="6" w:space="0" w:color="auto"/>
              <w:right w:val="outset" w:sz="6" w:space="0" w:color="auto"/>
            </w:tcBorders>
            <w:vAlign w:val="center"/>
            <w:hideMark/>
          </w:tcPr>
          <w:p w14:paraId="4F448D73"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TOTAL </w:t>
            </w:r>
          </w:p>
        </w:tc>
        <w:tc>
          <w:tcPr>
            <w:tcW w:w="1543" w:type="pct"/>
            <w:tcBorders>
              <w:top w:val="outset" w:sz="6" w:space="0" w:color="auto"/>
              <w:left w:val="outset" w:sz="6" w:space="0" w:color="auto"/>
              <w:bottom w:val="outset" w:sz="6" w:space="0" w:color="auto"/>
              <w:right w:val="outset" w:sz="6" w:space="0" w:color="auto"/>
            </w:tcBorders>
            <w:vAlign w:val="center"/>
            <w:hideMark/>
          </w:tcPr>
          <w:p w14:paraId="13F35404"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55 </w:t>
            </w:r>
          </w:p>
        </w:tc>
        <w:tc>
          <w:tcPr>
            <w:tcW w:w="1539" w:type="pct"/>
            <w:tcBorders>
              <w:top w:val="outset" w:sz="6" w:space="0" w:color="auto"/>
              <w:left w:val="outset" w:sz="6" w:space="0" w:color="auto"/>
              <w:bottom w:val="outset" w:sz="6" w:space="0" w:color="auto"/>
              <w:right w:val="outset" w:sz="6" w:space="0" w:color="auto"/>
            </w:tcBorders>
            <w:vAlign w:val="center"/>
            <w:hideMark/>
          </w:tcPr>
          <w:p w14:paraId="78EACBC1"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16.482 </w:t>
            </w:r>
          </w:p>
        </w:tc>
      </w:tr>
    </w:tbl>
    <w:p w14:paraId="7109C35C" w14:textId="77777777" w:rsidR="004F792B" w:rsidRPr="00C454A1" w:rsidRDefault="004F792B" w:rsidP="00631C27">
      <w:pPr>
        <w:pStyle w:val="NormalWeb"/>
        <w:jc w:val="center"/>
        <w:rPr>
          <w:color w:val="000000" w:themeColor="text1"/>
          <w:sz w:val="16"/>
          <w:szCs w:val="16"/>
        </w:rPr>
      </w:pPr>
      <w:r w:rsidRPr="00C454A1">
        <w:rPr>
          <w:color w:val="000000" w:themeColor="text1"/>
          <w:sz w:val="16"/>
          <w:szCs w:val="16"/>
        </w:rPr>
        <w:t>Fuente. PUESTO DE MANDO UNIFICADO. Corte a 21 de enero de 2025. </w:t>
      </w:r>
    </w:p>
    <w:p w14:paraId="1E98822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BC5006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el Ministerio de Relaciones Exteriores informó que, con motivo de la grave situación de orden público descrita, los días 17,18 Y 19 de enero de 2025 se presentó un flujo migratorio hacia territorio venezolano que alcanzó las 700 personas diarias; y que los días 20 y 21 de enero de 2025 se presentó una leve disminución a cerca de 400 personas por día. </w:t>
      </w:r>
    </w:p>
    <w:p w14:paraId="2FAE710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231DC3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a su vez, con corte a 21 de enero de 2025, la Alcaldía de Cúcuta reportó que, por medio de sus distintas secretarías y dependencias, ha atendido a 15.086 personas como consecuencia del escalamiento de las hostilidades y los ataques a la población civil en la región del Catatumbo en los últimos días. </w:t>
      </w:r>
    </w:p>
    <w:p w14:paraId="5DD96A2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8C9CA3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Que, adicionalmente, según el reporte de .21 de enero de 2025, el Puesto de Mando Unificado dio cuenta de que en los municipios de Tibú, Teorama y San Calixto se presenta el confinamiento de 7.122 personas y que, en general, los municipios receptores de población víctima del conflicto afrontan desbordamiento institucional, lo cual afecta negativamente su capacidad de protección de derechos de esta población. </w:t>
      </w:r>
    </w:p>
    <w:p w14:paraId="705F390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01ACED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los municipios de Río de Oro y González del departamento del Cesar, como colindantes de la región del Catatumbo, han venido recibiendo población víctima de desplazamiento forzado como consecuencias de las graves afectaciones del orden público derivadas de los atentados y amenazas perpetrados por el ELN en esa región. </w:t>
      </w:r>
    </w:p>
    <w:p w14:paraId="6F7D716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A748D2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los hechos descritos prueban de manera objetiva que se presenta una perturbación extraordinaria del orden público en la región del Catatumbo, derivada de enfrentamientos armados, amenazas, desplazamientos forzados masivos, afectaciones al ejercicio de los derechos fundamentales de la población civil, alteración de la seguridad y daños a bienes protegidos y al ambiente. </w:t>
      </w:r>
    </w:p>
    <w:p w14:paraId="2458F4D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3B6328E" w14:textId="519C0FAB"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en estos términos, el </w:t>
      </w:r>
      <w:r w:rsidR="007525E1" w:rsidRPr="00C454A1">
        <w:rPr>
          <w:color w:val="000000" w:themeColor="text1"/>
          <w:sz w:val="20"/>
          <w:szCs w:val="20"/>
        </w:rPr>
        <w:t>Gobierno nacional</w:t>
      </w:r>
      <w:r w:rsidRPr="00C454A1">
        <w:rPr>
          <w:color w:val="000000" w:themeColor="text1"/>
          <w:sz w:val="20"/>
          <w:szCs w:val="20"/>
        </w:rPr>
        <w:t xml:space="preserve"> da cuenta del cumplimiento del presupuesto fáctico para la declaratoria de la presente conmoción interior. </w:t>
      </w:r>
    </w:p>
    <w:p w14:paraId="7FBE1F8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BCBF20E"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II. PRESUPUESTO VALORATIVO</w:t>
      </w:r>
      <w:r w:rsidRPr="00C454A1">
        <w:rPr>
          <w:color w:val="000000" w:themeColor="text1"/>
          <w:sz w:val="20"/>
          <w:szCs w:val="20"/>
        </w:rPr>
        <w:t> </w:t>
      </w:r>
    </w:p>
    <w:p w14:paraId="1A11DA8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9F945E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el descenso en los precios de la hoja y de la pasta base de coca registrado desde 2021, con el subsecuente estancamiento temporal del circuito económico ilícito, generó, de una parte, una situación de crisis alimentaria entre las familias vulnerables que subsisten de este y, por otra, un pacto entre organizaciones armadas ilegales frente a la repartición del negocio ilícito y la entrada de compradores al territorio. </w:t>
      </w:r>
    </w:p>
    <w:p w14:paraId="2AFBBF7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6ECADB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con la progresiva recuperación de este mercado ilegal, a finales del año 2024 dicho pacto finalizó y se acrecentaron las confrontaciones armadas a partir del 15 de enero de 2025, debido a que el ELN desató una imprevisible y violenta ofensiva contra la población civil, líderes sociales y firmantes del acuerdo final de paz. </w:t>
      </w:r>
    </w:p>
    <w:p w14:paraId="10D21B6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7712B68" w14:textId="29D36A02"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pese al compromiso del </w:t>
      </w:r>
      <w:r w:rsidR="007525E1" w:rsidRPr="00C454A1">
        <w:rPr>
          <w:color w:val="000000" w:themeColor="text1"/>
          <w:sz w:val="20"/>
          <w:szCs w:val="20"/>
        </w:rPr>
        <w:t>Gobierno nacional</w:t>
      </w:r>
      <w:r w:rsidRPr="00C454A1">
        <w:rPr>
          <w:color w:val="000000" w:themeColor="text1"/>
          <w:sz w:val="20"/>
          <w:szCs w:val="20"/>
        </w:rPr>
        <w:t xml:space="preserve"> con el cumplimiento de lo recomendado por la Defensoría del Pueblo, la magnitud del escalamiento de la violencia armada del ELN contra la población civil ha impedido la observancia integral de las recomendaciones hechas por el Ministerio Público y el despliegue institucional requerido para atender las causas y los graves efectos de la presencia de organizaciones armadas ilegales en la región del Catatumbo. </w:t>
      </w:r>
    </w:p>
    <w:p w14:paraId="7B9B267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A1ED25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producto de la crisis humanitaria referida, diferentes funciones esenciales del Estado se han visto gravemente afectadas, entre ellas, la prestación de servicios públicos, los servicios de notariado y registro, el acceso a la justicia, la educación, los </w:t>
      </w:r>
      <w:r w:rsidRPr="00C454A1">
        <w:rPr>
          <w:color w:val="000000" w:themeColor="text1"/>
          <w:sz w:val="20"/>
          <w:szCs w:val="20"/>
        </w:rPr>
        <w:lastRenderedPageBreak/>
        <w:t>servicios sanitarios y los servicios de alcantarillado y acueducto; así como la actividad industrial y comercial de particulares que proveen bienes y prestan servicios de importancia estratégica para la región y el país. </w:t>
      </w:r>
    </w:p>
    <w:p w14:paraId="5B76F3F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D795D2F" w14:textId="2F152E0A"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las acciones de grupos armados pueden afectar infraestructura, tierras y activos agropecuarios íntimamente ligados a la situación de vulnerabilidad de la población civil, y la protección de acceso a los alimentos. En este sentido, el Protocolo Adicional </w:t>
      </w:r>
      <w:r w:rsidR="00A91510" w:rsidRPr="00C454A1">
        <w:rPr>
          <w:color w:val="000000" w:themeColor="text1"/>
          <w:sz w:val="20"/>
          <w:szCs w:val="20"/>
        </w:rPr>
        <w:t>II</w:t>
      </w:r>
      <w:r w:rsidRPr="00C454A1">
        <w:rPr>
          <w:color w:val="000000" w:themeColor="text1"/>
          <w:sz w:val="20"/>
          <w:szCs w:val="20"/>
        </w:rPr>
        <w:t xml:space="preserve"> a los convenios de Ginebra de 1949, en su artículo 14, establece que: </w:t>
      </w:r>
      <w:r w:rsidR="00A91510" w:rsidRPr="00C454A1">
        <w:rPr>
          <w:color w:val="000000" w:themeColor="text1"/>
          <w:sz w:val="20"/>
          <w:szCs w:val="20"/>
        </w:rPr>
        <w:t>‘</w:t>
      </w:r>
      <w:r w:rsidRPr="00C454A1">
        <w:rPr>
          <w:color w:val="000000" w:themeColor="text1"/>
          <w:sz w:val="20"/>
          <w:szCs w:val="20"/>
        </w:rPr>
        <w:t>se prohíbe atacar, destruir, sustraer o inutilizar con ese fin los bienes indispensables para la supervivencia de la población civil, tales como los artículos alimenticios y las zonas agrícolas que los producen, las cosechas, el ganado, las instalaciones y reservas de agua potable y las obras de riego</w:t>
      </w:r>
      <w:r w:rsidR="00A91510" w:rsidRPr="00C454A1">
        <w:rPr>
          <w:color w:val="000000" w:themeColor="text1"/>
          <w:sz w:val="20"/>
          <w:szCs w:val="20"/>
        </w:rPr>
        <w:t>’</w:t>
      </w:r>
      <w:r w:rsidRPr="00C454A1">
        <w:rPr>
          <w:color w:val="000000" w:themeColor="text1"/>
          <w:sz w:val="20"/>
          <w:szCs w:val="20"/>
        </w:rPr>
        <w:t>. </w:t>
      </w:r>
    </w:p>
    <w:p w14:paraId="33F8BED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8BE5E8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dada la exacerbación del contexto de la acción armada del ELN, existe un riesgo inminente de afectación de las condiciones de acceso y distribución de alimentos que pueden causar crisis alimentaria, situación particularmente importante en la región del Catatumbo que registra un inventario de 139.721 cabezas de ganado, con una producción diaria estimada de 163.132 litros de leche, lo que equivale a una producción mensual de 4.893.962 litros. La subregión del Catatumbo produjo en 2023 el 33,6% del pepino del país, el 23,4% de la cebolla de bulbo, el 10,7% del pimentón, el 6,4% del tomate, el 6,4% del fríjol y el 5,6% de la producción de la palma de aceite del país. </w:t>
      </w:r>
    </w:p>
    <w:p w14:paraId="6A3D36C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96AA8E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asimismo, se enfrenta el riesgo de ataques en contra de la infraestructura energética y vial de la región, especialmente en el oleoducto Caño Limón -Coveñas, vías nacionales como el eje vial Ocaña -Cúcuta y Ocaña -Aguachica, subestaciones de energía y torres de comunicaciones, puentes y edificaciones públicas y privadas que se localizan cerca de guarniciones militares y comandos de policía, las cuales vienen siendo regularmente atacadas, especialmente con artefactos explosivos, con el consecuente impacto sobre los altos valores ambientales de! la región del Catatumbo y la prestación de servicios públicos a la población. </w:t>
      </w:r>
    </w:p>
    <w:p w14:paraId="1BDDE25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A40B6D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la grave situación de orden público genera riesgo de afectaciones en el sector de hidrocarburos y en la producción de la cuenca petrolera del Gatatumba, que cuenta con una producción diaria de 1.814 barriles de petróleo (BOPD), de acuerdo con los reportes de la Agencia Nacional de Hidrocarburos (ANH) de 2024. </w:t>
      </w:r>
    </w:p>
    <w:p w14:paraId="0FB409EA"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8ED106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las inminentes amenazas a la seguridad y la posible interrupción de las operaciones impactan de manera grave y extraordinaria el desarrollo y la gestión eficiente de los hidrocarburos en la región, con riesgo de afectación de los activos de los campos de Tibú, Sardinata y Oripaya, que producen alrededor de 1.900 barriles equivalentes por día y 4 millones de pies cúbicos de gas. Además, está en inminente riesgo la producción de gas para la cuenca del Gatatumba, cuyo promedio diario en 2024 fue de 2,59 Mpcd, con una producción promedio diaria de gas </w:t>
      </w:r>
      <w:r w:rsidRPr="00C454A1">
        <w:rPr>
          <w:color w:val="000000" w:themeColor="text1"/>
          <w:sz w:val="20"/>
          <w:szCs w:val="20"/>
        </w:rPr>
        <w:lastRenderedPageBreak/>
        <w:t>comercializado de 1,73 Mpcd, según los reportes de la ANH. </w:t>
      </w:r>
    </w:p>
    <w:p w14:paraId="099A1FD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8C3992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de llegarse a interrumpir la explotación dinámica de gas en la referida cuenca, los yacimientos perderían presión, lo que disminuiría el límite técnico y afectaría la gestión de las reservas en el país, tanto en gas como en petróleo. </w:t>
      </w:r>
    </w:p>
    <w:p w14:paraId="02D81DA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7F756E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el sector de energía eléctrica, existen amenazas graves e inminentes de afectaciones al Sistema Interconectado Nacional operado en esta región por la empresa Centrales Eléctricas del Norte de Santander (GENS), que se abastece del Sistema de Transmisión Nacional (STN) mediante conexión en las subestaciones de Ocaña, San Mateo y Belén, por medio de las cuales se proveen cantidades significativas de potencia para satisfacer la demanda de los 47 municipios cubiertos. </w:t>
      </w:r>
    </w:p>
    <w:p w14:paraId="26CCD83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B8EDA92" w14:textId="6623AC3F"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la seguridad energética, como componente esencial de la seguridad y convivencia ciudadanas, así como del bienestar y la calidad de vida de las personas, se encuentra bajo amenaza grave por los actos violentos, que han implicado la suspensión de labores de mantenimiento en la región del </w:t>
      </w:r>
      <w:r w:rsidR="000D6DF0" w:rsidRPr="00C454A1">
        <w:rPr>
          <w:color w:val="000000" w:themeColor="text1"/>
          <w:sz w:val="20"/>
          <w:szCs w:val="20"/>
        </w:rPr>
        <w:t>C</w:t>
      </w:r>
      <w:r w:rsidRPr="00C454A1">
        <w:rPr>
          <w:color w:val="000000" w:themeColor="text1"/>
          <w:sz w:val="20"/>
          <w:szCs w:val="20"/>
        </w:rPr>
        <w:t>atatumb</w:t>
      </w:r>
      <w:r w:rsidR="000D6DF0" w:rsidRPr="00C454A1">
        <w:rPr>
          <w:color w:val="000000" w:themeColor="text1"/>
          <w:sz w:val="20"/>
          <w:szCs w:val="20"/>
        </w:rPr>
        <w:t>o</w:t>
      </w:r>
      <w:r w:rsidRPr="00C454A1">
        <w:rPr>
          <w:color w:val="000000" w:themeColor="text1"/>
          <w:sz w:val="20"/>
          <w:szCs w:val="20"/>
        </w:rPr>
        <w:t>, la alteración de las operaciones y la afectación de la capacidad de las empresas para garantizar un servicio continuo y seguro. </w:t>
      </w:r>
    </w:p>
    <w:p w14:paraId="5263D5C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B0DED3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la referida escalada reciente de violencia también ha puesto en peligro la institucionalidad ambiental, toda vez que los funcionarios de las autoridades competentes se han visto en la necesidad de proteger sus vidas como consecuencia de los eventos mencionados y, por tanto, no han podido cumplir con su misión constitucional y legal relativa a la vigilancia, control y seguimiento ambiental. </w:t>
      </w:r>
    </w:p>
    <w:p w14:paraId="4053403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4D3258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el accionar del ELN ha escalado de manera imprevisible a una magnitud que desborda la capacidad ordinaria del Estado e impacta de manera grave la prestación de servicios de salud en los primeros niveles de atención en los municipios afectados. </w:t>
      </w:r>
    </w:p>
    <w:p w14:paraId="43541BB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CB8FE2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los graves incumplimientos a lo dispuesto en el acuerdo final de paz han impedido el adecuado abordaje de la conflictividad social en la región del Catatumbo y el reforzamiento integral de la presencia institucional del Estado, lo que, a su vez, dificulta la construcción de capacidades y herramienta para mitigar la influencia del accionar delictivo del ELN y evitar el recrudecimiento de sus conductas bélicas. </w:t>
      </w:r>
    </w:p>
    <w:p w14:paraId="2FF9CAA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CDFFE8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atención a la gravedad de la situación excepcional que se vive en la región del Gatatumba, caracterizada por el aumento de la violencia, la crisis humanitaria, el impacto en la población civil, las amenazas a la infraestructura crítica y el desbordamiento de las capacidades institucionales, se hace imprescindible la adopción de medidas extraordinarias que permitan conjurar la perturbación, restablecer la estabilidad institucional, la seguridad del Estado y la convivencia ciudadana, así como garantizar el respeto de los derechos fundamentales. </w:t>
      </w:r>
    </w:p>
    <w:p w14:paraId="58351C3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  </w:t>
      </w:r>
    </w:p>
    <w:p w14:paraId="0887941E" w14:textId="5FD14DC4"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en estos términos, el </w:t>
      </w:r>
      <w:r w:rsidR="007525E1" w:rsidRPr="00C454A1">
        <w:rPr>
          <w:color w:val="000000" w:themeColor="text1"/>
          <w:sz w:val="20"/>
          <w:szCs w:val="20"/>
        </w:rPr>
        <w:t>Gobierno nacional</w:t>
      </w:r>
      <w:r w:rsidRPr="00C454A1">
        <w:rPr>
          <w:color w:val="000000" w:themeColor="text1"/>
          <w:sz w:val="20"/>
          <w:szCs w:val="20"/>
        </w:rPr>
        <w:t xml:space="preserve"> da cuenta del cumplimiento del presupuesto valorativo para la declaratoria de la presente conmoción interior. </w:t>
      </w:r>
    </w:p>
    <w:p w14:paraId="5449F03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391DD27"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III. PRESUPUESTO DE NECESIDAD E INSUFICIENCIA DE LAS MEDIDAS ORDINARIAS</w:t>
      </w:r>
      <w:r w:rsidRPr="00C454A1">
        <w:rPr>
          <w:color w:val="000000" w:themeColor="text1"/>
          <w:sz w:val="20"/>
          <w:szCs w:val="20"/>
        </w:rPr>
        <w:t> </w:t>
      </w:r>
    </w:p>
    <w:p w14:paraId="7DDDF33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6C85AD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aunque la crisis en la región del Gatatumba refleja problemas estructurales, su agravamiento y el riesgo inminente que plantea para la estabilidad institucional, la seguridad del Estado y la convivencial ciudadana justifican la declaratoria del estado de conmoción interior. </w:t>
      </w:r>
    </w:p>
    <w:p w14:paraId="0F5216D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B421D8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por tanto, esta medida extraordinaria es indispensable para adoptar mecanismos y utilizar herramientas inmediatas que permitan conjurar la crisis y evitar su agravamiento, sin perjuicio de las políticas públicas necesarias para abordar las causas estructurales a largo plazo. </w:t>
      </w:r>
    </w:p>
    <w:p w14:paraId="12748AF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C039F9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el Estado colombiano ha desplegado su capacidad institucional en la región del Gatatumba de manera progresiva y creciente, lo que ha permitido morigerar el impacto de las conductas de las organizaciones armadas ilegales con presencia en el territorio. </w:t>
      </w:r>
    </w:p>
    <w:p w14:paraId="520E1B6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23D229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sin embargo, el escalamiento de las acciones armadas del ELN y su particular direccionamiento contra la población civil del Gatatumba constituye una situación excepcional de agravamiento del orden público y de afectación de la seguridad humana que, por una parte, impide de manera considerable la continuidad de la oferta institucional instalada en los municipios de la región y, por otra, amenaza con la destrucción del tejido social y comunitario, y de los procesos organizativos y participativos que se requieren para la atención de las condiciones estructurales que han afectado históricamente al territorio. </w:t>
      </w:r>
    </w:p>
    <w:p w14:paraId="7E63F5B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BD6033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frente a los hechos pe violencia mencionados, la Policía Nacional ha realizado actividades de control territorial, tales como patrullaje urbano, registro a personas y vehículos y control a establecimientos públicos. Además, se han cumplido actividades de policía judicial, tales como apertura de noticias criminales, inspecciones técnicas a cadáveres, recolección de elementos materiales probatorios, entrevistas y recolección de proyectiles. </w:t>
      </w:r>
    </w:p>
    <w:p w14:paraId="3C4612F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751B01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por su parte, las Fuerzas Militares han desarrollado actividades operacionales defensivas y ofensivas, entre las que se destacan: (i) el reposicionamiento de 10 pelotones de la Fuerza de Tarea Vulcano (FUVUL) y la Trigésima Brigada (BR30), para fortalecer y ejercer un control militar de la zona; (ii) apoyos humanitarios, a través de la Aviación del Ejército, para el rescate de personas heridas y amenazadas; (iii) el establecimiento de puestos de mando en las! bases militares del departamento, para atender personas amenazadas; (iv) en Cúcuta! se han dispuesto 2 helicópteros UH-</w:t>
      </w:r>
      <w:r w:rsidRPr="00C454A1">
        <w:rPr>
          <w:color w:val="000000" w:themeColor="text1"/>
          <w:sz w:val="20"/>
          <w:szCs w:val="20"/>
        </w:rPr>
        <w:lastRenderedPageBreak/>
        <w:t>60, 1 HUEY y 1 M117, para tener capacidad de efectuar de manera inmediata movimientos de tropa y logísticos, así como apoyos humanitarios, y (v) se han establecido mecanismos para reconocimiento aéreo e inteligencia aérea con imágenes. </w:t>
      </w:r>
    </w:p>
    <w:p w14:paraId="43DC7A6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C51AA4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las acciones adelantadas para la recuperación del control del territorio necesitan ser reforzadas, ante la magnitud de la crisis humanitaria causada por el escalamiento abrupto e imprevisible del accionar violento del ELN. </w:t>
      </w:r>
    </w:p>
    <w:p w14:paraId="63FE10E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4DA4C4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pese a la recuperación y protección de más de 500 personas civiles amenazadas de muerte por el ELN, aún se mantiene un número indeterminado de personas escondidas, confinadas y que no han logrado ser evacuadas del territorio de riesgo y no se cuenta con suficientes medios aéreos para cumplir con este objetivo, lo cual se agrava por la imposibilidad que enfrentan las autoridades del Estado para efectuar la recolección e identificación de víctimas mortales en el territorio. </w:t>
      </w:r>
    </w:p>
    <w:p w14:paraId="65ADE12A"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AA3F52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la recuperación de los cuerpos de las personas fallecidas como consecuencia de los enfrentamientos armados en la región del Catatumbo constituye un deber humanitario y una obligación del Estado en cumplimiento del respeto a la dignidad humana, los derechos fundamentales y las normas del Derecho Internacional Humanitario. </w:t>
      </w:r>
    </w:p>
    <w:p w14:paraId="5EFFC9E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5F197B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la imposibilidad de realizar las labores necesarias para la identificación, recuperación y disposición adecuada de los cuerpos, debido a las condiciones de inseguridad y control territorial por parte de las organizaciones ilegales vulnera gravemente los derechos de las víctimas y sus familias al duelo, a la verdad y a la justicia, además de representar un riesgo sanitario y social para las comunidades afectadas. En consecuencia, resulta imperativo adoptar medidas extraordinarias para garantizar el acceso seguro de las autoridades competentes a las zonas afectadas. </w:t>
      </w:r>
    </w:p>
    <w:p w14:paraId="7056C19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B4DA3D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las atribuciones ordinarias de la Fuerza Pública y de las autoridades de policía no resultan suficientes para prevenir la ocurrencia de nuevos hechos de violencia y para conjurar la situación de grave perturbación del orden público, lo cual atenta de manera inminente contra la estabilidad institucional en la zona, la seguridad y defensa del Estado y la convivencia ciudadana, en especial, porque pone en grave riesgo los derechos fundamentales de la población civil. </w:t>
      </w:r>
    </w:p>
    <w:p w14:paraId="7C93047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F1EF3C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consecuencia, se hace necesario adoptar herramientas jurídicas y materiales extraordinarias para fortalecer el control del espacio aéreo en general, las capacidades de los servicios de inteligencia y policía judicial de la Fuerza Pública, así como el funcionamiento de la rama judicial para que su actividad sea efectiva y oportuna. </w:t>
      </w:r>
    </w:p>
    <w:p w14:paraId="517B6CD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70A5F0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así mismo, se hace imperativo adoptar medidas extraordinarias para la restricción de la comercialización y transporte de servicios, bienes e insumos utilizados por los grupos armados en la </w:t>
      </w:r>
      <w:r w:rsidRPr="00C454A1">
        <w:rPr>
          <w:color w:val="000000" w:themeColor="text1"/>
          <w:sz w:val="20"/>
          <w:szCs w:val="20"/>
        </w:rPr>
        <w:lastRenderedPageBreak/>
        <w:t>región para el financiamiento de sus actividades criminales. </w:t>
      </w:r>
    </w:p>
    <w:p w14:paraId="33EB4B0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4A9548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por lo tanto, se hace indispensable adoptar medidas de excepción que permitan retomar el control del territorio afectado, impedir más desplazamientos forzados masivos y restablecer el orden público en la región del Catatumbo. </w:t>
      </w:r>
    </w:p>
    <w:p w14:paraId="4F1DBAB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290738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los municipios de Río de Oro y González del departamento del Cesar y aquellos que integran el área metropolitana de Cúcuta enfrentan grandes desafíos para atender a las miles de personas desplazadas forzadamente, entre ellas, mujeres embarazadas, población infantil, adolescentes, adultos mayores, personas en situación de discapacidad, campesinos y campesinas, indígenas, entre otros sujetos de especial protección constitucional que llegan diariamente en busca de la satisfacción de sus necesidades básicas. </w:t>
      </w:r>
    </w:p>
    <w:p w14:paraId="3AAD616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87E985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la actual situación de grave perturbación del orden público, las atribuciones ordinarias de las autoridades administrativas no resultan suficientes para asegurar la atención humanitaria y la prestación de los servicios de administración de justicia, agua potable, saneamiento básico, energía eléctrica, suministro de combustibles, salud, educación, alimentación, entre otros. </w:t>
      </w:r>
    </w:p>
    <w:p w14:paraId="1BA6247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FD2605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para garantizar la satisfacción de necesidades básicas y el acceso de la población a los servicios públicos esenciales en condiciones de calidad y continuidad -en particular de las miles de personas en situación de desplazamiento forzado y de confinamiento que no pueden acceder a estos servicios de forma convencional-se requieren acciones excepcionales e inmediatas: que permitan minimizar las afectaciones a la población en estado de vulnerabilidad, así como superar la grave situación de inestabilidad institucional y la extraordinaria afectación de la convivencia ciudadana. </w:t>
      </w:r>
    </w:p>
    <w:p w14:paraId="54C6EBC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E4F3882" w14:textId="75F7B467"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debido a las difíciles condiciones administrativas, técnicas y presupuestales que presentan las entidades territoriales, es necesario que el </w:t>
      </w:r>
      <w:r w:rsidR="007525E1" w:rsidRPr="00C454A1">
        <w:rPr>
          <w:color w:val="000000" w:themeColor="text1"/>
          <w:sz w:val="20"/>
          <w:szCs w:val="20"/>
        </w:rPr>
        <w:t>Gobierno nacional</w:t>
      </w:r>
      <w:r w:rsidRPr="00C454A1">
        <w:rPr>
          <w:color w:val="000000" w:themeColor="text1"/>
          <w:sz w:val="20"/>
          <w:szCs w:val="20"/>
        </w:rPr>
        <w:t xml:space="preserve"> provea a la población afectada de la infraestructura y la capacidad administrativa y de gestión necesarias para afrontar la emergencia. </w:t>
      </w:r>
    </w:p>
    <w:p w14:paraId="7037B48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416A9F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dada la magnitud de los desplazamientos transfronterizos derivados de esta crisis, los recursos y competencias ordinarias con que cuentan las autoridades son insuficientes para atender de manera efectiva a las personas que están saliendo del país hacia Venezuela, por lo que la situación supera significativamente la capacidad de respuesta de las instituciones, dificultando la provisión de servicios esenciales. </w:t>
      </w:r>
    </w:p>
    <w:p w14:paraId="1484393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F9482F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para recuperar el control del orden público en la zona de frontera con Venezuela, resulta imperioso adoptar las medidas necesarias que permitan garantizar el pleno ejercicio de la soberanía, la protección de la vida y demás derechos de la población. </w:t>
      </w:r>
    </w:p>
    <w:p w14:paraId="6F714B9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86CF3F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Que las circunstancias descritas impiden, además, el normal funcionamiento y coordinación entre las autoridades ambientales y las demás autoridades administrativas de la región, lo cual imposibilita la protección efectiva a los ecosistemas estratégicos que se ubican en ella, por lo que resulta fundamental implementar medidas de carácter extraordinario orientadas, por una parte, a prevenir o mitigar el riesgo de afectación ambiental producto del accionar de las estructuras armadas ilegales y, de otra, a asegurar las condiciones institucionales y de orden público que se requieren para garantizar el cuidado de áreas protegidas y el control y manejo sostenible de los recursos naturales renovables. </w:t>
      </w:r>
    </w:p>
    <w:p w14:paraId="36D7E8A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4042E2D" w14:textId="53C287F3" w:rsidR="004F792B" w:rsidRPr="00C454A1" w:rsidRDefault="004F792B" w:rsidP="00631C27">
      <w:pPr>
        <w:pStyle w:val="NormalWeb"/>
        <w:rPr>
          <w:color w:val="000000" w:themeColor="text1"/>
          <w:sz w:val="20"/>
          <w:szCs w:val="20"/>
        </w:rPr>
      </w:pPr>
      <w:r w:rsidRPr="00C454A1">
        <w:rPr>
          <w:rStyle w:val="vcitation"/>
          <w:rFonts w:eastAsiaTheme="majorEastAsia"/>
          <w:color w:val="000000" w:themeColor="text1"/>
          <w:sz w:val="20"/>
          <w:szCs w:val="20"/>
        </w:rPr>
        <w:t>Que el Programa Nacional Integral de Sustitución .de Cultivos (PNIS), reglamentado por el Decreto Ley 896 de 2017, fue inicialmente focalizado para la región del Catatumbo, en los municipios de Sardinata y Tibú. Conforme a su enfoque familiar, el PNIS vinculó a 2.328 núcleos familiares en las categorías de cultivadores, no cultivadores y recolectores, quienes realizaron la erradicación voluntaria de 1.157 hectáreas de coca.</w:t>
      </w:r>
    </w:p>
    <w:p w14:paraId="7F6C24F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2D3603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sin embargo, este esfuerzo ha resultado insuficiente para atender la magnitud del problema y requiere una ampliación significativa en su alcance y efectividad. </w:t>
      </w:r>
    </w:p>
    <w:p w14:paraId="321FE0B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BFBF31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virtud de lo expuesto, resulta urgente y prioritario implementar medidas extraordinarias para impulsar la sustitución de cultivos de uso ilícito en todos los municipios de la región del Catatumbo y promover condiciones de vida dignas y sostenibles para las comunidades campesinas hoy dependientes de la economía ilícita, en aras de satisfacer las necesidades básicas de la población y fomentar la participación comunitaria, con un enfoque integral, territorial y de derechos humanos. </w:t>
      </w:r>
    </w:p>
    <w:p w14:paraId="5BA99ECF"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53E42CB" w14:textId="74D274DB"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desde 2022, en el marco de los procesos de paz y de la intervención estatal, el </w:t>
      </w:r>
      <w:r w:rsidR="007525E1" w:rsidRPr="00C454A1">
        <w:rPr>
          <w:color w:val="000000" w:themeColor="text1"/>
          <w:sz w:val="20"/>
          <w:szCs w:val="20"/>
        </w:rPr>
        <w:t>Gobierno nacional</w:t>
      </w:r>
      <w:r w:rsidRPr="00C454A1">
        <w:rPr>
          <w:color w:val="000000" w:themeColor="text1"/>
          <w:sz w:val="20"/>
          <w:szCs w:val="20"/>
        </w:rPr>
        <w:t xml:space="preserve"> ha desplegado inversiones, planes, programas y proyectos en la región del Catatumbo, pero estos esfuerzos han sido insuficientes y no han logrado garantizar la institucionalidad necesaria para superar las causas del conflicto. </w:t>
      </w:r>
    </w:p>
    <w:p w14:paraId="1095263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4E6BB0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pese a los esfuerzos conjuntos e interinstitucionales del Ejército Nacional, la Fuerza Aeroespacial Colombiana, la Policía Nacional y las autoridades locales para restablecer el orden público, mediante operaciones militares y acciones de estabilización, se hace necesario adoptar medidas excepcionales y transitorias orientadas a fortalecer la capacidad de respuesta de la Fuerza Pública y la gobernabilidad en la región. </w:t>
      </w:r>
    </w:p>
    <w:p w14:paraId="62A0FEB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55874C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la situación que da lugar al estado de conmoción interior en la región del Catatumbo, en el área metropolitana de Cúcuta y en los municipios de Río de Oro y González del departamento del Cesar, crea una demanda de recursos no prevista en el Presupuesto General de la Nación (PGN) para conjurar la perturbación e impedir la extensión de sus efectos. </w:t>
      </w:r>
    </w:p>
    <w:p w14:paraId="4FECF592" w14:textId="77777777" w:rsidR="00AA2DCF" w:rsidRPr="00C454A1" w:rsidRDefault="00AA2DCF" w:rsidP="00631C27">
      <w:pPr>
        <w:pStyle w:val="NormalWeb"/>
        <w:rPr>
          <w:color w:val="000000" w:themeColor="text1"/>
          <w:sz w:val="20"/>
          <w:szCs w:val="20"/>
        </w:rPr>
      </w:pPr>
    </w:p>
    <w:p w14:paraId="3D856012" w14:textId="0B5B7D92" w:rsidR="004F792B" w:rsidRPr="00C454A1" w:rsidRDefault="004F792B" w:rsidP="00631C27">
      <w:pPr>
        <w:pStyle w:val="NormalWeb"/>
        <w:rPr>
          <w:color w:val="000000" w:themeColor="text1"/>
          <w:sz w:val="20"/>
          <w:szCs w:val="20"/>
        </w:rPr>
      </w:pPr>
      <w:r w:rsidRPr="00C454A1">
        <w:rPr>
          <w:color w:val="000000" w:themeColor="text1"/>
          <w:sz w:val="20"/>
          <w:szCs w:val="20"/>
        </w:rPr>
        <w:t>Que, en el PGN para la vigencia 2025, la limitación en los ingresos legalmente autorizados, así como las inflexibilidades en el gasto, dificultan el redireccionamiento urgente de los recursos del PGN requeridos para superar la grave situación de orden público, sin afectar de manera significativa el gasto público social como mandato constitucional. </w:t>
      </w:r>
    </w:p>
    <w:p w14:paraId="40C3619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283A989" w14:textId="6AE7407B"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la insuficiencia de medios económicos disponibles para la inversión adicional requerida para hacer frente al estado de conmoción interior exige que el </w:t>
      </w:r>
      <w:r w:rsidR="007525E1" w:rsidRPr="00C454A1">
        <w:rPr>
          <w:color w:val="000000" w:themeColor="text1"/>
          <w:sz w:val="20"/>
          <w:szCs w:val="20"/>
        </w:rPr>
        <w:t>Gobierno nacional</w:t>
      </w:r>
      <w:r w:rsidRPr="00C454A1">
        <w:rPr>
          <w:color w:val="000000" w:themeColor="text1"/>
          <w:sz w:val="20"/>
          <w:szCs w:val="20"/>
        </w:rPr>
        <w:t xml:space="preserve"> adopte las medidas presupuestales y fiscales necesarias que permitan atender la región del Catatumbo de manera efectiva, y faculte a las entidades territoriales para que en el marco de su autonomía puedan hacer lo pertinente. </w:t>
      </w:r>
    </w:p>
    <w:p w14:paraId="300BB1C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BB0044C" w14:textId="28122B2B" w:rsidR="004F792B" w:rsidRPr="00C454A1" w:rsidRDefault="004F792B" w:rsidP="00631C27">
      <w:pPr>
        <w:pStyle w:val="NormalWeb"/>
        <w:rPr>
          <w:color w:val="000000" w:themeColor="text1"/>
          <w:sz w:val="20"/>
          <w:szCs w:val="20"/>
        </w:rPr>
      </w:pPr>
      <w:r w:rsidRPr="00C454A1">
        <w:rPr>
          <w:rStyle w:val="vcitation"/>
          <w:rFonts w:eastAsiaTheme="majorEastAsia"/>
          <w:color w:val="000000" w:themeColor="text1"/>
          <w:sz w:val="20"/>
          <w:szCs w:val="20"/>
        </w:rPr>
        <w:t xml:space="preserve">Que tal y como lo establece el artículo 95 de la Constitución Política es deber de las personas contribuir al financiamiento de los gastos e inversiones del Estado, y que, independientemente del estado de anormalidad, se deben respetar las normas constitucionales que en materia tributaria protegen las competencias y recursos de las entidades territoriales, conforme lo disponen los artículos 294, 317 </w:t>
      </w:r>
      <w:r w:rsidR="007306D4" w:rsidRPr="00C454A1">
        <w:rPr>
          <w:rStyle w:val="vcitation"/>
          <w:rFonts w:eastAsiaTheme="majorEastAsia"/>
          <w:color w:val="000000" w:themeColor="text1"/>
          <w:sz w:val="20"/>
          <w:szCs w:val="20"/>
        </w:rPr>
        <w:t>y</w:t>
      </w:r>
      <w:r w:rsidRPr="00C454A1">
        <w:rPr>
          <w:rStyle w:val="vcitation"/>
          <w:rFonts w:eastAsiaTheme="majorEastAsia"/>
          <w:color w:val="000000" w:themeColor="text1"/>
          <w:sz w:val="20"/>
          <w:szCs w:val="20"/>
        </w:rPr>
        <w:t xml:space="preserve"> 362 superiores.</w:t>
      </w:r>
    </w:p>
    <w:p w14:paraId="3AA1ABC1"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es necesario proveer de recursos a las entidades del Estado que deben intervenir respecto de los actos que han dado lugar a la conmoción interior para impedir que se extiendan sus efectos, adoptando medidas que permitan la consecución de recursos adicionales, incluyendo medidas tributarias y presupuestales, entre otras. </w:t>
      </w:r>
    </w:p>
    <w:p w14:paraId="6746E44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5B0577A"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con el propósito de atender la situación descrita, se advierte que la ejecución de recursos del Sistema General de Participaciones y del Sistema General de Regalías asignados para la presente vigencia fiscal al departamento de Norte de Santander, los municipios de Río de Oro y González del departamento del Cesar, los que componen la región del Catatumbo y el área metropolitana de Cúcuta, está limitada por los requisitos, condiciones y procedimientos legales aplicables, por ejemplo, trámites de convocatoria, aprobación y distribución que impiden su uso inmediato. </w:t>
      </w:r>
    </w:p>
    <w:p w14:paraId="7918BB6F"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4DB828A"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por lo tanto, es necesario adoptar medidas que faciliten el uso de los recursos del Sistema General de Participaciones y del Sistema General de Regalías en el marco de los derroteros constitucionales vigentes. </w:t>
      </w:r>
    </w:p>
    <w:p w14:paraId="342BD3A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063A09C" w14:textId="07B6C3B3"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dada la excepcionalidad de la situación, el </w:t>
      </w:r>
      <w:r w:rsidR="007525E1" w:rsidRPr="00C454A1">
        <w:rPr>
          <w:color w:val="000000" w:themeColor="text1"/>
          <w:sz w:val="20"/>
          <w:szCs w:val="20"/>
        </w:rPr>
        <w:t>Gobierno nacional</w:t>
      </w:r>
      <w:r w:rsidRPr="00C454A1">
        <w:rPr>
          <w:color w:val="000000" w:themeColor="text1"/>
          <w:sz w:val="20"/>
          <w:szCs w:val="20"/>
        </w:rPr>
        <w:t xml:space="preserve"> deberá recurrir a recursos fiscales extraordinarios ya modificaciones del PGN, con el objeto de financiar, por una parte, las acciones y capacidades de la Fuerza Pública para el restablecimiento del orden público y, por otra, los proyectos y programas de inversión social, priorizando los concertados con las autoridades regionales, locales y étnicas, lo mismo que con las organizaciones sociales en los sectores productivo, de infraestructura, educación, salud y ordenamiento del territorio, en aras de avanzar en la transformación territorial y la construcción de paz en la región del Catatumbo. </w:t>
      </w:r>
    </w:p>
    <w:p w14:paraId="59154C9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  </w:t>
      </w:r>
    </w:p>
    <w:p w14:paraId="21277D52" w14:textId="4EA81D1D"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debido a la magnitud del desafío derivado del restablecimiento del orden público en la región del Catatumbo, el </w:t>
      </w:r>
      <w:r w:rsidR="007525E1" w:rsidRPr="00C454A1">
        <w:rPr>
          <w:color w:val="000000" w:themeColor="text1"/>
          <w:sz w:val="20"/>
          <w:szCs w:val="20"/>
        </w:rPr>
        <w:t>Gobierno nacional</w:t>
      </w:r>
      <w:r w:rsidRPr="00C454A1">
        <w:rPr>
          <w:color w:val="000000" w:themeColor="text1"/>
          <w:sz w:val="20"/>
          <w:szCs w:val="20"/>
        </w:rPr>
        <w:t xml:space="preserve"> requiere solicitar la cooperación de organismos internacionales y gobiernos aliados, para el financiamiento de programas humanitarios y de estabilización, lo cual implica llevar a cabo los ajustes presupuestales correspondientes. </w:t>
      </w:r>
    </w:p>
    <w:p w14:paraId="02FF651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AD51272" w14:textId="5C0EC7B1" w:rsidR="004F792B" w:rsidRPr="00C454A1" w:rsidRDefault="004F792B" w:rsidP="00631C27">
      <w:pPr>
        <w:pStyle w:val="NormalWeb"/>
        <w:rPr>
          <w:color w:val="000000" w:themeColor="text1"/>
          <w:sz w:val="20"/>
          <w:szCs w:val="20"/>
        </w:rPr>
      </w:pPr>
      <w:r w:rsidRPr="00C454A1">
        <w:rPr>
          <w:color w:val="000000" w:themeColor="text1"/>
          <w:sz w:val="20"/>
          <w:szCs w:val="20"/>
        </w:rPr>
        <w:t>Que, así mismo, es necesario adoptar medidas extraordinarias en materia contractual con el objeto de agilizar la ejecución de los recursos requeridos para garantizar la estabilidad institucional, la seguridad del Estado y la convivencia ciudadana en la región del Catatumbo y en el área metropolitana de Cúcuta. </w:t>
      </w:r>
    </w:p>
    <w:p w14:paraId="7B316E0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2566EB0" w14:textId="01B7F1D5"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para garantizar que las contrataciones se realicen de acuerdo con los más altos estándares de transparencia y eficiencia, el </w:t>
      </w:r>
      <w:r w:rsidR="007525E1" w:rsidRPr="00C454A1">
        <w:rPr>
          <w:color w:val="000000" w:themeColor="text1"/>
          <w:sz w:val="20"/>
          <w:szCs w:val="20"/>
        </w:rPr>
        <w:t>Gobierno nacional</w:t>
      </w:r>
      <w:r w:rsidRPr="00C454A1">
        <w:rPr>
          <w:color w:val="000000" w:themeColor="text1"/>
          <w:sz w:val="20"/>
          <w:szCs w:val="20"/>
        </w:rPr>
        <w:t xml:space="preserve"> deberá implementar mecanismos de control especiales que aseguren la correcta ejecución de los contratos y el uso adecuado de los recursos asignados. </w:t>
      </w:r>
    </w:p>
    <w:p w14:paraId="38E12AAF"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12F3FC3"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Que, en atención a la gravedad de la crisis que afecta a la región del Catatumbo y el área metropolitana de Cúcuta, y tras constatarse la insuficiencia de los medios ordinarios con los que cuentan las autoridades para conjurar la grave perturbación del orden público, se hace necesario acudir al estado de conmoción interior. </w:t>
      </w:r>
    </w:p>
    <w:p w14:paraId="7CADDA8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  </w:t>
      </w:r>
    </w:p>
    <w:p w14:paraId="34A654B3" w14:textId="10BFD042"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en estos términos, el </w:t>
      </w:r>
      <w:r w:rsidR="007525E1" w:rsidRPr="00C454A1">
        <w:rPr>
          <w:color w:val="000000" w:themeColor="text1"/>
          <w:sz w:val="20"/>
          <w:szCs w:val="20"/>
        </w:rPr>
        <w:t>Gobierno nacional</w:t>
      </w:r>
      <w:r w:rsidRPr="00C454A1">
        <w:rPr>
          <w:color w:val="000000" w:themeColor="text1"/>
          <w:sz w:val="20"/>
          <w:szCs w:val="20"/>
        </w:rPr>
        <w:t xml:space="preserve"> da cuenta del cumplimiento de los presupuestos fáctico, de valoración y de necesidad o insuficiencia de las medidas ordinarias para la declaratoria de la presente conmoción interior. </w:t>
      </w:r>
    </w:p>
    <w:p w14:paraId="6C0C2C1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A038E99" w14:textId="43ACD762" w:rsidR="004F792B" w:rsidRPr="00C454A1" w:rsidRDefault="004F792B" w:rsidP="00631C27">
      <w:pPr>
        <w:pStyle w:val="NormalWeb"/>
        <w:rPr>
          <w:color w:val="000000" w:themeColor="text1"/>
          <w:sz w:val="20"/>
          <w:szCs w:val="20"/>
        </w:rPr>
      </w:pPr>
      <w:r w:rsidRPr="00C454A1">
        <w:rPr>
          <w:color w:val="000000" w:themeColor="text1"/>
          <w:sz w:val="20"/>
          <w:szCs w:val="20"/>
        </w:rPr>
        <w:t xml:space="preserve">Que, en mérito de lo expuesto, el </w:t>
      </w:r>
      <w:r w:rsidR="007525E1" w:rsidRPr="00C454A1">
        <w:rPr>
          <w:color w:val="000000" w:themeColor="text1"/>
          <w:sz w:val="20"/>
          <w:szCs w:val="20"/>
        </w:rPr>
        <w:t>Gobierno nacional</w:t>
      </w:r>
      <w:r w:rsidRPr="00C454A1">
        <w:rPr>
          <w:color w:val="000000" w:themeColor="text1"/>
          <w:sz w:val="20"/>
          <w:szCs w:val="20"/>
        </w:rPr>
        <w:t> </w:t>
      </w:r>
    </w:p>
    <w:p w14:paraId="6582582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47D92F5" w14:textId="77777777" w:rsidR="004F792B" w:rsidRPr="00C454A1" w:rsidRDefault="004F792B" w:rsidP="00631C27">
      <w:pPr>
        <w:pStyle w:val="NormalWeb"/>
        <w:jc w:val="center"/>
        <w:rPr>
          <w:color w:val="000000" w:themeColor="text1"/>
          <w:sz w:val="20"/>
          <w:szCs w:val="20"/>
        </w:rPr>
      </w:pPr>
      <w:r w:rsidRPr="00C454A1">
        <w:rPr>
          <w:rStyle w:val="Textoennegrita"/>
          <w:rFonts w:eastAsiaTheme="majorEastAsia"/>
          <w:color w:val="000000" w:themeColor="text1"/>
          <w:sz w:val="20"/>
          <w:szCs w:val="20"/>
        </w:rPr>
        <w:t>DECRETA</w:t>
      </w:r>
      <w:r w:rsidRPr="00C454A1">
        <w:rPr>
          <w:color w:val="000000" w:themeColor="text1"/>
          <w:sz w:val="20"/>
          <w:szCs w:val="20"/>
        </w:rPr>
        <w:t> </w:t>
      </w:r>
    </w:p>
    <w:p w14:paraId="707BAE52" w14:textId="77777777" w:rsidR="004F792B" w:rsidRPr="00C454A1" w:rsidRDefault="004F792B" w:rsidP="00631C27">
      <w:pPr>
        <w:pStyle w:val="NormalWeb"/>
        <w:jc w:val="center"/>
        <w:rPr>
          <w:color w:val="000000" w:themeColor="text1"/>
          <w:sz w:val="20"/>
          <w:szCs w:val="20"/>
        </w:rPr>
      </w:pPr>
      <w:r w:rsidRPr="00C454A1">
        <w:rPr>
          <w:color w:val="000000" w:themeColor="text1"/>
          <w:sz w:val="20"/>
          <w:szCs w:val="20"/>
        </w:rPr>
        <w:t>  </w:t>
      </w:r>
    </w:p>
    <w:p w14:paraId="26DE240B" w14:textId="77777777" w:rsidR="004F792B" w:rsidRPr="00C454A1" w:rsidRDefault="004F792B" w:rsidP="00631C27">
      <w:pPr>
        <w:pStyle w:val="NormalWeb"/>
        <w:rPr>
          <w:color w:val="000000" w:themeColor="text1"/>
          <w:sz w:val="20"/>
          <w:szCs w:val="20"/>
        </w:rPr>
      </w:pPr>
      <w:bookmarkStart w:id="62" w:name="ver_30346952"/>
      <w:bookmarkEnd w:id="62"/>
      <w:r w:rsidRPr="00C454A1">
        <w:rPr>
          <w:rStyle w:val="Textoennegrita"/>
          <w:rFonts w:eastAsiaTheme="majorEastAsia"/>
          <w:color w:val="000000" w:themeColor="text1"/>
          <w:sz w:val="20"/>
          <w:szCs w:val="20"/>
        </w:rPr>
        <w:t>Artículo 1.</w:t>
      </w:r>
      <w:r w:rsidRPr="00C454A1">
        <w:rPr>
          <w:color w:val="000000" w:themeColor="text1"/>
          <w:sz w:val="20"/>
          <w:szCs w:val="20"/>
        </w:rPr>
        <w:t> Declarar el estado de conmoción interior, por el término de noventa (90) días contados a partir de la entrada en vigencia del presente decreto, en la región del Catatumbo, ubicada en el nororiente del departamento de Norte de Santander, la cual está conformada por los municipios de Ocaña, Abrego, El Carmen, Convención, Teorama, San. Calixto, Hacarí, La Playa, El Tarra, Tibú y Sardinata, y los territorios indígenas de los resguardos Motilón Barí y Catalaura La Gabarra, así como en el área metropolitana de Cúcuta, que incluye al municipio de Cúcuta, capital departamental y núcleo del área, y a los municipios de Villa del Rosario, Los Patios, El Zulia, San Cayetano y Puerto Santander y los municipios de Río de Oro y González del departamento del Cesar. </w:t>
      </w:r>
    </w:p>
    <w:p w14:paraId="3319768A"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B3394AA" w14:textId="14DB2B4E" w:rsidR="00A95DCC" w:rsidRPr="00C454A1" w:rsidRDefault="004F792B" w:rsidP="00631C27">
      <w:pPr>
        <w:pStyle w:val="NormalWeb"/>
        <w:rPr>
          <w:color w:val="000000" w:themeColor="text1"/>
          <w:sz w:val="20"/>
          <w:szCs w:val="20"/>
        </w:rPr>
      </w:pPr>
      <w:bookmarkStart w:id="63" w:name="ver_30346953"/>
      <w:bookmarkEnd w:id="63"/>
      <w:r w:rsidRPr="00C454A1">
        <w:rPr>
          <w:rStyle w:val="Textoennegrita"/>
          <w:rFonts w:eastAsiaTheme="majorEastAsia"/>
          <w:color w:val="000000" w:themeColor="text1"/>
          <w:sz w:val="20"/>
          <w:szCs w:val="20"/>
        </w:rPr>
        <w:t>Artículo 2. </w:t>
      </w:r>
      <w:r w:rsidRPr="00C454A1">
        <w:rPr>
          <w:color w:val="000000" w:themeColor="text1"/>
          <w:sz w:val="20"/>
          <w:szCs w:val="20"/>
        </w:rPr>
        <w:t>El presente decreto rige a partir de la fecha de su publicación. </w:t>
      </w:r>
    </w:p>
    <w:p w14:paraId="28FFCF8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8C82921" w14:textId="0F1CC092" w:rsidR="004F792B" w:rsidRPr="00C454A1" w:rsidRDefault="004F792B" w:rsidP="00631C27">
      <w:pPr>
        <w:pStyle w:val="NormalWeb"/>
        <w:jc w:val="center"/>
        <w:rPr>
          <w:color w:val="000000" w:themeColor="text1"/>
          <w:sz w:val="20"/>
          <w:szCs w:val="20"/>
        </w:rPr>
      </w:pPr>
      <w:bookmarkStart w:id="64" w:name="ver_30346954"/>
      <w:bookmarkEnd w:id="64"/>
      <w:r w:rsidRPr="00C454A1">
        <w:rPr>
          <w:rStyle w:val="Textoennegrita"/>
          <w:rFonts w:eastAsiaTheme="majorEastAsia"/>
          <w:color w:val="000000" w:themeColor="text1"/>
          <w:sz w:val="20"/>
          <w:szCs w:val="20"/>
        </w:rPr>
        <w:t>PUBLÍQUESE,</w:t>
      </w:r>
      <w:r w:rsidR="005F0CD9" w:rsidRPr="00C454A1">
        <w:rPr>
          <w:rStyle w:val="Textoennegrita"/>
          <w:rFonts w:eastAsiaTheme="majorEastAsia"/>
          <w:color w:val="000000" w:themeColor="text1"/>
          <w:sz w:val="20"/>
          <w:szCs w:val="20"/>
        </w:rPr>
        <w:t xml:space="preserve"> Y</w:t>
      </w:r>
      <w:r w:rsidRPr="00C454A1">
        <w:rPr>
          <w:rStyle w:val="Textoennegrita"/>
          <w:rFonts w:eastAsiaTheme="majorEastAsia"/>
          <w:color w:val="000000" w:themeColor="text1"/>
          <w:sz w:val="20"/>
          <w:szCs w:val="20"/>
        </w:rPr>
        <w:t xml:space="preserve"> CÚMPLASE</w:t>
      </w:r>
    </w:p>
    <w:p w14:paraId="31DEC9B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BA9D9D6" w14:textId="77777777" w:rsidR="004E1934" w:rsidRPr="00C454A1" w:rsidRDefault="004F792B" w:rsidP="00631C27">
      <w:pPr>
        <w:pStyle w:val="NormalWeb"/>
        <w:rPr>
          <w:rStyle w:val="Textoennegrita"/>
          <w:rFonts w:eastAsiaTheme="majorEastAsia"/>
          <w:color w:val="000000" w:themeColor="text1"/>
          <w:sz w:val="20"/>
          <w:szCs w:val="20"/>
        </w:rPr>
        <w:sectPr w:rsidR="004E1934" w:rsidRPr="00C454A1" w:rsidSect="004E1934">
          <w:type w:val="continuous"/>
          <w:pgSz w:w="12242" w:h="18700"/>
          <w:pgMar w:top="851" w:right="1701" w:bottom="1701" w:left="1701" w:header="737" w:footer="709" w:gutter="0"/>
          <w:cols w:num="2" w:space="342"/>
          <w:titlePg/>
          <w:docGrid w:linePitch="360"/>
        </w:sectPr>
      </w:pPr>
      <w:r w:rsidRPr="00C454A1">
        <w:rPr>
          <w:color w:val="000000" w:themeColor="text1"/>
          <w:sz w:val="20"/>
          <w:szCs w:val="20"/>
        </w:rPr>
        <w:t>Dad</w:t>
      </w:r>
      <w:r w:rsidR="005F0CD9" w:rsidRPr="00C454A1">
        <w:rPr>
          <w:color w:val="000000" w:themeColor="text1"/>
          <w:sz w:val="20"/>
          <w:szCs w:val="20"/>
        </w:rPr>
        <w:t>o en Bogotá, D.C.,</w:t>
      </w:r>
      <w:r w:rsidRPr="00C454A1">
        <w:rPr>
          <w:color w:val="000000" w:themeColor="text1"/>
          <w:sz w:val="20"/>
          <w:szCs w:val="20"/>
        </w:rPr>
        <w:t>   </w:t>
      </w:r>
      <w:r w:rsidRPr="00C454A1">
        <w:rPr>
          <w:color w:val="000000" w:themeColor="text1"/>
          <w:sz w:val="20"/>
          <w:szCs w:val="20"/>
        </w:rPr>
        <w:br/>
      </w:r>
    </w:p>
    <w:p w14:paraId="2DA6BCF4" w14:textId="6DAA1FD9"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lastRenderedPageBreak/>
        <w:t>GUSTAVO PETRO URREGO</w:t>
      </w:r>
      <w:r w:rsidRPr="00C454A1">
        <w:rPr>
          <w:color w:val="000000" w:themeColor="text1"/>
          <w:sz w:val="20"/>
          <w:szCs w:val="20"/>
        </w:rPr>
        <w:t> </w:t>
      </w:r>
    </w:p>
    <w:p w14:paraId="01BBD574" w14:textId="3294C4D0"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DF86D07" w14:textId="0A16DBE5" w:rsidR="004F792B" w:rsidRPr="00C454A1" w:rsidRDefault="004F792B" w:rsidP="00631C27">
      <w:pPr>
        <w:pStyle w:val="NormalWeb"/>
        <w:rPr>
          <w:color w:val="000000" w:themeColor="text1"/>
          <w:sz w:val="20"/>
          <w:szCs w:val="20"/>
        </w:rPr>
      </w:pPr>
      <w:r w:rsidRPr="00C454A1">
        <w:rPr>
          <w:color w:val="000000" w:themeColor="text1"/>
          <w:sz w:val="20"/>
          <w:szCs w:val="20"/>
        </w:rPr>
        <w:t>EL MINISTRO DEL INTERIOR</w:t>
      </w:r>
      <w:r w:rsidR="005F0CD9" w:rsidRPr="00C454A1">
        <w:rPr>
          <w:color w:val="000000" w:themeColor="text1"/>
          <w:sz w:val="20"/>
          <w:szCs w:val="20"/>
        </w:rPr>
        <w:t>,</w:t>
      </w:r>
    </w:p>
    <w:p w14:paraId="5E7B6DA0"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JUAN FERNANDO CRISTO BUSTOS</w:t>
      </w:r>
      <w:r w:rsidRPr="00C454A1">
        <w:rPr>
          <w:color w:val="000000" w:themeColor="text1"/>
          <w:sz w:val="20"/>
          <w:szCs w:val="20"/>
        </w:rPr>
        <w:t> </w:t>
      </w:r>
    </w:p>
    <w:p w14:paraId="402979ED"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2375B0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LA SECRETARIA GENERAL DEL MINISTERIO DE RELACIONES EXTERIORES, ENCARGADA DE LAS FUNCIONES DEL DESPACHO DEL MINISTRO DE RELACIONES EXTERIORES, </w:t>
      </w:r>
    </w:p>
    <w:p w14:paraId="70AC04E4"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PAOLA ANDREA VÁSQUEZ RESTREPO</w:t>
      </w:r>
      <w:r w:rsidRPr="00C454A1">
        <w:rPr>
          <w:color w:val="000000" w:themeColor="text1"/>
          <w:sz w:val="20"/>
          <w:szCs w:val="20"/>
        </w:rPr>
        <w:t> </w:t>
      </w:r>
    </w:p>
    <w:p w14:paraId="1244878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A0F304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EL VICEMINISTRO GENERAL DEL MINISTERIO DE HACIENDA Y CRÉDITO PÚBLICO, ENCARGADO DEL EMPLEO DEL MINISTRO DE HACIENDA Y CRÉDITO PÚBLICO, </w:t>
      </w:r>
    </w:p>
    <w:p w14:paraId="63BB505B"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DIEGO ALEJANDRO GUEVARA CASTAÑEDA</w:t>
      </w:r>
      <w:r w:rsidRPr="00C454A1">
        <w:rPr>
          <w:color w:val="000000" w:themeColor="text1"/>
          <w:sz w:val="20"/>
          <w:szCs w:val="20"/>
        </w:rPr>
        <w:t> </w:t>
      </w:r>
    </w:p>
    <w:p w14:paraId="2406A0F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D5A8292"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LA MINISTRA DE JUSTICIA Y DEL DERECHO, </w:t>
      </w:r>
    </w:p>
    <w:p w14:paraId="044FD629"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ANGELA MARÍA BUITRAGO RUÍZ</w:t>
      </w:r>
      <w:r w:rsidRPr="00C454A1">
        <w:rPr>
          <w:color w:val="000000" w:themeColor="text1"/>
          <w:sz w:val="20"/>
          <w:szCs w:val="20"/>
        </w:rPr>
        <w:t> </w:t>
      </w:r>
    </w:p>
    <w:p w14:paraId="05D7A27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C7F575D" w14:textId="438B1D01" w:rsidR="004F792B" w:rsidRPr="00C454A1" w:rsidRDefault="004F792B" w:rsidP="00631C27">
      <w:pPr>
        <w:pStyle w:val="NormalWeb"/>
        <w:rPr>
          <w:color w:val="000000" w:themeColor="text1"/>
          <w:sz w:val="20"/>
          <w:szCs w:val="20"/>
        </w:rPr>
      </w:pPr>
      <w:r w:rsidRPr="00C454A1">
        <w:rPr>
          <w:color w:val="000000" w:themeColor="text1"/>
          <w:sz w:val="20"/>
          <w:szCs w:val="20"/>
        </w:rPr>
        <w:t>EL MINISTRO DE DEFENSA NACIONAL, </w:t>
      </w:r>
    </w:p>
    <w:p w14:paraId="7C4758DB"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IVÁN VELÁZQUEZ GÓMEZ</w:t>
      </w:r>
      <w:r w:rsidRPr="00C454A1">
        <w:rPr>
          <w:color w:val="000000" w:themeColor="text1"/>
          <w:sz w:val="20"/>
          <w:szCs w:val="20"/>
        </w:rPr>
        <w:t> </w:t>
      </w:r>
    </w:p>
    <w:p w14:paraId="5828D41A"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315DBDBE"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LA MINISTRA DE AGRICULTURA y DESARROLLO RURAL </w:t>
      </w:r>
    </w:p>
    <w:p w14:paraId="7444E2C2" w14:textId="35DB6CAA"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 xml:space="preserve">MARTHA VIVIANA CARVAJALlNO </w:t>
      </w:r>
    </w:p>
    <w:p w14:paraId="11BC2A4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7AAEE51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EL MINISTRO DE SALUD Y PROTECCIÓN SOCIAL </w:t>
      </w:r>
    </w:p>
    <w:p w14:paraId="2297BADD"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GUILLERMO ALFONSO JARAMILLO MARTÍNEZ </w:t>
      </w:r>
      <w:r w:rsidRPr="00C454A1">
        <w:rPr>
          <w:color w:val="000000" w:themeColor="text1"/>
          <w:sz w:val="20"/>
          <w:szCs w:val="20"/>
        </w:rPr>
        <w:t> </w:t>
      </w:r>
    </w:p>
    <w:p w14:paraId="31E86E67"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  </w:t>
      </w:r>
    </w:p>
    <w:p w14:paraId="3CE02F2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LA MINISTRA DE TRABAJO, </w:t>
      </w:r>
    </w:p>
    <w:p w14:paraId="7F7D9473"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GLORIA INÉS RAMÍREZ RÍOS</w:t>
      </w:r>
      <w:r w:rsidRPr="00C454A1">
        <w:rPr>
          <w:color w:val="000000" w:themeColor="text1"/>
          <w:sz w:val="20"/>
          <w:szCs w:val="20"/>
        </w:rPr>
        <w:t> </w:t>
      </w:r>
    </w:p>
    <w:p w14:paraId="0FB50334"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2E48AC4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EL MINISTRO DE MINAS Y ENERGIA, </w:t>
      </w:r>
    </w:p>
    <w:p w14:paraId="3506A13F"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OMAR ANDRÉS CAMACHO MORALES</w:t>
      </w:r>
      <w:r w:rsidRPr="00C454A1">
        <w:rPr>
          <w:color w:val="000000" w:themeColor="text1"/>
          <w:sz w:val="20"/>
          <w:szCs w:val="20"/>
        </w:rPr>
        <w:t> </w:t>
      </w:r>
    </w:p>
    <w:p w14:paraId="5A64CC3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67FB747B" w14:textId="103893C7" w:rsidR="004F792B" w:rsidRPr="00C454A1" w:rsidRDefault="004F792B" w:rsidP="00631C27">
      <w:pPr>
        <w:pStyle w:val="NormalWeb"/>
        <w:rPr>
          <w:color w:val="000000" w:themeColor="text1"/>
          <w:sz w:val="20"/>
          <w:szCs w:val="20"/>
        </w:rPr>
      </w:pPr>
      <w:r w:rsidRPr="00C454A1">
        <w:rPr>
          <w:color w:val="000000" w:themeColor="text1"/>
          <w:sz w:val="20"/>
          <w:szCs w:val="20"/>
        </w:rPr>
        <w:t>EL MINISTRO DE COMERCIO, INDUSTRIA Y TURISMO</w:t>
      </w:r>
      <w:r w:rsidR="005F0CD9" w:rsidRPr="00C454A1">
        <w:rPr>
          <w:color w:val="000000" w:themeColor="text1"/>
          <w:sz w:val="20"/>
          <w:szCs w:val="20"/>
        </w:rPr>
        <w:t>,</w:t>
      </w:r>
      <w:r w:rsidRPr="00C454A1">
        <w:rPr>
          <w:color w:val="000000" w:themeColor="text1"/>
          <w:sz w:val="20"/>
          <w:szCs w:val="20"/>
        </w:rPr>
        <w:t> </w:t>
      </w:r>
    </w:p>
    <w:p w14:paraId="34B0815B"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LUIS CARLOS REYES HERNÁNDEZ</w:t>
      </w:r>
      <w:r w:rsidRPr="00C454A1">
        <w:rPr>
          <w:color w:val="000000" w:themeColor="text1"/>
          <w:sz w:val="20"/>
          <w:szCs w:val="20"/>
        </w:rPr>
        <w:t> </w:t>
      </w:r>
    </w:p>
    <w:p w14:paraId="725F3E6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AE9ADB0" w14:textId="3778048F" w:rsidR="004F792B" w:rsidRPr="00C454A1" w:rsidRDefault="004F792B" w:rsidP="00631C27">
      <w:pPr>
        <w:pStyle w:val="NormalWeb"/>
        <w:rPr>
          <w:color w:val="000000" w:themeColor="text1"/>
          <w:sz w:val="20"/>
          <w:szCs w:val="20"/>
        </w:rPr>
      </w:pPr>
      <w:r w:rsidRPr="00C454A1">
        <w:rPr>
          <w:color w:val="000000" w:themeColor="text1"/>
          <w:sz w:val="20"/>
          <w:szCs w:val="20"/>
        </w:rPr>
        <w:t>EL MINISTRO DE EDUCACIÓN NACIONAL</w:t>
      </w:r>
      <w:r w:rsidR="005F0CD9" w:rsidRPr="00C454A1">
        <w:rPr>
          <w:color w:val="000000" w:themeColor="text1"/>
          <w:sz w:val="20"/>
          <w:szCs w:val="20"/>
        </w:rPr>
        <w:t>,</w:t>
      </w:r>
    </w:p>
    <w:p w14:paraId="01B922AA"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JOSÉ DANIEL ROJAS MEDELLÍN</w:t>
      </w:r>
      <w:r w:rsidRPr="00C454A1">
        <w:rPr>
          <w:color w:val="000000" w:themeColor="text1"/>
          <w:sz w:val="20"/>
          <w:szCs w:val="20"/>
        </w:rPr>
        <w:t> </w:t>
      </w:r>
    </w:p>
    <w:p w14:paraId="3673928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0AC9E6F2" w14:textId="2825E544" w:rsidR="004F792B" w:rsidRPr="00C454A1" w:rsidRDefault="004F792B" w:rsidP="00631C27">
      <w:pPr>
        <w:pStyle w:val="NormalWeb"/>
        <w:rPr>
          <w:color w:val="000000" w:themeColor="text1"/>
          <w:sz w:val="20"/>
          <w:szCs w:val="20"/>
        </w:rPr>
      </w:pPr>
      <w:r w:rsidRPr="00C454A1">
        <w:rPr>
          <w:color w:val="000000" w:themeColor="text1"/>
          <w:sz w:val="20"/>
          <w:szCs w:val="20"/>
        </w:rPr>
        <w:t>LA MINISTRA DE AMBIENTE Y DESARROLLO SOSTENIBLE</w:t>
      </w:r>
      <w:r w:rsidR="005F0CD9" w:rsidRPr="00C454A1">
        <w:rPr>
          <w:color w:val="000000" w:themeColor="text1"/>
          <w:sz w:val="20"/>
          <w:szCs w:val="20"/>
        </w:rPr>
        <w:t>,</w:t>
      </w:r>
    </w:p>
    <w:p w14:paraId="7EAD9379"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MARIA SUSANA MUHAMAD GONZÁLEZ</w:t>
      </w:r>
      <w:r w:rsidRPr="00C454A1">
        <w:rPr>
          <w:color w:val="000000" w:themeColor="text1"/>
          <w:sz w:val="20"/>
          <w:szCs w:val="20"/>
        </w:rPr>
        <w:t> </w:t>
      </w:r>
    </w:p>
    <w:p w14:paraId="63FF86AF"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CDEDFD5" w14:textId="3007B530" w:rsidR="004F792B" w:rsidRPr="00C454A1" w:rsidRDefault="004F792B" w:rsidP="00631C27">
      <w:pPr>
        <w:pStyle w:val="NormalWeb"/>
        <w:rPr>
          <w:color w:val="000000" w:themeColor="text1"/>
          <w:sz w:val="20"/>
          <w:szCs w:val="20"/>
        </w:rPr>
      </w:pPr>
      <w:r w:rsidRPr="00C454A1">
        <w:rPr>
          <w:color w:val="000000" w:themeColor="text1"/>
          <w:sz w:val="20"/>
          <w:szCs w:val="20"/>
        </w:rPr>
        <w:t>LA MINISTRA DE VIVIENDA, CIUDAD Y TERRITORIO</w:t>
      </w:r>
      <w:r w:rsidR="005F0CD9" w:rsidRPr="00C454A1">
        <w:rPr>
          <w:color w:val="000000" w:themeColor="text1"/>
          <w:sz w:val="20"/>
          <w:szCs w:val="20"/>
        </w:rPr>
        <w:t>,</w:t>
      </w:r>
    </w:p>
    <w:p w14:paraId="6D3DDCAC"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HELGA MARÍA RIVAS ARDILA</w:t>
      </w:r>
      <w:r w:rsidRPr="00C454A1">
        <w:rPr>
          <w:color w:val="000000" w:themeColor="text1"/>
          <w:sz w:val="20"/>
          <w:szCs w:val="20"/>
        </w:rPr>
        <w:t> </w:t>
      </w:r>
    </w:p>
    <w:p w14:paraId="79479AB5"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4B070511" w14:textId="32BEBB45" w:rsidR="004F792B" w:rsidRPr="00C454A1" w:rsidRDefault="004F792B" w:rsidP="00631C27">
      <w:pPr>
        <w:pStyle w:val="NormalWeb"/>
        <w:rPr>
          <w:color w:val="000000" w:themeColor="text1"/>
          <w:sz w:val="20"/>
          <w:szCs w:val="20"/>
        </w:rPr>
      </w:pPr>
      <w:r w:rsidRPr="00C454A1">
        <w:rPr>
          <w:color w:val="000000" w:themeColor="text1"/>
          <w:sz w:val="20"/>
          <w:szCs w:val="20"/>
        </w:rPr>
        <w:t>EL MINISTRO DE TECNOLOGÍAS DE LA INFORMACIÓN Y LAS COMUNICACIONES</w:t>
      </w:r>
      <w:r w:rsidR="005F0CD9" w:rsidRPr="00C454A1">
        <w:rPr>
          <w:color w:val="000000" w:themeColor="text1"/>
          <w:sz w:val="20"/>
          <w:szCs w:val="20"/>
        </w:rPr>
        <w:t>,</w:t>
      </w:r>
      <w:r w:rsidRPr="00C454A1">
        <w:rPr>
          <w:color w:val="000000" w:themeColor="text1"/>
          <w:sz w:val="20"/>
          <w:szCs w:val="20"/>
        </w:rPr>
        <w:t> </w:t>
      </w:r>
    </w:p>
    <w:p w14:paraId="675A4BFE"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OSCAR MAURICIO LIZCANO ARANGO</w:t>
      </w:r>
      <w:r w:rsidRPr="00C454A1">
        <w:rPr>
          <w:color w:val="000000" w:themeColor="text1"/>
          <w:sz w:val="20"/>
          <w:szCs w:val="20"/>
        </w:rPr>
        <w:t> </w:t>
      </w:r>
    </w:p>
    <w:p w14:paraId="0E2241EB"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3478466" w14:textId="5A230ED2" w:rsidR="004F792B" w:rsidRPr="00C454A1" w:rsidRDefault="004F792B" w:rsidP="00631C27">
      <w:pPr>
        <w:pStyle w:val="NormalWeb"/>
        <w:rPr>
          <w:color w:val="000000" w:themeColor="text1"/>
          <w:sz w:val="20"/>
          <w:szCs w:val="20"/>
        </w:rPr>
      </w:pPr>
      <w:r w:rsidRPr="00C454A1">
        <w:rPr>
          <w:color w:val="000000" w:themeColor="text1"/>
          <w:sz w:val="20"/>
          <w:szCs w:val="20"/>
        </w:rPr>
        <w:t>LA SUBDIRECTORA GENERAL DE PROGRAMAS Y PROYECTOS DEL DEPARTAMENTO ADMINISTRATIVO PARA LA PROSPERIDAD SOCIAL, ENCARGADA DEL EMPLEO DEL DESPACHO DEL MINISTRO DE TRANSPORTE</w:t>
      </w:r>
      <w:r w:rsidR="005F0CD9" w:rsidRPr="00C454A1">
        <w:rPr>
          <w:color w:val="000000" w:themeColor="text1"/>
          <w:sz w:val="20"/>
          <w:szCs w:val="20"/>
        </w:rPr>
        <w:t>,</w:t>
      </w:r>
      <w:r w:rsidRPr="00C454A1">
        <w:rPr>
          <w:color w:val="000000" w:themeColor="text1"/>
          <w:sz w:val="20"/>
          <w:szCs w:val="20"/>
        </w:rPr>
        <w:t> </w:t>
      </w:r>
    </w:p>
    <w:p w14:paraId="79AF2773"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MARÍA FERNANDA ROJAS MANTILLA</w:t>
      </w:r>
      <w:r w:rsidRPr="00C454A1">
        <w:rPr>
          <w:color w:val="000000" w:themeColor="text1"/>
          <w:sz w:val="20"/>
          <w:szCs w:val="20"/>
        </w:rPr>
        <w:t> </w:t>
      </w:r>
    </w:p>
    <w:p w14:paraId="4F89644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  </w:t>
      </w:r>
    </w:p>
    <w:p w14:paraId="64D90196"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EL MINISTRO DE LAS CULTURAS, LAS ARTES Y LOS SABERES, </w:t>
      </w:r>
    </w:p>
    <w:p w14:paraId="741EB2C1"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JUAN DAVID CORREA ULLOA</w:t>
      </w:r>
      <w:r w:rsidRPr="00C454A1">
        <w:rPr>
          <w:color w:val="000000" w:themeColor="text1"/>
          <w:sz w:val="20"/>
          <w:szCs w:val="20"/>
        </w:rPr>
        <w:t> </w:t>
      </w:r>
    </w:p>
    <w:p w14:paraId="58BC7918"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517E659C"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LA MINISTRA DEL DEPORTE, </w:t>
      </w:r>
    </w:p>
    <w:p w14:paraId="790CEDFB"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LUZ CRISTINA LÓPEZ TREJOS</w:t>
      </w:r>
      <w:r w:rsidRPr="00C454A1">
        <w:rPr>
          <w:color w:val="000000" w:themeColor="text1"/>
          <w:sz w:val="20"/>
          <w:szCs w:val="20"/>
        </w:rPr>
        <w:t> </w:t>
      </w:r>
    </w:p>
    <w:p w14:paraId="0012AE0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lastRenderedPageBreak/>
        <w:t>  </w:t>
      </w:r>
    </w:p>
    <w:p w14:paraId="67A9D432" w14:textId="295892F6" w:rsidR="004F792B" w:rsidRPr="00C454A1" w:rsidRDefault="004F792B" w:rsidP="00631C27">
      <w:pPr>
        <w:pStyle w:val="NormalWeb"/>
        <w:rPr>
          <w:color w:val="000000" w:themeColor="text1"/>
          <w:sz w:val="20"/>
          <w:szCs w:val="20"/>
        </w:rPr>
      </w:pPr>
      <w:r w:rsidRPr="00C454A1">
        <w:rPr>
          <w:color w:val="000000" w:themeColor="text1"/>
          <w:sz w:val="20"/>
          <w:szCs w:val="20"/>
        </w:rPr>
        <w:t>LA MINISTRA DE CIENCIA, TECNOLOGÍA E INNOVACIÓN</w:t>
      </w:r>
      <w:r w:rsidR="005F0CD9" w:rsidRPr="00C454A1">
        <w:rPr>
          <w:color w:val="000000" w:themeColor="text1"/>
          <w:sz w:val="20"/>
          <w:szCs w:val="20"/>
        </w:rPr>
        <w:t>,</w:t>
      </w:r>
    </w:p>
    <w:p w14:paraId="793E63B8" w14:textId="77777777" w:rsidR="004F792B" w:rsidRPr="00C454A1" w:rsidRDefault="004F792B" w:rsidP="00631C27">
      <w:pPr>
        <w:pStyle w:val="NormalWeb"/>
        <w:rPr>
          <w:color w:val="000000" w:themeColor="text1"/>
          <w:sz w:val="20"/>
          <w:szCs w:val="20"/>
        </w:rPr>
      </w:pPr>
      <w:r w:rsidRPr="00C454A1">
        <w:rPr>
          <w:rStyle w:val="Textoennegrita"/>
          <w:rFonts w:eastAsiaTheme="majorEastAsia"/>
          <w:color w:val="000000" w:themeColor="text1"/>
          <w:sz w:val="20"/>
          <w:szCs w:val="20"/>
        </w:rPr>
        <w:t>ÁNGELA YESENIA OLAYA REQUENE</w:t>
      </w:r>
      <w:r w:rsidRPr="00C454A1">
        <w:rPr>
          <w:color w:val="000000" w:themeColor="text1"/>
          <w:sz w:val="20"/>
          <w:szCs w:val="20"/>
        </w:rPr>
        <w:t> </w:t>
      </w:r>
    </w:p>
    <w:p w14:paraId="69848459"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  </w:t>
      </w:r>
    </w:p>
    <w:p w14:paraId="1BD649F0" w14:textId="77777777" w:rsidR="004F792B" w:rsidRPr="00C454A1" w:rsidRDefault="004F792B" w:rsidP="00631C27">
      <w:pPr>
        <w:pStyle w:val="NormalWeb"/>
        <w:rPr>
          <w:color w:val="000000" w:themeColor="text1"/>
          <w:sz w:val="20"/>
          <w:szCs w:val="20"/>
        </w:rPr>
      </w:pPr>
      <w:r w:rsidRPr="00C454A1">
        <w:rPr>
          <w:color w:val="000000" w:themeColor="text1"/>
          <w:sz w:val="20"/>
          <w:szCs w:val="20"/>
        </w:rPr>
        <w:t>LA MINISTRA DE IGUALDAD Y EQUIDAD, </w:t>
      </w:r>
    </w:p>
    <w:p w14:paraId="7A0CA25E" w14:textId="22F12344" w:rsidR="004E1934" w:rsidRPr="00C454A1" w:rsidRDefault="004F792B" w:rsidP="00631C27">
      <w:pPr>
        <w:pStyle w:val="NormalWeb"/>
        <w:rPr>
          <w:color w:val="000000" w:themeColor="text1"/>
          <w:szCs w:val="28"/>
        </w:rPr>
        <w:sectPr w:rsidR="004E1934" w:rsidRPr="00C454A1" w:rsidSect="004E1934">
          <w:type w:val="continuous"/>
          <w:pgSz w:w="12242" w:h="18700"/>
          <w:pgMar w:top="1276" w:right="1701" w:bottom="1701" w:left="1701" w:header="737" w:footer="709" w:gutter="0"/>
          <w:cols w:num="2" w:space="342"/>
          <w:titlePg/>
          <w:docGrid w:linePitch="360"/>
        </w:sectPr>
      </w:pPr>
      <w:r w:rsidRPr="00C454A1">
        <w:rPr>
          <w:rStyle w:val="Textoennegrita"/>
          <w:rFonts w:eastAsiaTheme="majorEastAsia"/>
          <w:color w:val="000000" w:themeColor="text1"/>
          <w:sz w:val="20"/>
          <w:szCs w:val="20"/>
        </w:rPr>
        <w:t>FRANCIA ELENA MÁRQUEZ MINA</w:t>
      </w:r>
      <w:r w:rsidR="00942B5C" w:rsidRPr="00C454A1">
        <w:rPr>
          <w:color w:val="000000" w:themeColor="text1"/>
          <w:sz w:val="20"/>
          <w:szCs w:val="20"/>
        </w:rPr>
        <w:t>”</w:t>
      </w:r>
    </w:p>
    <w:p w14:paraId="7F46DC2F" w14:textId="77777777" w:rsidR="004E1934" w:rsidRPr="00C454A1" w:rsidRDefault="004E1934" w:rsidP="00EB533C">
      <w:pPr>
        <w:pStyle w:val="Prrafodelista"/>
        <w:ind w:left="0"/>
        <w:outlineLvl w:val="0"/>
        <w:rPr>
          <w:rFonts w:cs="Times New Roman"/>
          <w:color w:val="000000" w:themeColor="text1"/>
          <w:szCs w:val="28"/>
        </w:rPr>
        <w:sectPr w:rsidR="004E1934" w:rsidRPr="00C454A1" w:rsidSect="00BA6497">
          <w:type w:val="continuous"/>
          <w:pgSz w:w="12242" w:h="18700"/>
          <w:pgMar w:top="1276" w:right="1701" w:bottom="1701" w:left="1701" w:header="737" w:footer="709" w:gutter="0"/>
          <w:cols w:space="708"/>
          <w:titlePg/>
          <w:docGrid w:linePitch="360"/>
        </w:sectPr>
      </w:pPr>
    </w:p>
    <w:p w14:paraId="2E3D4784" w14:textId="345D0566" w:rsidR="00D07886" w:rsidRPr="00C454A1" w:rsidRDefault="00E31772" w:rsidP="00631C27">
      <w:pPr>
        <w:pStyle w:val="Prrafodelista"/>
        <w:widowControl w:val="0"/>
        <w:numPr>
          <w:ilvl w:val="0"/>
          <w:numId w:val="4"/>
        </w:numPr>
        <w:ind w:left="709" w:hanging="709"/>
        <w:outlineLvl w:val="0"/>
        <w:rPr>
          <w:rFonts w:cs="Times New Roman"/>
          <w:b/>
          <w:iCs/>
          <w:color w:val="000000" w:themeColor="text1"/>
          <w:szCs w:val="28"/>
        </w:rPr>
      </w:pPr>
      <w:bookmarkStart w:id="65" w:name="_Toc223979926"/>
      <w:bookmarkStart w:id="66" w:name="_Toc190338936"/>
      <w:bookmarkStart w:id="67" w:name="_Toc190339270"/>
      <w:r w:rsidRPr="00C454A1">
        <w:rPr>
          <w:rFonts w:cs="Times New Roman"/>
          <w:b/>
          <w:iCs/>
          <w:color w:val="000000" w:themeColor="text1"/>
          <w:szCs w:val="28"/>
        </w:rPr>
        <w:lastRenderedPageBreak/>
        <w:t>Pruebas</w:t>
      </w:r>
      <w:bookmarkEnd w:id="65"/>
      <w:r w:rsidRPr="00C454A1">
        <w:rPr>
          <w:rFonts w:cs="Times New Roman"/>
          <w:b/>
          <w:iCs/>
          <w:color w:val="000000" w:themeColor="text1"/>
          <w:szCs w:val="28"/>
        </w:rPr>
        <w:t xml:space="preserve"> </w:t>
      </w:r>
      <w:bookmarkEnd w:id="66"/>
      <w:bookmarkEnd w:id="67"/>
    </w:p>
    <w:p w14:paraId="58B62466" w14:textId="77777777" w:rsidR="00230EB4" w:rsidRPr="00C454A1" w:rsidRDefault="00230EB4" w:rsidP="009C4750">
      <w:pPr>
        <w:rPr>
          <w:color w:val="000000" w:themeColor="text1"/>
        </w:rPr>
      </w:pPr>
    </w:p>
    <w:p w14:paraId="31A44D89" w14:textId="39550A16" w:rsidR="00230EB4" w:rsidRPr="00C454A1" w:rsidRDefault="00E70A39" w:rsidP="002F18CD">
      <w:pPr>
        <w:numPr>
          <w:ilvl w:val="0"/>
          <w:numId w:val="2"/>
        </w:numPr>
        <w:ind w:left="0" w:firstLine="0"/>
        <w:rPr>
          <w:rFonts w:cs="Times New Roman"/>
          <w:bCs/>
          <w:iCs/>
          <w:color w:val="000000" w:themeColor="text1"/>
          <w:szCs w:val="28"/>
        </w:rPr>
      </w:pPr>
      <w:r w:rsidRPr="00C454A1">
        <w:rPr>
          <w:rFonts w:cs="Times New Roman"/>
          <w:bCs/>
          <w:iCs/>
          <w:color w:val="000000" w:themeColor="text1"/>
          <w:szCs w:val="28"/>
        </w:rPr>
        <w:t xml:space="preserve">Por medio de auto de 31 de enero de 2025, la </w:t>
      </w:r>
      <w:r w:rsidR="00EC0AEB" w:rsidRPr="00C454A1">
        <w:rPr>
          <w:rFonts w:cs="Times New Roman"/>
          <w:bCs/>
          <w:iCs/>
          <w:color w:val="000000" w:themeColor="text1"/>
          <w:szCs w:val="28"/>
        </w:rPr>
        <w:t xml:space="preserve">entonces </w:t>
      </w:r>
      <w:r w:rsidRPr="00C454A1">
        <w:rPr>
          <w:rFonts w:cs="Times New Roman"/>
          <w:bCs/>
          <w:iCs/>
          <w:color w:val="000000" w:themeColor="text1"/>
          <w:szCs w:val="28"/>
        </w:rPr>
        <w:t>magistrada sustanciadora requirió a</w:t>
      </w:r>
      <w:r w:rsidR="00B714EE" w:rsidRPr="00C454A1">
        <w:rPr>
          <w:rFonts w:cs="Times New Roman"/>
          <w:bCs/>
          <w:iCs/>
          <w:color w:val="000000" w:themeColor="text1"/>
          <w:szCs w:val="28"/>
        </w:rPr>
        <w:t>l</w:t>
      </w:r>
      <w:r w:rsidRPr="00C454A1">
        <w:rPr>
          <w:rFonts w:cs="Times New Roman"/>
          <w:bCs/>
          <w:iCs/>
          <w:color w:val="000000" w:themeColor="text1"/>
          <w:szCs w:val="28"/>
        </w:rPr>
        <w:t xml:space="preserve"> </w:t>
      </w:r>
      <w:r w:rsidR="007525E1" w:rsidRPr="00C454A1">
        <w:rPr>
          <w:rFonts w:cs="Times New Roman"/>
          <w:bCs/>
          <w:iCs/>
          <w:color w:val="000000" w:themeColor="text1"/>
          <w:szCs w:val="28"/>
        </w:rPr>
        <w:t>Gobierno nacional</w:t>
      </w:r>
      <w:r w:rsidRPr="00C454A1">
        <w:rPr>
          <w:rFonts w:cs="Times New Roman"/>
          <w:bCs/>
          <w:iCs/>
          <w:color w:val="000000" w:themeColor="text1"/>
          <w:szCs w:val="28"/>
        </w:rPr>
        <w:t xml:space="preserve">, a las entidades territoriales ubicadas en el ámbito </w:t>
      </w:r>
      <w:r w:rsidR="00B714EE" w:rsidRPr="00C454A1">
        <w:rPr>
          <w:rFonts w:cs="Times New Roman"/>
          <w:bCs/>
          <w:iCs/>
          <w:color w:val="000000" w:themeColor="text1"/>
          <w:szCs w:val="28"/>
        </w:rPr>
        <w:t>de aplicación geográfica de la conmoción interior y a la Defensoría del Pueblo, entre otras</w:t>
      </w:r>
      <w:r w:rsidR="00EC0AEB" w:rsidRPr="00C454A1">
        <w:rPr>
          <w:rFonts w:cs="Times New Roman"/>
          <w:bCs/>
          <w:iCs/>
          <w:color w:val="000000" w:themeColor="text1"/>
          <w:szCs w:val="28"/>
        </w:rPr>
        <w:t xml:space="preserve"> entidades</w:t>
      </w:r>
      <w:r w:rsidR="00B714EE" w:rsidRPr="00C454A1">
        <w:rPr>
          <w:rFonts w:cs="Times New Roman"/>
          <w:bCs/>
          <w:iCs/>
          <w:color w:val="000000" w:themeColor="text1"/>
          <w:szCs w:val="28"/>
        </w:rPr>
        <w:t xml:space="preserve">, el envío de información relacionada con los requisitos formales y presupuestos materiales. El </w:t>
      </w:r>
      <w:r w:rsidR="00B714EE" w:rsidRPr="00C454A1">
        <w:rPr>
          <w:rFonts w:cs="Times New Roman"/>
          <w:b/>
          <w:iCs/>
          <w:color w:val="000000" w:themeColor="text1"/>
          <w:szCs w:val="28"/>
        </w:rPr>
        <w:t>Anexo I</w:t>
      </w:r>
      <w:r w:rsidR="00B714EE" w:rsidRPr="00C454A1">
        <w:rPr>
          <w:rFonts w:cs="Times New Roman"/>
          <w:bCs/>
          <w:iCs/>
          <w:color w:val="000000" w:themeColor="text1"/>
          <w:szCs w:val="28"/>
        </w:rPr>
        <w:t xml:space="preserve"> a esta sentencia sintetiza los escritos de respuesta e información que allegaron estas entidades. </w:t>
      </w:r>
    </w:p>
    <w:p w14:paraId="000158D0" w14:textId="77777777" w:rsidR="00230EB4" w:rsidRPr="00C454A1" w:rsidRDefault="00230EB4" w:rsidP="002F18CD">
      <w:pPr>
        <w:rPr>
          <w:rFonts w:cs="Times New Roman"/>
          <w:b/>
          <w:iCs/>
          <w:color w:val="000000" w:themeColor="text1"/>
          <w:szCs w:val="28"/>
        </w:rPr>
      </w:pPr>
    </w:p>
    <w:p w14:paraId="122ABC40" w14:textId="691395A5" w:rsidR="00230EB4" w:rsidRPr="00C454A1" w:rsidRDefault="00230EB4" w:rsidP="00631C27">
      <w:pPr>
        <w:pStyle w:val="Prrafodelista"/>
        <w:widowControl w:val="0"/>
        <w:numPr>
          <w:ilvl w:val="0"/>
          <w:numId w:val="4"/>
        </w:numPr>
        <w:ind w:left="709" w:hanging="709"/>
        <w:outlineLvl w:val="0"/>
        <w:rPr>
          <w:rFonts w:cs="Times New Roman"/>
          <w:b/>
          <w:iCs/>
          <w:color w:val="000000" w:themeColor="text1"/>
          <w:szCs w:val="28"/>
        </w:rPr>
      </w:pPr>
      <w:bookmarkStart w:id="68" w:name="_Toc223979927"/>
      <w:r w:rsidRPr="00C454A1">
        <w:rPr>
          <w:rFonts w:cs="Times New Roman"/>
          <w:b/>
          <w:iCs/>
          <w:color w:val="000000" w:themeColor="text1"/>
          <w:szCs w:val="28"/>
        </w:rPr>
        <w:t>Intervenciones</w:t>
      </w:r>
      <w:bookmarkEnd w:id="68"/>
      <w:r w:rsidRPr="00C454A1">
        <w:rPr>
          <w:rFonts w:cs="Times New Roman"/>
          <w:b/>
          <w:iCs/>
          <w:color w:val="000000" w:themeColor="text1"/>
          <w:szCs w:val="28"/>
        </w:rPr>
        <w:t xml:space="preserve"> </w:t>
      </w:r>
    </w:p>
    <w:p w14:paraId="7FED71CF" w14:textId="77777777" w:rsidR="00D07886" w:rsidRPr="00C454A1" w:rsidRDefault="00D07886" w:rsidP="002F18CD">
      <w:pPr>
        <w:rPr>
          <w:color w:val="000000" w:themeColor="text1"/>
        </w:rPr>
      </w:pPr>
    </w:p>
    <w:p w14:paraId="79036DFF" w14:textId="57AC4E5E" w:rsidR="00612D9A" w:rsidRPr="00C454A1" w:rsidRDefault="00612D9A" w:rsidP="002F18CD">
      <w:pPr>
        <w:numPr>
          <w:ilvl w:val="0"/>
          <w:numId w:val="2"/>
        </w:numPr>
        <w:ind w:left="0" w:firstLine="0"/>
        <w:rPr>
          <w:rFonts w:cs="Times New Roman"/>
          <w:color w:val="000000" w:themeColor="text1"/>
        </w:rPr>
      </w:pPr>
      <w:bookmarkStart w:id="69" w:name="_Toc190338937"/>
      <w:bookmarkStart w:id="70" w:name="_Toc190339156"/>
      <w:bookmarkStart w:id="71" w:name="_Toc190339271"/>
      <w:bookmarkStart w:id="72" w:name="_Toc190339447"/>
      <w:bookmarkEnd w:id="69"/>
      <w:bookmarkEnd w:id="70"/>
      <w:bookmarkEnd w:id="71"/>
      <w:bookmarkEnd w:id="72"/>
      <w:r w:rsidRPr="00C454A1">
        <w:rPr>
          <w:rFonts w:cs="Times New Roman"/>
          <w:color w:val="000000" w:themeColor="text1"/>
        </w:rPr>
        <w:t xml:space="preserve">Dentro del término de fijación en lista, la Corte Constitucional recibió diversas intervenciones de ciudadanos, entidades públicas, funcionarios públicos, </w:t>
      </w:r>
      <w:r w:rsidRPr="00C454A1">
        <w:rPr>
          <w:rFonts w:cs="Times New Roman"/>
          <w:bCs/>
          <w:iCs/>
          <w:color w:val="000000" w:themeColor="text1"/>
          <w:szCs w:val="28"/>
        </w:rPr>
        <w:t>agremiaciones</w:t>
      </w:r>
      <w:r w:rsidRPr="00C454A1">
        <w:rPr>
          <w:rFonts w:cs="Times New Roman"/>
          <w:color w:val="000000" w:themeColor="text1"/>
        </w:rPr>
        <w:t>, organizaciones sociales y universidades, quienes propusieron distintas aproximaciones al examen del Decreto 62 de 2025</w:t>
      </w:r>
      <w:r w:rsidRPr="00C454A1">
        <w:rPr>
          <w:rStyle w:val="Refdenotaalpie"/>
          <w:rFonts w:cs="Times New Roman"/>
          <w:color w:val="000000" w:themeColor="text1"/>
        </w:rPr>
        <w:footnoteReference w:id="6"/>
      </w:r>
      <w:r w:rsidRPr="00C454A1">
        <w:rPr>
          <w:rFonts w:cs="Times New Roman"/>
          <w:color w:val="000000" w:themeColor="text1"/>
        </w:rPr>
        <w:t>. Doce (12) intervinientes sostuvieron que el decreto declaratorio satisface los requisitos formales y presupuestos materiales y, por lo tanto, solicita</w:t>
      </w:r>
      <w:r w:rsidR="00EC0AEB" w:rsidRPr="00C454A1">
        <w:rPr>
          <w:rFonts w:cs="Times New Roman"/>
          <w:color w:val="000000" w:themeColor="text1"/>
        </w:rPr>
        <w:t>ron</w:t>
      </w:r>
      <w:r w:rsidRPr="00C454A1">
        <w:rPr>
          <w:rFonts w:cs="Times New Roman"/>
          <w:color w:val="000000" w:themeColor="text1"/>
        </w:rPr>
        <w:t xml:space="preserve"> que sea declarado exequible. Por su parte, veintinueve (29) intervinientes considera</w:t>
      </w:r>
      <w:r w:rsidR="00EC0AEB" w:rsidRPr="00C454A1">
        <w:rPr>
          <w:rFonts w:cs="Times New Roman"/>
          <w:color w:val="000000" w:themeColor="text1"/>
        </w:rPr>
        <w:t>ron</w:t>
      </w:r>
      <w:r w:rsidRPr="00C454A1">
        <w:rPr>
          <w:rFonts w:cs="Times New Roman"/>
          <w:color w:val="000000" w:themeColor="text1"/>
        </w:rPr>
        <w:t xml:space="preserve"> que el decreto declaratorio no satisface alguno de los presupuestos materiales y, en consecuencia, solicita</w:t>
      </w:r>
      <w:r w:rsidR="00EC0AEB" w:rsidRPr="00C454A1">
        <w:rPr>
          <w:rFonts w:cs="Times New Roman"/>
          <w:color w:val="000000" w:themeColor="text1"/>
        </w:rPr>
        <w:t>ron</w:t>
      </w:r>
      <w:r w:rsidRPr="00C454A1">
        <w:rPr>
          <w:rFonts w:cs="Times New Roman"/>
          <w:color w:val="000000" w:themeColor="text1"/>
        </w:rPr>
        <w:t xml:space="preserve"> a la Corte proferir una decisión de inexequibilidad. Finalmente, dos </w:t>
      </w:r>
      <w:r w:rsidR="0014641C" w:rsidRPr="00C454A1">
        <w:rPr>
          <w:rFonts w:cs="Times New Roman"/>
          <w:color w:val="000000" w:themeColor="text1"/>
        </w:rPr>
        <w:t xml:space="preserve">(2) </w:t>
      </w:r>
      <w:r w:rsidRPr="00C454A1">
        <w:rPr>
          <w:rFonts w:cs="Times New Roman"/>
          <w:color w:val="000000" w:themeColor="text1"/>
        </w:rPr>
        <w:t xml:space="preserve">intervinientes </w:t>
      </w:r>
      <w:r w:rsidR="00EC0AEB" w:rsidRPr="00C454A1">
        <w:rPr>
          <w:rFonts w:cs="Times New Roman"/>
          <w:color w:val="000000" w:themeColor="text1"/>
        </w:rPr>
        <w:t xml:space="preserve">hicieron </w:t>
      </w:r>
      <w:r w:rsidR="009D19FF" w:rsidRPr="00C454A1">
        <w:rPr>
          <w:rFonts w:cs="Times New Roman"/>
          <w:color w:val="000000" w:themeColor="text1"/>
        </w:rPr>
        <w:t>aportes,</w:t>
      </w:r>
      <w:r w:rsidR="00EC0AEB" w:rsidRPr="00C454A1">
        <w:rPr>
          <w:rFonts w:cs="Times New Roman"/>
          <w:color w:val="000000" w:themeColor="text1"/>
        </w:rPr>
        <w:t xml:space="preserve"> pero </w:t>
      </w:r>
      <w:r w:rsidRPr="00C454A1">
        <w:rPr>
          <w:rFonts w:cs="Times New Roman"/>
          <w:color w:val="000000" w:themeColor="text1"/>
        </w:rPr>
        <w:t xml:space="preserve">no </w:t>
      </w:r>
      <w:r w:rsidR="00EC0AEB" w:rsidRPr="00C454A1">
        <w:rPr>
          <w:rFonts w:cs="Times New Roman"/>
          <w:color w:val="000000" w:themeColor="text1"/>
        </w:rPr>
        <w:t>elevaron</w:t>
      </w:r>
      <w:r w:rsidRPr="00C454A1">
        <w:rPr>
          <w:rFonts w:cs="Times New Roman"/>
          <w:color w:val="000000" w:themeColor="text1"/>
        </w:rPr>
        <w:t xml:space="preserve"> una solicitud concreta a la Corte. </w:t>
      </w:r>
    </w:p>
    <w:p w14:paraId="139FDA68" w14:textId="6B659EEA" w:rsidR="00612D9A" w:rsidRPr="00C454A1" w:rsidRDefault="00612D9A" w:rsidP="00631C27">
      <w:pPr>
        <w:tabs>
          <w:tab w:val="left" w:pos="567"/>
        </w:tabs>
        <w:rPr>
          <w:rFonts w:cs="Times New Roman"/>
          <w:color w:val="000000" w:themeColor="text1"/>
        </w:rPr>
      </w:pPr>
    </w:p>
    <w:p w14:paraId="0032F00C" w14:textId="070AF466" w:rsidR="00201352" w:rsidRPr="00C454A1" w:rsidRDefault="00201352" w:rsidP="00985714">
      <w:pPr>
        <w:tabs>
          <w:tab w:val="left" w:pos="567"/>
        </w:tabs>
        <w:jc w:val="center"/>
        <w:rPr>
          <w:rFonts w:cs="Times New Roman"/>
          <w:i/>
          <w:iCs/>
          <w:color w:val="000000" w:themeColor="text1"/>
          <w:sz w:val="22"/>
          <w:szCs w:val="22"/>
        </w:rPr>
      </w:pPr>
      <w:r w:rsidRPr="00C454A1">
        <w:rPr>
          <w:rFonts w:cs="Times New Roman"/>
          <w:i/>
          <w:iCs/>
          <w:color w:val="000000" w:themeColor="text1"/>
          <w:sz w:val="22"/>
          <w:szCs w:val="22"/>
        </w:rPr>
        <w:t>Tabla 1: Intervenciones ciudadanas</w:t>
      </w:r>
    </w:p>
    <w:tbl>
      <w:tblPr>
        <w:tblStyle w:val="Tablaconcuadrcula"/>
        <w:tblW w:w="5000" w:type="pct"/>
        <w:tblLook w:val="04A0" w:firstRow="1" w:lastRow="0" w:firstColumn="1" w:lastColumn="0" w:noHBand="0" w:noVBand="1"/>
      </w:tblPr>
      <w:tblGrid>
        <w:gridCol w:w="2123"/>
        <w:gridCol w:w="6707"/>
      </w:tblGrid>
      <w:tr w:rsidR="00C454A1" w:rsidRPr="00C454A1" w14:paraId="45E96F8A" w14:textId="77777777" w:rsidTr="00DA1990">
        <w:tc>
          <w:tcPr>
            <w:tcW w:w="1202" w:type="pct"/>
            <w:shd w:val="clear" w:color="auto" w:fill="D9D9D9" w:themeFill="background1" w:themeFillShade="D9"/>
            <w:vAlign w:val="center"/>
          </w:tcPr>
          <w:p w14:paraId="768A8A8A" w14:textId="77777777" w:rsidR="00612D9A" w:rsidRPr="00C454A1" w:rsidRDefault="00612D9A" w:rsidP="005F60C3">
            <w:pPr>
              <w:tabs>
                <w:tab w:val="left" w:pos="567"/>
              </w:tabs>
              <w:jc w:val="center"/>
              <w:rPr>
                <w:rFonts w:cs="Times New Roman"/>
                <w:color w:val="000000" w:themeColor="text1"/>
                <w:sz w:val="22"/>
                <w:szCs w:val="22"/>
              </w:rPr>
            </w:pPr>
            <w:r w:rsidRPr="00C454A1">
              <w:rPr>
                <w:rFonts w:cs="Times New Roman"/>
                <w:b/>
                <w:bCs/>
                <w:color w:val="000000" w:themeColor="text1"/>
                <w:sz w:val="22"/>
                <w:szCs w:val="22"/>
              </w:rPr>
              <w:t>Solicitud</w:t>
            </w:r>
          </w:p>
        </w:tc>
        <w:tc>
          <w:tcPr>
            <w:tcW w:w="3798" w:type="pct"/>
            <w:shd w:val="clear" w:color="auto" w:fill="D9D9D9" w:themeFill="background1" w:themeFillShade="D9"/>
          </w:tcPr>
          <w:p w14:paraId="3BF1CA44" w14:textId="77777777" w:rsidR="00612D9A" w:rsidRPr="00C454A1" w:rsidRDefault="00612D9A" w:rsidP="00631C27">
            <w:pPr>
              <w:tabs>
                <w:tab w:val="left" w:pos="567"/>
              </w:tabs>
              <w:jc w:val="center"/>
              <w:rPr>
                <w:rFonts w:cs="Times New Roman"/>
                <w:color w:val="000000" w:themeColor="text1"/>
                <w:sz w:val="22"/>
                <w:szCs w:val="22"/>
              </w:rPr>
            </w:pPr>
            <w:r w:rsidRPr="00C454A1">
              <w:rPr>
                <w:rFonts w:cs="Times New Roman"/>
                <w:b/>
                <w:bCs/>
                <w:color w:val="000000" w:themeColor="text1"/>
                <w:sz w:val="22"/>
                <w:szCs w:val="22"/>
              </w:rPr>
              <w:t>Interviniente</w:t>
            </w:r>
          </w:p>
        </w:tc>
      </w:tr>
      <w:tr w:rsidR="00C454A1" w:rsidRPr="00C454A1" w14:paraId="0F067A6E" w14:textId="77777777" w:rsidTr="00DA1990">
        <w:tc>
          <w:tcPr>
            <w:tcW w:w="1202" w:type="pct"/>
            <w:vMerge w:val="restart"/>
            <w:shd w:val="clear" w:color="auto" w:fill="D9D9D9" w:themeFill="background1" w:themeFillShade="D9"/>
            <w:vAlign w:val="center"/>
          </w:tcPr>
          <w:p w14:paraId="2768DCFF" w14:textId="77777777" w:rsidR="00612D9A" w:rsidRPr="00C454A1" w:rsidRDefault="00612D9A" w:rsidP="005F60C3">
            <w:pPr>
              <w:tabs>
                <w:tab w:val="left" w:pos="567"/>
              </w:tabs>
              <w:jc w:val="center"/>
              <w:rPr>
                <w:rFonts w:cs="Times New Roman"/>
                <w:color w:val="000000" w:themeColor="text1"/>
                <w:sz w:val="22"/>
                <w:szCs w:val="22"/>
              </w:rPr>
            </w:pPr>
            <w:r w:rsidRPr="00C454A1">
              <w:rPr>
                <w:rFonts w:cs="Times New Roman"/>
                <w:b/>
                <w:bCs/>
                <w:color w:val="000000" w:themeColor="text1"/>
                <w:sz w:val="22"/>
                <w:szCs w:val="22"/>
              </w:rPr>
              <w:t>Exequibilidad</w:t>
            </w:r>
          </w:p>
        </w:tc>
        <w:tc>
          <w:tcPr>
            <w:tcW w:w="3798" w:type="pct"/>
            <w:vAlign w:val="center"/>
          </w:tcPr>
          <w:p w14:paraId="7CF2F0A2"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Universidad Santo Tomás de Bucaramanga</w:t>
            </w:r>
          </w:p>
        </w:tc>
      </w:tr>
      <w:tr w:rsidR="00C454A1" w:rsidRPr="00C454A1" w14:paraId="0B449800" w14:textId="77777777" w:rsidTr="00DA1990">
        <w:tc>
          <w:tcPr>
            <w:tcW w:w="1202" w:type="pct"/>
            <w:vMerge/>
            <w:shd w:val="clear" w:color="auto" w:fill="D9D9D9" w:themeFill="background1" w:themeFillShade="D9"/>
            <w:vAlign w:val="center"/>
          </w:tcPr>
          <w:p w14:paraId="06937FF1"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39FF9F2"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Duvalier Sánchez</w:t>
            </w:r>
          </w:p>
        </w:tc>
      </w:tr>
      <w:tr w:rsidR="00C454A1" w:rsidRPr="00C454A1" w14:paraId="091BCF91" w14:textId="77777777" w:rsidTr="00DA1990">
        <w:tc>
          <w:tcPr>
            <w:tcW w:w="1202" w:type="pct"/>
            <w:vMerge/>
            <w:shd w:val="clear" w:color="auto" w:fill="D9D9D9" w:themeFill="background1" w:themeFillShade="D9"/>
            <w:vAlign w:val="center"/>
          </w:tcPr>
          <w:p w14:paraId="6187FEBB"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394437C2" w14:textId="10320D12"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Cámara de Representantes</w:t>
            </w:r>
            <w:r w:rsidR="00495F0F" w:rsidRPr="00C454A1">
              <w:rPr>
                <w:rStyle w:val="Refdenotaalpie"/>
                <w:rFonts w:cs="Times New Roman"/>
                <w:color w:val="000000" w:themeColor="text1"/>
                <w:sz w:val="22"/>
                <w:szCs w:val="22"/>
              </w:rPr>
              <w:footnoteReference w:id="7"/>
            </w:r>
          </w:p>
        </w:tc>
      </w:tr>
      <w:tr w:rsidR="00C454A1" w:rsidRPr="00C454A1" w14:paraId="2EB3B7E8" w14:textId="77777777" w:rsidTr="00DA1990">
        <w:tc>
          <w:tcPr>
            <w:tcW w:w="1202" w:type="pct"/>
            <w:vMerge/>
            <w:shd w:val="clear" w:color="auto" w:fill="D9D9D9" w:themeFill="background1" w:themeFillShade="D9"/>
            <w:vAlign w:val="center"/>
          </w:tcPr>
          <w:p w14:paraId="0AF6A919"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33C1D922"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Agencia Nacional de Defensa Jurídica del Estado</w:t>
            </w:r>
          </w:p>
        </w:tc>
      </w:tr>
      <w:tr w:rsidR="00C454A1" w:rsidRPr="00C454A1" w14:paraId="0BE17E32" w14:textId="77777777" w:rsidTr="00DA1990">
        <w:tc>
          <w:tcPr>
            <w:tcW w:w="1202" w:type="pct"/>
            <w:vMerge/>
            <w:shd w:val="clear" w:color="auto" w:fill="D9D9D9" w:themeFill="background1" w:themeFillShade="D9"/>
            <w:vAlign w:val="center"/>
          </w:tcPr>
          <w:p w14:paraId="3FA30EDB"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D7DBDA6"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Dirección de Impuestos y Aduanas Nacionales - DIAN</w:t>
            </w:r>
          </w:p>
        </w:tc>
      </w:tr>
      <w:tr w:rsidR="00C454A1" w:rsidRPr="00C454A1" w14:paraId="41252C86" w14:textId="77777777" w:rsidTr="00DA1990">
        <w:tc>
          <w:tcPr>
            <w:tcW w:w="1202" w:type="pct"/>
            <w:vMerge/>
            <w:shd w:val="clear" w:color="auto" w:fill="D9D9D9" w:themeFill="background1" w:themeFillShade="D9"/>
            <w:vAlign w:val="center"/>
          </w:tcPr>
          <w:p w14:paraId="64B3056D"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42E40874"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Luis Jaime Salgar Vegalara</w:t>
            </w:r>
          </w:p>
        </w:tc>
      </w:tr>
      <w:tr w:rsidR="00C454A1" w:rsidRPr="00C454A1" w14:paraId="03DFBE9F" w14:textId="77777777" w:rsidTr="00DA1990">
        <w:tc>
          <w:tcPr>
            <w:tcW w:w="1202" w:type="pct"/>
            <w:vMerge/>
            <w:shd w:val="clear" w:color="auto" w:fill="D9D9D9" w:themeFill="background1" w:themeFillShade="D9"/>
            <w:vAlign w:val="center"/>
          </w:tcPr>
          <w:p w14:paraId="4A29D71D"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422E437C"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Jahel Quiroga Carrillo</w:t>
            </w:r>
          </w:p>
        </w:tc>
      </w:tr>
      <w:tr w:rsidR="00C454A1" w:rsidRPr="00C454A1" w14:paraId="3A540D5E" w14:textId="77777777" w:rsidTr="00DA1990">
        <w:tc>
          <w:tcPr>
            <w:tcW w:w="1202" w:type="pct"/>
            <w:vMerge/>
            <w:shd w:val="clear" w:color="auto" w:fill="D9D9D9" w:themeFill="background1" w:themeFillShade="D9"/>
            <w:vAlign w:val="center"/>
          </w:tcPr>
          <w:p w14:paraId="39A093AF"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04E63B5"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Defensoría del Pueblo</w:t>
            </w:r>
          </w:p>
        </w:tc>
      </w:tr>
      <w:tr w:rsidR="00C454A1" w:rsidRPr="00C454A1" w14:paraId="6D87FC6E" w14:textId="77777777" w:rsidTr="00DA1990">
        <w:tc>
          <w:tcPr>
            <w:tcW w:w="1202" w:type="pct"/>
            <w:vMerge/>
            <w:shd w:val="clear" w:color="auto" w:fill="D9D9D9" w:themeFill="background1" w:themeFillShade="D9"/>
            <w:vAlign w:val="center"/>
          </w:tcPr>
          <w:p w14:paraId="4591973B"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7D63823B" w14:textId="7FEE9991"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 xml:space="preserve">Carolina Jiménez Bellicia y otros funcionarios del </w:t>
            </w:r>
            <w:r w:rsidR="007525E1" w:rsidRPr="00C454A1">
              <w:rPr>
                <w:rFonts w:cs="Times New Roman"/>
                <w:color w:val="000000" w:themeColor="text1"/>
                <w:sz w:val="22"/>
                <w:szCs w:val="22"/>
              </w:rPr>
              <w:t>Gobierno nacional</w:t>
            </w:r>
          </w:p>
        </w:tc>
      </w:tr>
      <w:tr w:rsidR="00C454A1" w:rsidRPr="00C454A1" w14:paraId="4F9C2245" w14:textId="77777777" w:rsidTr="00DA1990">
        <w:tc>
          <w:tcPr>
            <w:tcW w:w="1202" w:type="pct"/>
            <w:vMerge/>
            <w:shd w:val="clear" w:color="auto" w:fill="D9D9D9" w:themeFill="background1" w:themeFillShade="D9"/>
            <w:vAlign w:val="center"/>
          </w:tcPr>
          <w:p w14:paraId="14EBF07D"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3A75ADDF"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Comité Permanente por la Defensa de los Derechos Humanos</w:t>
            </w:r>
          </w:p>
        </w:tc>
      </w:tr>
      <w:tr w:rsidR="00C454A1" w:rsidRPr="00C454A1" w14:paraId="70D09CD2" w14:textId="77777777" w:rsidTr="00DA1990">
        <w:tc>
          <w:tcPr>
            <w:tcW w:w="1202" w:type="pct"/>
            <w:vMerge/>
            <w:shd w:val="clear" w:color="auto" w:fill="D9D9D9" w:themeFill="background1" w:themeFillShade="D9"/>
            <w:vAlign w:val="center"/>
          </w:tcPr>
          <w:p w14:paraId="33DB9E3D"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0B525697"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Centro de Estudios de Derecho, Justicia y Sociedad - Dejusticia</w:t>
            </w:r>
          </w:p>
        </w:tc>
      </w:tr>
      <w:tr w:rsidR="00C454A1" w:rsidRPr="00C454A1" w14:paraId="62631B63" w14:textId="77777777" w:rsidTr="00DA1990">
        <w:tc>
          <w:tcPr>
            <w:tcW w:w="1202" w:type="pct"/>
            <w:vMerge/>
            <w:shd w:val="clear" w:color="auto" w:fill="D9D9D9" w:themeFill="background1" w:themeFillShade="D9"/>
            <w:vAlign w:val="center"/>
          </w:tcPr>
          <w:p w14:paraId="0E1D0673"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0A8D1B75"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Fiscalía General de la Nación – Subdirección de Política Criminal y Articulación</w:t>
            </w:r>
          </w:p>
        </w:tc>
      </w:tr>
      <w:tr w:rsidR="00C454A1" w:rsidRPr="00C454A1" w14:paraId="4C10A559" w14:textId="77777777" w:rsidTr="00DA1990">
        <w:tc>
          <w:tcPr>
            <w:tcW w:w="1202" w:type="pct"/>
            <w:vMerge w:val="restart"/>
            <w:shd w:val="clear" w:color="auto" w:fill="D9D9D9" w:themeFill="background1" w:themeFillShade="D9"/>
            <w:vAlign w:val="center"/>
          </w:tcPr>
          <w:p w14:paraId="635C7727" w14:textId="77777777" w:rsidR="00612D9A" w:rsidRPr="00C454A1" w:rsidRDefault="00612D9A" w:rsidP="005F60C3">
            <w:pPr>
              <w:tabs>
                <w:tab w:val="left" w:pos="567"/>
              </w:tabs>
              <w:jc w:val="center"/>
              <w:rPr>
                <w:rFonts w:cs="Times New Roman"/>
                <w:b/>
                <w:bCs/>
                <w:color w:val="000000" w:themeColor="text1"/>
                <w:sz w:val="22"/>
                <w:szCs w:val="22"/>
              </w:rPr>
            </w:pPr>
            <w:r w:rsidRPr="00C454A1">
              <w:rPr>
                <w:rFonts w:cs="Times New Roman"/>
                <w:b/>
                <w:bCs/>
                <w:color w:val="000000" w:themeColor="text1"/>
                <w:sz w:val="22"/>
                <w:szCs w:val="22"/>
              </w:rPr>
              <w:t>Inexequibilidad</w:t>
            </w:r>
          </w:p>
        </w:tc>
        <w:tc>
          <w:tcPr>
            <w:tcW w:w="3798" w:type="pct"/>
            <w:vAlign w:val="center"/>
          </w:tcPr>
          <w:p w14:paraId="6D540A00"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Abelardo de la Espriella</w:t>
            </w:r>
          </w:p>
        </w:tc>
      </w:tr>
      <w:tr w:rsidR="00C454A1" w:rsidRPr="00C454A1" w14:paraId="6AE09905" w14:textId="77777777" w:rsidTr="00DA1990">
        <w:tc>
          <w:tcPr>
            <w:tcW w:w="1202" w:type="pct"/>
            <w:vMerge/>
            <w:shd w:val="clear" w:color="auto" w:fill="D9D9D9" w:themeFill="background1" w:themeFillShade="D9"/>
            <w:vAlign w:val="center"/>
          </w:tcPr>
          <w:p w14:paraId="35A43135"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77008AFA"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Antioqueños por Colombia</w:t>
            </w:r>
          </w:p>
        </w:tc>
      </w:tr>
      <w:tr w:rsidR="00C454A1" w:rsidRPr="00C454A1" w14:paraId="3A58327B" w14:textId="77777777" w:rsidTr="00DA1990">
        <w:tc>
          <w:tcPr>
            <w:tcW w:w="1202" w:type="pct"/>
            <w:vMerge/>
            <w:shd w:val="clear" w:color="auto" w:fill="D9D9D9" w:themeFill="background1" w:themeFillShade="D9"/>
            <w:vAlign w:val="center"/>
          </w:tcPr>
          <w:p w14:paraId="455B4CED"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5AA30087"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Edwin Alexander Llanos Franco</w:t>
            </w:r>
          </w:p>
        </w:tc>
      </w:tr>
      <w:tr w:rsidR="00C454A1" w:rsidRPr="00C454A1" w14:paraId="2F3BF41C" w14:textId="77777777" w:rsidTr="00DA1990">
        <w:tc>
          <w:tcPr>
            <w:tcW w:w="1202" w:type="pct"/>
            <w:vMerge/>
            <w:shd w:val="clear" w:color="auto" w:fill="D9D9D9" w:themeFill="background1" w:themeFillShade="D9"/>
            <w:vAlign w:val="center"/>
          </w:tcPr>
          <w:p w14:paraId="649560B0"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51AB2F21"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Julián Uscátegui Pastrana</w:t>
            </w:r>
          </w:p>
        </w:tc>
      </w:tr>
      <w:tr w:rsidR="00C454A1" w:rsidRPr="00C454A1" w14:paraId="49D32F53" w14:textId="77777777" w:rsidTr="00DA1990">
        <w:tc>
          <w:tcPr>
            <w:tcW w:w="1202" w:type="pct"/>
            <w:vMerge/>
            <w:shd w:val="clear" w:color="auto" w:fill="D9D9D9" w:themeFill="background1" w:themeFillShade="D9"/>
            <w:vAlign w:val="center"/>
          </w:tcPr>
          <w:p w14:paraId="2A1097F6"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59A27E46"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Daniel Arias Rivera</w:t>
            </w:r>
          </w:p>
        </w:tc>
      </w:tr>
      <w:tr w:rsidR="00C454A1" w:rsidRPr="00C454A1" w14:paraId="2CE136D1" w14:textId="77777777" w:rsidTr="00DA1990">
        <w:tc>
          <w:tcPr>
            <w:tcW w:w="1202" w:type="pct"/>
            <w:vMerge/>
            <w:shd w:val="clear" w:color="auto" w:fill="D9D9D9" w:themeFill="background1" w:themeFillShade="D9"/>
            <w:vAlign w:val="center"/>
          </w:tcPr>
          <w:p w14:paraId="45CB7292"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28F728B3" w14:textId="0E5E1AA6"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Ingri</w:t>
            </w:r>
            <w:r w:rsidR="00D671E6" w:rsidRPr="00C454A1">
              <w:rPr>
                <w:rFonts w:cs="Times New Roman"/>
                <w:color w:val="000000" w:themeColor="text1"/>
                <w:sz w:val="22"/>
                <w:szCs w:val="22"/>
              </w:rPr>
              <w:t>d</w:t>
            </w:r>
            <w:r w:rsidRPr="00C454A1">
              <w:rPr>
                <w:rFonts w:cs="Times New Roman"/>
                <w:color w:val="000000" w:themeColor="text1"/>
                <w:sz w:val="22"/>
                <w:szCs w:val="22"/>
              </w:rPr>
              <w:t xml:space="preserve"> Yurley Montero Martínez y otros</w:t>
            </w:r>
          </w:p>
        </w:tc>
      </w:tr>
      <w:tr w:rsidR="00C454A1" w:rsidRPr="00C454A1" w14:paraId="789AD934" w14:textId="77777777" w:rsidTr="00DA1990">
        <w:tc>
          <w:tcPr>
            <w:tcW w:w="1202" w:type="pct"/>
            <w:vMerge/>
            <w:shd w:val="clear" w:color="auto" w:fill="D9D9D9" w:themeFill="background1" w:themeFillShade="D9"/>
            <w:vAlign w:val="center"/>
          </w:tcPr>
          <w:p w14:paraId="5700B6F5"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5177B656"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Fabio Enrique Pulido Ortiz</w:t>
            </w:r>
          </w:p>
        </w:tc>
      </w:tr>
      <w:tr w:rsidR="00C454A1" w:rsidRPr="00C454A1" w14:paraId="6839F5CF" w14:textId="77777777" w:rsidTr="00DA1990">
        <w:tc>
          <w:tcPr>
            <w:tcW w:w="1202" w:type="pct"/>
            <w:vMerge/>
            <w:shd w:val="clear" w:color="auto" w:fill="D9D9D9" w:themeFill="background1" w:themeFillShade="D9"/>
            <w:vAlign w:val="center"/>
          </w:tcPr>
          <w:p w14:paraId="678BA988"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73F3BA2B"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Corporación Excelencia en la Justicia</w:t>
            </w:r>
          </w:p>
        </w:tc>
      </w:tr>
      <w:tr w:rsidR="00C454A1" w:rsidRPr="00C454A1" w14:paraId="547690CE" w14:textId="77777777" w:rsidTr="00DA1990">
        <w:tc>
          <w:tcPr>
            <w:tcW w:w="1202" w:type="pct"/>
            <w:vMerge/>
            <w:shd w:val="clear" w:color="auto" w:fill="D9D9D9" w:themeFill="background1" w:themeFillShade="D9"/>
            <w:vAlign w:val="center"/>
          </w:tcPr>
          <w:p w14:paraId="1297FF83"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C31FAFC"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Claudia Marcela Rodríguez Santos</w:t>
            </w:r>
          </w:p>
        </w:tc>
      </w:tr>
      <w:tr w:rsidR="00C454A1" w:rsidRPr="00C454A1" w14:paraId="2355E4DC" w14:textId="77777777" w:rsidTr="00DA1990">
        <w:tc>
          <w:tcPr>
            <w:tcW w:w="1202" w:type="pct"/>
            <w:vMerge/>
            <w:shd w:val="clear" w:color="auto" w:fill="D9D9D9" w:themeFill="background1" w:themeFillShade="D9"/>
            <w:vAlign w:val="center"/>
          </w:tcPr>
          <w:p w14:paraId="639E0108"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3F9A73B6"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Fernando Mora</w:t>
            </w:r>
          </w:p>
        </w:tc>
      </w:tr>
      <w:tr w:rsidR="00C454A1" w:rsidRPr="00C454A1" w14:paraId="1EE060B6" w14:textId="77777777" w:rsidTr="00DA1990">
        <w:tc>
          <w:tcPr>
            <w:tcW w:w="1202" w:type="pct"/>
            <w:vMerge/>
            <w:shd w:val="clear" w:color="auto" w:fill="D9D9D9" w:themeFill="background1" w:themeFillShade="D9"/>
            <w:vAlign w:val="center"/>
          </w:tcPr>
          <w:p w14:paraId="31399A4C"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09E12F4D"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Alejandro Linares Cantillo</w:t>
            </w:r>
          </w:p>
        </w:tc>
      </w:tr>
      <w:tr w:rsidR="00C454A1" w:rsidRPr="00C454A1" w14:paraId="2DE1A1D9" w14:textId="77777777" w:rsidTr="00DA1990">
        <w:tc>
          <w:tcPr>
            <w:tcW w:w="1202" w:type="pct"/>
            <w:vMerge/>
            <w:shd w:val="clear" w:color="auto" w:fill="D9D9D9" w:themeFill="background1" w:themeFillShade="D9"/>
            <w:vAlign w:val="center"/>
          </w:tcPr>
          <w:p w14:paraId="20EAE163"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DD56070"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Fundación para el Estado del Derecho</w:t>
            </w:r>
          </w:p>
        </w:tc>
      </w:tr>
      <w:tr w:rsidR="00C454A1" w:rsidRPr="00C454A1" w14:paraId="23B49EE3" w14:textId="77777777" w:rsidTr="00DA1990">
        <w:tc>
          <w:tcPr>
            <w:tcW w:w="1202" w:type="pct"/>
            <w:vMerge/>
            <w:shd w:val="clear" w:color="auto" w:fill="D9D9D9" w:themeFill="background1" w:themeFillShade="D9"/>
            <w:vAlign w:val="center"/>
          </w:tcPr>
          <w:p w14:paraId="440AD0BB"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DF67A09"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David Luna Sánchez</w:t>
            </w:r>
          </w:p>
        </w:tc>
      </w:tr>
      <w:tr w:rsidR="00C454A1" w:rsidRPr="00C454A1" w14:paraId="7397E4C9" w14:textId="77777777" w:rsidTr="00DA1990">
        <w:tc>
          <w:tcPr>
            <w:tcW w:w="1202" w:type="pct"/>
            <w:vMerge/>
            <w:shd w:val="clear" w:color="auto" w:fill="D9D9D9" w:themeFill="background1" w:themeFillShade="D9"/>
            <w:vAlign w:val="center"/>
          </w:tcPr>
          <w:p w14:paraId="6340286E"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2F5BE61E"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Universidad Sergio Arboleda</w:t>
            </w:r>
          </w:p>
        </w:tc>
      </w:tr>
      <w:tr w:rsidR="00C454A1" w:rsidRPr="00C454A1" w14:paraId="786F4004" w14:textId="77777777" w:rsidTr="00DA1990">
        <w:tc>
          <w:tcPr>
            <w:tcW w:w="1202" w:type="pct"/>
            <w:vMerge/>
            <w:shd w:val="clear" w:color="auto" w:fill="D9D9D9" w:themeFill="background1" w:themeFillShade="D9"/>
            <w:vAlign w:val="center"/>
          </w:tcPr>
          <w:p w14:paraId="2530F5B2"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24E7F1C"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Ana María Barbosa y otros</w:t>
            </w:r>
          </w:p>
        </w:tc>
      </w:tr>
      <w:tr w:rsidR="00C454A1" w:rsidRPr="00C454A1" w14:paraId="5D3A7C8E" w14:textId="77777777" w:rsidTr="00DA1990">
        <w:tc>
          <w:tcPr>
            <w:tcW w:w="1202" w:type="pct"/>
            <w:vMerge/>
            <w:shd w:val="clear" w:color="auto" w:fill="D9D9D9" w:themeFill="background1" w:themeFillShade="D9"/>
            <w:vAlign w:val="center"/>
          </w:tcPr>
          <w:p w14:paraId="5EF7DA67"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582927C"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Emilio José Archila Peñalosa y Margarita Rosa Hernández Valderrama</w:t>
            </w:r>
          </w:p>
        </w:tc>
      </w:tr>
      <w:tr w:rsidR="00C454A1" w:rsidRPr="00C454A1" w14:paraId="3F7749F8" w14:textId="77777777" w:rsidTr="00DA1990">
        <w:tc>
          <w:tcPr>
            <w:tcW w:w="1202" w:type="pct"/>
            <w:vMerge/>
            <w:shd w:val="clear" w:color="auto" w:fill="D9D9D9" w:themeFill="background1" w:themeFillShade="D9"/>
            <w:vAlign w:val="center"/>
          </w:tcPr>
          <w:p w14:paraId="27C947CD"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FD452BF"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Tania María Camila Luna Blanco y otros</w:t>
            </w:r>
          </w:p>
        </w:tc>
      </w:tr>
      <w:tr w:rsidR="00C454A1" w:rsidRPr="00C454A1" w14:paraId="77EF77DF" w14:textId="77777777" w:rsidTr="00DA1990">
        <w:tc>
          <w:tcPr>
            <w:tcW w:w="1202" w:type="pct"/>
            <w:vMerge/>
            <w:shd w:val="clear" w:color="auto" w:fill="D9D9D9" w:themeFill="background1" w:themeFillShade="D9"/>
            <w:vAlign w:val="center"/>
          </w:tcPr>
          <w:p w14:paraId="5E5D8E2D"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46244171"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Daniel Eduardo Londoño De Vivero</w:t>
            </w:r>
          </w:p>
        </w:tc>
      </w:tr>
      <w:tr w:rsidR="00C454A1" w:rsidRPr="00C454A1" w14:paraId="77F14975" w14:textId="77777777" w:rsidTr="00DA1990">
        <w:tc>
          <w:tcPr>
            <w:tcW w:w="1202" w:type="pct"/>
            <w:vMerge/>
            <w:shd w:val="clear" w:color="auto" w:fill="D9D9D9" w:themeFill="background1" w:themeFillShade="D9"/>
            <w:vAlign w:val="center"/>
          </w:tcPr>
          <w:p w14:paraId="38D68E76"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1A2426CD"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Juan Alberto Londoño Martínez</w:t>
            </w:r>
          </w:p>
        </w:tc>
      </w:tr>
      <w:tr w:rsidR="00C454A1" w:rsidRPr="00C454A1" w14:paraId="7529EF43" w14:textId="77777777" w:rsidTr="00DA1990">
        <w:tc>
          <w:tcPr>
            <w:tcW w:w="1202" w:type="pct"/>
            <w:vMerge/>
            <w:shd w:val="clear" w:color="auto" w:fill="D9D9D9" w:themeFill="background1" w:themeFillShade="D9"/>
            <w:vAlign w:val="center"/>
          </w:tcPr>
          <w:p w14:paraId="7E9BF62D"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4040131C"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Clínica de Interés Público en Derechos</w:t>
            </w:r>
          </w:p>
        </w:tc>
      </w:tr>
      <w:tr w:rsidR="00C454A1" w:rsidRPr="00C454A1" w14:paraId="306AA886" w14:textId="77777777" w:rsidTr="00DA1990">
        <w:tc>
          <w:tcPr>
            <w:tcW w:w="1202" w:type="pct"/>
            <w:vMerge/>
            <w:shd w:val="clear" w:color="auto" w:fill="D9D9D9" w:themeFill="background1" w:themeFillShade="D9"/>
            <w:vAlign w:val="center"/>
          </w:tcPr>
          <w:p w14:paraId="64CCD23A"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20A9E2B3"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Humanos de la Universidad Sergio Arboleda</w:t>
            </w:r>
          </w:p>
        </w:tc>
      </w:tr>
      <w:tr w:rsidR="00C454A1" w:rsidRPr="00C454A1" w14:paraId="4CDFABD1" w14:textId="77777777" w:rsidTr="00DA1990">
        <w:tc>
          <w:tcPr>
            <w:tcW w:w="1202" w:type="pct"/>
            <w:vMerge/>
            <w:shd w:val="clear" w:color="auto" w:fill="D9D9D9" w:themeFill="background1" w:themeFillShade="D9"/>
            <w:vAlign w:val="center"/>
          </w:tcPr>
          <w:p w14:paraId="06CFD8B3"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EB91175"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Federación Nacional de Productores de Carbón</w:t>
            </w:r>
          </w:p>
        </w:tc>
      </w:tr>
      <w:tr w:rsidR="00C454A1" w:rsidRPr="00C454A1" w14:paraId="179D3F43" w14:textId="77777777" w:rsidTr="00DA1990">
        <w:tc>
          <w:tcPr>
            <w:tcW w:w="1202" w:type="pct"/>
            <w:vMerge/>
            <w:shd w:val="clear" w:color="auto" w:fill="D9D9D9" w:themeFill="background1" w:themeFillShade="D9"/>
            <w:vAlign w:val="center"/>
          </w:tcPr>
          <w:p w14:paraId="3BCF4393"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19601F4B"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Harold Eduardo Sua Montaña</w:t>
            </w:r>
          </w:p>
        </w:tc>
      </w:tr>
      <w:tr w:rsidR="00C454A1" w:rsidRPr="00C454A1" w14:paraId="660B0570" w14:textId="77777777" w:rsidTr="00DA1990">
        <w:tc>
          <w:tcPr>
            <w:tcW w:w="1202" w:type="pct"/>
            <w:vMerge/>
            <w:shd w:val="clear" w:color="auto" w:fill="D9D9D9" w:themeFill="background1" w:themeFillShade="D9"/>
            <w:vAlign w:val="center"/>
          </w:tcPr>
          <w:p w14:paraId="0690BDF7"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79D47149"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Omar Javier García Quiñones</w:t>
            </w:r>
          </w:p>
        </w:tc>
      </w:tr>
      <w:tr w:rsidR="00C454A1" w:rsidRPr="00C454A1" w14:paraId="6658D0E1" w14:textId="77777777" w:rsidTr="00DA1990">
        <w:tc>
          <w:tcPr>
            <w:tcW w:w="1202" w:type="pct"/>
            <w:vMerge/>
            <w:shd w:val="clear" w:color="auto" w:fill="D9D9D9" w:themeFill="background1" w:themeFillShade="D9"/>
            <w:vAlign w:val="center"/>
          </w:tcPr>
          <w:p w14:paraId="4FDC86B5"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5A28B29B"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Juan Manuel Charry</w:t>
            </w:r>
          </w:p>
        </w:tc>
      </w:tr>
      <w:tr w:rsidR="00C454A1" w:rsidRPr="00C454A1" w14:paraId="644EF51B" w14:textId="77777777" w:rsidTr="00DA1990">
        <w:tc>
          <w:tcPr>
            <w:tcW w:w="1202" w:type="pct"/>
            <w:vMerge/>
            <w:shd w:val="clear" w:color="auto" w:fill="D9D9D9" w:themeFill="background1" w:themeFillShade="D9"/>
            <w:vAlign w:val="center"/>
          </w:tcPr>
          <w:p w14:paraId="78522924"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03014F61"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Asociación Colombiana de Minería</w:t>
            </w:r>
          </w:p>
        </w:tc>
      </w:tr>
      <w:tr w:rsidR="00C454A1" w:rsidRPr="00C454A1" w14:paraId="0FBCE913" w14:textId="77777777" w:rsidTr="00DA1990">
        <w:tc>
          <w:tcPr>
            <w:tcW w:w="1202" w:type="pct"/>
            <w:vMerge/>
            <w:shd w:val="clear" w:color="auto" w:fill="D9D9D9" w:themeFill="background1" w:themeFillShade="D9"/>
            <w:vAlign w:val="center"/>
          </w:tcPr>
          <w:p w14:paraId="441E07D8"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4F1FBDB0"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Paloma Susana Valencia Laserna</w:t>
            </w:r>
          </w:p>
        </w:tc>
      </w:tr>
      <w:tr w:rsidR="00C454A1" w:rsidRPr="00C454A1" w14:paraId="09187286" w14:textId="77777777" w:rsidTr="00DA1990">
        <w:tc>
          <w:tcPr>
            <w:tcW w:w="1202" w:type="pct"/>
            <w:vMerge/>
            <w:shd w:val="clear" w:color="auto" w:fill="D9D9D9" w:themeFill="background1" w:themeFillShade="D9"/>
            <w:vAlign w:val="center"/>
          </w:tcPr>
          <w:p w14:paraId="5D46331A"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692344EF"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Federación Nacional de Comerciantes Empresarios - FENALCO</w:t>
            </w:r>
          </w:p>
        </w:tc>
      </w:tr>
      <w:tr w:rsidR="00C454A1" w:rsidRPr="00C454A1" w14:paraId="75B8EAA7" w14:textId="77777777" w:rsidTr="00DA1990">
        <w:tc>
          <w:tcPr>
            <w:tcW w:w="1202" w:type="pct"/>
            <w:vMerge/>
            <w:shd w:val="clear" w:color="auto" w:fill="D9D9D9" w:themeFill="background1" w:themeFillShade="D9"/>
            <w:vAlign w:val="center"/>
          </w:tcPr>
          <w:p w14:paraId="09EE2F29" w14:textId="77777777" w:rsidR="00612D9A" w:rsidRPr="00C454A1" w:rsidRDefault="00612D9A" w:rsidP="005F60C3">
            <w:pPr>
              <w:tabs>
                <w:tab w:val="left" w:pos="567"/>
              </w:tabs>
              <w:jc w:val="center"/>
              <w:rPr>
                <w:rFonts w:cs="Times New Roman"/>
                <w:color w:val="000000" w:themeColor="text1"/>
                <w:sz w:val="22"/>
                <w:szCs w:val="22"/>
              </w:rPr>
            </w:pPr>
          </w:p>
        </w:tc>
        <w:tc>
          <w:tcPr>
            <w:tcW w:w="3798" w:type="pct"/>
            <w:vAlign w:val="center"/>
          </w:tcPr>
          <w:p w14:paraId="1193FF61"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Asociación Nacional de Empresarios de Colombia - ANDI</w:t>
            </w:r>
          </w:p>
        </w:tc>
      </w:tr>
      <w:tr w:rsidR="00C454A1" w:rsidRPr="00C454A1" w14:paraId="6AEB4FC7" w14:textId="77777777" w:rsidTr="00DA1990">
        <w:tc>
          <w:tcPr>
            <w:tcW w:w="1202" w:type="pct"/>
            <w:vMerge w:val="restart"/>
            <w:shd w:val="clear" w:color="auto" w:fill="D9D9D9" w:themeFill="background1" w:themeFillShade="D9"/>
            <w:vAlign w:val="center"/>
          </w:tcPr>
          <w:p w14:paraId="520EEE45" w14:textId="77777777" w:rsidR="00612D9A" w:rsidRPr="00C454A1" w:rsidRDefault="00612D9A" w:rsidP="005F60C3">
            <w:pPr>
              <w:tabs>
                <w:tab w:val="left" w:pos="567"/>
              </w:tabs>
              <w:jc w:val="center"/>
              <w:rPr>
                <w:rFonts w:cs="Times New Roman"/>
                <w:color w:val="000000" w:themeColor="text1"/>
                <w:sz w:val="22"/>
                <w:szCs w:val="22"/>
              </w:rPr>
            </w:pPr>
            <w:r w:rsidRPr="00C454A1">
              <w:rPr>
                <w:rFonts w:cs="Times New Roman"/>
                <w:b/>
                <w:bCs/>
                <w:color w:val="000000" w:themeColor="text1"/>
                <w:sz w:val="22"/>
                <w:szCs w:val="22"/>
              </w:rPr>
              <w:t>Sin solicitud</w:t>
            </w:r>
          </w:p>
        </w:tc>
        <w:tc>
          <w:tcPr>
            <w:tcW w:w="3798" w:type="pct"/>
            <w:vAlign w:val="center"/>
          </w:tcPr>
          <w:p w14:paraId="21D7B299"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Fernando Mora</w:t>
            </w:r>
          </w:p>
        </w:tc>
      </w:tr>
      <w:tr w:rsidR="00612D9A" w:rsidRPr="00C454A1" w14:paraId="2091078A" w14:textId="77777777" w:rsidTr="00DA1990">
        <w:tc>
          <w:tcPr>
            <w:tcW w:w="1202" w:type="pct"/>
            <w:vMerge/>
            <w:shd w:val="clear" w:color="auto" w:fill="D9D9D9" w:themeFill="background1" w:themeFillShade="D9"/>
          </w:tcPr>
          <w:p w14:paraId="606067F9" w14:textId="77777777" w:rsidR="00612D9A" w:rsidRPr="00C454A1" w:rsidRDefault="00612D9A" w:rsidP="00631C27">
            <w:pPr>
              <w:tabs>
                <w:tab w:val="left" w:pos="567"/>
              </w:tabs>
              <w:rPr>
                <w:rFonts w:cs="Times New Roman"/>
                <w:color w:val="000000" w:themeColor="text1"/>
                <w:sz w:val="22"/>
                <w:szCs w:val="22"/>
              </w:rPr>
            </w:pPr>
          </w:p>
        </w:tc>
        <w:tc>
          <w:tcPr>
            <w:tcW w:w="3798" w:type="pct"/>
            <w:vAlign w:val="center"/>
          </w:tcPr>
          <w:p w14:paraId="6D819DD6" w14:textId="77777777" w:rsidR="00612D9A" w:rsidRPr="00C454A1" w:rsidRDefault="00612D9A" w:rsidP="009C4750">
            <w:pPr>
              <w:tabs>
                <w:tab w:val="left" w:pos="567"/>
              </w:tabs>
              <w:jc w:val="center"/>
              <w:rPr>
                <w:rFonts w:cs="Times New Roman"/>
                <w:color w:val="000000" w:themeColor="text1"/>
                <w:sz w:val="22"/>
                <w:szCs w:val="22"/>
              </w:rPr>
            </w:pPr>
            <w:r w:rsidRPr="00C454A1">
              <w:rPr>
                <w:rFonts w:cs="Times New Roman"/>
                <w:color w:val="000000" w:themeColor="text1"/>
                <w:sz w:val="22"/>
                <w:szCs w:val="22"/>
              </w:rPr>
              <w:t>Fiscal General de la Nación</w:t>
            </w:r>
          </w:p>
        </w:tc>
      </w:tr>
    </w:tbl>
    <w:p w14:paraId="76DB0914" w14:textId="77777777" w:rsidR="00612D9A" w:rsidRPr="00C454A1" w:rsidRDefault="00612D9A" w:rsidP="00631C27">
      <w:pPr>
        <w:tabs>
          <w:tab w:val="left" w:pos="567"/>
        </w:tabs>
        <w:rPr>
          <w:rFonts w:cs="Times New Roman"/>
          <w:color w:val="000000" w:themeColor="text1"/>
        </w:rPr>
      </w:pPr>
    </w:p>
    <w:p w14:paraId="4BF83D33" w14:textId="371D6D5F" w:rsidR="00612D9A" w:rsidRPr="00C454A1" w:rsidRDefault="00612D9A" w:rsidP="002F18CD">
      <w:pPr>
        <w:numPr>
          <w:ilvl w:val="0"/>
          <w:numId w:val="2"/>
        </w:numPr>
        <w:ind w:left="0" w:firstLine="0"/>
        <w:rPr>
          <w:rFonts w:cs="Times New Roman"/>
          <w:color w:val="000000" w:themeColor="text1"/>
        </w:rPr>
      </w:pPr>
      <w:r w:rsidRPr="00C454A1">
        <w:rPr>
          <w:rFonts w:cs="Times New Roman"/>
          <w:color w:val="000000" w:themeColor="text1"/>
        </w:rPr>
        <w:t xml:space="preserve">El </w:t>
      </w:r>
      <w:r w:rsidRPr="00C454A1">
        <w:rPr>
          <w:rFonts w:cs="Times New Roman"/>
          <w:b/>
          <w:bCs/>
          <w:color w:val="000000" w:themeColor="text1"/>
        </w:rPr>
        <w:t>Anexo II</w:t>
      </w:r>
      <w:r w:rsidRPr="00C454A1">
        <w:rPr>
          <w:rFonts w:cs="Times New Roman"/>
          <w:color w:val="000000" w:themeColor="text1"/>
        </w:rPr>
        <w:t xml:space="preserve"> de esta sentencia presenta una síntesis de las intervenciones y sus solicitudes. </w:t>
      </w:r>
    </w:p>
    <w:p w14:paraId="7211930D" w14:textId="77777777" w:rsidR="002C5127" w:rsidRPr="00C454A1" w:rsidRDefault="002C5127" w:rsidP="002F18CD">
      <w:pPr>
        <w:rPr>
          <w:color w:val="000000" w:themeColor="text1"/>
        </w:rPr>
      </w:pPr>
    </w:p>
    <w:p w14:paraId="2C77A7D2" w14:textId="2EB1C53B" w:rsidR="00D07886" w:rsidRPr="00C454A1" w:rsidRDefault="003245A6" w:rsidP="00631C27">
      <w:pPr>
        <w:pStyle w:val="Prrafodelista"/>
        <w:widowControl w:val="0"/>
        <w:numPr>
          <w:ilvl w:val="0"/>
          <w:numId w:val="4"/>
        </w:numPr>
        <w:ind w:left="0" w:firstLine="0"/>
        <w:outlineLvl w:val="0"/>
        <w:rPr>
          <w:rFonts w:cs="Times New Roman"/>
          <w:b/>
          <w:iCs/>
          <w:color w:val="000000" w:themeColor="text1"/>
          <w:szCs w:val="28"/>
        </w:rPr>
      </w:pPr>
      <w:bookmarkStart w:id="73" w:name="_Toc190338938"/>
      <w:bookmarkStart w:id="74" w:name="_Toc190339272"/>
      <w:bookmarkStart w:id="75" w:name="_Toc223979928"/>
      <w:r w:rsidRPr="00C454A1">
        <w:rPr>
          <w:rFonts w:cs="Times New Roman"/>
          <w:b/>
          <w:iCs/>
          <w:color w:val="000000" w:themeColor="text1"/>
          <w:szCs w:val="28"/>
        </w:rPr>
        <w:t xml:space="preserve">Concepto </w:t>
      </w:r>
      <w:r w:rsidR="00B1592C" w:rsidRPr="00C454A1">
        <w:rPr>
          <w:rFonts w:cs="Times New Roman"/>
          <w:b/>
          <w:iCs/>
          <w:color w:val="000000" w:themeColor="text1"/>
          <w:szCs w:val="28"/>
        </w:rPr>
        <w:t xml:space="preserve">de la </w:t>
      </w:r>
      <w:r w:rsidR="00E31772" w:rsidRPr="00C454A1">
        <w:rPr>
          <w:rFonts w:cs="Times New Roman"/>
          <w:b/>
          <w:iCs/>
          <w:color w:val="000000" w:themeColor="text1"/>
          <w:szCs w:val="28"/>
        </w:rPr>
        <w:t>Procuraduría General de la Nación</w:t>
      </w:r>
      <w:bookmarkEnd w:id="73"/>
      <w:bookmarkEnd w:id="74"/>
      <w:bookmarkEnd w:id="75"/>
    </w:p>
    <w:p w14:paraId="056DEF58" w14:textId="77777777" w:rsidR="00D07886" w:rsidRPr="00C454A1" w:rsidRDefault="00D07886" w:rsidP="00631C27">
      <w:pPr>
        <w:rPr>
          <w:color w:val="000000" w:themeColor="text1"/>
        </w:rPr>
      </w:pPr>
    </w:p>
    <w:p w14:paraId="0568FD9E" w14:textId="6D972255" w:rsidR="00A95DCC" w:rsidRPr="00C454A1" w:rsidRDefault="00A95DCC" w:rsidP="002F18CD">
      <w:pPr>
        <w:numPr>
          <w:ilvl w:val="0"/>
          <w:numId w:val="2"/>
        </w:numPr>
        <w:ind w:left="0" w:firstLine="0"/>
        <w:rPr>
          <w:color w:val="000000" w:themeColor="text1"/>
          <w:szCs w:val="28"/>
          <w:lang w:eastAsia="es-ES"/>
        </w:rPr>
      </w:pPr>
      <w:bookmarkStart w:id="76" w:name="_Toc190338939"/>
      <w:bookmarkStart w:id="77" w:name="_Toc190339158"/>
      <w:bookmarkStart w:id="78" w:name="_Toc190339273"/>
      <w:bookmarkStart w:id="79" w:name="_Toc190339449"/>
      <w:bookmarkEnd w:id="76"/>
      <w:bookmarkEnd w:id="77"/>
      <w:bookmarkEnd w:id="78"/>
      <w:bookmarkEnd w:id="79"/>
      <w:r w:rsidRPr="00C454A1">
        <w:rPr>
          <w:color w:val="000000" w:themeColor="text1"/>
          <w:szCs w:val="28"/>
          <w:lang w:eastAsia="es-ES"/>
        </w:rPr>
        <w:t xml:space="preserve">El 18 de marzo de 2025, </w:t>
      </w:r>
      <w:bookmarkStart w:id="80" w:name="_Hlk194167014"/>
      <w:r w:rsidRPr="00C454A1">
        <w:rPr>
          <w:color w:val="000000" w:themeColor="text1"/>
          <w:szCs w:val="28"/>
          <w:lang w:eastAsia="es-ES"/>
        </w:rPr>
        <w:t xml:space="preserve">el </w:t>
      </w:r>
      <w:bookmarkStart w:id="81" w:name="_Hlk125588757"/>
      <w:r w:rsidR="00EC0AEB" w:rsidRPr="00C454A1">
        <w:rPr>
          <w:color w:val="000000" w:themeColor="text1"/>
          <w:szCs w:val="28"/>
          <w:lang w:eastAsia="es-ES"/>
        </w:rPr>
        <w:t>p</w:t>
      </w:r>
      <w:r w:rsidRPr="00C454A1">
        <w:rPr>
          <w:color w:val="000000" w:themeColor="text1"/>
          <w:szCs w:val="28"/>
          <w:lang w:eastAsia="es-ES"/>
        </w:rPr>
        <w:t xml:space="preserve">rocurador </w:t>
      </w:r>
      <w:r w:rsidR="00CF1607" w:rsidRPr="00C454A1">
        <w:rPr>
          <w:color w:val="000000" w:themeColor="text1"/>
          <w:szCs w:val="28"/>
          <w:lang w:eastAsia="es-ES"/>
        </w:rPr>
        <w:t xml:space="preserve">general </w:t>
      </w:r>
      <w:r w:rsidRPr="00C454A1">
        <w:rPr>
          <w:color w:val="000000" w:themeColor="text1"/>
          <w:szCs w:val="28"/>
          <w:lang w:eastAsia="es-ES"/>
        </w:rPr>
        <w:t>de la Nación</w:t>
      </w:r>
      <w:bookmarkEnd w:id="80"/>
      <w:bookmarkEnd w:id="81"/>
      <w:r w:rsidRPr="00C454A1">
        <w:rPr>
          <w:color w:val="000000" w:themeColor="text1"/>
          <w:szCs w:val="28"/>
          <w:lang w:eastAsia="es-ES"/>
        </w:rPr>
        <w:t xml:space="preserve"> solicitó a la Corte </w:t>
      </w:r>
      <w:r w:rsidRPr="00C454A1">
        <w:rPr>
          <w:rFonts w:cs="Times New Roman"/>
          <w:color w:val="000000" w:themeColor="text1"/>
        </w:rPr>
        <w:t>Constitucional</w:t>
      </w:r>
      <w:r w:rsidRPr="00C454A1">
        <w:rPr>
          <w:color w:val="000000" w:themeColor="text1"/>
          <w:szCs w:val="28"/>
          <w:lang w:eastAsia="es-ES"/>
        </w:rPr>
        <w:t xml:space="preserve"> declarar </w:t>
      </w:r>
      <w:r w:rsidR="00981B5E" w:rsidRPr="00C454A1">
        <w:rPr>
          <w:color w:val="000000" w:themeColor="text1"/>
          <w:szCs w:val="28"/>
          <w:lang w:eastAsia="es-ES"/>
        </w:rPr>
        <w:t xml:space="preserve">exequible </w:t>
      </w:r>
      <w:r w:rsidRPr="00C454A1">
        <w:rPr>
          <w:color w:val="000000" w:themeColor="text1"/>
          <w:szCs w:val="28"/>
          <w:lang w:eastAsia="es-ES"/>
        </w:rPr>
        <w:t xml:space="preserve">el Decreto </w:t>
      </w:r>
      <w:bookmarkStart w:id="82" w:name="_Hlk194046453"/>
      <w:r w:rsidRPr="00C454A1">
        <w:rPr>
          <w:color w:val="000000" w:themeColor="text1"/>
          <w:szCs w:val="28"/>
          <w:lang w:eastAsia="es-ES"/>
        </w:rPr>
        <w:t>62 de 2025</w:t>
      </w:r>
      <w:bookmarkEnd w:id="82"/>
      <w:r w:rsidRPr="00C454A1">
        <w:rPr>
          <w:color w:val="000000" w:themeColor="text1"/>
          <w:szCs w:val="28"/>
          <w:lang w:eastAsia="es-ES"/>
        </w:rPr>
        <w:t xml:space="preserve">. En su concepto, el decreto declaratorio </w:t>
      </w:r>
      <w:r w:rsidR="00981B5E" w:rsidRPr="00C454A1">
        <w:rPr>
          <w:color w:val="000000" w:themeColor="text1"/>
          <w:szCs w:val="28"/>
          <w:lang w:eastAsia="es-ES"/>
        </w:rPr>
        <w:t>se ajusta a la Constitución</w:t>
      </w:r>
      <w:r w:rsidRPr="00C454A1">
        <w:rPr>
          <w:color w:val="000000" w:themeColor="text1"/>
          <w:szCs w:val="28"/>
          <w:lang w:eastAsia="es-ES"/>
        </w:rPr>
        <w:t xml:space="preserve"> porque cumple con los requisitos formales exigidos por los artículos 213 y 214 de la Constitución</w:t>
      </w:r>
      <w:r w:rsidRPr="00C454A1">
        <w:rPr>
          <w:rStyle w:val="Refdenotaalpie"/>
          <w:color w:val="000000" w:themeColor="text1"/>
          <w:szCs w:val="28"/>
          <w:lang w:eastAsia="es-ES"/>
        </w:rPr>
        <w:footnoteReference w:id="8"/>
      </w:r>
      <w:r w:rsidRPr="00C454A1">
        <w:rPr>
          <w:color w:val="000000" w:themeColor="text1"/>
          <w:szCs w:val="28"/>
          <w:lang w:eastAsia="es-ES"/>
        </w:rPr>
        <w:t xml:space="preserve"> y, además, el</w:t>
      </w:r>
      <w:r w:rsidR="00EB533C" w:rsidRPr="00C454A1">
        <w:rPr>
          <w:color w:val="000000" w:themeColor="text1"/>
          <w:szCs w:val="28"/>
          <w:lang w:eastAsia="es-ES"/>
        </w:rPr>
        <w:t xml:space="preserve"> </w:t>
      </w:r>
      <w:r w:rsidR="007525E1" w:rsidRPr="00C454A1">
        <w:rPr>
          <w:color w:val="000000" w:themeColor="text1"/>
          <w:szCs w:val="28"/>
          <w:lang w:eastAsia="es-ES"/>
        </w:rPr>
        <w:t>Gobierno nacional</w:t>
      </w:r>
      <w:r w:rsidRPr="00C454A1">
        <w:rPr>
          <w:color w:val="000000" w:themeColor="text1"/>
          <w:szCs w:val="28"/>
          <w:lang w:eastAsia="es-ES"/>
        </w:rPr>
        <w:t xml:space="preserve"> acreditó los presupuestos materiales. </w:t>
      </w:r>
      <w:bookmarkStart w:id="83" w:name="_Hlk194063719"/>
    </w:p>
    <w:p w14:paraId="27D658A3" w14:textId="77777777" w:rsidR="00A95DCC" w:rsidRPr="00C454A1" w:rsidRDefault="00A95DCC" w:rsidP="00631C27">
      <w:pPr>
        <w:widowControl w:val="0"/>
        <w:rPr>
          <w:color w:val="000000" w:themeColor="text1"/>
          <w:szCs w:val="28"/>
          <w:lang w:eastAsia="es-ES"/>
        </w:rPr>
      </w:pPr>
    </w:p>
    <w:p w14:paraId="6028F6F3" w14:textId="3D3907B8" w:rsidR="00EC0AEB" w:rsidRPr="00C454A1" w:rsidRDefault="00A95DCC" w:rsidP="002F18CD">
      <w:pPr>
        <w:numPr>
          <w:ilvl w:val="0"/>
          <w:numId w:val="2"/>
        </w:numPr>
        <w:ind w:left="0" w:firstLine="0"/>
        <w:rPr>
          <w:rFonts w:cs="Times New Roman"/>
          <w:color w:val="000000" w:themeColor="text1"/>
          <w:szCs w:val="28"/>
          <w:lang w:eastAsia="es-ES"/>
        </w:rPr>
      </w:pPr>
      <w:r w:rsidRPr="00C454A1">
        <w:rPr>
          <w:rFonts w:cs="Times New Roman"/>
          <w:i/>
          <w:iCs/>
          <w:color w:val="000000" w:themeColor="text1"/>
          <w:szCs w:val="28"/>
          <w:lang w:eastAsia="es-ES"/>
        </w:rPr>
        <w:t>Presupuesto fáctico.</w:t>
      </w:r>
      <w:r w:rsidRPr="00C454A1">
        <w:rPr>
          <w:rFonts w:cs="Times New Roman"/>
          <w:color w:val="000000" w:themeColor="text1"/>
          <w:szCs w:val="28"/>
          <w:lang w:eastAsia="es-ES"/>
        </w:rPr>
        <w:t xml:space="preserve"> </w:t>
      </w:r>
      <w:r w:rsidR="00EC0AEB" w:rsidRPr="00C454A1">
        <w:rPr>
          <w:rFonts w:cs="Times New Roman"/>
          <w:color w:val="000000" w:themeColor="text1"/>
          <w:szCs w:val="28"/>
          <w:lang w:eastAsia="es-ES"/>
        </w:rPr>
        <w:t>El procurador</w:t>
      </w:r>
      <w:r w:rsidRPr="00C454A1">
        <w:rPr>
          <w:rFonts w:cs="Times New Roman"/>
          <w:color w:val="000000" w:themeColor="text1"/>
          <w:szCs w:val="28"/>
          <w:lang w:eastAsia="es-ES"/>
        </w:rPr>
        <w:t xml:space="preserve"> sostuvo que el Decreto cumple </w:t>
      </w:r>
      <w:r w:rsidR="00EC0AEB" w:rsidRPr="00C454A1">
        <w:rPr>
          <w:rFonts w:cs="Times New Roman"/>
          <w:color w:val="000000" w:themeColor="text1"/>
          <w:szCs w:val="28"/>
          <w:lang w:eastAsia="es-ES"/>
        </w:rPr>
        <w:t xml:space="preserve">con </w:t>
      </w:r>
      <w:r w:rsidRPr="00C454A1">
        <w:rPr>
          <w:rFonts w:cs="Times New Roman"/>
          <w:color w:val="000000" w:themeColor="text1"/>
          <w:szCs w:val="28"/>
          <w:lang w:eastAsia="es-ES"/>
        </w:rPr>
        <w:t xml:space="preserve">el presupuesto fáctico, por cuanto los hechos alegados por el </w:t>
      </w:r>
      <w:r w:rsidR="007525E1" w:rsidRPr="00C454A1">
        <w:rPr>
          <w:rFonts w:cs="Times New Roman"/>
          <w:color w:val="000000" w:themeColor="text1"/>
          <w:szCs w:val="28"/>
          <w:lang w:eastAsia="es-ES"/>
        </w:rPr>
        <w:t>Gobierno nacional</w:t>
      </w:r>
      <w:r w:rsidRPr="00C454A1">
        <w:rPr>
          <w:rFonts w:cs="Times New Roman"/>
          <w:color w:val="000000" w:themeColor="text1"/>
          <w:szCs w:val="28"/>
          <w:lang w:eastAsia="es-ES"/>
        </w:rPr>
        <w:t xml:space="preserve"> para justificar la declaratoria superan el “juicio de existencia” desarrollado por la jurisprudencia constitucional. Para demostrarlo, </w:t>
      </w:r>
      <w:r w:rsidR="00EC0AEB" w:rsidRPr="00C454A1">
        <w:rPr>
          <w:rFonts w:cs="Times New Roman"/>
          <w:color w:val="000000" w:themeColor="text1"/>
          <w:szCs w:val="28"/>
          <w:lang w:eastAsia="es-ES"/>
        </w:rPr>
        <w:t xml:space="preserve">el procurador </w:t>
      </w:r>
      <w:r w:rsidRPr="00C454A1">
        <w:rPr>
          <w:rFonts w:cs="Times New Roman"/>
          <w:color w:val="000000" w:themeColor="text1"/>
          <w:szCs w:val="28"/>
          <w:lang w:eastAsia="es-ES"/>
        </w:rPr>
        <w:t xml:space="preserve">agrupó las </w:t>
      </w:r>
      <w:r w:rsidRPr="00C454A1">
        <w:rPr>
          <w:rFonts w:cs="Times New Roman"/>
          <w:color w:val="000000" w:themeColor="text1"/>
          <w:szCs w:val="28"/>
          <w:lang w:eastAsia="es-ES"/>
        </w:rPr>
        <w:lastRenderedPageBreak/>
        <w:t xml:space="preserve">alegaciones del Gobierno en la sección I de la </w:t>
      </w:r>
      <w:r w:rsidRPr="00C454A1">
        <w:rPr>
          <w:rFonts w:cs="Times New Roman"/>
          <w:color w:val="000000" w:themeColor="text1"/>
        </w:rPr>
        <w:t>parte</w:t>
      </w:r>
      <w:r w:rsidRPr="00C454A1">
        <w:rPr>
          <w:rFonts w:cs="Times New Roman"/>
          <w:color w:val="000000" w:themeColor="text1"/>
          <w:szCs w:val="28"/>
          <w:lang w:eastAsia="es-ES"/>
        </w:rPr>
        <w:t xml:space="preserve"> motiva del decreto </w:t>
      </w:r>
      <w:bookmarkEnd w:id="83"/>
      <w:r w:rsidRPr="00C454A1">
        <w:rPr>
          <w:rFonts w:cs="Times New Roman"/>
          <w:color w:val="000000" w:themeColor="text1"/>
          <w:szCs w:val="28"/>
          <w:lang w:eastAsia="es-ES"/>
        </w:rPr>
        <w:t>en cuatro categorías</w:t>
      </w:r>
      <w:r w:rsidR="00EC0AEB" w:rsidRPr="00C454A1">
        <w:rPr>
          <w:rFonts w:cs="Times New Roman"/>
          <w:color w:val="000000" w:themeColor="text1"/>
          <w:szCs w:val="28"/>
          <w:lang w:eastAsia="es-ES"/>
        </w:rPr>
        <w:t xml:space="preserve">, a saber: </w:t>
      </w:r>
    </w:p>
    <w:p w14:paraId="1E96B6A6" w14:textId="77777777" w:rsidR="00EC0AEB" w:rsidRPr="00C454A1" w:rsidRDefault="00EC0AEB" w:rsidP="00CF1607">
      <w:pPr>
        <w:pStyle w:val="Prrafodelista"/>
        <w:rPr>
          <w:rFonts w:cs="Times New Roman"/>
          <w:color w:val="000000" w:themeColor="text1"/>
          <w:szCs w:val="28"/>
          <w:lang w:eastAsia="es-ES"/>
        </w:rPr>
      </w:pPr>
    </w:p>
    <w:p w14:paraId="6F2028D1" w14:textId="75160033" w:rsidR="009D19FF" w:rsidRPr="00C454A1" w:rsidRDefault="00A95DCC" w:rsidP="002F18CD">
      <w:pPr>
        <w:numPr>
          <w:ilvl w:val="0"/>
          <w:numId w:val="2"/>
        </w:numPr>
        <w:ind w:left="0" w:firstLine="0"/>
        <w:rPr>
          <w:rFonts w:cs="Times New Roman"/>
          <w:color w:val="000000" w:themeColor="text1"/>
          <w:szCs w:val="28"/>
          <w:lang w:eastAsia="es-ES"/>
        </w:rPr>
      </w:pPr>
      <w:r w:rsidRPr="00C454A1">
        <w:rPr>
          <w:rFonts w:cs="Times New Roman"/>
          <w:color w:val="000000" w:themeColor="text1"/>
          <w:szCs w:val="28"/>
          <w:lang w:eastAsia="es-ES"/>
        </w:rPr>
        <w:t xml:space="preserve"> </w:t>
      </w:r>
      <w:r w:rsidRPr="00C454A1">
        <w:rPr>
          <w:rFonts w:cs="Times New Roman"/>
          <w:i/>
          <w:iCs/>
          <w:color w:val="000000" w:themeColor="text1"/>
          <w:szCs w:val="28"/>
          <w:lang w:eastAsia="es-ES"/>
        </w:rPr>
        <w:t>Primero</w:t>
      </w:r>
      <w:r w:rsidRPr="00C454A1">
        <w:rPr>
          <w:rFonts w:cs="Times New Roman"/>
          <w:color w:val="000000" w:themeColor="text1"/>
          <w:szCs w:val="28"/>
          <w:lang w:eastAsia="es-ES"/>
        </w:rPr>
        <w:t>, la caracterización del territorio en el que se declaró la conmoción</w:t>
      </w:r>
      <w:r w:rsidRPr="00C454A1">
        <w:rPr>
          <w:rStyle w:val="Refdenotaalpie"/>
          <w:rFonts w:cs="Times New Roman"/>
          <w:color w:val="000000" w:themeColor="text1"/>
          <w:szCs w:val="28"/>
          <w:lang w:eastAsia="es-ES"/>
        </w:rPr>
        <w:footnoteReference w:id="9"/>
      </w:r>
      <w:r w:rsidRPr="00C454A1">
        <w:rPr>
          <w:rFonts w:cs="Times New Roman"/>
          <w:color w:val="000000" w:themeColor="text1"/>
          <w:szCs w:val="28"/>
          <w:lang w:eastAsia="es-ES"/>
        </w:rPr>
        <w:t xml:space="preserve">. Al respecto, </w:t>
      </w:r>
      <w:r w:rsidR="00EC0AEB" w:rsidRPr="00C454A1">
        <w:rPr>
          <w:rFonts w:cs="Times New Roman"/>
          <w:color w:val="000000" w:themeColor="text1"/>
          <w:szCs w:val="28"/>
          <w:lang w:eastAsia="es-ES"/>
        </w:rPr>
        <w:t xml:space="preserve">el procurador </w:t>
      </w:r>
      <w:r w:rsidRPr="00C454A1">
        <w:rPr>
          <w:rFonts w:cs="Times New Roman"/>
          <w:color w:val="000000" w:themeColor="text1"/>
          <w:szCs w:val="28"/>
          <w:lang w:eastAsia="es-ES"/>
        </w:rPr>
        <w:t xml:space="preserve">sostuvo que, por una parte, el </w:t>
      </w:r>
      <w:r w:rsidR="00EC0AEB" w:rsidRPr="00C454A1">
        <w:rPr>
          <w:rFonts w:cs="Times New Roman"/>
          <w:color w:val="000000" w:themeColor="text1"/>
          <w:szCs w:val="28"/>
          <w:lang w:eastAsia="es-ES"/>
        </w:rPr>
        <w:t xml:space="preserve">Comando </w:t>
      </w:r>
      <w:r w:rsidR="000A544D" w:rsidRPr="00C454A1">
        <w:rPr>
          <w:rFonts w:cs="Times New Roman"/>
          <w:color w:val="000000" w:themeColor="text1"/>
          <w:szCs w:val="28"/>
          <w:lang w:eastAsia="es-ES"/>
        </w:rPr>
        <w:t xml:space="preserve">General </w:t>
      </w:r>
      <w:r w:rsidR="00EC0AEB" w:rsidRPr="00C454A1">
        <w:rPr>
          <w:rFonts w:cs="Times New Roman"/>
          <w:color w:val="000000" w:themeColor="text1"/>
          <w:szCs w:val="28"/>
          <w:lang w:eastAsia="es-ES"/>
        </w:rPr>
        <w:t xml:space="preserve">de las Fuerzas Militares (en adelante, </w:t>
      </w:r>
      <w:r w:rsidRPr="00C454A1">
        <w:rPr>
          <w:rFonts w:cs="Times New Roman"/>
          <w:color w:val="000000" w:themeColor="text1"/>
          <w:szCs w:val="28"/>
          <w:lang w:eastAsia="es-ES"/>
        </w:rPr>
        <w:t>CGFM</w:t>
      </w:r>
      <w:r w:rsidR="002A463C" w:rsidRPr="00C454A1">
        <w:rPr>
          <w:rFonts w:cs="Times New Roman"/>
          <w:color w:val="000000" w:themeColor="text1"/>
          <w:szCs w:val="28"/>
          <w:lang w:eastAsia="es-ES"/>
        </w:rPr>
        <w:t xml:space="preserve">) </w:t>
      </w:r>
      <w:r w:rsidRPr="00C454A1">
        <w:rPr>
          <w:color w:val="000000" w:themeColor="text1"/>
          <w:szCs w:val="28"/>
          <w:lang w:eastAsia="es-ES"/>
        </w:rPr>
        <w:t xml:space="preserve">acreditó la presencia de múltiples actores armados en la zona y, por otra, </w:t>
      </w:r>
      <w:r w:rsidRPr="00C454A1">
        <w:rPr>
          <w:rFonts w:cs="Times New Roman"/>
          <w:color w:val="000000" w:themeColor="text1"/>
          <w:spacing w:val="-17"/>
          <w:szCs w:val="28"/>
        </w:rPr>
        <w:t>que</w:t>
      </w:r>
      <w:r w:rsidRPr="00C454A1">
        <w:rPr>
          <w:rFonts w:cs="Times New Roman"/>
          <w:color w:val="000000" w:themeColor="text1"/>
          <w:szCs w:val="28"/>
          <w:lang w:eastAsia="es-ES"/>
        </w:rPr>
        <w:t xml:space="preserve"> la región del Catatumbo históricamente ha tenido amplias extensiones de cultivos ilícitos de coca</w:t>
      </w:r>
      <w:r w:rsidRPr="00C454A1">
        <w:rPr>
          <w:rStyle w:val="Refdenotaalpie"/>
          <w:rFonts w:cs="Times New Roman"/>
          <w:color w:val="000000" w:themeColor="text1"/>
          <w:szCs w:val="28"/>
          <w:lang w:eastAsia="es-ES"/>
        </w:rPr>
        <w:footnoteReference w:id="10"/>
      </w:r>
      <w:r w:rsidRPr="00C454A1">
        <w:rPr>
          <w:rFonts w:cs="Times New Roman"/>
          <w:color w:val="000000" w:themeColor="text1"/>
          <w:szCs w:val="28"/>
          <w:lang w:eastAsia="es-ES"/>
        </w:rPr>
        <w:t xml:space="preserve">. </w:t>
      </w:r>
    </w:p>
    <w:p w14:paraId="3FCADF60" w14:textId="77777777" w:rsidR="009D19FF" w:rsidRPr="00C454A1" w:rsidRDefault="009D19FF" w:rsidP="000A544D">
      <w:pPr>
        <w:pStyle w:val="Prrafodelista"/>
        <w:rPr>
          <w:rFonts w:cs="Times New Roman"/>
          <w:i/>
          <w:iCs/>
          <w:color w:val="000000" w:themeColor="text1"/>
          <w:szCs w:val="28"/>
          <w:lang w:eastAsia="es-ES"/>
        </w:rPr>
      </w:pPr>
    </w:p>
    <w:p w14:paraId="737EF6E6" w14:textId="7D295CEC" w:rsidR="009D19FF" w:rsidRPr="00C454A1" w:rsidRDefault="00A95DCC" w:rsidP="002F18CD">
      <w:pPr>
        <w:numPr>
          <w:ilvl w:val="0"/>
          <w:numId w:val="2"/>
        </w:numPr>
        <w:ind w:left="0" w:firstLine="0"/>
        <w:rPr>
          <w:rFonts w:cs="Times New Roman"/>
          <w:color w:val="000000" w:themeColor="text1"/>
          <w:szCs w:val="28"/>
          <w:lang w:eastAsia="es-ES"/>
        </w:rPr>
      </w:pPr>
      <w:r w:rsidRPr="00C454A1">
        <w:rPr>
          <w:rFonts w:cs="Times New Roman"/>
          <w:i/>
          <w:iCs/>
          <w:color w:val="000000" w:themeColor="text1"/>
          <w:szCs w:val="28"/>
          <w:lang w:eastAsia="es-ES"/>
        </w:rPr>
        <w:t>Segundo</w:t>
      </w:r>
      <w:r w:rsidRPr="00C454A1">
        <w:rPr>
          <w:rFonts w:cs="Times New Roman"/>
          <w:color w:val="000000" w:themeColor="text1"/>
          <w:szCs w:val="28"/>
          <w:lang w:eastAsia="es-ES"/>
        </w:rPr>
        <w:t xml:space="preserve">, </w:t>
      </w:r>
      <w:r w:rsidR="009D19FF" w:rsidRPr="00C454A1">
        <w:rPr>
          <w:rFonts w:cs="Times New Roman"/>
          <w:color w:val="000000" w:themeColor="text1"/>
          <w:szCs w:val="28"/>
          <w:lang w:eastAsia="es-ES"/>
        </w:rPr>
        <w:t xml:space="preserve">el procurador </w:t>
      </w:r>
      <w:r w:rsidRPr="00C454A1">
        <w:rPr>
          <w:rFonts w:cs="Times New Roman"/>
          <w:color w:val="000000" w:themeColor="text1"/>
          <w:szCs w:val="28"/>
          <w:lang w:eastAsia="es-ES"/>
        </w:rPr>
        <w:t xml:space="preserve">sostuvo que el </w:t>
      </w:r>
      <w:r w:rsidR="007525E1" w:rsidRPr="00C454A1">
        <w:rPr>
          <w:rFonts w:cs="Times New Roman"/>
          <w:color w:val="000000" w:themeColor="text1"/>
          <w:szCs w:val="28"/>
          <w:lang w:eastAsia="es-ES"/>
        </w:rPr>
        <w:t>Gobierno nacional</w:t>
      </w:r>
      <w:r w:rsidRPr="00C454A1">
        <w:rPr>
          <w:color w:val="000000" w:themeColor="text1"/>
          <w:szCs w:val="28"/>
          <w:lang w:eastAsia="es-ES"/>
        </w:rPr>
        <w:t xml:space="preserve"> </w:t>
      </w:r>
      <w:r w:rsidR="00EC0AEB" w:rsidRPr="00C454A1">
        <w:rPr>
          <w:rFonts w:cs="Times New Roman"/>
          <w:color w:val="000000" w:themeColor="text1"/>
          <w:szCs w:val="28"/>
          <w:lang w:eastAsia="es-ES"/>
        </w:rPr>
        <w:t>s</w:t>
      </w:r>
      <w:r w:rsidR="007F2952" w:rsidRPr="00C454A1">
        <w:rPr>
          <w:rFonts w:cs="Times New Roman"/>
          <w:color w:val="000000" w:themeColor="text1"/>
          <w:szCs w:val="28"/>
          <w:lang w:eastAsia="es-ES"/>
        </w:rPr>
        <w:t>í</w:t>
      </w:r>
      <w:r w:rsidR="00EC0AEB" w:rsidRPr="00C454A1">
        <w:rPr>
          <w:rFonts w:cs="Times New Roman"/>
          <w:color w:val="000000" w:themeColor="text1"/>
          <w:szCs w:val="28"/>
          <w:lang w:eastAsia="es-ES"/>
        </w:rPr>
        <w:t xml:space="preserve"> probó</w:t>
      </w:r>
      <w:r w:rsidRPr="00C454A1">
        <w:rPr>
          <w:rFonts w:cs="Times New Roman"/>
          <w:color w:val="000000" w:themeColor="text1"/>
          <w:szCs w:val="28"/>
          <w:lang w:eastAsia="es-ES"/>
        </w:rPr>
        <w:t xml:space="preserve"> la escalada de </w:t>
      </w:r>
      <w:r w:rsidR="000A544D" w:rsidRPr="00C454A1">
        <w:rPr>
          <w:rFonts w:cs="Times New Roman"/>
          <w:color w:val="000000" w:themeColor="text1"/>
          <w:szCs w:val="28"/>
          <w:lang w:eastAsia="es-ES"/>
        </w:rPr>
        <w:t xml:space="preserve">la </w:t>
      </w:r>
      <w:r w:rsidRPr="00C454A1">
        <w:rPr>
          <w:rFonts w:cs="Times New Roman"/>
          <w:color w:val="000000" w:themeColor="text1"/>
          <w:szCs w:val="28"/>
          <w:lang w:eastAsia="es-ES"/>
        </w:rPr>
        <w:t>violencia por parte de los grupos al margen de la ley</w:t>
      </w:r>
      <w:r w:rsidRPr="00C454A1">
        <w:rPr>
          <w:rStyle w:val="Refdenotaalpie"/>
          <w:rFonts w:cs="Times New Roman"/>
          <w:color w:val="000000" w:themeColor="text1"/>
          <w:szCs w:val="28"/>
          <w:lang w:eastAsia="es-ES"/>
        </w:rPr>
        <w:footnoteReference w:id="11"/>
      </w:r>
      <w:r w:rsidRPr="00C454A1">
        <w:rPr>
          <w:rFonts w:cs="Times New Roman"/>
          <w:color w:val="000000" w:themeColor="text1"/>
          <w:szCs w:val="28"/>
          <w:lang w:eastAsia="es-ES"/>
        </w:rPr>
        <w:t xml:space="preserve">, las violaciones a los </w:t>
      </w:r>
      <w:r w:rsidR="00266AA9" w:rsidRPr="00C454A1">
        <w:rPr>
          <w:rFonts w:cs="Times New Roman"/>
          <w:color w:val="000000" w:themeColor="text1"/>
          <w:szCs w:val="28"/>
          <w:lang w:eastAsia="es-ES"/>
        </w:rPr>
        <w:t>derechos humanos</w:t>
      </w:r>
      <w:r w:rsidR="007F2952" w:rsidRPr="00C454A1">
        <w:rPr>
          <w:rFonts w:cs="Times New Roman"/>
          <w:color w:val="000000" w:themeColor="text1"/>
          <w:szCs w:val="28"/>
          <w:lang w:eastAsia="es-ES"/>
        </w:rPr>
        <w:t xml:space="preserve"> (DDHH)</w:t>
      </w:r>
      <w:r w:rsidR="00266AA9" w:rsidRPr="00C454A1">
        <w:rPr>
          <w:rFonts w:cs="Times New Roman"/>
          <w:color w:val="000000" w:themeColor="text1"/>
          <w:szCs w:val="28"/>
          <w:lang w:eastAsia="es-ES"/>
        </w:rPr>
        <w:t xml:space="preserve"> </w:t>
      </w:r>
      <w:r w:rsidRPr="00C454A1">
        <w:rPr>
          <w:rFonts w:cs="Times New Roman"/>
          <w:color w:val="000000" w:themeColor="text1"/>
          <w:szCs w:val="28"/>
          <w:lang w:eastAsia="es-ES"/>
        </w:rPr>
        <w:t>de la población civil</w:t>
      </w:r>
      <w:r w:rsidRPr="00C454A1">
        <w:rPr>
          <w:rStyle w:val="Refdenotaalpie"/>
          <w:rFonts w:cs="Times New Roman"/>
          <w:color w:val="000000" w:themeColor="text1"/>
          <w:spacing w:val="-2"/>
          <w:szCs w:val="28"/>
        </w:rPr>
        <w:footnoteReference w:id="12"/>
      </w:r>
      <w:r w:rsidRPr="00C454A1">
        <w:rPr>
          <w:rFonts w:cs="Times New Roman"/>
          <w:color w:val="000000" w:themeColor="text1"/>
          <w:szCs w:val="28"/>
          <w:lang w:eastAsia="es-ES"/>
        </w:rPr>
        <w:t xml:space="preserve"> y el incumplimiento de las reglas de</w:t>
      </w:r>
      <w:r w:rsidR="007F2952" w:rsidRPr="00C454A1">
        <w:rPr>
          <w:rFonts w:cs="Times New Roman"/>
          <w:color w:val="000000" w:themeColor="text1"/>
          <w:szCs w:val="28"/>
          <w:lang w:eastAsia="es-ES"/>
        </w:rPr>
        <w:t>l</w:t>
      </w:r>
      <w:r w:rsidRPr="00C454A1">
        <w:rPr>
          <w:rFonts w:cs="Times New Roman"/>
          <w:color w:val="000000" w:themeColor="text1"/>
          <w:szCs w:val="28"/>
          <w:lang w:eastAsia="es-ES"/>
        </w:rPr>
        <w:t xml:space="preserve"> </w:t>
      </w:r>
      <w:r w:rsidR="009E4D42" w:rsidRPr="00C454A1">
        <w:rPr>
          <w:rFonts w:cs="Times New Roman"/>
          <w:color w:val="000000" w:themeColor="text1"/>
          <w:szCs w:val="28"/>
          <w:lang w:eastAsia="es-ES"/>
        </w:rPr>
        <w:t>Derecho Internacional Humanitario</w:t>
      </w:r>
      <w:r w:rsidR="007F2952" w:rsidRPr="00C454A1">
        <w:rPr>
          <w:rFonts w:cs="Times New Roman"/>
          <w:color w:val="000000" w:themeColor="text1"/>
          <w:szCs w:val="28"/>
          <w:lang w:eastAsia="es-ES"/>
        </w:rPr>
        <w:t xml:space="preserve"> (DIH)</w:t>
      </w:r>
      <w:r w:rsidRPr="00C454A1">
        <w:rPr>
          <w:rStyle w:val="Refdenotaalpie"/>
          <w:rFonts w:cs="Times New Roman"/>
          <w:color w:val="000000" w:themeColor="text1"/>
          <w:szCs w:val="28"/>
          <w:lang w:eastAsia="es-ES"/>
        </w:rPr>
        <w:footnoteReference w:id="13"/>
      </w:r>
      <w:r w:rsidRPr="00C454A1">
        <w:rPr>
          <w:rFonts w:cs="Times New Roman"/>
          <w:color w:val="000000" w:themeColor="text1"/>
          <w:szCs w:val="28"/>
          <w:lang w:eastAsia="es-ES"/>
        </w:rPr>
        <w:t xml:space="preserve">. </w:t>
      </w:r>
    </w:p>
    <w:p w14:paraId="68D2BF20" w14:textId="77777777" w:rsidR="009D19FF" w:rsidRPr="00C454A1" w:rsidRDefault="009D19FF" w:rsidP="000A544D">
      <w:pPr>
        <w:pStyle w:val="Prrafodelista"/>
        <w:rPr>
          <w:rFonts w:cs="Times New Roman"/>
          <w:i/>
          <w:iCs/>
          <w:color w:val="000000" w:themeColor="text1"/>
          <w:szCs w:val="28"/>
          <w:lang w:eastAsia="es-ES"/>
        </w:rPr>
      </w:pPr>
    </w:p>
    <w:p w14:paraId="79DE9115" w14:textId="5FA2000F" w:rsidR="009D19FF" w:rsidRPr="00C454A1" w:rsidRDefault="00A95DCC" w:rsidP="002F18CD">
      <w:pPr>
        <w:numPr>
          <w:ilvl w:val="0"/>
          <w:numId w:val="2"/>
        </w:numPr>
        <w:ind w:left="0" w:firstLine="0"/>
        <w:rPr>
          <w:rFonts w:cs="Times New Roman"/>
          <w:color w:val="000000" w:themeColor="text1"/>
          <w:szCs w:val="28"/>
          <w:lang w:eastAsia="es-ES"/>
        </w:rPr>
      </w:pPr>
      <w:r w:rsidRPr="00C454A1">
        <w:rPr>
          <w:rFonts w:cs="Times New Roman"/>
          <w:i/>
          <w:iCs/>
          <w:color w:val="000000" w:themeColor="text1"/>
          <w:szCs w:val="28"/>
          <w:lang w:eastAsia="es-ES"/>
        </w:rPr>
        <w:t>Tercero</w:t>
      </w:r>
      <w:r w:rsidRPr="00C454A1">
        <w:rPr>
          <w:rFonts w:cs="Times New Roman"/>
          <w:color w:val="000000" w:themeColor="text1"/>
          <w:szCs w:val="28"/>
          <w:lang w:eastAsia="es-ES"/>
        </w:rPr>
        <w:t xml:space="preserve">, </w:t>
      </w:r>
      <w:r w:rsidR="00EC0AEB" w:rsidRPr="00C454A1">
        <w:rPr>
          <w:rFonts w:cs="Times New Roman"/>
          <w:color w:val="000000" w:themeColor="text1"/>
          <w:szCs w:val="28"/>
          <w:lang w:eastAsia="es-ES"/>
        </w:rPr>
        <w:t xml:space="preserve">el procurador </w:t>
      </w:r>
      <w:r w:rsidRPr="00C454A1">
        <w:rPr>
          <w:rFonts w:cs="Times New Roman"/>
          <w:color w:val="000000" w:themeColor="text1"/>
          <w:szCs w:val="28"/>
          <w:lang w:eastAsia="es-ES"/>
        </w:rPr>
        <w:t xml:space="preserve">indicó que, mediante la información remitida por la </w:t>
      </w:r>
      <w:r w:rsidR="00EC0AEB" w:rsidRPr="00C454A1">
        <w:rPr>
          <w:rFonts w:cs="Times New Roman"/>
          <w:color w:val="000000" w:themeColor="text1"/>
          <w:szCs w:val="28"/>
          <w:lang w:eastAsia="es-ES"/>
        </w:rPr>
        <w:t>Unidad Nacional de Protección (</w:t>
      </w:r>
      <w:r w:rsidRPr="00C454A1">
        <w:rPr>
          <w:rFonts w:cs="Times New Roman"/>
          <w:color w:val="000000" w:themeColor="text1"/>
          <w:szCs w:val="28"/>
          <w:lang w:eastAsia="es-ES"/>
        </w:rPr>
        <w:t>UNP</w:t>
      </w:r>
      <w:r w:rsidR="00D85E37" w:rsidRPr="00C454A1">
        <w:rPr>
          <w:rFonts w:cs="Times New Roman"/>
          <w:color w:val="000000" w:themeColor="text1"/>
          <w:szCs w:val="28"/>
          <w:lang w:eastAsia="es-ES"/>
        </w:rPr>
        <w:t xml:space="preserve">) </w:t>
      </w:r>
      <w:r w:rsidRPr="00C454A1">
        <w:rPr>
          <w:rFonts w:cs="Times New Roman"/>
          <w:color w:val="000000" w:themeColor="text1"/>
          <w:szCs w:val="28"/>
          <w:lang w:eastAsia="es-ES"/>
        </w:rPr>
        <w:t xml:space="preserve">y la Dirección de Investigación Criminal e Interpol, el </w:t>
      </w:r>
      <w:r w:rsidR="007525E1" w:rsidRPr="00C454A1">
        <w:rPr>
          <w:rFonts w:cs="Times New Roman"/>
          <w:color w:val="000000" w:themeColor="text1"/>
          <w:szCs w:val="28"/>
          <w:lang w:eastAsia="es-ES"/>
        </w:rPr>
        <w:t>Gobierno nacional</w:t>
      </w:r>
      <w:r w:rsidRPr="00C454A1">
        <w:rPr>
          <w:color w:val="000000" w:themeColor="text1"/>
          <w:szCs w:val="28"/>
          <w:lang w:eastAsia="es-ES"/>
        </w:rPr>
        <w:t xml:space="preserve"> </w:t>
      </w:r>
      <w:r w:rsidRPr="00C454A1">
        <w:rPr>
          <w:rFonts w:cs="Times New Roman"/>
          <w:color w:val="000000" w:themeColor="text1"/>
          <w:szCs w:val="28"/>
          <w:lang w:eastAsia="es-ES"/>
        </w:rPr>
        <w:t>e</w:t>
      </w:r>
      <w:r w:rsidRPr="00C454A1">
        <w:rPr>
          <w:color w:val="000000" w:themeColor="text1"/>
          <w:szCs w:val="28"/>
          <w:lang w:eastAsia="es-ES"/>
        </w:rPr>
        <w:t>videnció</w:t>
      </w:r>
      <w:r w:rsidRPr="00C454A1">
        <w:rPr>
          <w:rFonts w:cs="Times New Roman"/>
          <w:color w:val="000000" w:themeColor="text1"/>
          <w:szCs w:val="28"/>
          <w:lang w:eastAsia="es-ES"/>
        </w:rPr>
        <w:t xml:space="preserve"> el incumplimiento de los compromisos suscritos en el </w:t>
      </w:r>
      <w:r w:rsidR="00EC0AEB" w:rsidRPr="00C454A1">
        <w:rPr>
          <w:rFonts w:cs="Times New Roman"/>
          <w:color w:val="000000" w:themeColor="text1"/>
          <w:szCs w:val="28"/>
          <w:lang w:eastAsia="es-ES"/>
        </w:rPr>
        <w:t>AFP</w:t>
      </w:r>
      <w:r w:rsidR="009D19FF" w:rsidRPr="00C454A1">
        <w:rPr>
          <w:rFonts w:cs="Times New Roman"/>
          <w:color w:val="000000" w:themeColor="text1"/>
          <w:szCs w:val="28"/>
          <w:lang w:eastAsia="es-ES"/>
        </w:rPr>
        <w:t>.</w:t>
      </w:r>
      <w:r w:rsidRPr="00C454A1">
        <w:rPr>
          <w:rFonts w:cs="Times New Roman"/>
          <w:color w:val="000000" w:themeColor="text1"/>
          <w:szCs w:val="28"/>
          <w:lang w:eastAsia="es-ES"/>
        </w:rPr>
        <w:t xml:space="preserve"> </w:t>
      </w:r>
      <w:r w:rsidR="009D19FF" w:rsidRPr="00C454A1">
        <w:rPr>
          <w:rFonts w:cs="Times New Roman"/>
          <w:color w:val="000000" w:themeColor="text1"/>
          <w:szCs w:val="28"/>
          <w:lang w:eastAsia="es-ES"/>
        </w:rPr>
        <w:t>E</w:t>
      </w:r>
      <w:r w:rsidRPr="00C454A1">
        <w:rPr>
          <w:rFonts w:cs="Times New Roman"/>
          <w:color w:val="000000" w:themeColor="text1"/>
          <w:szCs w:val="28"/>
          <w:lang w:eastAsia="es-ES"/>
        </w:rPr>
        <w:t>n especial,</w:t>
      </w:r>
      <w:r w:rsidR="009D19FF" w:rsidRPr="00C454A1">
        <w:rPr>
          <w:rFonts w:cs="Times New Roman"/>
          <w:color w:val="000000" w:themeColor="text1"/>
          <w:szCs w:val="28"/>
          <w:lang w:eastAsia="es-ES"/>
        </w:rPr>
        <w:t xml:space="preserve"> hizo énfasis en</w:t>
      </w:r>
      <w:r w:rsidRPr="00C454A1">
        <w:rPr>
          <w:rFonts w:cs="Times New Roman"/>
          <w:color w:val="000000" w:themeColor="text1"/>
          <w:szCs w:val="28"/>
          <w:lang w:eastAsia="es-ES"/>
        </w:rPr>
        <w:t xml:space="preserve"> los riesgos de seguridad </w:t>
      </w:r>
      <w:r w:rsidR="000A544D" w:rsidRPr="00C454A1">
        <w:rPr>
          <w:rFonts w:cs="Times New Roman"/>
          <w:color w:val="000000" w:themeColor="text1"/>
          <w:szCs w:val="28"/>
          <w:lang w:eastAsia="es-ES"/>
        </w:rPr>
        <w:t>par</w:t>
      </w:r>
      <w:r w:rsidRPr="00C454A1">
        <w:rPr>
          <w:rFonts w:cs="Times New Roman"/>
          <w:color w:val="000000" w:themeColor="text1"/>
          <w:szCs w:val="28"/>
          <w:lang w:eastAsia="es-ES"/>
        </w:rPr>
        <w:t>a los firmantes</w:t>
      </w:r>
      <w:r w:rsidRPr="00C454A1">
        <w:rPr>
          <w:rStyle w:val="Refdenotaalpie"/>
          <w:rFonts w:cs="Times New Roman"/>
          <w:color w:val="000000" w:themeColor="text1"/>
          <w:szCs w:val="28"/>
          <w:lang w:eastAsia="es-ES"/>
        </w:rPr>
        <w:footnoteReference w:id="14"/>
      </w:r>
      <w:r w:rsidRPr="00C454A1">
        <w:rPr>
          <w:rFonts w:cs="Times New Roman"/>
          <w:color w:val="000000" w:themeColor="text1"/>
          <w:szCs w:val="28"/>
          <w:lang w:eastAsia="es-ES"/>
        </w:rPr>
        <w:t xml:space="preserve">. </w:t>
      </w:r>
    </w:p>
    <w:p w14:paraId="6A70C50B" w14:textId="77777777" w:rsidR="009D19FF" w:rsidRPr="00C454A1" w:rsidRDefault="009D19FF" w:rsidP="000A544D">
      <w:pPr>
        <w:pStyle w:val="Prrafodelista"/>
        <w:rPr>
          <w:rFonts w:cs="Times New Roman"/>
          <w:i/>
          <w:iCs/>
          <w:color w:val="000000" w:themeColor="text1"/>
          <w:szCs w:val="28"/>
          <w:lang w:eastAsia="es-ES"/>
        </w:rPr>
      </w:pPr>
    </w:p>
    <w:p w14:paraId="65133CF1" w14:textId="09D56F41" w:rsidR="00A95DCC" w:rsidRPr="00C454A1" w:rsidRDefault="00A95DCC" w:rsidP="002F18CD">
      <w:pPr>
        <w:numPr>
          <w:ilvl w:val="0"/>
          <w:numId w:val="2"/>
        </w:numPr>
        <w:ind w:left="0" w:firstLine="0"/>
        <w:rPr>
          <w:rFonts w:cs="Times New Roman"/>
          <w:color w:val="000000" w:themeColor="text1"/>
          <w:szCs w:val="28"/>
          <w:lang w:eastAsia="es-ES"/>
        </w:rPr>
      </w:pPr>
      <w:r w:rsidRPr="00C454A1">
        <w:rPr>
          <w:rFonts w:cs="Times New Roman"/>
          <w:i/>
          <w:iCs/>
          <w:color w:val="000000" w:themeColor="text1"/>
          <w:szCs w:val="28"/>
          <w:lang w:eastAsia="es-ES"/>
        </w:rPr>
        <w:t>Cuarto</w:t>
      </w:r>
      <w:r w:rsidRPr="00C454A1">
        <w:rPr>
          <w:rFonts w:cs="Times New Roman"/>
          <w:color w:val="000000" w:themeColor="text1"/>
          <w:szCs w:val="28"/>
          <w:lang w:eastAsia="es-ES"/>
        </w:rPr>
        <w:t xml:space="preserve">, </w:t>
      </w:r>
      <w:r w:rsidR="009D19FF" w:rsidRPr="00C454A1">
        <w:rPr>
          <w:rFonts w:cs="Times New Roman"/>
          <w:color w:val="000000" w:themeColor="text1"/>
          <w:szCs w:val="28"/>
          <w:lang w:eastAsia="es-ES"/>
        </w:rPr>
        <w:t xml:space="preserve">el procurador </w:t>
      </w:r>
      <w:r w:rsidRPr="00C454A1">
        <w:rPr>
          <w:rFonts w:cs="Times New Roman"/>
          <w:color w:val="000000" w:themeColor="text1"/>
          <w:szCs w:val="28"/>
          <w:lang w:eastAsia="es-ES"/>
        </w:rPr>
        <w:t>señaló que, en cumplimiento de la Política de Paz Total (Ley 2272 de 2022)</w:t>
      </w:r>
      <w:r w:rsidRPr="00C454A1">
        <w:rPr>
          <w:rStyle w:val="Refdenotaalpie"/>
          <w:rFonts w:cs="Times New Roman"/>
          <w:color w:val="000000" w:themeColor="text1"/>
          <w:szCs w:val="28"/>
          <w:lang w:eastAsia="es-ES"/>
        </w:rPr>
        <w:footnoteReference w:id="15"/>
      </w:r>
      <w:r w:rsidRPr="00C454A1">
        <w:rPr>
          <w:rFonts w:cs="Times New Roman"/>
          <w:color w:val="000000" w:themeColor="text1"/>
          <w:szCs w:val="28"/>
          <w:lang w:eastAsia="es-ES"/>
        </w:rPr>
        <w:t xml:space="preserve">, el ejecutivo acordó un cese al fuego bilateral con el Estado Mayor Central </w:t>
      </w:r>
      <w:r w:rsidR="00CD54D5" w:rsidRPr="00C454A1">
        <w:rPr>
          <w:rFonts w:cs="Times New Roman"/>
          <w:color w:val="000000" w:themeColor="text1"/>
          <w:szCs w:val="28"/>
          <w:lang w:eastAsia="es-ES"/>
        </w:rPr>
        <w:t xml:space="preserve">de las disidencias de las extintas </w:t>
      </w:r>
      <w:r w:rsidRPr="00C454A1">
        <w:rPr>
          <w:rFonts w:cs="Times New Roman"/>
          <w:color w:val="000000" w:themeColor="text1"/>
          <w:szCs w:val="28"/>
          <w:lang w:eastAsia="es-ES"/>
        </w:rPr>
        <w:t>FARC-EP y el ELN. Sin embargo, este fue suspendido el 4 de agosto de 2024, lo cual desencadenó una ola de violencia. En estos términos, adujo que los hechos invocados por el Gobierno</w:t>
      </w:r>
      <w:r w:rsidRPr="00C454A1">
        <w:rPr>
          <w:rFonts w:cs="Times New Roman"/>
          <w:color w:val="000000" w:themeColor="text1"/>
          <w:szCs w:val="28"/>
        </w:rPr>
        <w:t xml:space="preserve"> “son verificables, concretos y perceptibles e implican una afectación al orden público, en tanto alteran las condiciones de </w:t>
      </w:r>
      <w:r w:rsidRPr="00C454A1">
        <w:rPr>
          <w:rFonts w:cs="Times New Roman"/>
          <w:color w:val="000000" w:themeColor="text1"/>
          <w:spacing w:val="-4"/>
          <w:szCs w:val="28"/>
        </w:rPr>
        <w:t>seguridad</w:t>
      </w:r>
      <w:r w:rsidRPr="00C454A1">
        <w:rPr>
          <w:rFonts w:cs="Times New Roman"/>
          <w:color w:val="000000" w:themeColor="text1"/>
          <w:spacing w:val="-13"/>
          <w:szCs w:val="28"/>
        </w:rPr>
        <w:t xml:space="preserve"> </w:t>
      </w:r>
      <w:r w:rsidRPr="00C454A1">
        <w:rPr>
          <w:rFonts w:cs="Times New Roman"/>
          <w:color w:val="000000" w:themeColor="text1"/>
          <w:spacing w:val="-4"/>
          <w:szCs w:val="28"/>
        </w:rPr>
        <w:t>y</w:t>
      </w:r>
      <w:r w:rsidRPr="00C454A1">
        <w:rPr>
          <w:rFonts w:cs="Times New Roman"/>
          <w:color w:val="000000" w:themeColor="text1"/>
          <w:spacing w:val="-13"/>
          <w:szCs w:val="28"/>
        </w:rPr>
        <w:t xml:space="preserve"> </w:t>
      </w:r>
      <w:r w:rsidRPr="00C454A1">
        <w:rPr>
          <w:rFonts w:cs="Times New Roman"/>
          <w:color w:val="000000" w:themeColor="text1"/>
          <w:spacing w:val="-4"/>
          <w:szCs w:val="28"/>
        </w:rPr>
        <w:t>tranquilidad</w:t>
      </w:r>
      <w:r w:rsidRPr="00C454A1">
        <w:rPr>
          <w:rFonts w:cs="Times New Roman"/>
          <w:color w:val="000000" w:themeColor="text1"/>
          <w:spacing w:val="-12"/>
          <w:szCs w:val="28"/>
        </w:rPr>
        <w:t xml:space="preserve"> </w:t>
      </w:r>
      <w:r w:rsidRPr="00C454A1">
        <w:rPr>
          <w:rFonts w:cs="Times New Roman"/>
          <w:color w:val="000000" w:themeColor="text1"/>
          <w:spacing w:val="-4"/>
          <w:szCs w:val="28"/>
        </w:rPr>
        <w:t>requeridas</w:t>
      </w:r>
      <w:r w:rsidRPr="00C454A1">
        <w:rPr>
          <w:rFonts w:cs="Times New Roman"/>
          <w:color w:val="000000" w:themeColor="text1"/>
          <w:spacing w:val="-13"/>
          <w:szCs w:val="28"/>
        </w:rPr>
        <w:t xml:space="preserve"> </w:t>
      </w:r>
      <w:r w:rsidRPr="00C454A1">
        <w:rPr>
          <w:rFonts w:cs="Times New Roman"/>
          <w:color w:val="000000" w:themeColor="text1"/>
          <w:spacing w:val="-4"/>
          <w:szCs w:val="28"/>
        </w:rPr>
        <w:t>para</w:t>
      </w:r>
      <w:r w:rsidRPr="00C454A1">
        <w:rPr>
          <w:rFonts w:cs="Times New Roman"/>
          <w:color w:val="000000" w:themeColor="text1"/>
          <w:spacing w:val="-13"/>
          <w:szCs w:val="28"/>
        </w:rPr>
        <w:t xml:space="preserve"> </w:t>
      </w:r>
      <w:r w:rsidRPr="00C454A1">
        <w:rPr>
          <w:rFonts w:cs="Times New Roman"/>
          <w:color w:val="000000" w:themeColor="text1"/>
          <w:spacing w:val="-4"/>
          <w:szCs w:val="28"/>
        </w:rPr>
        <w:t>el</w:t>
      </w:r>
      <w:r w:rsidRPr="00C454A1">
        <w:rPr>
          <w:rFonts w:cs="Times New Roman"/>
          <w:color w:val="000000" w:themeColor="text1"/>
          <w:spacing w:val="-13"/>
          <w:szCs w:val="28"/>
        </w:rPr>
        <w:t xml:space="preserve"> </w:t>
      </w:r>
      <w:r w:rsidRPr="00C454A1">
        <w:rPr>
          <w:rFonts w:cs="Times New Roman"/>
          <w:color w:val="000000" w:themeColor="text1"/>
          <w:spacing w:val="-4"/>
          <w:szCs w:val="28"/>
        </w:rPr>
        <w:t>ejercicio</w:t>
      </w:r>
      <w:r w:rsidRPr="00C454A1">
        <w:rPr>
          <w:rFonts w:cs="Times New Roman"/>
          <w:color w:val="000000" w:themeColor="text1"/>
          <w:spacing w:val="-12"/>
          <w:szCs w:val="28"/>
        </w:rPr>
        <w:t xml:space="preserve"> </w:t>
      </w:r>
      <w:r w:rsidRPr="00C454A1">
        <w:rPr>
          <w:rFonts w:cs="Times New Roman"/>
          <w:color w:val="000000" w:themeColor="text1"/>
          <w:spacing w:val="-4"/>
          <w:szCs w:val="28"/>
        </w:rPr>
        <w:t>de</w:t>
      </w:r>
      <w:r w:rsidRPr="00C454A1">
        <w:rPr>
          <w:rFonts w:cs="Times New Roman"/>
          <w:color w:val="000000" w:themeColor="text1"/>
          <w:spacing w:val="-13"/>
          <w:szCs w:val="28"/>
        </w:rPr>
        <w:t xml:space="preserve"> </w:t>
      </w:r>
      <w:r w:rsidRPr="00C454A1">
        <w:rPr>
          <w:rFonts w:cs="Times New Roman"/>
          <w:color w:val="000000" w:themeColor="text1"/>
          <w:spacing w:val="-4"/>
          <w:szCs w:val="28"/>
        </w:rPr>
        <w:t>los</w:t>
      </w:r>
      <w:r w:rsidRPr="00C454A1">
        <w:rPr>
          <w:rFonts w:cs="Times New Roman"/>
          <w:color w:val="000000" w:themeColor="text1"/>
          <w:spacing w:val="-13"/>
          <w:szCs w:val="28"/>
        </w:rPr>
        <w:t xml:space="preserve"> </w:t>
      </w:r>
      <w:r w:rsidRPr="00C454A1">
        <w:rPr>
          <w:rFonts w:cs="Times New Roman"/>
          <w:color w:val="000000" w:themeColor="text1"/>
          <w:spacing w:val="-4"/>
          <w:szCs w:val="28"/>
        </w:rPr>
        <w:t>derechos</w:t>
      </w:r>
      <w:r w:rsidRPr="00C454A1">
        <w:rPr>
          <w:rFonts w:cs="Times New Roman"/>
          <w:color w:val="000000" w:themeColor="text1"/>
          <w:spacing w:val="-12"/>
          <w:szCs w:val="28"/>
        </w:rPr>
        <w:t xml:space="preserve"> </w:t>
      </w:r>
      <w:r w:rsidRPr="00C454A1">
        <w:rPr>
          <w:rFonts w:cs="Times New Roman"/>
          <w:color w:val="000000" w:themeColor="text1"/>
          <w:spacing w:val="-4"/>
          <w:szCs w:val="28"/>
        </w:rPr>
        <w:t>de</w:t>
      </w:r>
      <w:r w:rsidRPr="00C454A1">
        <w:rPr>
          <w:rFonts w:cs="Times New Roman"/>
          <w:color w:val="000000" w:themeColor="text1"/>
          <w:spacing w:val="-13"/>
          <w:szCs w:val="28"/>
        </w:rPr>
        <w:t xml:space="preserve"> </w:t>
      </w:r>
      <w:r w:rsidRPr="00C454A1">
        <w:rPr>
          <w:rFonts w:cs="Times New Roman"/>
          <w:color w:val="000000" w:themeColor="text1"/>
          <w:spacing w:val="-4"/>
          <w:szCs w:val="28"/>
        </w:rPr>
        <w:t>la</w:t>
      </w:r>
      <w:r w:rsidRPr="00C454A1">
        <w:rPr>
          <w:rFonts w:cs="Times New Roman"/>
          <w:color w:val="000000" w:themeColor="text1"/>
          <w:spacing w:val="-13"/>
          <w:szCs w:val="28"/>
        </w:rPr>
        <w:t xml:space="preserve"> </w:t>
      </w:r>
      <w:r w:rsidRPr="00C454A1">
        <w:rPr>
          <w:rFonts w:cs="Times New Roman"/>
          <w:color w:val="000000" w:themeColor="text1"/>
          <w:spacing w:val="-4"/>
          <w:szCs w:val="28"/>
        </w:rPr>
        <w:t xml:space="preserve">población </w:t>
      </w:r>
      <w:r w:rsidRPr="00C454A1">
        <w:rPr>
          <w:rFonts w:cs="Times New Roman"/>
          <w:color w:val="000000" w:themeColor="text1"/>
          <w:szCs w:val="28"/>
        </w:rPr>
        <w:t>civil</w:t>
      </w:r>
      <w:r w:rsidRPr="00C454A1">
        <w:rPr>
          <w:rFonts w:cs="Times New Roman"/>
          <w:color w:val="000000" w:themeColor="text1"/>
          <w:spacing w:val="-4"/>
          <w:szCs w:val="28"/>
        </w:rPr>
        <w:t xml:space="preserve"> </w:t>
      </w:r>
      <w:r w:rsidRPr="00C454A1">
        <w:rPr>
          <w:rFonts w:cs="Times New Roman"/>
          <w:color w:val="000000" w:themeColor="text1"/>
          <w:szCs w:val="28"/>
        </w:rPr>
        <w:t>de</w:t>
      </w:r>
      <w:r w:rsidRPr="00C454A1">
        <w:rPr>
          <w:rFonts w:cs="Times New Roman"/>
          <w:color w:val="000000" w:themeColor="text1"/>
          <w:spacing w:val="-5"/>
          <w:szCs w:val="28"/>
        </w:rPr>
        <w:t xml:space="preserve"> </w:t>
      </w:r>
      <w:r w:rsidRPr="00C454A1">
        <w:rPr>
          <w:rFonts w:cs="Times New Roman"/>
          <w:color w:val="000000" w:themeColor="text1"/>
          <w:szCs w:val="28"/>
        </w:rPr>
        <w:t>la</w:t>
      </w:r>
      <w:r w:rsidRPr="00C454A1">
        <w:rPr>
          <w:rFonts w:cs="Times New Roman"/>
          <w:color w:val="000000" w:themeColor="text1"/>
          <w:spacing w:val="-4"/>
          <w:szCs w:val="28"/>
        </w:rPr>
        <w:t xml:space="preserve"> </w:t>
      </w:r>
      <w:r w:rsidRPr="00C454A1">
        <w:rPr>
          <w:rFonts w:cs="Times New Roman"/>
          <w:color w:val="000000" w:themeColor="text1"/>
          <w:szCs w:val="28"/>
        </w:rPr>
        <w:t>región del</w:t>
      </w:r>
      <w:r w:rsidRPr="00C454A1">
        <w:rPr>
          <w:rFonts w:cs="Times New Roman"/>
          <w:color w:val="000000" w:themeColor="text1"/>
          <w:spacing w:val="-3"/>
          <w:szCs w:val="28"/>
        </w:rPr>
        <w:t xml:space="preserve"> </w:t>
      </w:r>
      <w:r w:rsidRPr="00C454A1">
        <w:rPr>
          <w:rFonts w:cs="Times New Roman"/>
          <w:color w:val="000000" w:themeColor="text1"/>
          <w:szCs w:val="28"/>
        </w:rPr>
        <w:t>Catatumbo”</w:t>
      </w:r>
      <w:r w:rsidRPr="00C454A1">
        <w:rPr>
          <w:rStyle w:val="Refdenotaalpie"/>
          <w:rFonts w:cs="Times New Roman"/>
          <w:color w:val="000000" w:themeColor="text1"/>
          <w:szCs w:val="28"/>
        </w:rPr>
        <w:footnoteReference w:id="16"/>
      </w:r>
      <w:r w:rsidRPr="00C454A1">
        <w:rPr>
          <w:rFonts w:cs="Times New Roman"/>
          <w:color w:val="000000" w:themeColor="text1"/>
          <w:szCs w:val="28"/>
        </w:rPr>
        <w:t>.</w:t>
      </w:r>
    </w:p>
    <w:p w14:paraId="2E15C766" w14:textId="77777777" w:rsidR="00A95DCC" w:rsidRPr="00C454A1" w:rsidRDefault="00A95DCC" w:rsidP="002C5127">
      <w:pPr>
        <w:rPr>
          <w:color w:val="000000" w:themeColor="text1"/>
          <w:szCs w:val="28"/>
          <w:lang w:eastAsia="es-ES"/>
        </w:rPr>
      </w:pPr>
    </w:p>
    <w:p w14:paraId="148F6E1F" w14:textId="4671DAFA" w:rsidR="00A95DCC" w:rsidRPr="00C454A1" w:rsidRDefault="00A95DCC" w:rsidP="002F18CD">
      <w:pPr>
        <w:numPr>
          <w:ilvl w:val="0"/>
          <w:numId w:val="2"/>
        </w:numPr>
        <w:ind w:left="0" w:firstLine="0"/>
        <w:rPr>
          <w:color w:val="000000" w:themeColor="text1"/>
          <w:szCs w:val="28"/>
          <w:lang w:eastAsia="es-ES"/>
        </w:rPr>
      </w:pPr>
      <w:r w:rsidRPr="00C454A1">
        <w:rPr>
          <w:i/>
          <w:iCs/>
          <w:color w:val="000000" w:themeColor="text1"/>
          <w:szCs w:val="28"/>
          <w:lang w:eastAsia="es-ES"/>
        </w:rPr>
        <w:t>Presupuesto valorativo.</w:t>
      </w:r>
      <w:r w:rsidRPr="00C454A1">
        <w:rPr>
          <w:color w:val="000000" w:themeColor="text1"/>
          <w:szCs w:val="28"/>
          <w:lang w:eastAsia="es-ES"/>
        </w:rPr>
        <w:t xml:space="preserve"> El </w:t>
      </w:r>
      <w:r w:rsidR="009D19FF" w:rsidRPr="00C454A1">
        <w:rPr>
          <w:color w:val="000000" w:themeColor="text1"/>
          <w:szCs w:val="28"/>
          <w:lang w:eastAsia="es-ES"/>
        </w:rPr>
        <w:t xml:space="preserve">procurador </w:t>
      </w:r>
      <w:r w:rsidR="00CD54D5" w:rsidRPr="00C454A1">
        <w:rPr>
          <w:color w:val="000000" w:themeColor="text1"/>
          <w:szCs w:val="28"/>
          <w:lang w:eastAsia="es-ES"/>
        </w:rPr>
        <w:t>g</w:t>
      </w:r>
      <w:r w:rsidR="009D19FF" w:rsidRPr="00C454A1">
        <w:rPr>
          <w:color w:val="000000" w:themeColor="text1"/>
          <w:szCs w:val="28"/>
          <w:lang w:eastAsia="es-ES"/>
        </w:rPr>
        <w:t>eneral de la Nación</w:t>
      </w:r>
      <w:r w:rsidRPr="00C454A1">
        <w:rPr>
          <w:color w:val="000000" w:themeColor="text1"/>
          <w:szCs w:val="28"/>
          <w:lang w:eastAsia="es-ES"/>
        </w:rPr>
        <w:t xml:space="preserve"> aseguró que el Decreto satisface el presupuesto valorativo, puesto que las alarmantes cifras de violaciones a los derechos humanos y graves infracciones al DIH desde mitad de enero, “dan cuenta de la gravedad de la situación”. En este sentido, refirió que la </w:t>
      </w:r>
      <w:r w:rsidR="009D19FF" w:rsidRPr="00C454A1">
        <w:rPr>
          <w:color w:val="000000" w:themeColor="text1"/>
          <w:szCs w:val="28"/>
          <w:lang w:eastAsia="es-ES"/>
        </w:rPr>
        <w:t xml:space="preserve">Oficina de Naciones Unidas para la Coordinación de Asuntos Humanitarios (en adelante, </w:t>
      </w:r>
      <w:r w:rsidR="00E347D6" w:rsidRPr="00C454A1">
        <w:rPr>
          <w:color w:val="000000" w:themeColor="text1"/>
          <w:szCs w:val="28"/>
          <w:lang w:eastAsia="es-ES"/>
        </w:rPr>
        <w:t>OCHA)</w:t>
      </w:r>
      <w:r w:rsidRPr="00C454A1">
        <w:rPr>
          <w:color w:val="000000" w:themeColor="text1"/>
          <w:szCs w:val="28"/>
          <w:lang w:eastAsia="es-ES"/>
        </w:rPr>
        <w:t xml:space="preserve"> señaló que “entre el 16 y 20 de enero de </w:t>
      </w:r>
      <w:r w:rsidRPr="00C454A1">
        <w:rPr>
          <w:color w:val="000000" w:themeColor="text1"/>
          <w:szCs w:val="28"/>
          <w:lang w:eastAsia="es-ES"/>
        </w:rPr>
        <w:lastRenderedPageBreak/>
        <w:t>2025 el conflicto armado en el Catatumbo condujo a una crisis humanitaria”</w:t>
      </w:r>
      <w:r w:rsidRPr="00C454A1">
        <w:rPr>
          <w:rStyle w:val="Refdenotaalpie"/>
          <w:color w:val="000000" w:themeColor="text1"/>
          <w:szCs w:val="28"/>
          <w:lang w:eastAsia="es-ES"/>
        </w:rPr>
        <w:footnoteReference w:id="17"/>
      </w:r>
      <w:r w:rsidRPr="00C454A1">
        <w:rPr>
          <w:color w:val="000000" w:themeColor="text1"/>
          <w:szCs w:val="28"/>
          <w:lang w:eastAsia="es-ES"/>
        </w:rPr>
        <w:t xml:space="preserve">. Según el </w:t>
      </w:r>
      <w:r w:rsidR="009D19FF" w:rsidRPr="00C454A1">
        <w:rPr>
          <w:color w:val="000000" w:themeColor="text1"/>
          <w:szCs w:val="28"/>
          <w:lang w:eastAsia="es-ES"/>
        </w:rPr>
        <w:t>p</w:t>
      </w:r>
      <w:r w:rsidRPr="00C454A1">
        <w:rPr>
          <w:color w:val="000000" w:themeColor="text1"/>
          <w:szCs w:val="28"/>
          <w:lang w:eastAsia="es-ES"/>
        </w:rPr>
        <w:t xml:space="preserve">rocurador </w:t>
      </w:r>
      <w:r w:rsidR="000A544D" w:rsidRPr="00C454A1">
        <w:rPr>
          <w:color w:val="000000" w:themeColor="text1"/>
          <w:szCs w:val="28"/>
          <w:lang w:eastAsia="es-ES"/>
        </w:rPr>
        <w:t>general</w:t>
      </w:r>
      <w:r w:rsidR="00CD54D5" w:rsidRPr="00C454A1">
        <w:rPr>
          <w:color w:val="000000" w:themeColor="text1"/>
          <w:szCs w:val="28"/>
          <w:lang w:eastAsia="es-ES"/>
        </w:rPr>
        <w:t xml:space="preserve"> </w:t>
      </w:r>
      <w:r w:rsidRPr="00C454A1">
        <w:rPr>
          <w:color w:val="000000" w:themeColor="text1"/>
          <w:szCs w:val="28"/>
          <w:lang w:eastAsia="es-ES"/>
        </w:rPr>
        <w:t>de la Nación, el desplazamiento masivo alcanzó el nivel más alto en los últimos 28 años en Colombia, “toda vez que ascendió a 51.938 personas desplazadas”</w:t>
      </w:r>
      <w:r w:rsidRPr="00C454A1">
        <w:rPr>
          <w:rStyle w:val="Refdenotaalpie"/>
          <w:color w:val="000000" w:themeColor="text1"/>
          <w:szCs w:val="28"/>
          <w:lang w:eastAsia="es-ES"/>
        </w:rPr>
        <w:footnoteReference w:id="18"/>
      </w:r>
      <w:r w:rsidRPr="00C454A1">
        <w:rPr>
          <w:color w:val="000000" w:themeColor="text1"/>
          <w:szCs w:val="28"/>
          <w:lang w:eastAsia="es-ES"/>
        </w:rPr>
        <w:t>. En su criterio, “la escalada de violencia en el Catatumbo adquirió una dimensión de tal magnitud que desbordó completamente la capacidad de respuesta del Estado”</w:t>
      </w:r>
      <w:r w:rsidRPr="00C454A1">
        <w:rPr>
          <w:rStyle w:val="Refdenotaalpie"/>
          <w:color w:val="000000" w:themeColor="text1"/>
          <w:szCs w:val="28"/>
          <w:lang w:eastAsia="es-ES"/>
        </w:rPr>
        <w:footnoteReference w:id="19"/>
      </w:r>
      <w:r w:rsidRPr="00C454A1">
        <w:rPr>
          <w:color w:val="000000" w:themeColor="text1"/>
          <w:szCs w:val="28"/>
          <w:lang w:eastAsia="es-ES"/>
        </w:rPr>
        <w:t>. Por tanto, concluyó que “</w:t>
      </w:r>
      <w:r w:rsidRPr="00C454A1">
        <w:rPr>
          <w:color w:val="000000" w:themeColor="text1"/>
          <w:spacing w:val="-4"/>
          <w:szCs w:val="28"/>
        </w:rPr>
        <w:t>la</w:t>
      </w:r>
      <w:r w:rsidRPr="00C454A1">
        <w:rPr>
          <w:color w:val="000000" w:themeColor="text1"/>
          <w:spacing w:val="-13"/>
          <w:szCs w:val="28"/>
        </w:rPr>
        <w:t xml:space="preserve"> </w:t>
      </w:r>
      <w:r w:rsidRPr="00C454A1">
        <w:rPr>
          <w:color w:val="000000" w:themeColor="text1"/>
          <w:spacing w:val="-4"/>
          <w:szCs w:val="28"/>
        </w:rPr>
        <w:t>crisis</w:t>
      </w:r>
      <w:r w:rsidRPr="00C454A1">
        <w:rPr>
          <w:color w:val="000000" w:themeColor="text1"/>
          <w:spacing w:val="-13"/>
          <w:szCs w:val="28"/>
        </w:rPr>
        <w:t xml:space="preserve"> </w:t>
      </w:r>
      <w:r w:rsidRPr="00C454A1">
        <w:rPr>
          <w:color w:val="000000" w:themeColor="text1"/>
          <w:spacing w:val="-4"/>
          <w:szCs w:val="28"/>
        </w:rPr>
        <w:t>humanitaria</w:t>
      </w:r>
      <w:r w:rsidRPr="00C454A1">
        <w:rPr>
          <w:color w:val="000000" w:themeColor="text1"/>
          <w:spacing w:val="3"/>
          <w:szCs w:val="28"/>
        </w:rPr>
        <w:t xml:space="preserve"> </w:t>
      </w:r>
      <w:r w:rsidRPr="00C454A1">
        <w:rPr>
          <w:color w:val="000000" w:themeColor="text1"/>
          <w:spacing w:val="-4"/>
          <w:szCs w:val="28"/>
        </w:rPr>
        <w:t>en</w:t>
      </w:r>
      <w:r w:rsidRPr="00C454A1">
        <w:rPr>
          <w:color w:val="000000" w:themeColor="text1"/>
          <w:spacing w:val="-13"/>
          <w:szCs w:val="28"/>
        </w:rPr>
        <w:t xml:space="preserve"> </w:t>
      </w:r>
      <w:r w:rsidRPr="00C454A1">
        <w:rPr>
          <w:color w:val="000000" w:themeColor="text1"/>
          <w:spacing w:val="-4"/>
          <w:szCs w:val="28"/>
        </w:rPr>
        <w:t>el</w:t>
      </w:r>
      <w:r w:rsidRPr="00C454A1">
        <w:rPr>
          <w:color w:val="000000" w:themeColor="text1"/>
          <w:spacing w:val="-13"/>
          <w:szCs w:val="28"/>
        </w:rPr>
        <w:t xml:space="preserve"> </w:t>
      </w:r>
      <w:r w:rsidRPr="00C454A1">
        <w:rPr>
          <w:color w:val="000000" w:themeColor="text1"/>
          <w:spacing w:val="-4"/>
          <w:szCs w:val="28"/>
        </w:rPr>
        <w:t>territorio</w:t>
      </w:r>
      <w:r w:rsidRPr="00C454A1">
        <w:rPr>
          <w:color w:val="000000" w:themeColor="text1"/>
          <w:spacing w:val="-10"/>
          <w:szCs w:val="28"/>
        </w:rPr>
        <w:t xml:space="preserve"> </w:t>
      </w:r>
      <w:r w:rsidRPr="00C454A1">
        <w:rPr>
          <w:color w:val="000000" w:themeColor="text1"/>
          <w:spacing w:val="-4"/>
          <w:szCs w:val="28"/>
        </w:rPr>
        <w:t>representa</w:t>
      </w:r>
      <w:r w:rsidRPr="00C454A1">
        <w:rPr>
          <w:color w:val="000000" w:themeColor="text1"/>
          <w:spacing w:val="6"/>
          <w:szCs w:val="28"/>
        </w:rPr>
        <w:t xml:space="preserve"> </w:t>
      </w:r>
      <w:r w:rsidRPr="00C454A1">
        <w:rPr>
          <w:color w:val="000000" w:themeColor="text1"/>
          <w:spacing w:val="-4"/>
          <w:szCs w:val="28"/>
        </w:rPr>
        <w:t>una</w:t>
      </w:r>
      <w:r w:rsidRPr="00C454A1">
        <w:rPr>
          <w:color w:val="000000" w:themeColor="text1"/>
          <w:spacing w:val="-13"/>
          <w:szCs w:val="28"/>
        </w:rPr>
        <w:t xml:space="preserve"> </w:t>
      </w:r>
      <w:r w:rsidRPr="00C454A1">
        <w:rPr>
          <w:color w:val="000000" w:themeColor="text1"/>
          <w:spacing w:val="-4"/>
          <w:szCs w:val="28"/>
        </w:rPr>
        <w:t>grave</w:t>
      </w:r>
      <w:r w:rsidRPr="00C454A1">
        <w:rPr>
          <w:color w:val="000000" w:themeColor="text1"/>
          <w:spacing w:val="-12"/>
          <w:szCs w:val="28"/>
        </w:rPr>
        <w:t xml:space="preserve"> </w:t>
      </w:r>
      <w:r w:rsidRPr="00C454A1">
        <w:rPr>
          <w:color w:val="000000" w:themeColor="text1"/>
          <w:spacing w:val="-4"/>
          <w:szCs w:val="28"/>
        </w:rPr>
        <w:t xml:space="preserve">alteración al </w:t>
      </w:r>
      <w:r w:rsidRPr="00C454A1">
        <w:rPr>
          <w:color w:val="000000" w:themeColor="text1"/>
          <w:szCs w:val="28"/>
        </w:rPr>
        <w:t>orden</w:t>
      </w:r>
      <w:r w:rsidRPr="00C454A1">
        <w:rPr>
          <w:color w:val="000000" w:themeColor="text1"/>
          <w:spacing w:val="-4"/>
          <w:szCs w:val="28"/>
        </w:rPr>
        <w:t xml:space="preserve"> </w:t>
      </w:r>
      <w:r w:rsidRPr="00C454A1">
        <w:rPr>
          <w:color w:val="000000" w:themeColor="text1"/>
          <w:szCs w:val="28"/>
        </w:rPr>
        <w:t>público que</w:t>
      </w:r>
      <w:r w:rsidRPr="00C454A1">
        <w:rPr>
          <w:color w:val="000000" w:themeColor="text1"/>
          <w:spacing w:val="-1"/>
          <w:szCs w:val="28"/>
        </w:rPr>
        <w:t xml:space="preserve"> </w:t>
      </w:r>
      <w:r w:rsidRPr="00C454A1">
        <w:rPr>
          <w:color w:val="000000" w:themeColor="text1"/>
          <w:szCs w:val="28"/>
        </w:rPr>
        <w:t>amenaza de manera inminente la</w:t>
      </w:r>
      <w:r w:rsidRPr="00C454A1">
        <w:rPr>
          <w:color w:val="000000" w:themeColor="text1"/>
          <w:spacing w:val="-1"/>
          <w:szCs w:val="28"/>
        </w:rPr>
        <w:t xml:space="preserve"> </w:t>
      </w:r>
      <w:r w:rsidRPr="00C454A1">
        <w:rPr>
          <w:color w:val="000000" w:themeColor="text1"/>
          <w:szCs w:val="28"/>
        </w:rPr>
        <w:t>estabilidad institucional,</w:t>
      </w:r>
      <w:r w:rsidRPr="00C454A1">
        <w:rPr>
          <w:color w:val="000000" w:themeColor="text1"/>
          <w:spacing w:val="-5"/>
          <w:szCs w:val="28"/>
        </w:rPr>
        <w:t xml:space="preserve"> </w:t>
      </w:r>
      <w:r w:rsidRPr="00C454A1">
        <w:rPr>
          <w:color w:val="000000" w:themeColor="text1"/>
          <w:szCs w:val="28"/>
        </w:rPr>
        <w:t>la seguridad</w:t>
      </w:r>
      <w:r w:rsidRPr="00C454A1">
        <w:rPr>
          <w:color w:val="000000" w:themeColor="text1"/>
          <w:spacing w:val="-17"/>
          <w:szCs w:val="28"/>
        </w:rPr>
        <w:t xml:space="preserve"> </w:t>
      </w:r>
      <w:r w:rsidRPr="00C454A1">
        <w:rPr>
          <w:color w:val="000000" w:themeColor="text1"/>
          <w:szCs w:val="28"/>
        </w:rPr>
        <w:t>del</w:t>
      </w:r>
      <w:r w:rsidRPr="00C454A1">
        <w:rPr>
          <w:color w:val="000000" w:themeColor="text1"/>
          <w:spacing w:val="-17"/>
          <w:szCs w:val="28"/>
        </w:rPr>
        <w:t xml:space="preserve"> </w:t>
      </w:r>
      <w:r w:rsidRPr="00C454A1">
        <w:rPr>
          <w:color w:val="000000" w:themeColor="text1"/>
          <w:szCs w:val="28"/>
        </w:rPr>
        <w:t>Estado</w:t>
      </w:r>
      <w:r w:rsidRPr="00C454A1">
        <w:rPr>
          <w:color w:val="000000" w:themeColor="text1"/>
          <w:spacing w:val="-13"/>
          <w:szCs w:val="28"/>
        </w:rPr>
        <w:t xml:space="preserve"> </w:t>
      </w:r>
      <w:r w:rsidRPr="00C454A1">
        <w:rPr>
          <w:color w:val="000000" w:themeColor="text1"/>
          <w:szCs w:val="28"/>
        </w:rPr>
        <w:t>y</w:t>
      </w:r>
      <w:r w:rsidRPr="00C454A1">
        <w:rPr>
          <w:color w:val="000000" w:themeColor="text1"/>
          <w:spacing w:val="-17"/>
          <w:szCs w:val="28"/>
        </w:rPr>
        <w:t xml:space="preserve"> </w:t>
      </w:r>
      <w:r w:rsidRPr="00C454A1">
        <w:rPr>
          <w:color w:val="000000" w:themeColor="text1"/>
          <w:szCs w:val="28"/>
        </w:rPr>
        <w:t>la</w:t>
      </w:r>
      <w:r w:rsidRPr="00C454A1">
        <w:rPr>
          <w:color w:val="000000" w:themeColor="text1"/>
          <w:spacing w:val="-17"/>
          <w:szCs w:val="28"/>
        </w:rPr>
        <w:t xml:space="preserve"> </w:t>
      </w:r>
      <w:r w:rsidRPr="00C454A1">
        <w:rPr>
          <w:color w:val="000000" w:themeColor="text1"/>
          <w:szCs w:val="28"/>
        </w:rPr>
        <w:t>convivencia</w:t>
      </w:r>
      <w:r w:rsidRPr="00C454A1">
        <w:rPr>
          <w:color w:val="000000" w:themeColor="text1"/>
          <w:spacing w:val="-9"/>
          <w:szCs w:val="28"/>
        </w:rPr>
        <w:t xml:space="preserve"> </w:t>
      </w:r>
      <w:r w:rsidRPr="00C454A1">
        <w:rPr>
          <w:color w:val="000000" w:themeColor="text1"/>
          <w:szCs w:val="28"/>
        </w:rPr>
        <w:t>ciudadana”</w:t>
      </w:r>
      <w:r w:rsidRPr="00C454A1">
        <w:rPr>
          <w:rStyle w:val="Refdenotaalpie"/>
          <w:color w:val="000000" w:themeColor="text1"/>
          <w:szCs w:val="28"/>
          <w:lang w:eastAsia="es-ES"/>
        </w:rPr>
        <w:footnoteReference w:id="20"/>
      </w:r>
      <w:r w:rsidRPr="00C454A1">
        <w:rPr>
          <w:color w:val="000000" w:themeColor="text1"/>
          <w:szCs w:val="28"/>
          <w:lang w:eastAsia="es-ES"/>
        </w:rPr>
        <w:t xml:space="preserve">. </w:t>
      </w:r>
    </w:p>
    <w:p w14:paraId="5D805B79" w14:textId="77777777" w:rsidR="00A95DCC" w:rsidRPr="00C454A1" w:rsidRDefault="00A95DCC" w:rsidP="00631C27">
      <w:pPr>
        <w:widowControl w:val="0"/>
        <w:rPr>
          <w:color w:val="000000" w:themeColor="text1"/>
          <w:szCs w:val="28"/>
          <w:lang w:eastAsia="es-ES"/>
        </w:rPr>
      </w:pPr>
    </w:p>
    <w:p w14:paraId="20422459" w14:textId="60A08927" w:rsidR="00A95DCC" w:rsidRPr="00C454A1" w:rsidRDefault="00A95DCC" w:rsidP="002F18CD">
      <w:pPr>
        <w:numPr>
          <w:ilvl w:val="0"/>
          <w:numId w:val="2"/>
        </w:numPr>
        <w:ind w:left="0" w:firstLine="0"/>
        <w:rPr>
          <w:color w:val="000000" w:themeColor="text1"/>
          <w:szCs w:val="28"/>
          <w:lang w:eastAsia="es-ES"/>
        </w:rPr>
      </w:pPr>
      <w:r w:rsidRPr="00C454A1">
        <w:rPr>
          <w:i/>
          <w:iCs/>
          <w:color w:val="000000" w:themeColor="text1"/>
          <w:szCs w:val="28"/>
          <w:lang w:eastAsia="es-ES"/>
        </w:rPr>
        <w:t>Presupuesto de suficiencia.</w:t>
      </w:r>
      <w:r w:rsidRPr="00C454A1">
        <w:rPr>
          <w:color w:val="000000" w:themeColor="text1"/>
          <w:szCs w:val="28"/>
          <w:lang w:eastAsia="es-ES"/>
        </w:rPr>
        <w:t xml:space="preserve"> El </w:t>
      </w:r>
      <w:r w:rsidR="00CD54D5" w:rsidRPr="00C454A1">
        <w:rPr>
          <w:color w:val="000000" w:themeColor="text1"/>
          <w:szCs w:val="28"/>
          <w:lang w:eastAsia="es-ES"/>
        </w:rPr>
        <w:t>p</w:t>
      </w:r>
      <w:r w:rsidRPr="00C454A1">
        <w:rPr>
          <w:color w:val="000000" w:themeColor="text1"/>
          <w:szCs w:val="28"/>
          <w:lang w:eastAsia="es-ES"/>
        </w:rPr>
        <w:t xml:space="preserve">rocurador </w:t>
      </w:r>
      <w:r w:rsidR="00CD54D5" w:rsidRPr="00C454A1">
        <w:rPr>
          <w:color w:val="000000" w:themeColor="text1"/>
          <w:szCs w:val="28"/>
          <w:lang w:eastAsia="es-ES"/>
        </w:rPr>
        <w:t>g</w:t>
      </w:r>
      <w:r w:rsidRPr="00C454A1">
        <w:rPr>
          <w:color w:val="000000" w:themeColor="text1"/>
          <w:szCs w:val="28"/>
          <w:lang w:eastAsia="es-ES"/>
        </w:rPr>
        <w:t xml:space="preserve">eneral de la Nación argumentó que el Decreto 62 de 2025 satisface el presupuesto de suficiencia. En primer lugar, destacó que el </w:t>
      </w:r>
      <w:r w:rsidR="007525E1" w:rsidRPr="00C454A1">
        <w:rPr>
          <w:color w:val="000000" w:themeColor="text1"/>
          <w:szCs w:val="28"/>
          <w:lang w:eastAsia="es-ES"/>
        </w:rPr>
        <w:t>Gobierno nacional</w:t>
      </w:r>
      <w:r w:rsidRPr="00C454A1">
        <w:rPr>
          <w:color w:val="000000" w:themeColor="text1"/>
          <w:szCs w:val="28"/>
          <w:lang w:eastAsia="es-ES"/>
        </w:rPr>
        <w:t xml:space="preserve">, en la sección III de la parte motiva del decreto,  planteó tres grupos de argumentos: (i) la insuficiencia de la capacidad </w:t>
      </w:r>
      <w:r w:rsidRPr="00C454A1">
        <w:rPr>
          <w:rFonts w:cs="Times New Roman"/>
          <w:color w:val="000000" w:themeColor="text1"/>
        </w:rPr>
        <w:t>institucional</w:t>
      </w:r>
      <w:r w:rsidRPr="00C454A1">
        <w:rPr>
          <w:color w:val="000000" w:themeColor="text1"/>
          <w:szCs w:val="28"/>
          <w:lang w:eastAsia="es-ES"/>
        </w:rPr>
        <w:t xml:space="preserve"> de las entidades territoriales para atender la crisis humanitaria ocasionada por la escalada de la violencia; (ii) la insuficiencia de los mecanismos, recursos y herramientas con que cuenta la </w:t>
      </w:r>
      <w:r w:rsidR="00F858F2" w:rsidRPr="00C454A1">
        <w:rPr>
          <w:color w:val="000000" w:themeColor="text1"/>
          <w:szCs w:val="28"/>
          <w:lang w:eastAsia="es-ES"/>
        </w:rPr>
        <w:t>f</w:t>
      </w:r>
      <w:r w:rsidRPr="00C454A1">
        <w:rPr>
          <w:color w:val="000000" w:themeColor="text1"/>
          <w:szCs w:val="28"/>
          <w:lang w:eastAsia="es-ES"/>
        </w:rPr>
        <w:t xml:space="preserve">uerza </w:t>
      </w:r>
      <w:r w:rsidR="00F858F2" w:rsidRPr="00C454A1">
        <w:rPr>
          <w:color w:val="000000" w:themeColor="text1"/>
          <w:szCs w:val="28"/>
          <w:lang w:eastAsia="es-ES"/>
        </w:rPr>
        <w:t>p</w:t>
      </w:r>
      <w:r w:rsidRPr="00C454A1">
        <w:rPr>
          <w:color w:val="000000" w:themeColor="text1"/>
          <w:szCs w:val="28"/>
          <w:lang w:eastAsia="es-ES"/>
        </w:rPr>
        <w:t>ública para recuperar el control del territorio y (iii) la necesidad de adoptar medidas económicas, tributarias, presupuestales y contractuales, con el fin de asegurar los recursos requeridos para la atención de la crisis humanitaria</w:t>
      </w:r>
      <w:r w:rsidRPr="00C454A1">
        <w:rPr>
          <w:rStyle w:val="Refdenotaalpie"/>
          <w:color w:val="000000" w:themeColor="text1"/>
          <w:szCs w:val="28"/>
          <w:lang w:eastAsia="es-ES"/>
        </w:rPr>
        <w:footnoteReference w:id="21"/>
      </w:r>
      <w:r w:rsidRPr="00C454A1">
        <w:rPr>
          <w:color w:val="000000" w:themeColor="text1"/>
          <w:szCs w:val="28"/>
          <w:lang w:eastAsia="es-ES"/>
        </w:rPr>
        <w:t xml:space="preserve">. En segundo lugar, el </w:t>
      </w:r>
      <w:r w:rsidR="000A544D" w:rsidRPr="00C454A1">
        <w:rPr>
          <w:color w:val="000000" w:themeColor="text1"/>
          <w:szCs w:val="28"/>
          <w:lang w:eastAsia="es-ES"/>
        </w:rPr>
        <w:t>procurador</w:t>
      </w:r>
      <w:r w:rsidRPr="00C454A1">
        <w:rPr>
          <w:color w:val="000000" w:themeColor="text1"/>
          <w:szCs w:val="28"/>
          <w:lang w:eastAsia="es-ES"/>
        </w:rPr>
        <w:t xml:space="preserve"> manifestó que el Decreto llevó a ca</w:t>
      </w:r>
      <w:r w:rsidR="00DD1773" w:rsidRPr="00C454A1">
        <w:rPr>
          <w:color w:val="000000" w:themeColor="text1"/>
          <w:szCs w:val="28"/>
          <w:lang w:eastAsia="es-ES"/>
        </w:rPr>
        <w:t>b</w:t>
      </w:r>
      <w:r w:rsidRPr="00C454A1">
        <w:rPr>
          <w:color w:val="000000" w:themeColor="text1"/>
          <w:szCs w:val="28"/>
          <w:lang w:eastAsia="es-ES"/>
        </w:rPr>
        <w:t>o una “[e]valuación mínima de la apreciación presidencial sobre la insuficiencia de las medidas ordinarias de policía”. Al respecto</w:t>
      </w:r>
      <w:r w:rsidR="000A544D" w:rsidRPr="00C454A1">
        <w:rPr>
          <w:color w:val="000000" w:themeColor="text1"/>
          <w:szCs w:val="28"/>
          <w:lang w:eastAsia="es-ES"/>
        </w:rPr>
        <w:t>,</w:t>
      </w:r>
      <w:r w:rsidRPr="00C454A1">
        <w:rPr>
          <w:color w:val="000000" w:themeColor="text1"/>
          <w:szCs w:val="28"/>
          <w:lang w:eastAsia="es-ES"/>
        </w:rPr>
        <w:t xml:space="preserve"> señaló que si bien el Gobierno no “identificó plenamente” las medidas que ha adoptado para atender la crisis, “las mismas sí son identificables a partir de la copiosa prueba aportada con el decreto bajo estudio y las respuestas de las pruebas solicitadas por la Corte Constitucional”</w:t>
      </w:r>
      <w:r w:rsidRPr="00C454A1">
        <w:rPr>
          <w:rStyle w:val="Refdenotaalpie"/>
          <w:color w:val="000000" w:themeColor="text1"/>
          <w:szCs w:val="28"/>
          <w:lang w:eastAsia="es-ES"/>
        </w:rPr>
        <w:footnoteReference w:id="22"/>
      </w:r>
      <w:r w:rsidRPr="00C454A1">
        <w:rPr>
          <w:color w:val="000000" w:themeColor="text1"/>
          <w:szCs w:val="28"/>
          <w:lang w:eastAsia="es-ES"/>
        </w:rPr>
        <w:t xml:space="preserve">. </w:t>
      </w:r>
    </w:p>
    <w:p w14:paraId="247939AF" w14:textId="77777777" w:rsidR="00A95DCC" w:rsidRPr="00C454A1" w:rsidRDefault="00A95DCC" w:rsidP="00631C27">
      <w:pPr>
        <w:pStyle w:val="Prrafodelista"/>
        <w:widowControl w:val="0"/>
        <w:tabs>
          <w:tab w:val="left" w:pos="0"/>
        </w:tabs>
        <w:ind w:left="0"/>
        <w:rPr>
          <w:color w:val="000000" w:themeColor="text1"/>
          <w:szCs w:val="28"/>
          <w:lang w:eastAsia="es-ES"/>
        </w:rPr>
      </w:pPr>
    </w:p>
    <w:p w14:paraId="59A6AFC3" w14:textId="1919F9A1" w:rsidR="00A95DCC" w:rsidRPr="00C454A1" w:rsidRDefault="00A95DCC" w:rsidP="00766084">
      <w:pPr>
        <w:numPr>
          <w:ilvl w:val="0"/>
          <w:numId w:val="2"/>
        </w:numPr>
        <w:ind w:left="0" w:firstLine="0"/>
        <w:rPr>
          <w:color w:val="000000" w:themeColor="text1"/>
          <w:szCs w:val="28"/>
          <w:lang w:eastAsia="es-ES"/>
        </w:rPr>
      </w:pPr>
      <w:r w:rsidRPr="00C454A1">
        <w:rPr>
          <w:color w:val="000000" w:themeColor="text1"/>
          <w:szCs w:val="28"/>
          <w:lang w:eastAsia="es-ES"/>
        </w:rPr>
        <w:t xml:space="preserve">En suma, el </w:t>
      </w:r>
      <w:r w:rsidR="009D19FF" w:rsidRPr="00C454A1">
        <w:rPr>
          <w:color w:val="000000" w:themeColor="text1"/>
          <w:szCs w:val="28"/>
          <w:lang w:eastAsia="es-ES"/>
        </w:rPr>
        <w:t>p</w:t>
      </w:r>
      <w:r w:rsidRPr="00C454A1">
        <w:rPr>
          <w:color w:val="000000" w:themeColor="text1"/>
          <w:szCs w:val="28"/>
          <w:lang w:eastAsia="es-ES"/>
        </w:rPr>
        <w:t xml:space="preserve">rocurador </w:t>
      </w:r>
      <w:r w:rsidR="009D19FF" w:rsidRPr="00C454A1">
        <w:rPr>
          <w:color w:val="000000" w:themeColor="text1"/>
          <w:szCs w:val="28"/>
          <w:lang w:eastAsia="es-ES"/>
        </w:rPr>
        <w:t>g</w:t>
      </w:r>
      <w:r w:rsidRPr="00C454A1">
        <w:rPr>
          <w:color w:val="000000" w:themeColor="text1"/>
          <w:szCs w:val="28"/>
          <w:lang w:eastAsia="es-ES"/>
        </w:rPr>
        <w:t xml:space="preserve">eneral de la Nación concluyó que “el </w:t>
      </w:r>
      <w:r w:rsidR="009D19FF" w:rsidRPr="00C454A1">
        <w:rPr>
          <w:color w:val="000000" w:themeColor="text1"/>
          <w:szCs w:val="28"/>
          <w:lang w:eastAsia="es-ES"/>
        </w:rPr>
        <w:t>[p]</w:t>
      </w:r>
      <w:r w:rsidRPr="00C454A1">
        <w:rPr>
          <w:color w:val="000000" w:themeColor="text1"/>
          <w:szCs w:val="28"/>
          <w:lang w:eastAsia="es-ES"/>
        </w:rPr>
        <w:t xml:space="preserve">residente de la República, al realizar un juicio de suficiencia sobre las atribuciones ordinarias de policía, no incurrió en apreciación arbitraria ni tampoco en error manifiesto”. Sostuvo que las medidas que es necesario adoptar “superan un test leve de proporcionalidad, en la medida que propenden por conjurar la grave perturbación del orden público que está afectando de manera inminente la estabilidad institucional, la seguridad del Estado y la convivencia ciudadana”. Por último, estimó que ninguna de las medidas está prohibida constitucionalmente y, además, son </w:t>
      </w:r>
      <w:r w:rsidRPr="00C454A1">
        <w:rPr>
          <w:color w:val="000000" w:themeColor="text1"/>
          <w:szCs w:val="28"/>
        </w:rPr>
        <w:t>adecuadas y necesarias. Esto, porque “permiten garantizar la continuidad y calidad de servicios que son esenciales para la supervivencia humana, la convivencia ciudadana y restablecer los derechos y la dignidad de la población vulnerable [y las] víctimas”</w:t>
      </w:r>
      <w:r w:rsidRPr="00C454A1">
        <w:rPr>
          <w:rStyle w:val="Refdenotaalpie"/>
          <w:color w:val="000000" w:themeColor="text1"/>
          <w:szCs w:val="28"/>
        </w:rPr>
        <w:footnoteReference w:id="23"/>
      </w:r>
      <w:r w:rsidRPr="00C454A1">
        <w:rPr>
          <w:color w:val="000000" w:themeColor="text1"/>
          <w:szCs w:val="28"/>
        </w:rPr>
        <w:t xml:space="preserve">. </w:t>
      </w:r>
    </w:p>
    <w:p w14:paraId="6AB1A6BA" w14:textId="77777777" w:rsidR="00A95DCC" w:rsidRPr="00C454A1" w:rsidRDefault="00A95DCC" w:rsidP="00631C27">
      <w:pPr>
        <w:pStyle w:val="Prrafodelista"/>
        <w:rPr>
          <w:color w:val="000000" w:themeColor="text1"/>
          <w:szCs w:val="28"/>
        </w:rPr>
      </w:pPr>
    </w:p>
    <w:p w14:paraId="7252540E" w14:textId="7BE0DDEC" w:rsidR="00120451" w:rsidRPr="00C454A1" w:rsidRDefault="00A95DCC" w:rsidP="002F18CD">
      <w:pPr>
        <w:numPr>
          <w:ilvl w:val="0"/>
          <w:numId w:val="2"/>
        </w:numPr>
        <w:ind w:left="0" w:firstLine="0"/>
        <w:rPr>
          <w:color w:val="000000" w:themeColor="text1"/>
          <w:szCs w:val="28"/>
          <w:lang w:eastAsia="es-ES"/>
        </w:rPr>
      </w:pPr>
      <w:r w:rsidRPr="00C454A1">
        <w:rPr>
          <w:color w:val="000000" w:themeColor="text1"/>
          <w:szCs w:val="28"/>
        </w:rPr>
        <w:t xml:space="preserve">Con fundamento en estas consideraciones, el </w:t>
      </w:r>
      <w:r w:rsidR="00990DC3" w:rsidRPr="00C454A1">
        <w:rPr>
          <w:color w:val="000000" w:themeColor="text1"/>
          <w:szCs w:val="28"/>
        </w:rPr>
        <w:t>p</w:t>
      </w:r>
      <w:r w:rsidRPr="00C454A1">
        <w:rPr>
          <w:color w:val="000000" w:themeColor="text1"/>
          <w:szCs w:val="28"/>
        </w:rPr>
        <w:t xml:space="preserve">rocurador </w:t>
      </w:r>
      <w:r w:rsidR="00990DC3" w:rsidRPr="00C454A1">
        <w:rPr>
          <w:color w:val="000000" w:themeColor="text1"/>
          <w:szCs w:val="28"/>
        </w:rPr>
        <w:t>g</w:t>
      </w:r>
      <w:r w:rsidRPr="00C454A1">
        <w:rPr>
          <w:color w:val="000000" w:themeColor="text1"/>
          <w:szCs w:val="28"/>
        </w:rPr>
        <w:t xml:space="preserve">eneral de </w:t>
      </w:r>
      <w:r w:rsidR="00EA51AB" w:rsidRPr="00C454A1">
        <w:rPr>
          <w:color w:val="000000" w:themeColor="text1"/>
          <w:szCs w:val="28"/>
        </w:rPr>
        <w:t xml:space="preserve">la </w:t>
      </w:r>
      <w:r w:rsidRPr="00C454A1">
        <w:rPr>
          <w:color w:val="000000" w:themeColor="text1"/>
          <w:szCs w:val="28"/>
        </w:rPr>
        <w:t xml:space="preserve">Nación solicitó </w:t>
      </w:r>
      <w:r w:rsidRPr="00C454A1">
        <w:rPr>
          <w:rFonts w:cs="Times New Roman"/>
          <w:color w:val="000000" w:themeColor="text1"/>
        </w:rPr>
        <w:t>declarar</w:t>
      </w:r>
      <w:r w:rsidRPr="00C454A1">
        <w:rPr>
          <w:color w:val="000000" w:themeColor="text1"/>
          <w:szCs w:val="28"/>
        </w:rPr>
        <w:t xml:space="preserve"> la exequibilidad del Decreto 62 de 2025. </w:t>
      </w:r>
    </w:p>
    <w:p w14:paraId="0B9FCD1D" w14:textId="77777777" w:rsidR="00895D07" w:rsidRPr="00C454A1" w:rsidRDefault="00895D07" w:rsidP="00631C27">
      <w:pPr>
        <w:pStyle w:val="Prrafodelista"/>
        <w:autoSpaceDE w:val="0"/>
        <w:autoSpaceDN w:val="0"/>
        <w:adjustRightInd w:val="0"/>
        <w:ind w:left="0"/>
        <w:contextualSpacing w:val="0"/>
        <w:rPr>
          <w:rFonts w:cs="Times New Roman"/>
          <w:color w:val="000000" w:themeColor="text1"/>
          <w:szCs w:val="28"/>
        </w:rPr>
      </w:pPr>
    </w:p>
    <w:p w14:paraId="4A1DEA9F" w14:textId="6A281351" w:rsidR="00D07886" w:rsidRPr="00C454A1" w:rsidRDefault="00D07886" w:rsidP="00631C27">
      <w:pPr>
        <w:pStyle w:val="Prrafodelista"/>
        <w:widowControl w:val="0"/>
        <w:numPr>
          <w:ilvl w:val="0"/>
          <w:numId w:val="1"/>
        </w:numPr>
        <w:tabs>
          <w:tab w:val="left" w:pos="709"/>
        </w:tabs>
        <w:outlineLvl w:val="0"/>
        <w:rPr>
          <w:rFonts w:cs="Times New Roman"/>
          <w:b/>
          <w:bCs/>
          <w:iCs/>
          <w:color w:val="000000" w:themeColor="text1"/>
          <w:szCs w:val="28"/>
          <w:lang w:eastAsia="es-ES"/>
        </w:rPr>
      </w:pPr>
      <w:bookmarkStart w:id="84" w:name="_Toc190338940"/>
      <w:bookmarkStart w:id="85" w:name="_Toc190339274"/>
      <w:bookmarkStart w:id="86" w:name="_Toc223979929"/>
      <w:r w:rsidRPr="00C454A1">
        <w:rPr>
          <w:rFonts w:cs="Times New Roman"/>
          <w:b/>
          <w:bCs/>
          <w:iCs/>
          <w:color w:val="000000" w:themeColor="text1"/>
          <w:szCs w:val="28"/>
          <w:lang w:eastAsia="es-ES"/>
        </w:rPr>
        <w:t>CONSIDERACIONES</w:t>
      </w:r>
      <w:bookmarkEnd w:id="84"/>
      <w:bookmarkEnd w:id="85"/>
      <w:bookmarkEnd w:id="86"/>
    </w:p>
    <w:p w14:paraId="78BEAC73" w14:textId="77777777" w:rsidR="00D07886" w:rsidRPr="00C454A1" w:rsidRDefault="00D07886" w:rsidP="00631C27">
      <w:pPr>
        <w:tabs>
          <w:tab w:val="left" w:pos="567"/>
        </w:tabs>
        <w:rPr>
          <w:rFonts w:cs="Times New Roman"/>
          <w:color w:val="000000" w:themeColor="text1"/>
          <w:szCs w:val="28"/>
        </w:rPr>
      </w:pPr>
    </w:p>
    <w:p w14:paraId="45EABE0C" w14:textId="77777777" w:rsidR="00D07886" w:rsidRPr="00C454A1" w:rsidRDefault="00D07886" w:rsidP="00631C27">
      <w:pPr>
        <w:widowControl w:val="0"/>
        <w:numPr>
          <w:ilvl w:val="0"/>
          <w:numId w:val="3"/>
        </w:numPr>
        <w:ind w:left="709" w:hanging="709"/>
        <w:contextualSpacing/>
        <w:outlineLvl w:val="0"/>
        <w:rPr>
          <w:rFonts w:cs="Times New Roman"/>
          <w:b/>
          <w:iCs/>
          <w:color w:val="000000" w:themeColor="text1"/>
          <w:szCs w:val="28"/>
          <w:bdr w:val="none" w:sz="0" w:space="0" w:color="auto" w:frame="1"/>
          <w:lang w:eastAsia="es-CO"/>
        </w:rPr>
      </w:pPr>
      <w:bookmarkStart w:id="87" w:name="_Toc190338941"/>
      <w:bookmarkStart w:id="88" w:name="_Toc190339275"/>
      <w:bookmarkStart w:id="89" w:name="_Toc223979930"/>
      <w:r w:rsidRPr="00C454A1">
        <w:rPr>
          <w:rFonts w:cs="Times New Roman"/>
          <w:b/>
          <w:iCs/>
          <w:color w:val="000000" w:themeColor="text1"/>
          <w:szCs w:val="28"/>
          <w:bdr w:val="none" w:sz="0" w:space="0" w:color="auto" w:frame="1"/>
          <w:lang w:eastAsia="es-CO"/>
        </w:rPr>
        <w:t>Competencia</w:t>
      </w:r>
      <w:bookmarkEnd w:id="87"/>
      <w:bookmarkEnd w:id="88"/>
      <w:bookmarkEnd w:id="89"/>
    </w:p>
    <w:p w14:paraId="5989BF61" w14:textId="77777777" w:rsidR="00D07886" w:rsidRPr="00C454A1" w:rsidRDefault="00D07886" w:rsidP="00631C27">
      <w:pPr>
        <w:rPr>
          <w:color w:val="000000" w:themeColor="text1"/>
          <w:lang w:eastAsia="es-ES"/>
        </w:rPr>
      </w:pPr>
    </w:p>
    <w:p w14:paraId="6E8C6F73" w14:textId="3C3186EE" w:rsidR="00DF4235" w:rsidRPr="00C454A1" w:rsidRDefault="001046AF" w:rsidP="002F18CD">
      <w:pPr>
        <w:numPr>
          <w:ilvl w:val="0"/>
          <w:numId w:val="2"/>
        </w:numPr>
        <w:ind w:left="0" w:firstLine="0"/>
        <w:rPr>
          <w:rFonts w:cs="Times New Roman"/>
          <w:bCs/>
          <w:color w:val="000000" w:themeColor="text1"/>
          <w:szCs w:val="28"/>
          <w:lang w:eastAsia="es-ES"/>
        </w:rPr>
      </w:pPr>
      <w:r w:rsidRPr="00C454A1">
        <w:rPr>
          <w:rFonts w:cs="Times New Roman"/>
          <w:color w:val="000000" w:themeColor="text1"/>
          <w:szCs w:val="28"/>
        </w:rPr>
        <w:t xml:space="preserve">La Corte Constitucional es competente para examinar la constitucionalidad del Decreto </w:t>
      </w:r>
      <w:r w:rsidR="00D70352" w:rsidRPr="00C454A1">
        <w:rPr>
          <w:rFonts w:cs="Times New Roman"/>
          <w:color w:val="000000" w:themeColor="text1"/>
          <w:szCs w:val="28"/>
        </w:rPr>
        <w:t xml:space="preserve">Legislativo </w:t>
      </w:r>
      <w:r w:rsidR="006C788B" w:rsidRPr="00C454A1">
        <w:rPr>
          <w:rFonts w:cs="Times New Roman"/>
          <w:color w:val="000000" w:themeColor="text1"/>
          <w:szCs w:val="28"/>
        </w:rPr>
        <w:t>62 de 2025</w:t>
      </w:r>
      <w:r w:rsidR="00D60349" w:rsidRPr="00C454A1">
        <w:rPr>
          <w:rFonts w:cs="Times New Roman"/>
          <w:color w:val="000000" w:themeColor="text1"/>
          <w:szCs w:val="28"/>
        </w:rPr>
        <w:t xml:space="preserve">, con fundamento en los artículos </w:t>
      </w:r>
      <w:r w:rsidR="00D95CBC" w:rsidRPr="00C454A1">
        <w:rPr>
          <w:rFonts w:cs="Times New Roman"/>
          <w:color w:val="000000" w:themeColor="text1"/>
          <w:szCs w:val="28"/>
        </w:rPr>
        <w:t>214.6 y 241.7 de la Constitución Política</w:t>
      </w:r>
      <w:r w:rsidR="00C06A3D" w:rsidRPr="00C454A1">
        <w:rPr>
          <w:rFonts w:cs="Times New Roman"/>
          <w:color w:val="000000" w:themeColor="text1"/>
          <w:szCs w:val="28"/>
        </w:rPr>
        <w:t xml:space="preserve">, así como 55 de la </w:t>
      </w:r>
      <w:r w:rsidR="00DD1773" w:rsidRPr="00C454A1">
        <w:rPr>
          <w:rFonts w:cs="Times New Roman"/>
          <w:color w:val="000000" w:themeColor="text1"/>
          <w:szCs w:val="28"/>
        </w:rPr>
        <w:t>Ley 137 de 1994</w:t>
      </w:r>
      <w:r w:rsidR="00D024ED" w:rsidRPr="00C454A1">
        <w:rPr>
          <w:rFonts w:cs="Times New Roman"/>
          <w:color w:val="000000" w:themeColor="text1"/>
          <w:szCs w:val="28"/>
        </w:rPr>
        <w:t xml:space="preserve">, </w:t>
      </w:r>
      <w:r w:rsidR="009E7142" w:rsidRPr="00C454A1">
        <w:rPr>
          <w:rFonts w:cs="Times New Roman"/>
          <w:color w:val="000000" w:themeColor="text1"/>
          <w:szCs w:val="28"/>
        </w:rPr>
        <w:t xml:space="preserve">Ley Estatutaria de los Estados de Excepción (en adelante, </w:t>
      </w:r>
      <w:r w:rsidR="00DD1773" w:rsidRPr="00C454A1">
        <w:rPr>
          <w:rFonts w:cs="Times New Roman"/>
          <w:color w:val="000000" w:themeColor="text1"/>
          <w:szCs w:val="28"/>
        </w:rPr>
        <w:t>LEEE)</w:t>
      </w:r>
      <w:r w:rsidR="00D95CBC" w:rsidRPr="00C454A1">
        <w:rPr>
          <w:rFonts w:cs="Times New Roman"/>
          <w:color w:val="000000" w:themeColor="text1"/>
          <w:szCs w:val="28"/>
        </w:rPr>
        <w:t xml:space="preserve">. </w:t>
      </w:r>
      <w:r w:rsidR="00796454" w:rsidRPr="00C454A1">
        <w:rPr>
          <w:rFonts w:cs="Times New Roman"/>
          <w:color w:val="000000" w:themeColor="text1"/>
          <w:szCs w:val="28"/>
        </w:rPr>
        <w:t xml:space="preserve">Estas disposiciones atribuyen a la Corte Constitucional la competencia de revisar la constitucionalidad de los decretos que declaran un </w:t>
      </w:r>
      <w:r w:rsidR="002253BF" w:rsidRPr="00C454A1">
        <w:rPr>
          <w:rFonts w:cs="Times New Roman"/>
          <w:color w:val="000000" w:themeColor="text1"/>
          <w:szCs w:val="28"/>
        </w:rPr>
        <w:t>e</w:t>
      </w:r>
      <w:r w:rsidR="00796454" w:rsidRPr="00C454A1">
        <w:rPr>
          <w:rFonts w:cs="Times New Roman"/>
          <w:color w:val="000000" w:themeColor="text1"/>
          <w:szCs w:val="28"/>
        </w:rPr>
        <w:t xml:space="preserve">stado de </w:t>
      </w:r>
      <w:r w:rsidR="002253BF" w:rsidRPr="00C454A1">
        <w:rPr>
          <w:rFonts w:cs="Times New Roman"/>
          <w:color w:val="000000" w:themeColor="text1"/>
          <w:szCs w:val="28"/>
        </w:rPr>
        <w:t>c</w:t>
      </w:r>
      <w:r w:rsidR="00796454" w:rsidRPr="00C454A1">
        <w:rPr>
          <w:rFonts w:cs="Times New Roman"/>
          <w:color w:val="000000" w:themeColor="text1"/>
          <w:szCs w:val="28"/>
        </w:rPr>
        <w:t xml:space="preserve">onmoción </w:t>
      </w:r>
      <w:r w:rsidR="002253BF" w:rsidRPr="00C454A1">
        <w:rPr>
          <w:rFonts w:cs="Times New Roman"/>
          <w:color w:val="000000" w:themeColor="text1"/>
          <w:szCs w:val="28"/>
        </w:rPr>
        <w:t>i</w:t>
      </w:r>
      <w:r w:rsidR="00796454" w:rsidRPr="00C454A1">
        <w:rPr>
          <w:rFonts w:cs="Times New Roman"/>
          <w:color w:val="000000" w:themeColor="text1"/>
          <w:szCs w:val="28"/>
        </w:rPr>
        <w:t xml:space="preserve">nterior. </w:t>
      </w:r>
      <w:r w:rsidR="00B01253" w:rsidRPr="00C454A1">
        <w:rPr>
          <w:rFonts w:cs="Times New Roman"/>
          <w:color w:val="000000" w:themeColor="text1"/>
          <w:szCs w:val="28"/>
        </w:rPr>
        <w:t>En concordancia con los artículos 36</w:t>
      </w:r>
      <w:r w:rsidR="002253BF" w:rsidRPr="00C454A1">
        <w:rPr>
          <w:rFonts w:cs="Times New Roman"/>
          <w:color w:val="000000" w:themeColor="text1"/>
          <w:szCs w:val="28"/>
        </w:rPr>
        <w:t xml:space="preserve"> a </w:t>
      </w:r>
      <w:r w:rsidR="00B01253" w:rsidRPr="00C454A1">
        <w:rPr>
          <w:rFonts w:cs="Times New Roman"/>
          <w:color w:val="000000" w:themeColor="text1"/>
          <w:szCs w:val="28"/>
        </w:rPr>
        <w:t xml:space="preserve">38 del Decreto 2067 de 1991, la jurisprudencia de este </w:t>
      </w:r>
      <w:r w:rsidR="00D175CF" w:rsidRPr="00C454A1">
        <w:rPr>
          <w:rFonts w:cs="Times New Roman"/>
          <w:color w:val="000000" w:themeColor="text1"/>
          <w:szCs w:val="28"/>
        </w:rPr>
        <w:t>t</w:t>
      </w:r>
      <w:r w:rsidR="00B01253" w:rsidRPr="00C454A1">
        <w:rPr>
          <w:rFonts w:cs="Times New Roman"/>
          <w:color w:val="000000" w:themeColor="text1"/>
          <w:szCs w:val="28"/>
        </w:rPr>
        <w:t>ribunal</w:t>
      </w:r>
      <w:r w:rsidR="00014A58" w:rsidRPr="00C454A1">
        <w:rPr>
          <w:rStyle w:val="Refdenotaalpie"/>
          <w:rFonts w:cs="Times New Roman"/>
          <w:color w:val="000000" w:themeColor="text1"/>
          <w:szCs w:val="28"/>
        </w:rPr>
        <w:footnoteReference w:id="24"/>
      </w:r>
      <w:r w:rsidR="00B01253" w:rsidRPr="00C454A1">
        <w:rPr>
          <w:rFonts w:cs="Times New Roman"/>
          <w:color w:val="000000" w:themeColor="text1"/>
          <w:szCs w:val="28"/>
        </w:rPr>
        <w:t xml:space="preserve"> ha reiterado que e</w:t>
      </w:r>
      <w:r w:rsidR="00DF4235" w:rsidRPr="00C454A1">
        <w:rPr>
          <w:rFonts w:cs="Times New Roman"/>
          <w:color w:val="000000" w:themeColor="text1"/>
          <w:szCs w:val="28"/>
        </w:rPr>
        <w:t xml:space="preserve">l control constitucional que la Corte Constitucional </w:t>
      </w:r>
      <w:r w:rsidR="00796454" w:rsidRPr="00C454A1">
        <w:rPr>
          <w:rFonts w:cs="Times New Roman"/>
          <w:color w:val="000000" w:themeColor="text1"/>
          <w:szCs w:val="28"/>
        </w:rPr>
        <w:t xml:space="preserve">efectúa respecto </w:t>
      </w:r>
      <w:r w:rsidR="000C42A6" w:rsidRPr="00C454A1">
        <w:rPr>
          <w:rFonts w:cs="Times New Roman"/>
          <w:color w:val="000000" w:themeColor="text1"/>
          <w:szCs w:val="28"/>
        </w:rPr>
        <w:t>del decreto declaratorio</w:t>
      </w:r>
      <w:r w:rsidR="00796454" w:rsidRPr="00C454A1">
        <w:rPr>
          <w:rFonts w:cs="Times New Roman"/>
          <w:color w:val="000000" w:themeColor="text1"/>
          <w:szCs w:val="28"/>
        </w:rPr>
        <w:t xml:space="preserve"> </w:t>
      </w:r>
      <w:r w:rsidR="00DF4235" w:rsidRPr="00C454A1">
        <w:rPr>
          <w:rFonts w:cs="Times New Roman"/>
          <w:color w:val="000000" w:themeColor="text1"/>
          <w:szCs w:val="28"/>
        </w:rPr>
        <w:t xml:space="preserve">es </w:t>
      </w:r>
      <w:r w:rsidR="000C42A6" w:rsidRPr="00C454A1">
        <w:rPr>
          <w:rFonts w:cs="Times New Roman"/>
          <w:color w:val="000000" w:themeColor="text1"/>
          <w:szCs w:val="28"/>
        </w:rPr>
        <w:t xml:space="preserve">(i) </w:t>
      </w:r>
      <w:r w:rsidR="00DF4235" w:rsidRPr="00C454A1">
        <w:rPr>
          <w:rFonts w:cs="Times New Roman"/>
          <w:color w:val="000000" w:themeColor="text1"/>
          <w:szCs w:val="28"/>
        </w:rPr>
        <w:t xml:space="preserve">automático, </w:t>
      </w:r>
      <w:r w:rsidR="00014A58" w:rsidRPr="00C454A1">
        <w:rPr>
          <w:rFonts w:cs="Times New Roman"/>
          <w:color w:val="000000" w:themeColor="text1"/>
          <w:szCs w:val="28"/>
        </w:rPr>
        <w:t xml:space="preserve">(ii) </w:t>
      </w:r>
      <w:r w:rsidR="00CD34F9" w:rsidRPr="00C454A1">
        <w:rPr>
          <w:rFonts w:cs="Times New Roman"/>
          <w:color w:val="000000" w:themeColor="text1"/>
          <w:szCs w:val="28"/>
        </w:rPr>
        <w:t>participativo</w:t>
      </w:r>
      <w:r w:rsidR="004F1C07" w:rsidRPr="00C454A1">
        <w:rPr>
          <w:rFonts w:cs="Times New Roman"/>
          <w:color w:val="000000" w:themeColor="text1"/>
          <w:szCs w:val="28"/>
        </w:rPr>
        <w:t>,</w:t>
      </w:r>
      <w:r w:rsidR="002C0A43" w:rsidRPr="00C454A1">
        <w:rPr>
          <w:rFonts w:cs="Times New Roman"/>
          <w:color w:val="000000" w:themeColor="text1"/>
          <w:szCs w:val="28"/>
        </w:rPr>
        <w:t xml:space="preserve"> </w:t>
      </w:r>
      <w:r w:rsidR="000C42A6" w:rsidRPr="00C454A1">
        <w:rPr>
          <w:rFonts w:cs="Times New Roman"/>
          <w:color w:val="000000" w:themeColor="text1"/>
          <w:szCs w:val="28"/>
        </w:rPr>
        <w:t xml:space="preserve">(iii) </w:t>
      </w:r>
      <w:r w:rsidR="00C367AE" w:rsidRPr="00C454A1">
        <w:rPr>
          <w:rFonts w:cs="Times New Roman"/>
          <w:color w:val="000000" w:themeColor="text1"/>
          <w:szCs w:val="28"/>
        </w:rPr>
        <w:t>definitivo</w:t>
      </w:r>
      <w:r w:rsidR="009B6B45" w:rsidRPr="00C454A1">
        <w:rPr>
          <w:rFonts w:cs="Times New Roman"/>
          <w:color w:val="000000" w:themeColor="text1"/>
          <w:szCs w:val="28"/>
        </w:rPr>
        <w:t xml:space="preserve"> e (iv) integral. </w:t>
      </w:r>
    </w:p>
    <w:p w14:paraId="774345D8" w14:textId="77777777" w:rsidR="002C0A43" w:rsidRPr="00C454A1" w:rsidRDefault="002C0A43" w:rsidP="002F18CD">
      <w:pPr>
        <w:rPr>
          <w:color w:val="000000" w:themeColor="text1"/>
          <w:lang w:eastAsia="es-ES"/>
        </w:rPr>
      </w:pPr>
    </w:p>
    <w:p w14:paraId="22B2C38E" w14:textId="4A521C7B" w:rsidR="000A544D" w:rsidRPr="00C454A1" w:rsidRDefault="00C80D5E" w:rsidP="000A544D">
      <w:pPr>
        <w:numPr>
          <w:ilvl w:val="0"/>
          <w:numId w:val="2"/>
        </w:numPr>
        <w:ind w:left="0" w:firstLine="0"/>
        <w:rPr>
          <w:rFonts w:cs="Times New Roman"/>
          <w:bCs/>
          <w:color w:val="000000" w:themeColor="text1"/>
          <w:szCs w:val="28"/>
          <w:lang w:eastAsia="es-ES"/>
        </w:rPr>
      </w:pPr>
      <w:r w:rsidRPr="00C454A1">
        <w:rPr>
          <w:rFonts w:cs="Times New Roman"/>
          <w:bCs/>
          <w:color w:val="000000" w:themeColor="text1"/>
          <w:szCs w:val="28"/>
          <w:lang w:eastAsia="es-ES"/>
        </w:rPr>
        <w:t>Según el numeral 6 del artículo 214 de la Constitución, e</w:t>
      </w:r>
      <w:r w:rsidR="000A544D" w:rsidRPr="00C454A1">
        <w:rPr>
          <w:rFonts w:cs="Times New Roman"/>
          <w:bCs/>
          <w:color w:val="000000" w:themeColor="text1"/>
          <w:szCs w:val="28"/>
          <w:lang w:eastAsia="es-ES"/>
        </w:rPr>
        <w:t>l control es automático porque</w:t>
      </w:r>
      <w:r w:rsidR="00585948" w:rsidRPr="00C454A1">
        <w:rPr>
          <w:rFonts w:cs="Times New Roman"/>
          <w:bCs/>
          <w:color w:val="000000" w:themeColor="text1"/>
          <w:szCs w:val="28"/>
          <w:lang w:eastAsia="es-ES"/>
        </w:rPr>
        <w:t xml:space="preserve"> </w:t>
      </w:r>
      <w:r w:rsidRPr="00C454A1">
        <w:rPr>
          <w:rFonts w:cs="Times New Roman"/>
          <w:bCs/>
          <w:color w:val="000000" w:themeColor="text1"/>
          <w:szCs w:val="28"/>
          <w:lang w:eastAsia="es-ES"/>
        </w:rPr>
        <w:t>el Gobierno nacional debe enviar</w:t>
      </w:r>
      <w:r w:rsidR="0045335F" w:rsidRPr="00C454A1">
        <w:rPr>
          <w:rFonts w:cs="Times New Roman"/>
          <w:bCs/>
          <w:color w:val="000000" w:themeColor="text1"/>
          <w:szCs w:val="28"/>
          <w:lang w:eastAsia="es-ES"/>
        </w:rPr>
        <w:t>, de oficio,</w:t>
      </w:r>
      <w:r w:rsidRPr="00C454A1">
        <w:rPr>
          <w:rFonts w:cs="Times New Roman"/>
          <w:bCs/>
          <w:color w:val="000000" w:themeColor="text1"/>
          <w:szCs w:val="28"/>
          <w:lang w:eastAsia="es-ES"/>
        </w:rPr>
        <w:t xml:space="preserve"> </w:t>
      </w:r>
      <w:r w:rsidR="00A00308" w:rsidRPr="00C454A1">
        <w:rPr>
          <w:rFonts w:cs="Times New Roman"/>
          <w:bCs/>
          <w:color w:val="000000" w:themeColor="text1"/>
          <w:szCs w:val="28"/>
          <w:lang w:eastAsia="es-ES"/>
        </w:rPr>
        <w:t>los decretos proferidos en el marco de una</w:t>
      </w:r>
      <w:r w:rsidRPr="00C454A1">
        <w:rPr>
          <w:rFonts w:cs="Times New Roman"/>
          <w:bCs/>
          <w:color w:val="000000" w:themeColor="text1"/>
          <w:szCs w:val="28"/>
          <w:lang w:eastAsia="es-ES"/>
        </w:rPr>
        <w:t xml:space="preserve"> conmoción interior</w:t>
      </w:r>
      <w:r w:rsidR="00A00308" w:rsidRPr="00C454A1">
        <w:rPr>
          <w:rFonts w:cs="Times New Roman"/>
          <w:bCs/>
          <w:color w:val="000000" w:themeColor="text1"/>
          <w:szCs w:val="28"/>
          <w:lang w:eastAsia="es-ES"/>
        </w:rPr>
        <w:t xml:space="preserve"> —incluido el decreto declaratorio—</w:t>
      </w:r>
      <w:r w:rsidRPr="00C454A1">
        <w:rPr>
          <w:rFonts w:cs="Times New Roman"/>
          <w:bCs/>
          <w:color w:val="000000" w:themeColor="text1"/>
          <w:szCs w:val="28"/>
          <w:lang w:eastAsia="es-ES"/>
        </w:rPr>
        <w:t xml:space="preserve"> a la Corte Constitucional</w:t>
      </w:r>
      <w:r w:rsidR="00A11377" w:rsidRPr="00C454A1">
        <w:rPr>
          <w:rFonts w:cs="Times New Roman"/>
          <w:bCs/>
          <w:color w:val="000000" w:themeColor="text1"/>
          <w:szCs w:val="28"/>
          <w:lang w:eastAsia="es-ES"/>
        </w:rPr>
        <w:t xml:space="preserve"> </w:t>
      </w:r>
      <w:r w:rsidRPr="00C454A1">
        <w:rPr>
          <w:rFonts w:cs="Times New Roman"/>
          <w:bCs/>
          <w:color w:val="000000" w:themeColor="text1"/>
          <w:szCs w:val="28"/>
          <w:lang w:eastAsia="es-ES"/>
        </w:rPr>
        <w:t xml:space="preserve">el día siguiente </w:t>
      </w:r>
      <w:r w:rsidR="00A11377" w:rsidRPr="00C454A1">
        <w:rPr>
          <w:rFonts w:cs="Times New Roman"/>
          <w:bCs/>
          <w:color w:val="000000" w:themeColor="text1"/>
          <w:szCs w:val="28"/>
          <w:lang w:eastAsia="es-ES"/>
        </w:rPr>
        <w:t>a</w:t>
      </w:r>
      <w:r w:rsidRPr="00C454A1">
        <w:rPr>
          <w:rFonts w:cs="Times New Roman"/>
          <w:bCs/>
          <w:color w:val="000000" w:themeColor="text1"/>
          <w:szCs w:val="28"/>
          <w:lang w:eastAsia="es-ES"/>
        </w:rPr>
        <w:t xml:space="preserve"> su expedición, para que efectúe el respectivo control de constitucionalidad</w:t>
      </w:r>
      <w:r w:rsidR="00A11377" w:rsidRPr="00C454A1">
        <w:rPr>
          <w:rStyle w:val="Refdenotaalpie"/>
          <w:rFonts w:cs="Times New Roman"/>
          <w:color w:val="000000" w:themeColor="text1"/>
          <w:szCs w:val="28"/>
        </w:rPr>
        <w:footnoteReference w:id="25"/>
      </w:r>
      <w:r w:rsidRPr="00C454A1">
        <w:rPr>
          <w:rFonts w:cs="Times New Roman"/>
          <w:bCs/>
          <w:color w:val="000000" w:themeColor="text1"/>
          <w:szCs w:val="28"/>
          <w:lang w:eastAsia="es-ES"/>
        </w:rPr>
        <w:t xml:space="preserve">. </w:t>
      </w:r>
      <w:r w:rsidR="00A11377" w:rsidRPr="00C454A1">
        <w:rPr>
          <w:rFonts w:cs="Times New Roman"/>
          <w:bCs/>
          <w:color w:val="000000" w:themeColor="text1"/>
          <w:szCs w:val="28"/>
          <w:lang w:eastAsia="es-ES"/>
        </w:rPr>
        <w:t>Además, esta misma disposición establece que la decisión de la Corte será definitiva.</w:t>
      </w:r>
    </w:p>
    <w:p w14:paraId="4C97B4F6" w14:textId="77777777" w:rsidR="00A11377" w:rsidRPr="00C454A1" w:rsidRDefault="00A11377" w:rsidP="006F311D">
      <w:pPr>
        <w:pStyle w:val="Prrafodelista"/>
        <w:rPr>
          <w:rFonts w:cs="Times New Roman"/>
          <w:bCs/>
          <w:color w:val="000000" w:themeColor="text1"/>
          <w:szCs w:val="28"/>
          <w:lang w:eastAsia="es-ES"/>
        </w:rPr>
      </w:pPr>
    </w:p>
    <w:p w14:paraId="7FD2947E" w14:textId="40913E83" w:rsidR="00A11377" w:rsidRPr="00C454A1" w:rsidRDefault="0045335F" w:rsidP="000A544D">
      <w:pPr>
        <w:numPr>
          <w:ilvl w:val="0"/>
          <w:numId w:val="2"/>
        </w:numPr>
        <w:ind w:left="0" w:firstLine="0"/>
        <w:rPr>
          <w:rFonts w:cs="Times New Roman"/>
          <w:bCs/>
          <w:color w:val="000000" w:themeColor="text1"/>
          <w:szCs w:val="28"/>
          <w:lang w:eastAsia="es-ES"/>
        </w:rPr>
      </w:pPr>
      <w:r w:rsidRPr="00C454A1">
        <w:rPr>
          <w:rFonts w:cs="Times New Roman"/>
          <w:bCs/>
          <w:color w:val="000000" w:themeColor="text1"/>
          <w:szCs w:val="28"/>
          <w:lang w:eastAsia="es-ES"/>
        </w:rPr>
        <w:t xml:space="preserve">El control es participativo, ya que </w:t>
      </w:r>
      <w:r w:rsidR="00A00308" w:rsidRPr="00C454A1">
        <w:rPr>
          <w:rFonts w:cs="Times New Roman"/>
          <w:bCs/>
          <w:color w:val="000000" w:themeColor="text1"/>
          <w:szCs w:val="28"/>
          <w:lang w:eastAsia="es-ES"/>
        </w:rPr>
        <w:t xml:space="preserve">todos los ciudadanos pueden intervenir en el control de constitucionalidad de los decretos legislativos. </w:t>
      </w:r>
      <w:r w:rsidR="006F311D" w:rsidRPr="00C454A1">
        <w:rPr>
          <w:rFonts w:cs="Times New Roman"/>
          <w:bCs/>
          <w:color w:val="000000" w:themeColor="text1"/>
          <w:szCs w:val="28"/>
          <w:lang w:eastAsia="es-ES"/>
        </w:rPr>
        <w:t>Al respecto, el artículo 37 del Decreto 2067 de 1991 dispone que: “Para la efectividad de la intervención ciudadana, en la revisión de los Decretos legislativos, repartido el negocio, el magistrado sustanciador ordenará que se fije en lista en la Secretaria de la Corte por el término de cinco días, durante los cuales, cualquier ciudadano, podrá intervenir por escrito, para defender o impugnar la constitucionalidad del decreto”.</w:t>
      </w:r>
    </w:p>
    <w:p w14:paraId="3F04E997" w14:textId="77777777" w:rsidR="000A544D" w:rsidRPr="00C454A1" w:rsidRDefault="000A544D" w:rsidP="006F311D">
      <w:pPr>
        <w:pStyle w:val="Prrafodelista"/>
        <w:rPr>
          <w:rFonts w:cs="Times New Roman"/>
          <w:bCs/>
          <w:color w:val="000000" w:themeColor="text1"/>
          <w:szCs w:val="28"/>
          <w:lang w:eastAsia="es-ES"/>
        </w:rPr>
      </w:pPr>
    </w:p>
    <w:p w14:paraId="065AFF4C" w14:textId="0DBD3BD5" w:rsidR="000A544D" w:rsidRPr="00C454A1" w:rsidRDefault="002C0A43" w:rsidP="000A544D">
      <w:pPr>
        <w:numPr>
          <w:ilvl w:val="0"/>
          <w:numId w:val="2"/>
        </w:numPr>
        <w:ind w:left="0" w:firstLine="0"/>
        <w:rPr>
          <w:rFonts w:cs="Times New Roman"/>
          <w:bCs/>
          <w:color w:val="000000" w:themeColor="text1"/>
          <w:szCs w:val="28"/>
          <w:lang w:eastAsia="es-ES"/>
        </w:rPr>
      </w:pPr>
      <w:r w:rsidRPr="00C454A1">
        <w:rPr>
          <w:rFonts w:cs="Times New Roman"/>
          <w:bCs/>
          <w:color w:val="000000" w:themeColor="text1"/>
          <w:szCs w:val="28"/>
          <w:lang w:eastAsia="es-ES"/>
        </w:rPr>
        <w:t xml:space="preserve">En la </w:t>
      </w:r>
      <w:r w:rsidR="00981B5E" w:rsidRPr="00C454A1">
        <w:rPr>
          <w:rFonts w:cs="Times New Roman"/>
          <w:bCs/>
          <w:color w:val="000000" w:themeColor="text1"/>
          <w:szCs w:val="28"/>
          <w:lang w:eastAsia="es-ES"/>
        </w:rPr>
        <w:t>S</w:t>
      </w:r>
      <w:r w:rsidRPr="00C454A1">
        <w:rPr>
          <w:rFonts w:cs="Times New Roman"/>
          <w:bCs/>
          <w:color w:val="000000" w:themeColor="text1"/>
          <w:szCs w:val="28"/>
          <w:lang w:eastAsia="es-ES"/>
        </w:rPr>
        <w:t>entencia C-004 de 1992</w:t>
      </w:r>
      <w:r w:rsidR="009B6B45" w:rsidRPr="00C454A1">
        <w:rPr>
          <w:rFonts w:cs="Times New Roman"/>
          <w:bCs/>
          <w:color w:val="000000" w:themeColor="text1"/>
          <w:szCs w:val="28"/>
          <w:lang w:eastAsia="es-ES"/>
        </w:rPr>
        <w:t>,</w:t>
      </w:r>
      <w:r w:rsidRPr="00C454A1">
        <w:rPr>
          <w:rFonts w:cs="Times New Roman"/>
          <w:bCs/>
          <w:color w:val="000000" w:themeColor="text1"/>
          <w:szCs w:val="28"/>
          <w:lang w:eastAsia="es-ES"/>
        </w:rPr>
        <w:t xml:space="preserve"> la Corte Constitucional sostuvo que el control constitucional de los decretos declaratorios de los </w:t>
      </w:r>
      <w:r w:rsidR="00FF5CB4" w:rsidRPr="00C454A1">
        <w:rPr>
          <w:rFonts w:cs="Times New Roman"/>
          <w:bCs/>
          <w:color w:val="000000" w:themeColor="text1"/>
          <w:szCs w:val="28"/>
          <w:lang w:eastAsia="es-ES"/>
        </w:rPr>
        <w:t xml:space="preserve">estados de excepción </w:t>
      </w:r>
      <w:r w:rsidRPr="00C454A1">
        <w:rPr>
          <w:rFonts w:cs="Times New Roman"/>
          <w:bCs/>
          <w:color w:val="000000" w:themeColor="text1"/>
          <w:szCs w:val="28"/>
          <w:lang w:eastAsia="es-ES"/>
        </w:rPr>
        <w:lastRenderedPageBreak/>
        <w:t xml:space="preserve">es integral. </w:t>
      </w:r>
      <w:r w:rsidR="00381C93" w:rsidRPr="00C454A1">
        <w:rPr>
          <w:rFonts w:cs="Times New Roman"/>
          <w:bCs/>
          <w:color w:val="000000" w:themeColor="text1"/>
          <w:szCs w:val="28"/>
          <w:lang w:eastAsia="es-ES"/>
        </w:rPr>
        <w:t xml:space="preserve">Esto </w:t>
      </w:r>
      <w:r w:rsidR="003427B1" w:rsidRPr="00C454A1">
        <w:rPr>
          <w:rFonts w:cs="Times New Roman"/>
          <w:bCs/>
          <w:color w:val="000000" w:themeColor="text1"/>
          <w:szCs w:val="28"/>
          <w:lang w:eastAsia="es-ES"/>
        </w:rPr>
        <w:t>implica que e</w:t>
      </w:r>
      <w:r w:rsidR="00E349BD" w:rsidRPr="00C454A1">
        <w:rPr>
          <w:rFonts w:cs="Times New Roman"/>
          <w:bCs/>
          <w:color w:val="000000" w:themeColor="text1"/>
          <w:szCs w:val="28"/>
          <w:lang w:eastAsia="es-ES"/>
        </w:rPr>
        <w:t>s un</w:t>
      </w:r>
      <w:r w:rsidR="003427B1" w:rsidRPr="00C454A1">
        <w:rPr>
          <w:rFonts w:cs="Times New Roman"/>
          <w:bCs/>
          <w:color w:val="000000" w:themeColor="text1"/>
          <w:szCs w:val="28"/>
          <w:lang w:eastAsia="es-ES"/>
        </w:rPr>
        <w:t xml:space="preserve"> control </w:t>
      </w:r>
      <w:r w:rsidR="00561A58" w:rsidRPr="00C454A1">
        <w:rPr>
          <w:rFonts w:cs="Times New Roman"/>
          <w:bCs/>
          <w:i/>
          <w:iCs/>
          <w:color w:val="000000" w:themeColor="text1"/>
          <w:szCs w:val="28"/>
          <w:lang w:eastAsia="es-ES"/>
        </w:rPr>
        <w:t>formal</w:t>
      </w:r>
      <w:r w:rsidR="00561A58" w:rsidRPr="00C454A1">
        <w:rPr>
          <w:rFonts w:cs="Times New Roman"/>
          <w:bCs/>
          <w:color w:val="000000" w:themeColor="text1"/>
          <w:szCs w:val="28"/>
          <w:lang w:eastAsia="es-ES"/>
        </w:rPr>
        <w:t xml:space="preserve"> y </w:t>
      </w:r>
      <w:r w:rsidR="00561A58" w:rsidRPr="00C454A1">
        <w:rPr>
          <w:rFonts w:cs="Times New Roman"/>
          <w:bCs/>
          <w:i/>
          <w:iCs/>
          <w:color w:val="000000" w:themeColor="text1"/>
          <w:szCs w:val="28"/>
          <w:lang w:eastAsia="es-ES"/>
        </w:rPr>
        <w:t>material</w:t>
      </w:r>
      <w:r w:rsidR="00561A58" w:rsidRPr="00C454A1">
        <w:rPr>
          <w:rFonts w:cs="Times New Roman"/>
          <w:bCs/>
          <w:color w:val="000000" w:themeColor="text1"/>
          <w:szCs w:val="28"/>
          <w:lang w:eastAsia="es-ES"/>
        </w:rPr>
        <w:t>.</w:t>
      </w:r>
      <w:r w:rsidR="004C5FAB" w:rsidRPr="00C454A1">
        <w:rPr>
          <w:rFonts w:cs="Times New Roman"/>
          <w:bCs/>
          <w:color w:val="000000" w:themeColor="text1"/>
          <w:szCs w:val="28"/>
          <w:lang w:eastAsia="es-ES"/>
        </w:rPr>
        <w:t xml:space="preserve"> </w:t>
      </w:r>
      <w:r w:rsidR="00A82A54" w:rsidRPr="00C454A1">
        <w:rPr>
          <w:rFonts w:cs="Times New Roman"/>
          <w:bCs/>
          <w:color w:val="000000" w:themeColor="text1"/>
          <w:szCs w:val="28"/>
          <w:lang w:eastAsia="es-ES"/>
        </w:rPr>
        <w:t xml:space="preserve">Su objeto es constatar que el decreto declaratorio cumple con los requisitos formales y </w:t>
      </w:r>
      <w:r w:rsidR="00B37034" w:rsidRPr="00C454A1">
        <w:rPr>
          <w:rFonts w:cs="Times New Roman"/>
          <w:bCs/>
          <w:color w:val="000000" w:themeColor="text1"/>
          <w:szCs w:val="28"/>
          <w:lang w:eastAsia="es-ES"/>
        </w:rPr>
        <w:t xml:space="preserve">presupuestos </w:t>
      </w:r>
      <w:r w:rsidR="00A82A54" w:rsidRPr="00C454A1">
        <w:rPr>
          <w:rFonts w:cs="Times New Roman"/>
          <w:bCs/>
          <w:color w:val="000000" w:themeColor="text1"/>
          <w:szCs w:val="28"/>
          <w:lang w:eastAsia="es-ES"/>
        </w:rPr>
        <w:t xml:space="preserve">materiales </w:t>
      </w:r>
      <w:r w:rsidR="00391C54" w:rsidRPr="00C454A1">
        <w:rPr>
          <w:rFonts w:cs="Times New Roman"/>
          <w:bCs/>
          <w:color w:val="000000" w:themeColor="text1"/>
          <w:szCs w:val="28"/>
          <w:lang w:eastAsia="es-ES"/>
        </w:rPr>
        <w:t>previstos en la Constitución Política</w:t>
      </w:r>
      <w:r w:rsidR="00B37034" w:rsidRPr="00C454A1">
        <w:rPr>
          <w:rFonts w:cs="Times New Roman"/>
          <w:bCs/>
          <w:color w:val="000000" w:themeColor="text1"/>
          <w:szCs w:val="28"/>
          <w:lang w:eastAsia="es-ES"/>
        </w:rPr>
        <w:t xml:space="preserve">, los instrumentos internacionales de derechos humanos </w:t>
      </w:r>
      <w:r w:rsidR="00391C54" w:rsidRPr="00C454A1">
        <w:rPr>
          <w:rFonts w:cs="Times New Roman"/>
          <w:bCs/>
          <w:color w:val="000000" w:themeColor="text1"/>
          <w:szCs w:val="28"/>
          <w:lang w:eastAsia="es-ES"/>
        </w:rPr>
        <w:t xml:space="preserve">y la LEEE. </w:t>
      </w:r>
      <w:r w:rsidR="001A2EE7" w:rsidRPr="00C454A1">
        <w:rPr>
          <w:rFonts w:cs="Times New Roman"/>
          <w:bCs/>
          <w:color w:val="000000" w:themeColor="text1"/>
          <w:szCs w:val="28"/>
          <w:lang w:eastAsia="es-ES"/>
        </w:rPr>
        <w:t>Est</w:t>
      </w:r>
      <w:r w:rsidR="000E76CD" w:rsidRPr="00C454A1">
        <w:rPr>
          <w:rFonts w:cs="Times New Roman"/>
          <w:bCs/>
          <w:color w:val="000000" w:themeColor="text1"/>
          <w:szCs w:val="28"/>
          <w:lang w:eastAsia="es-ES"/>
        </w:rPr>
        <w:t>e</w:t>
      </w:r>
      <w:r w:rsidR="001A2EE7" w:rsidRPr="00C454A1">
        <w:rPr>
          <w:rFonts w:cs="Times New Roman"/>
          <w:bCs/>
          <w:color w:val="000000" w:themeColor="text1"/>
          <w:szCs w:val="28"/>
          <w:lang w:eastAsia="es-ES"/>
        </w:rPr>
        <w:t xml:space="preserve"> </w:t>
      </w:r>
      <w:r w:rsidR="00391C54" w:rsidRPr="00C454A1">
        <w:rPr>
          <w:rFonts w:cs="Times New Roman"/>
          <w:bCs/>
          <w:color w:val="000000" w:themeColor="text1"/>
          <w:szCs w:val="28"/>
          <w:lang w:eastAsia="es-ES"/>
        </w:rPr>
        <w:t>precedente</w:t>
      </w:r>
      <w:r w:rsidR="001A2EE7" w:rsidRPr="00C454A1">
        <w:rPr>
          <w:rFonts w:cs="Times New Roman"/>
          <w:bCs/>
          <w:color w:val="000000" w:themeColor="text1"/>
          <w:szCs w:val="28"/>
          <w:lang w:eastAsia="es-ES"/>
        </w:rPr>
        <w:t xml:space="preserve"> ha sido reiterad</w:t>
      </w:r>
      <w:r w:rsidR="00391C54" w:rsidRPr="00C454A1">
        <w:rPr>
          <w:rFonts w:cs="Times New Roman"/>
          <w:bCs/>
          <w:color w:val="000000" w:themeColor="text1"/>
          <w:szCs w:val="28"/>
          <w:lang w:eastAsia="es-ES"/>
        </w:rPr>
        <w:t>o</w:t>
      </w:r>
      <w:r w:rsidR="001A2EE7" w:rsidRPr="00C454A1">
        <w:rPr>
          <w:rFonts w:cs="Times New Roman"/>
          <w:bCs/>
          <w:color w:val="000000" w:themeColor="text1"/>
          <w:szCs w:val="28"/>
          <w:lang w:eastAsia="es-ES"/>
        </w:rPr>
        <w:t xml:space="preserve"> </w:t>
      </w:r>
      <w:r w:rsidR="006F311D" w:rsidRPr="00C454A1">
        <w:rPr>
          <w:rFonts w:cs="Times New Roman"/>
          <w:bCs/>
          <w:color w:val="000000" w:themeColor="text1"/>
          <w:szCs w:val="28"/>
          <w:lang w:eastAsia="es-ES"/>
        </w:rPr>
        <w:t>pacíficamente</w:t>
      </w:r>
      <w:r w:rsidR="001A2EE7" w:rsidRPr="00C454A1">
        <w:rPr>
          <w:rFonts w:cs="Times New Roman"/>
          <w:bCs/>
          <w:color w:val="000000" w:themeColor="text1"/>
          <w:szCs w:val="28"/>
          <w:lang w:eastAsia="es-ES"/>
        </w:rPr>
        <w:t xml:space="preserve"> por la Corte Constitucional </w:t>
      </w:r>
      <w:r w:rsidR="00EB1ABB" w:rsidRPr="00C454A1">
        <w:rPr>
          <w:rFonts w:cs="Times New Roman"/>
          <w:bCs/>
          <w:color w:val="000000" w:themeColor="text1"/>
          <w:szCs w:val="28"/>
          <w:lang w:eastAsia="es-ES"/>
        </w:rPr>
        <w:t xml:space="preserve">en todas las </w:t>
      </w:r>
      <w:r w:rsidR="009B6B45" w:rsidRPr="00C454A1">
        <w:rPr>
          <w:rFonts w:cs="Times New Roman"/>
          <w:bCs/>
          <w:color w:val="000000" w:themeColor="text1"/>
          <w:szCs w:val="28"/>
          <w:lang w:eastAsia="es-ES"/>
        </w:rPr>
        <w:t>sentencias</w:t>
      </w:r>
      <w:r w:rsidR="00EB1ABB" w:rsidRPr="00C454A1">
        <w:rPr>
          <w:rFonts w:cs="Times New Roman"/>
          <w:bCs/>
          <w:color w:val="000000" w:themeColor="text1"/>
          <w:szCs w:val="28"/>
          <w:lang w:eastAsia="es-ES"/>
        </w:rPr>
        <w:t xml:space="preserve"> que, desde entonces, han</w:t>
      </w:r>
      <w:r w:rsidR="001A2EE7" w:rsidRPr="00C454A1">
        <w:rPr>
          <w:rFonts w:cs="Times New Roman"/>
          <w:bCs/>
          <w:color w:val="000000" w:themeColor="text1"/>
          <w:szCs w:val="28"/>
          <w:lang w:eastAsia="es-ES"/>
        </w:rPr>
        <w:t xml:space="preserve"> examina</w:t>
      </w:r>
      <w:r w:rsidR="00EB1ABB" w:rsidRPr="00C454A1">
        <w:rPr>
          <w:rFonts w:cs="Times New Roman"/>
          <w:bCs/>
          <w:color w:val="000000" w:themeColor="text1"/>
          <w:szCs w:val="28"/>
          <w:lang w:eastAsia="es-ES"/>
        </w:rPr>
        <w:t>do la constitucionalidad de los</w:t>
      </w:r>
      <w:r w:rsidR="001A2EE7" w:rsidRPr="00C454A1">
        <w:rPr>
          <w:rFonts w:cs="Times New Roman"/>
          <w:bCs/>
          <w:color w:val="000000" w:themeColor="text1"/>
          <w:szCs w:val="28"/>
          <w:lang w:eastAsia="es-ES"/>
        </w:rPr>
        <w:t xml:space="preserve"> decretos que </w:t>
      </w:r>
      <w:r w:rsidR="00EB1ABB" w:rsidRPr="00C454A1">
        <w:rPr>
          <w:rFonts w:cs="Times New Roman"/>
          <w:bCs/>
          <w:color w:val="000000" w:themeColor="text1"/>
          <w:szCs w:val="28"/>
          <w:lang w:eastAsia="es-ES"/>
        </w:rPr>
        <w:t xml:space="preserve">han </w:t>
      </w:r>
      <w:r w:rsidR="001A2EE7" w:rsidRPr="00C454A1">
        <w:rPr>
          <w:rFonts w:cs="Times New Roman"/>
          <w:bCs/>
          <w:color w:val="000000" w:themeColor="text1"/>
          <w:szCs w:val="28"/>
          <w:lang w:eastAsia="es-ES"/>
        </w:rPr>
        <w:t>declara</w:t>
      </w:r>
      <w:r w:rsidR="00EB1ABB" w:rsidRPr="00C454A1">
        <w:rPr>
          <w:rFonts w:cs="Times New Roman"/>
          <w:bCs/>
          <w:color w:val="000000" w:themeColor="text1"/>
          <w:szCs w:val="28"/>
          <w:lang w:eastAsia="es-ES"/>
        </w:rPr>
        <w:t>do</w:t>
      </w:r>
      <w:r w:rsidR="001A2EE7" w:rsidRPr="00C454A1">
        <w:rPr>
          <w:rFonts w:cs="Times New Roman"/>
          <w:bCs/>
          <w:color w:val="000000" w:themeColor="text1"/>
          <w:szCs w:val="28"/>
          <w:lang w:eastAsia="es-ES"/>
        </w:rPr>
        <w:t xml:space="preserve"> </w:t>
      </w:r>
      <w:r w:rsidR="00EB1ABB" w:rsidRPr="00C454A1">
        <w:rPr>
          <w:rFonts w:cs="Times New Roman"/>
          <w:bCs/>
          <w:color w:val="000000" w:themeColor="text1"/>
          <w:szCs w:val="28"/>
          <w:lang w:eastAsia="es-ES"/>
        </w:rPr>
        <w:t>un</w:t>
      </w:r>
      <w:r w:rsidR="001A2EE7" w:rsidRPr="00C454A1">
        <w:rPr>
          <w:rFonts w:cs="Times New Roman"/>
          <w:bCs/>
          <w:color w:val="000000" w:themeColor="text1"/>
          <w:szCs w:val="28"/>
          <w:lang w:eastAsia="es-ES"/>
        </w:rPr>
        <w:t xml:space="preserve"> </w:t>
      </w:r>
      <w:r w:rsidR="002253BF" w:rsidRPr="00C454A1">
        <w:rPr>
          <w:rFonts w:cs="Times New Roman"/>
          <w:bCs/>
          <w:color w:val="000000" w:themeColor="text1"/>
          <w:szCs w:val="28"/>
          <w:lang w:eastAsia="es-ES"/>
        </w:rPr>
        <w:t xml:space="preserve">estado </w:t>
      </w:r>
      <w:r w:rsidR="001A2EE7" w:rsidRPr="00C454A1">
        <w:rPr>
          <w:rFonts w:cs="Times New Roman"/>
          <w:bCs/>
          <w:color w:val="000000" w:themeColor="text1"/>
          <w:szCs w:val="28"/>
          <w:lang w:eastAsia="es-ES"/>
        </w:rPr>
        <w:t xml:space="preserve">de </w:t>
      </w:r>
      <w:r w:rsidR="002253BF" w:rsidRPr="00C454A1">
        <w:rPr>
          <w:rFonts w:cs="Times New Roman"/>
          <w:bCs/>
          <w:color w:val="000000" w:themeColor="text1"/>
          <w:szCs w:val="28"/>
          <w:lang w:eastAsia="es-ES"/>
        </w:rPr>
        <w:t>conmoción interior</w:t>
      </w:r>
      <w:r w:rsidR="00744724" w:rsidRPr="00C454A1">
        <w:rPr>
          <w:rFonts w:cs="Times New Roman"/>
          <w:bCs/>
          <w:color w:val="000000" w:themeColor="text1"/>
          <w:szCs w:val="28"/>
          <w:lang w:eastAsia="es-ES"/>
        </w:rPr>
        <w:t>, a saber:</w:t>
      </w:r>
      <w:r w:rsidR="0058721A" w:rsidRPr="00C454A1">
        <w:rPr>
          <w:rFonts w:cs="Times New Roman"/>
          <w:bCs/>
          <w:color w:val="000000" w:themeColor="text1"/>
          <w:szCs w:val="28"/>
          <w:lang w:eastAsia="es-ES"/>
        </w:rPr>
        <w:t xml:space="preserve"> </w:t>
      </w:r>
      <w:r w:rsidR="00FD7D0C" w:rsidRPr="00C454A1">
        <w:rPr>
          <w:rFonts w:cs="Times New Roman"/>
          <w:bCs/>
          <w:color w:val="000000" w:themeColor="text1"/>
          <w:szCs w:val="28"/>
          <w:lang w:eastAsia="es-ES"/>
        </w:rPr>
        <w:t>C-556 de 1992, C-031 de 1993, C-300 de 1994, C-466 de 1995, C-027 de 1996, C-802 de 2002 y C-070 de 2009</w:t>
      </w:r>
      <w:r w:rsidR="00EB1ABB" w:rsidRPr="00C454A1">
        <w:rPr>
          <w:rFonts w:cs="Times New Roman"/>
          <w:bCs/>
          <w:color w:val="000000" w:themeColor="text1"/>
          <w:szCs w:val="28"/>
          <w:lang w:eastAsia="es-ES"/>
        </w:rPr>
        <w:t xml:space="preserve">. </w:t>
      </w:r>
      <w:r w:rsidR="008A4C9C" w:rsidRPr="00C454A1">
        <w:rPr>
          <w:rFonts w:cs="Times New Roman"/>
          <w:bCs/>
          <w:color w:val="000000" w:themeColor="text1"/>
          <w:szCs w:val="28"/>
          <w:lang w:eastAsia="es-ES"/>
        </w:rPr>
        <w:t xml:space="preserve">La Sala Plena reitera y reafirma </w:t>
      </w:r>
      <w:r w:rsidR="005C02CB" w:rsidRPr="00C454A1">
        <w:rPr>
          <w:rFonts w:cs="Times New Roman"/>
          <w:bCs/>
          <w:color w:val="000000" w:themeColor="text1"/>
          <w:szCs w:val="28"/>
          <w:lang w:eastAsia="es-ES"/>
        </w:rPr>
        <w:t xml:space="preserve">este precedente. </w:t>
      </w:r>
      <w:r w:rsidR="008A4C9C" w:rsidRPr="00C454A1">
        <w:rPr>
          <w:rFonts w:cs="Times New Roman"/>
          <w:bCs/>
          <w:color w:val="000000" w:themeColor="text1"/>
          <w:szCs w:val="28"/>
          <w:lang w:eastAsia="es-ES"/>
        </w:rPr>
        <w:t xml:space="preserve"> </w:t>
      </w:r>
    </w:p>
    <w:p w14:paraId="7C2C4469" w14:textId="77777777" w:rsidR="00981B5E" w:rsidRPr="00C454A1" w:rsidRDefault="00981B5E" w:rsidP="00981B5E">
      <w:pPr>
        <w:pStyle w:val="Prrafodelista"/>
        <w:rPr>
          <w:rFonts w:cs="Times New Roman"/>
          <w:bCs/>
          <w:color w:val="000000" w:themeColor="text1"/>
          <w:szCs w:val="28"/>
          <w:lang w:eastAsia="es-ES"/>
        </w:rPr>
      </w:pPr>
    </w:p>
    <w:p w14:paraId="34DF767D" w14:textId="05CB47C7" w:rsidR="004C5528" w:rsidRPr="00C454A1" w:rsidRDefault="00981B5E" w:rsidP="005A0FBC">
      <w:pPr>
        <w:numPr>
          <w:ilvl w:val="0"/>
          <w:numId w:val="2"/>
        </w:numPr>
        <w:ind w:left="0" w:firstLine="0"/>
        <w:rPr>
          <w:rFonts w:cs="Times New Roman"/>
          <w:bCs/>
          <w:color w:val="000000" w:themeColor="text1"/>
          <w:szCs w:val="28"/>
          <w:lang w:eastAsia="es-ES"/>
        </w:rPr>
      </w:pPr>
      <w:r w:rsidRPr="00C454A1">
        <w:rPr>
          <w:rFonts w:cs="Times New Roman"/>
          <w:bCs/>
          <w:color w:val="000000" w:themeColor="text1"/>
          <w:szCs w:val="28"/>
          <w:lang w:eastAsia="es-ES"/>
        </w:rPr>
        <w:t xml:space="preserve">El </w:t>
      </w:r>
      <w:r w:rsidR="00323DC0" w:rsidRPr="00C454A1">
        <w:rPr>
          <w:rFonts w:cs="Times New Roman"/>
          <w:bCs/>
          <w:color w:val="000000" w:themeColor="text1"/>
          <w:szCs w:val="28"/>
          <w:lang w:eastAsia="es-ES"/>
        </w:rPr>
        <w:t xml:space="preserve">estado de conmoción interior declarado en el </w:t>
      </w:r>
      <w:r w:rsidRPr="00C454A1">
        <w:rPr>
          <w:rFonts w:cs="Times New Roman"/>
          <w:bCs/>
          <w:color w:val="000000" w:themeColor="text1"/>
          <w:szCs w:val="28"/>
          <w:lang w:eastAsia="es-ES"/>
        </w:rPr>
        <w:t xml:space="preserve">Decreto Legislativo 62 de 2025 fue </w:t>
      </w:r>
      <w:r w:rsidR="00323DC0" w:rsidRPr="00C454A1">
        <w:rPr>
          <w:rFonts w:cs="Times New Roman"/>
          <w:bCs/>
          <w:color w:val="000000" w:themeColor="text1"/>
          <w:szCs w:val="28"/>
          <w:lang w:eastAsia="es-ES"/>
        </w:rPr>
        <w:t>levantado por medio</w:t>
      </w:r>
      <w:r w:rsidRPr="00C454A1">
        <w:rPr>
          <w:rFonts w:cs="Times New Roman"/>
          <w:bCs/>
          <w:color w:val="000000" w:themeColor="text1"/>
          <w:szCs w:val="28"/>
          <w:lang w:eastAsia="es-ES"/>
        </w:rPr>
        <w:t xml:space="preserve"> </w:t>
      </w:r>
      <w:r w:rsidR="00323DC0" w:rsidRPr="00C454A1">
        <w:rPr>
          <w:rFonts w:cs="Times New Roman"/>
          <w:bCs/>
          <w:color w:val="000000" w:themeColor="text1"/>
          <w:szCs w:val="28"/>
          <w:lang w:eastAsia="es-ES"/>
        </w:rPr>
        <w:t>d</w:t>
      </w:r>
      <w:r w:rsidRPr="00C454A1">
        <w:rPr>
          <w:rFonts w:cs="Times New Roman"/>
          <w:bCs/>
          <w:color w:val="000000" w:themeColor="text1"/>
          <w:szCs w:val="28"/>
          <w:lang w:eastAsia="es-ES"/>
        </w:rPr>
        <w:t xml:space="preserve">el Decreto Legislativo </w:t>
      </w:r>
      <w:r w:rsidR="00323DC0" w:rsidRPr="00C454A1">
        <w:rPr>
          <w:rFonts w:cs="Times New Roman"/>
          <w:bCs/>
          <w:color w:val="000000" w:themeColor="text1"/>
          <w:szCs w:val="28"/>
          <w:lang w:eastAsia="es-ES"/>
        </w:rPr>
        <w:t xml:space="preserve">467 del 23 de abril de 2025; esto significa que para la fecha de esta decisión, el Decreto Legislativo 62 de 2025 ya no estaba vigente. </w:t>
      </w:r>
      <w:r w:rsidR="005A0FBC" w:rsidRPr="00C454A1">
        <w:rPr>
          <w:rFonts w:cs="Times New Roman"/>
          <w:bCs/>
          <w:color w:val="000000" w:themeColor="text1"/>
          <w:szCs w:val="28"/>
          <w:lang w:eastAsia="es-ES"/>
        </w:rPr>
        <w:t>No obstante lo anterior, la Sala Plena mantiene la competencia para pronu</w:t>
      </w:r>
      <w:r w:rsidR="004008E6" w:rsidRPr="00C454A1">
        <w:rPr>
          <w:rFonts w:cs="Times New Roman"/>
          <w:bCs/>
          <w:color w:val="000000" w:themeColor="text1"/>
          <w:szCs w:val="28"/>
          <w:lang w:eastAsia="es-ES"/>
        </w:rPr>
        <w:t>n</w:t>
      </w:r>
      <w:r w:rsidR="005A0FBC" w:rsidRPr="00C454A1">
        <w:rPr>
          <w:rFonts w:cs="Times New Roman"/>
          <w:bCs/>
          <w:color w:val="000000" w:themeColor="text1"/>
          <w:szCs w:val="28"/>
          <w:lang w:eastAsia="es-ES"/>
        </w:rPr>
        <w:t xml:space="preserve">ciarse sobre su constitucionalidad </w:t>
      </w:r>
      <w:r w:rsidR="004C5528" w:rsidRPr="00C454A1">
        <w:rPr>
          <w:rFonts w:cs="Times New Roman"/>
          <w:bCs/>
          <w:color w:val="000000" w:themeColor="text1"/>
          <w:szCs w:val="28"/>
          <w:lang w:eastAsia="es-ES"/>
        </w:rPr>
        <w:t xml:space="preserve">por las </w:t>
      </w:r>
      <w:r w:rsidR="004660E5" w:rsidRPr="00C454A1">
        <w:rPr>
          <w:rFonts w:cs="Times New Roman"/>
          <w:bCs/>
          <w:color w:val="000000" w:themeColor="text1"/>
          <w:szCs w:val="28"/>
          <w:lang w:eastAsia="es-ES"/>
        </w:rPr>
        <w:t>razones que se indican a continuación.</w:t>
      </w:r>
    </w:p>
    <w:p w14:paraId="7BD1780B" w14:textId="77777777" w:rsidR="004C5528" w:rsidRPr="00C454A1" w:rsidRDefault="004C5528" w:rsidP="004C5528">
      <w:pPr>
        <w:pStyle w:val="Prrafodelista"/>
        <w:rPr>
          <w:rFonts w:cs="Times New Roman"/>
          <w:bCs/>
          <w:color w:val="000000" w:themeColor="text1"/>
          <w:szCs w:val="28"/>
          <w:lang w:eastAsia="es-ES"/>
        </w:rPr>
      </w:pPr>
    </w:p>
    <w:p w14:paraId="24F63645" w14:textId="010A3230" w:rsidR="005A0FBC" w:rsidRPr="00C454A1" w:rsidRDefault="004C5528" w:rsidP="005A0FBC">
      <w:pPr>
        <w:numPr>
          <w:ilvl w:val="0"/>
          <w:numId w:val="2"/>
        </w:numPr>
        <w:ind w:left="0" w:firstLine="0"/>
        <w:rPr>
          <w:rFonts w:cs="Times New Roman"/>
          <w:bCs/>
          <w:color w:val="000000" w:themeColor="text1"/>
          <w:szCs w:val="28"/>
          <w:lang w:eastAsia="es-ES"/>
        </w:rPr>
      </w:pPr>
      <w:r w:rsidRPr="00C454A1">
        <w:rPr>
          <w:rFonts w:cs="Times New Roman"/>
          <w:bCs/>
          <w:i/>
          <w:iCs/>
          <w:color w:val="000000" w:themeColor="text1"/>
          <w:szCs w:val="28"/>
          <w:lang w:eastAsia="es-ES"/>
        </w:rPr>
        <w:t>Primero.</w:t>
      </w:r>
      <w:r w:rsidR="005A0FBC" w:rsidRPr="00C454A1">
        <w:rPr>
          <w:rFonts w:cs="Times New Roman"/>
          <w:bCs/>
          <w:color w:val="000000" w:themeColor="text1"/>
          <w:szCs w:val="28"/>
          <w:lang w:eastAsia="es-ES"/>
        </w:rPr>
        <w:t xml:space="preserve"> </w:t>
      </w:r>
      <w:r w:rsidR="004008E6" w:rsidRPr="00C454A1">
        <w:rPr>
          <w:rFonts w:cs="Times New Roman"/>
          <w:bCs/>
          <w:color w:val="000000" w:themeColor="text1"/>
          <w:szCs w:val="28"/>
          <w:lang w:eastAsia="es-ES"/>
        </w:rPr>
        <w:t xml:space="preserve">De acuerdo con </w:t>
      </w:r>
      <w:r w:rsidRPr="00C454A1">
        <w:rPr>
          <w:rFonts w:cs="Times New Roman"/>
          <w:bCs/>
          <w:color w:val="000000" w:themeColor="text1"/>
          <w:szCs w:val="28"/>
          <w:lang w:eastAsia="es-ES"/>
        </w:rPr>
        <w:t>el</w:t>
      </w:r>
      <w:r w:rsidR="004008E6" w:rsidRPr="00C454A1">
        <w:rPr>
          <w:rFonts w:cs="Times New Roman"/>
          <w:bCs/>
          <w:color w:val="000000" w:themeColor="text1"/>
          <w:szCs w:val="28"/>
          <w:lang w:eastAsia="es-ES"/>
        </w:rPr>
        <w:t xml:space="preserve"> principio</w:t>
      </w:r>
      <w:r w:rsidRPr="00C454A1">
        <w:rPr>
          <w:rFonts w:cs="Times New Roman"/>
          <w:bCs/>
          <w:color w:val="000000" w:themeColor="text1"/>
          <w:szCs w:val="28"/>
          <w:lang w:eastAsia="es-ES"/>
        </w:rPr>
        <w:t xml:space="preserve"> de la perpetuación de la jurisdicción</w:t>
      </w:r>
      <w:r w:rsidR="004008E6" w:rsidRPr="00C454A1">
        <w:rPr>
          <w:rFonts w:cs="Times New Roman"/>
          <w:bCs/>
          <w:color w:val="000000" w:themeColor="text1"/>
          <w:szCs w:val="28"/>
          <w:lang w:eastAsia="es-ES"/>
        </w:rPr>
        <w:t xml:space="preserve">, cuando un juez avoca </w:t>
      </w:r>
      <w:r w:rsidR="006935F8" w:rsidRPr="00C454A1">
        <w:rPr>
          <w:rFonts w:cs="Times New Roman"/>
          <w:bCs/>
          <w:color w:val="000000" w:themeColor="text1"/>
          <w:szCs w:val="28"/>
          <w:lang w:eastAsia="es-ES"/>
        </w:rPr>
        <w:t xml:space="preserve">el </w:t>
      </w:r>
      <w:r w:rsidR="004008E6" w:rsidRPr="00C454A1">
        <w:rPr>
          <w:rFonts w:cs="Times New Roman"/>
          <w:bCs/>
          <w:color w:val="000000" w:themeColor="text1"/>
          <w:szCs w:val="28"/>
          <w:lang w:eastAsia="es-ES"/>
        </w:rPr>
        <w:t>conocimiento de un asunto</w:t>
      </w:r>
      <w:r w:rsidRPr="00C454A1">
        <w:rPr>
          <w:rFonts w:cs="Times New Roman"/>
          <w:bCs/>
          <w:color w:val="000000" w:themeColor="text1"/>
          <w:szCs w:val="28"/>
          <w:lang w:eastAsia="es-ES"/>
        </w:rPr>
        <w:t>,</w:t>
      </w:r>
      <w:r w:rsidR="00EA36A5" w:rsidRPr="00C454A1">
        <w:rPr>
          <w:rFonts w:cs="Times New Roman"/>
          <w:color w:val="000000" w:themeColor="text1"/>
          <w:szCs w:val="28"/>
        </w:rPr>
        <w:t xml:space="preserve"> </w:t>
      </w:r>
      <w:r w:rsidR="004008E6" w:rsidRPr="00C454A1">
        <w:rPr>
          <w:rFonts w:cs="Times New Roman"/>
          <w:bCs/>
          <w:color w:val="000000" w:themeColor="text1"/>
          <w:szCs w:val="28"/>
          <w:lang w:eastAsia="es-ES"/>
        </w:rPr>
        <w:t>debe mantener su competencia hasta proferir una decisión definitiva</w:t>
      </w:r>
      <w:r w:rsidR="00EA36A5" w:rsidRPr="00C454A1">
        <w:rPr>
          <w:rFonts w:cs="Times New Roman"/>
          <w:bCs/>
          <w:color w:val="000000" w:themeColor="text1"/>
          <w:szCs w:val="28"/>
          <w:lang w:eastAsia="es-ES"/>
        </w:rPr>
        <w:t xml:space="preserve">. </w:t>
      </w:r>
      <w:r w:rsidRPr="00C454A1">
        <w:rPr>
          <w:rFonts w:cs="Times New Roman"/>
          <w:bCs/>
          <w:color w:val="000000" w:themeColor="text1"/>
          <w:szCs w:val="28"/>
          <w:lang w:eastAsia="es-ES"/>
        </w:rPr>
        <w:t>La Corte avocó conocimiento del control automático de constitucionalidad del Decreto Legislativo 62 de 2025 mediante A</w:t>
      </w:r>
      <w:r w:rsidRPr="00C454A1">
        <w:rPr>
          <w:rFonts w:cs="Times New Roman"/>
          <w:color w:val="000000" w:themeColor="text1"/>
          <w:szCs w:val="28"/>
        </w:rPr>
        <w:t>uto del 31 de enero de 2025 y, en virtud de este principio, debe mantener la competencia hasta cumplir dicho objetivo</w:t>
      </w:r>
      <w:r w:rsidRPr="00C454A1">
        <w:rPr>
          <w:rStyle w:val="Refdenotaalpie"/>
          <w:rFonts w:cs="Times New Roman"/>
          <w:color w:val="000000" w:themeColor="text1"/>
          <w:szCs w:val="28"/>
        </w:rPr>
        <w:footnoteReference w:id="26"/>
      </w:r>
      <w:r w:rsidR="004E5C36" w:rsidRPr="00C454A1">
        <w:rPr>
          <w:rFonts w:cs="Times New Roman"/>
          <w:color w:val="000000" w:themeColor="text1"/>
          <w:szCs w:val="28"/>
        </w:rPr>
        <w:t>.</w:t>
      </w:r>
      <w:r w:rsidRPr="00C454A1">
        <w:rPr>
          <w:rFonts w:cs="Times New Roman"/>
          <w:color w:val="000000" w:themeColor="text1"/>
          <w:szCs w:val="28"/>
        </w:rPr>
        <w:t xml:space="preserve"> </w:t>
      </w:r>
      <w:r w:rsidR="00F01E4A" w:rsidRPr="00C454A1">
        <w:rPr>
          <w:rFonts w:cs="Times New Roman"/>
          <w:color w:val="000000" w:themeColor="text1"/>
          <w:szCs w:val="28"/>
        </w:rPr>
        <w:t xml:space="preserve">Adicionalmente, </w:t>
      </w:r>
      <w:r w:rsidR="00372F4C" w:rsidRPr="00C454A1">
        <w:rPr>
          <w:rFonts w:cs="Times New Roman"/>
          <w:bCs/>
          <w:color w:val="000000" w:themeColor="text1"/>
          <w:szCs w:val="28"/>
          <w:lang w:eastAsia="es-ES"/>
        </w:rPr>
        <w:t>como ha señalado esta Corte, la competencia también debe mantenerse para el examen de decretos legislativos que, aunque han perdido vigencia, siguen surtiendo efectos jurídicos</w:t>
      </w:r>
      <w:r w:rsidR="00372F4C" w:rsidRPr="00C454A1">
        <w:rPr>
          <w:rStyle w:val="Refdenotaalpie"/>
          <w:rFonts w:cs="Times New Roman"/>
          <w:bCs/>
          <w:color w:val="000000" w:themeColor="text1"/>
          <w:szCs w:val="28"/>
          <w:lang w:eastAsia="es-ES"/>
        </w:rPr>
        <w:footnoteReference w:id="27"/>
      </w:r>
      <w:r w:rsidR="004E5C36" w:rsidRPr="00C454A1">
        <w:rPr>
          <w:rFonts w:cs="Times New Roman"/>
          <w:bCs/>
          <w:color w:val="000000" w:themeColor="text1"/>
          <w:szCs w:val="28"/>
          <w:lang w:eastAsia="es-ES"/>
        </w:rPr>
        <w:t>.</w:t>
      </w:r>
      <w:r w:rsidR="00372F4C" w:rsidRPr="00C454A1">
        <w:rPr>
          <w:rFonts w:cs="Times New Roman"/>
          <w:bCs/>
          <w:color w:val="000000" w:themeColor="text1"/>
          <w:szCs w:val="28"/>
          <w:lang w:eastAsia="es-ES"/>
        </w:rPr>
        <w:t xml:space="preserve"> En este caso, </w:t>
      </w:r>
      <w:r w:rsidR="00F01E4A" w:rsidRPr="00C454A1">
        <w:rPr>
          <w:rFonts w:cs="Times New Roman"/>
          <w:bCs/>
          <w:color w:val="000000" w:themeColor="text1"/>
          <w:szCs w:val="28"/>
          <w:lang w:eastAsia="es-ES"/>
        </w:rPr>
        <w:t>pese a que la conmoción interior fue levantada, el Decreto Legislativo 62 de 2025 sigue produciendo efectos jurídicos, pues es el fundamento jurídico de algunos decretos legislativos de desarrollo de la conmoción interior que siguen generando obligaciones</w:t>
      </w:r>
      <w:r w:rsidR="004660E5" w:rsidRPr="00C454A1">
        <w:rPr>
          <w:rFonts w:cs="Times New Roman"/>
          <w:bCs/>
          <w:color w:val="000000" w:themeColor="text1"/>
          <w:szCs w:val="28"/>
          <w:lang w:eastAsia="es-ES"/>
        </w:rPr>
        <w:t>. Un ejemplo de ello es</w:t>
      </w:r>
      <w:r w:rsidR="00F01E4A" w:rsidRPr="00C454A1">
        <w:rPr>
          <w:rFonts w:cs="Times New Roman"/>
          <w:bCs/>
          <w:color w:val="000000" w:themeColor="text1"/>
          <w:szCs w:val="28"/>
          <w:lang w:eastAsia="es-ES"/>
        </w:rPr>
        <w:t xml:space="preserve"> </w:t>
      </w:r>
      <w:r w:rsidR="006935F8" w:rsidRPr="00C454A1">
        <w:rPr>
          <w:rFonts w:cs="Times New Roman"/>
          <w:bCs/>
          <w:color w:val="000000" w:themeColor="text1"/>
          <w:szCs w:val="28"/>
          <w:lang w:eastAsia="es-ES"/>
        </w:rPr>
        <w:t>el Decreto Legislativo 175 de 2025 que adopta medidas tributarias.</w:t>
      </w:r>
      <w:r w:rsidR="006013A8" w:rsidRPr="00C454A1">
        <w:rPr>
          <w:rFonts w:cs="Times New Roman"/>
          <w:bCs/>
          <w:color w:val="000000" w:themeColor="text1"/>
          <w:szCs w:val="28"/>
          <w:lang w:eastAsia="es-ES"/>
        </w:rPr>
        <w:t xml:space="preserve"> </w:t>
      </w:r>
    </w:p>
    <w:p w14:paraId="17F3E331" w14:textId="77777777" w:rsidR="00EA36A5" w:rsidRPr="00C454A1" w:rsidRDefault="00EA36A5" w:rsidP="00EA36A5">
      <w:pPr>
        <w:pStyle w:val="Prrafodelista"/>
        <w:rPr>
          <w:rFonts w:cs="Times New Roman"/>
          <w:bCs/>
          <w:color w:val="000000" w:themeColor="text1"/>
          <w:szCs w:val="28"/>
          <w:lang w:eastAsia="es-ES"/>
        </w:rPr>
      </w:pPr>
    </w:p>
    <w:p w14:paraId="62A61155" w14:textId="4F72AA8A" w:rsidR="00EA36A5" w:rsidRPr="00C454A1" w:rsidRDefault="004C5528" w:rsidP="005A0FBC">
      <w:pPr>
        <w:numPr>
          <w:ilvl w:val="0"/>
          <w:numId w:val="2"/>
        </w:numPr>
        <w:ind w:left="0" w:firstLine="0"/>
        <w:rPr>
          <w:rFonts w:cs="Times New Roman"/>
          <w:bCs/>
          <w:color w:val="000000" w:themeColor="text1"/>
          <w:szCs w:val="28"/>
          <w:lang w:eastAsia="es-ES"/>
        </w:rPr>
      </w:pPr>
      <w:r w:rsidRPr="00C454A1">
        <w:rPr>
          <w:rFonts w:cs="Times New Roman"/>
          <w:bCs/>
          <w:i/>
          <w:iCs/>
          <w:color w:val="000000" w:themeColor="text1"/>
          <w:szCs w:val="28"/>
          <w:lang w:eastAsia="es-ES"/>
        </w:rPr>
        <w:t>Segundo</w:t>
      </w:r>
      <w:r w:rsidRPr="00C454A1">
        <w:rPr>
          <w:rFonts w:cs="Times New Roman"/>
          <w:bCs/>
          <w:color w:val="000000" w:themeColor="text1"/>
          <w:szCs w:val="28"/>
          <w:lang w:eastAsia="es-ES"/>
        </w:rPr>
        <w:t>.</w:t>
      </w:r>
      <w:r w:rsidR="00F01E4A" w:rsidRPr="00C454A1">
        <w:rPr>
          <w:rFonts w:cs="Times New Roman"/>
          <w:bCs/>
          <w:color w:val="000000" w:themeColor="text1"/>
          <w:szCs w:val="28"/>
          <w:lang w:eastAsia="es-ES"/>
        </w:rPr>
        <w:t xml:space="preserve"> </w:t>
      </w:r>
      <w:r w:rsidR="00BA0DC2" w:rsidRPr="00C454A1">
        <w:rPr>
          <w:color w:val="000000" w:themeColor="text1"/>
        </w:rPr>
        <w:t xml:space="preserve">Para la Sala, si se admitiera la tesis según la cual la Corte pierde competencia para pronunciarse cuando los decretos legislativos dictados al amparo de los estados de excepción han perdido vigencia, se abriría la posibilidad de sustraer dichas normas del control constitucional mediante mecanismos como </w:t>
      </w:r>
      <w:r w:rsidR="004660E5" w:rsidRPr="00C454A1">
        <w:rPr>
          <w:color w:val="000000" w:themeColor="text1"/>
        </w:rPr>
        <w:t xml:space="preserve">el </w:t>
      </w:r>
      <w:r w:rsidR="00BA0DC2" w:rsidRPr="00C454A1">
        <w:rPr>
          <w:color w:val="000000" w:themeColor="text1"/>
        </w:rPr>
        <w:t>establec</w:t>
      </w:r>
      <w:r w:rsidR="004660E5" w:rsidRPr="00C454A1">
        <w:rPr>
          <w:color w:val="000000" w:themeColor="text1"/>
        </w:rPr>
        <w:t xml:space="preserve">imiento de </w:t>
      </w:r>
      <w:r w:rsidR="00BA0DC2" w:rsidRPr="00C454A1">
        <w:rPr>
          <w:color w:val="000000" w:themeColor="text1"/>
        </w:rPr>
        <w:t>plazos de vigencia particularmente breves. En consecuencia, mantener la competencia de la Corte constituye una garantía para evitar que el control constitucional sea eludido por esta vía.</w:t>
      </w:r>
    </w:p>
    <w:p w14:paraId="39C70B3D" w14:textId="77777777" w:rsidR="00BA0DC2" w:rsidRPr="00C454A1" w:rsidRDefault="00BA0DC2" w:rsidP="00BA0DC2">
      <w:pPr>
        <w:pStyle w:val="Prrafodelista"/>
        <w:rPr>
          <w:rFonts w:cs="Times New Roman"/>
          <w:bCs/>
          <w:color w:val="000000" w:themeColor="text1"/>
          <w:szCs w:val="28"/>
          <w:lang w:eastAsia="es-ES"/>
        </w:rPr>
      </w:pPr>
    </w:p>
    <w:p w14:paraId="4B6D4398" w14:textId="2E2A5879" w:rsidR="00BA0DC2" w:rsidRPr="00C454A1" w:rsidRDefault="00BA0DC2" w:rsidP="005A0FBC">
      <w:pPr>
        <w:numPr>
          <w:ilvl w:val="0"/>
          <w:numId w:val="2"/>
        </w:numPr>
        <w:ind w:left="0" w:firstLine="0"/>
        <w:rPr>
          <w:rFonts w:cs="Times New Roman"/>
          <w:bCs/>
          <w:color w:val="000000" w:themeColor="text1"/>
          <w:szCs w:val="28"/>
          <w:lang w:eastAsia="es-ES"/>
        </w:rPr>
      </w:pPr>
      <w:r w:rsidRPr="00C454A1">
        <w:rPr>
          <w:rFonts w:cs="Times New Roman"/>
          <w:bCs/>
          <w:i/>
          <w:iCs/>
          <w:color w:val="000000" w:themeColor="text1"/>
          <w:szCs w:val="28"/>
          <w:lang w:eastAsia="es-ES"/>
        </w:rPr>
        <w:t>Tercero</w:t>
      </w:r>
      <w:r w:rsidR="004E5C36" w:rsidRPr="00C454A1">
        <w:rPr>
          <w:rFonts w:cs="Times New Roman"/>
          <w:bCs/>
          <w:i/>
          <w:iCs/>
          <w:color w:val="000000" w:themeColor="text1"/>
          <w:szCs w:val="28"/>
          <w:lang w:eastAsia="es-ES"/>
        </w:rPr>
        <w:t xml:space="preserve">. </w:t>
      </w:r>
      <w:r w:rsidR="004E5C36" w:rsidRPr="00C454A1">
        <w:rPr>
          <w:rFonts w:cs="Times New Roman"/>
          <w:bCs/>
          <w:color w:val="000000" w:themeColor="text1"/>
          <w:szCs w:val="28"/>
          <w:lang w:eastAsia="es-ES"/>
        </w:rPr>
        <w:t xml:space="preserve">Mantener la competencia también permite a la Corte examinar los efectos en el tiempo de los decretos legislativos y adoptar las decisiones </w:t>
      </w:r>
      <w:r w:rsidR="004E5C36" w:rsidRPr="00C454A1">
        <w:rPr>
          <w:rFonts w:cs="Times New Roman"/>
          <w:bCs/>
          <w:color w:val="000000" w:themeColor="text1"/>
          <w:szCs w:val="28"/>
          <w:lang w:eastAsia="es-ES"/>
        </w:rPr>
        <w:lastRenderedPageBreak/>
        <w:t>correspondientes cuando advierte problemas de constitucionalidad. En efecto, la preservación de dicha competencia ha sido condición de posibilidad para que la Corte, por ejemplo, module temporalmente los efectos de sus sentencias con el fin de retrotraer o corregir consecuencias inconstitucionales que ya se han configurado o que se encuentran en proceso de configurarse</w:t>
      </w:r>
      <w:r w:rsidRPr="00C454A1">
        <w:rPr>
          <w:rStyle w:val="Refdenotaalpie"/>
          <w:rFonts w:cs="Times New Roman"/>
          <w:bCs/>
          <w:color w:val="000000" w:themeColor="text1"/>
          <w:szCs w:val="28"/>
          <w:lang w:eastAsia="es-ES"/>
        </w:rPr>
        <w:footnoteReference w:id="28"/>
      </w:r>
      <w:r w:rsidR="004E5C36" w:rsidRPr="00C454A1">
        <w:rPr>
          <w:rFonts w:cs="Times New Roman"/>
          <w:bCs/>
          <w:color w:val="000000" w:themeColor="text1"/>
          <w:szCs w:val="28"/>
          <w:lang w:eastAsia="es-ES"/>
        </w:rPr>
        <w:t>.</w:t>
      </w:r>
    </w:p>
    <w:p w14:paraId="05ABE266" w14:textId="77777777" w:rsidR="000923D5" w:rsidRPr="00C454A1" w:rsidRDefault="000923D5" w:rsidP="002F18CD">
      <w:pPr>
        <w:rPr>
          <w:color w:val="000000" w:themeColor="text1"/>
          <w:lang w:eastAsia="es-ES"/>
        </w:rPr>
      </w:pPr>
    </w:p>
    <w:p w14:paraId="42BEA481" w14:textId="6F426B01" w:rsidR="00D07886" w:rsidRPr="00C454A1" w:rsidRDefault="00FB16F8" w:rsidP="00631C27">
      <w:pPr>
        <w:widowControl w:val="0"/>
        <w:numPr>
          <w:ilvl w:val="0"/>
          <w:numId w:val="3"/>
        </w:numPr>
        <w:ind w:left="567" w:hanging="567"/>
        <w:contextualSpacing/>
        <w:outlineLvl w:val="0"/>
        <w:rPr>
          <w:rFonts w:cs="Times New Roman"/>
          <w:b/>
          <w:color w:val="000000" w:themeColor="text1"/>
          <w:szCs w:val="28"/>
          <w:lang w:eastAsia="es-ES"/>
        </w:rPr>
      </w:pPr>
      <w:bookmarkStart w:id="90" w:name="_Toc190338942"/>
      <w:bookmarkStart w:id="91" w:name="_Toc190339276"/>
      <w:bookmarkStart w:id="92" w:name="_Toc223979931"/>
      <w:r w:rsidRPr="00C454A1">
        <w:rPr>
          <w:rFonts w:cs="Times New Roman"/>
          <w:b/>
          <w:iCs/>
          <w:color w:val="000000" w:themeColor="text1"/>
          <w:szCs w:val="28"/>
          <w:bdr w:val="none" w:sz="0" w:space="0" w:color="auto" w:frame="1"/>
          <w:lang w:eastAsia="es-CO"/>
        </w:rPr>
        <w:t>P</w:t>
      </w:r>
      <w:r w:rsidR="00D07886" w:rsidRPr="00C454A1">
        <w:rPr>
          <w:rFonts w:cs="Times New Roman"/>
          <w:b/>
          <w:iCs/>
          <w:color w:val="000000" w:themeColor="text1"/>
          <w:szCs w:val="28"/>
          <w:bdr w:val="none" w:sz="0" w:space="0" w:color="auto" w:frame="1"/>
          <w:lang w:eastAsia="es-CO"/>
        </w:rPr>
        <w:t>roblema jurídico y metodología de la decisión</w:t>
      </w:r>
      <w:bookmarkEnd w:id="90"/>
      <w:bookmarkEnd w:id="91"/>
      <w:bookmarkEnd w:id="92"/>
    </w:p>
    <w:p w14:paraId="26B9C7CD" w14:textId="77777777" w:rsidR="00D07886" w:rsidRPr="00C454A1" w:rsidRDefault="00D07886" w:rsidP="00631C27">
      <w:pPr>
        <w:pStyle w:val="Prrafodelista"/>
        <w:rPr>
          <w:rFonts w:cs="Times New Roman"/>
          <w:bCs/>
          <w:iCs/>
          <w:color w:val="000000" w:themeColor="text1"/>
          <w:szCs w:val="28"/>
          <w:bdr w:val="none" w:sz="0" w:space="0" w:color="auto" w:frame="1"/>
          <w:lang w:eastAsia="es-CO"/>
        </w:rPr>
      </w:pPr>
    </w:p>
    <w:p w14:paraId="63B521BD" w14:textId="77777777" w:rsidR="009D672A" w:rsidRPr="00C454A1" w:rsidRDefault="00D07886" w:rsidP="002F18CD">
      <w:pPr>
        <w:numPr>
          <w:ilvl w:val="0"/>
          <w:numId w:val="2"/>
        </w:numPr>
        <w:ind w:left="0" w:firstLine="0"/>
        <w:rPr>
          <w:rFonts w:cs="Times New Roman"/>
          <w:bCs/>
          <w:iCs/>
          <w:color w:val="000000" w:themeColor="text1"/>
          <w:szCs w:val="28"/>
          <w:bdr w:val="none" w:sz="0" w:space="0" w:color="auto" w:frame="1"/>
          <w:lang w:eastAsia="es-CO"/>
        </w:rPr>
      </w:pPr>
      <w:bookmarkStart w:id="93" w:name="_Toc190338943"/>
      <w:bookmarkStart w:id="94" w:name="_Toc190339162"/>
      <w:bookmarkStart w:id="95" w:name="_Toc190339277"/>
      <w:bookmarkStart w:id="96" w:name="_Toc190339453"/>
      <w:r w:rsidRPr="00C454A1">
        <w:rPr>
          <w:rFonts w:cs="Times New Roman"/>
          <w:i/>
          <w:iCs/>
          <w:color w:val="000000" w:themeColor="text1"/>
          <w:szCs w:val="28"/>
          <w:bdr w:val="none" w:sz="0" w:space="0" w:color="auto" w:frame="1"/>
          <w:lang w:eastAsia="es-CO"/>
        </w:rPr>
        <w:t>Problema jurídico.</w:t>
      </w:r>
      <w:bookmarkEnd w:id="93"/>
      <w:bookmarkEnd w:id="94"/>
      <w:bookmarkEnd w:id="95"/>
      <w:bookmarkEnd w:id="96"/>
      <w:r w:rsidR="00362CAE" w:rsidRPr="00C454A1">
        <w:rPr>
          <w:rFonts w:cs="Times New Roman"/>
          <w:color w:val="000000" w:themeColor="text1"/>
          <w:szCs w:val="28"/>
          <w:bdr w:val="none" w:sz="0" w:space="0" w:color="auto" w:frame="1"/>
          <w:lang w:eastAsia="es-CO"/>
        </w:rPr>
        <w:t xml:space="preserve"> Corresponde a la Sala Plena resolver el siguiente problema jurídico: </w:t>
      </w:r>
    </w:p>
    <w:p w14:paraId="3C77E864" w14:textId="77777777" w:rsidR="009D672A" w:rsidRPr="00C454A1" w:rsidRDefault="009D672A" w:rsidP="002F18CD">
      <w:pPr>
        <w:rPr>
          <w:color w:val="000000" w:themeColor="text1"/>
          <w:bdr w:val="none" w:sz="0" w:space="0" w:color="auto" w:frame="1"/>
          <w:lang w:eastAsia="es-CO"/>
        </w:rPr>
      </w:pPr>
    </w:p>
    <w:p w14:paraId="2519D1BC" w14:textId="2227CE6B" w:rsidR="00B51CFB" w:rsidRPr="00C454A1" w:rsidRDefault="00170A72" w:rsidP="00C16462">
      <w:pPr>
        <w:ind w:left="567" w:right="567"/>
        <w:rPr>
          <w:color w:val="000000" w:themeColor="text1"/>
          <w:bdr w:val="none" w:sz="0" w:space="0" w:color="auto" w:frame="1"/>
          <w:lang w:eastAsia="es-CO"/>
        </w:rPr>
      </w:pPr>
      <w:r w:rsidRPr="00C454A1">
        <w:rPr>
          <w:color w:val="000000" w:themeColor="text1"/>
          <w:bdr w:val="none" w:sz="0" w:space="0" w:color="auto" w:frame="1"/>
          <w:lang w:eastAsia="es-CO"/>
        </w:rPr>
        <w:t>¿El Decreto Legislativo 62 de 2025</w:t>
      </w:r>
      <w:r w:rsidR="007812AB" w:rsidRPr="00C454A1">
        <w:rPr>
          <w:color w:val="000000" w:themeColor="text1"/>
          <w:bdr w:val="none" w:sz="0" w:space="0" w:color="auto" w:frame="1"/>
          <w:lang w:eastAsia="es-CO"/>
        </w:rPr>
        <w:t xml:space="preserve"> </w:t>
      </w:r>
      <w:r w:rsidR="009B6B45" w:rsidRPr="00C454A1">
        <w:rPr>
          <w:color w:val="000000" w:themeColor="text1"/>
          <w:bdr w:val="none" w:sz="0" w:space="0" w:color="auto" w:frame="1"/>
          <w:lang w:eastAsia="es-CO"/>
        </w:rPr>
        <w:t>“[p]</w:t>
      </w:r>
      <w:r w:rsidR="00D67D4E" w:rsidRPr="00C454A1">
        <w:rPr>
          <w:color w:val="000000" w:themeColor="text1"/>
          <w:bdr w:val="none" w:sz="0" w:space="0" w:color="auto" w:frame="1"/>
          <w:lang w:eastAsia="es-CO"/>
        </w:rPr>
        <w:t>or el cual se decreta el estado de conmoción interior en la región del Catatumbo, los municipios del área metropolitana de Cúcuta y los municipios de Río de Oro y González del departamento del Cesar</w:t>
      </w:r>
      <w:r w:rsidR="002253BF" w:rsidRPr="00C454A1">
        <w:rPr>
          <w:color w:val="000000" w:themeColor="text1"/>
          <w:bdr w:val="none" w:sz="0" w:space="0" w:color="auto" w:frame="1"/>
          <w:lang w:eastAsia="es-CO"/>
        </w:rPr>
        <w:t>”</w:t>
      </w:r>
      <w:r w:rsidR="00D67D4E" w:rsidRPr="00C454A1">
        <w:rPr>
          <w:color w:val="000000" w:themeColor="text1"/>
          <w:bdr w:val="none" w:sz="0" w:space="0" w:color="auto" w:frame="1"/>
          <w:lang w:eastAsia="es-CO"/>
        </w:rPr>
        <w:t xml:space="preserve">, </w:t>
      </w:r>
      <w:r w:rsidR="007812AB" w:rsidRPr="00C454A1">
        <w:rPr>
          <w:color w:val="000000" w:themeColor="text1"/>
          <w:bdr w:val="none" w:sz="0" w:space="0" w:color="auto" w:frame="1"/>
          <w:lang w:eastAsia="es-CO"/>
        </w:rPr>
        <w:t>satisface los requisitos formales y</w:t>
      </w:r>
      <w:r w:rsidR="009D672A" w:rsidRPr="00C454A1">
        <w:rPr>
          <w:color w:val="000000" w:themeColor="text1"/>
          <w:bdr w:val="none" w:sz="0" w:space="0" w:color="auto" w:frame="1"/>
          <w:lang w:eastAsia="es-CO"/>
        </w:rPr>
        <w:t xml:space="preserve"> presupuestos</w:t>
      </w:r>
      <w:r w:rsidR="007812AB" w:rsidRPr="00C454A1">
        <w:rPr>
          <w:color w:val="000000" w:themeColor="text1"/>
          <w:bdr w:val="none" w:sz="0" w:space="0" w:color="auto" w:frame="1"/>
          <w:lang w:eastAsia="es-CO"/>
        </w:rPr>
        <w:t xml:space="preserve"> materiales previstos </w:t>
      </w:r>
      <w:r w:rsidR="003E4BB4" w:rsidRPr="00C454A1">
        <w:rPr>
          <w:color w:val="000000" w:themeColor="text1"/>
          <w:bdr w:val="none" w:sz="0" w:space="0" w:color="auto" w:frame="1"/>
          <w:lang w:eastAsia="es-CO"/>
        </w:rPr>
        <w:t xml:space="preserve">en </w:t>
      </w:r>
      <w:r w:rsidR="007812AB" w:rsidRPr="00C454A1">
        <w:rPr>
          <w:color w:val="000000" w:themeColor="text1"/>
          <w:bdr w:val="none" w:sz="0" w:space="0" w:color="auto" w:frame="1"/>
          <w:lang w:eastAsia="es-CO"/>
        </w:rPr>
        <w:t>la Constitución Política</w:t>
      </w:r>
      <w:r w:rsidR="00F50886" w:rsidRPr="00C454A1">
        <w:rPr>
          <w:color w:val="000000" w:themeColor="text1"/>
          <w:bdr w:val="none" w:sz="0" w:space="0" w:color="auto" w:frame="1"/>
          <w:lang w:eastAsia="es-CO"/>
        </w:rPr>
        <w:t xml:space="preserve"> y la LEEE</w:t>
      </w:r>
      <w:r w:rsidR="001E4718" w:rsidRPr="00C454A1">
        <w:rPr>
          <w:color w:val="000000" w:themeColor="text1"/>
          <w:bdr w:val="none" w:sz="0" w:space="0" w:color="auto" w:frame="1"/>
          <w:lang w:eastAsia="es-CO"/>
        </w:rPr>
        <w:t>?</w:t>
      </w:r>
    </w:p>
    <w:p w14:paraId="2C9AF7FA" w14:textId="77777777" w:rsidR="00B51CFB" w:rsidRPr="00C454A1" w:rsidRDefault="00B51CFB" w:rsidP="002F18CD">
      <w:pPr>
        <w:rPr>
          <w:color w:val="000000" w:themeColor="text1"/>
        </w:rPr>
      </w:pPr>
    </w:p>
    <w:p w14:paraId="7BDF193C" w14:textId="05DC47BF" w:rsidR="00D07886" w:rsidRPr="00C454A1" w:rsidRDefault="009B6B45" w:rsidP="002F18CD">
      <w:pPr>
        <w:numPr>
          <w:ilvl w:val="0"/>
          <w:numId w:val="2"/>
        </w:numPr>
        <w:ind w:left="0" w:firstLine="0"/>
        <w:rPr>
          <w:rFonts w:cs="Times New Roman"/>
          <w:bCs/>
          <w:iCs/>
          <w:color w:val="000000" w:themeColor="text1"/>
          <w:szCs w:val="28"/>
          <w:bdr w:val="none" w:sz="0" w:space="0" w:color="auto" w:frame="1"/>
          <w:lang w:eastAsia="es-CO"/>
        </w:rPr>
      </w:pPr>
      <w:bookmarkStart w:id="97" w:name="_Toc190338944"/>
      <w:bookmarkStart w:id="98" w:name="_Toc190339163"/>
      <w:bookmarkStart w:id="99" w:name="_Toc190339278"/>
      <w:bookmarkStart w:id="100" w:name="_Toc190339454"/>
      <w:r w:rsidRPr="00C454A1">
        <w:rPr>
          <w:rFonts w:cs="Times New Roman"/>
          <w:i/>
          <w:iCs/>
          <w:color w:val="000000" w:themeColor="text1"/>
          <w:szCs w:val="28"/>
          <w:bdr w:val="none" w:sz="0" w:space="0" w:color="auto" w:frame="1"/>
          <w:lang w:eastAsia="es-CO"/>
        </w:rPr>
        <w:t>Estructura de la decisión</w:t>
      </w:r>
      <w:r w:rsidR="00D07886" w:rsidRPr="00C454A1">
        <w:rPr>
          <w:rFonts w:cs="Times New Roman"/>
          <w:color w:val="000000" w:themeColor="text1"/>
          <w:szCs w:val="28"/>
          <w:bdr w:val="none" w:sz="0" w:space="0" w:color="auto" w:frame="1"/>
          <w:lang w:eastAsia="es-CO"/>
        </w:rPr>
        <w:t>.</w:t>
      </w:r>
      <w:bookmarkEnd w:id="97"/>
      <w:bookmarkEnd w:id="98"/>
      <w:bookmarkEnd w:id="99"/>
      <w:bookmarkEnd w:id="100"/>
      <w:r w:rsidR="00D07886" w:rsidRPr="00C454A1">
        <w:rPr>
          <w:rFonts w:cs="Times New Roman"/>
          <w:color w:val="000000" w:themeColor="text1"/>
          <w:szCs w:val="28"/>
          <w:bdr w:val="none" w:sz="0" w:space="0" w:color="auto" w:frame="1"/>
          <w:lang w:eastAsia="es-CO"/>
        </w:rPr>
        <w:t xml:space="preserve"> </w:t>
      </w:r>
      <w:r w:rsidRPr="00C454A1">
        <w:rPr>
          <w:rFonts w:cs="Times New Roman"/>
          <w:color w:val="000000" w:themeColor="text1"/>
          <w:szCs w:val="28"/>
          <w:bdr w:val="none" w:sz="0" w:space="0" w:color="auto" w:frame="1"/>
          <w:lang w:eastAsia="es-CO"/>
        </w:rPr>
        <w:t>La presente decisión tendrá la siguiente estructura. En primer lugar, la Sala Plena describirá el régimen constitucional y estatutari</w:t>
      </w:r>
      <w:r w:rsidR="004F1C07" w:rsidRPr="00C454A1">
        <w:rPr>
          <w:rFonts w:cs="Times New Roman"/>
          <w:color w:val="000000" w:themeColor="text1"/>
          <w:szCs w:val="28"/>
          <w:bdr w:val="none" w:sz="0" w:space="0" w:color="auto" w:frame="1"/>
          <w:lang w:eastAsia="es-CO"/>
        </w:rPr>
        <w:t>o</w:t>
      </w:r>
      <w:r w:rsidRPr="00C454A1">
        <w:rPr>
          <w:rFonts w:cs="Times New Roman"/>
          <w:color w:val="000000" w:themeColor="text1"/>
          <w:szCs w:val="28"/>
          <w:bdr w:val="none" w:sz="0" w:space="0" w:color="auto" w:frame="1"/>
          <w:lang w:eastAsia="es-CO"/>
        </w:rPr>
        <w:t xml:space="preserve"> del </w:t>
      </w:r>
      <w:r w:rsidR="002253BF" w:rsidRPr="00C454A1">
        <w:rPr>
          <w:rFonts w:cs="Times New Roman"/>
          <w:color w:val="000000" w:themeColor="text1"/>
          <w:szCs w:val="28"/>
          <w:bdr w:val="none" w:sz="0" w:space="0" w:color="auto" w:frame="1"/>
          <w:lang w:eastAsia="es-CO"/>
        </w:rPr>
        <w:t>e</w:t>
      </w:r>
      <w:r w:rsidRPr="00C454A1">
        <w:rPr>
          <w:rFonts w:cs="Times New Roman"/>
          <w:color w:val="000000" w:themeColor="text1"/>
          <w:szCs w:val="28"/>
          <w:bdr w:val="none" w:sz="0" w:space="0" w:color="auto" w:frame="1"/>
          <w:lang w:eastAsia="es-CO"/>
        </w:rPr>
        <w:t xml:space="preserve">stado de </w:t>
      </w:r>
      <w:r w:rsidR="002253BF" w:rsidRPr="00C454A1">
        <w:rPr>
          <w:rFonts w:cs="Times New Roman"/>
          <w:color w:val="000000" w:themeColor="text1"/>
          <w:szCs w:val="28"/>
          <w:bdr w:val="none" w:sz="0" w:space="0" w:color="auto" w:frame="1"/>
          <w:lang w:eastAsia="es-CO"/>
        </w:rPr>
        <w:t>c</w:t>
      </w:r>
      <w:r w:rsidRPr="00C454A1">
        <w:rPr>
          <w:rFonts w:cs="Times New Roman"/>
          <w:color w:val="000000" w:themeColor="text1"/>
          <w:szCs w:val="28"/>
          <w:bdr w:val="none" w:sz="0" w:space="0" w:color="auto" w:frame="1"/>
          <w:lang w:eastAsia="es-CO"/>
        </w:rPr>
        <w:t xml:space="preserve">onmoción </w:t>
      </w:r>
      <w:r w:rsidR="002253BF" w:rsidRPr="00C454A1">
        <w:rPr>
          <w:rFonts w:cs="Times New Roman"/>
          <w:color w:val="000000" w:themeColor="text1"/>
          <w:szCs w:val="28"/>
          <w:bdr w:val="none" w:sz="0" w:space="0" w:color="auto" w:frame="1"/>
          <w:lang w:eastAsia="es-CO"/>
        </w:rPr>
        <w:t>i</w:t>
      </w:r>
      <w:r w:rsidRPr="00C454A1">
        <w:rPr>
          <w:rFonts w:cs="Times New Roman"/>
          <w:color w:val="000000" w:themeColor="text1"/>
          <w:szCs w:val="28"/>
          <w:bdr w:val="none" w:sz="0" w:space="0" w:color="auto" w:frame="1"/>
          <w:lang w:eastAsia="es-CO"/>
        </w:rPr>
        <w:t xml:space="preserve">nterior. En esta sección </w:t>
      </w:r>
      <w:r w:rsidR="00803644" w:rsidRPr="00C454A1">
        <w:rPr>
          <w:rFonts w:cs="Times New Roman"/>
          <w:color w:val="000000" w:themeColor="text1"/>
          <w:szCs w:val="28"/>
          <w:bdr w:val="none" w:sz="0" w:space="0" w:color="auto" w:frame="1"/>
          <w:lang w:eastAsia="es-CO"/>
        </w:rPr>
        <w:t>se</w:t>
      </w:r>
      <w:r w:rsidRPr="00C454A1">
        <w:rPr>
          <w:rFonts w:cs="Times New Roman"/>
          <w:color w:val="000000" w:themeColor="text1"/>
          <w:szCs w:val="28"/>
          <w:bdr w:val="none" w:sz="0" w:space="0" w:color="auto" w:frame="1"/>
          <w:lang w:eastAsia="es-CO"/>
        </w:rPr>
        <w:t xml:space="preserve"> hará especial énfasis en (i) los requisitos formales y materiales del decreto declaratorio</w:t>
      </w:r>
      <w:r w:rsidR="00C914CB" w:rsidRPr="00C454A1">
        <w:rPr>
          <w:rFonts w:cs="Times New Roman"/>
          <w:color w:val="000000" w:themeColor="text1"/>
          <w:szCs w:val="28"/>
          <w:bdr w:val="none" w:sz="0" w:space="0" w:color="auto" w:frame="1"/>
          <w:lang w:eastAsia="es-CO"/>
        </w:rPr>
        <w:t>,</w:t>
      </w:r>
      <w:r w:rsidRPr="00C454A1">
        <w:rPr>
          <w:rFonts w:cs="Times New Roman"/>
          <w:color w:val="000000" w:themeColor="text1"/>
          <w:szCs w:val="28"/>
          <w:bdr w:val="none" w:sz="0" w:space="0" w:color="auto" w:frame="1"/>
          <w:lang w:eastAsia="es-CO"/>
        </w:rPr>
        <w:t xml:space="preserve"> (ii) el control jurídico que efectúa la Corte Constitucional</w:t>
      </w:r>
      <w:r w:rsidR="00C914CB" w:rsidRPr="00C454A1">
        <w:rPr>
          <w:rFonts w:cs="Times New Roman"/>
          <w:color w:val="000000" w:themeColor="text1"/>
          <w:szCs w:val="28"/>
          <w:bdr w:val="none" w:sz="0" w:space="0" w:color="auto" w:frame="1"/>
          <w:lang w:eastAsia="es-CO"/>
        </w:rPr>
        <w:t xml:space="preserve"> y (iii) el precede</w:t>
      </w:r>
      <w:r w:rsidR="004F1C07" w:rsidRPr="00C454A1">
        <w:rPr>
          <w:rFonts w:cs="Times New Roman"/>
          <w:color w:val="000000" w:themeColor="text1"/>
          <w:szCs w:val="28"/>
          <w:bdr w:val="none" w:sz="0" w:space="0" w:color="auto" w:frame="1"/>
          <w:lang w:eastAsia="es-CO"/>
        </w:rPr>
        <w:t>nte</w:t>
      </w:r>
      <w:r w:rsidR="00C914CB" w:rsidRPr="00C454A1">
        <w:rPr>
          <w:rFonts w:cs="Times New Roman"/>
          <w:color w:val="000000" w:themeColor="text1"/>
          <w:szCs w:val="28"/>
          <w:bdr w:val="none" w:sz="0" w:space="0" w:color="auto" w:frame="1"/>
          <w:lang w:eastAsia="es-CO"/>
        </w:rPr>
        <w:t xml:space="preserve"> constitucional en la materia</w:t>
      </w:r>
      <w:r w:rsidRPr="00C454A1">
        <w:rPr>
          <w:rFonts w:cs="Times New Roman"/>
          <w:color w:val="000000" w:themeColor="text1"/>
          <w:szCs w:val="28"/>
          <w:bdr w:val="none" w:sz="0" w:space="0" w:color="auto" w:frame="1"/>
          <w:lang w:eastAsia="es-CO"/>
        </w:rPr>
        <w:t xml:space="preserve">. En segundo lugar, la Corte examinará si el Decreto 62 de 2025 </w:t>
      </w:r>
      <w:r w:rsidR="00C914CB" w:rsidRPr="00C454A1">
        <w:rPr>
          <w:rFonts w:cs="Times New Roman"/>
          <w:color w:val="000000" w:themeColor="text1"/>
          <w:szCs w:val="28"/>
          <w:bdr w:val="none" w:sz="0" w:space="0" w:color="auto" w:frame="1"/>
          <w:lang w:eastAsia="es-CO"/>
        </w:rPr>
        <w:t xml:space="preserve">satisface los requisitos formales dispuestos en la Constitución Política y la LEEE. En tercer lugar, </w:t>
      </w:r>
      <w:r w:rsidR="00080E35" w:rsidRPr="00C454A1">
        <w:rPr>
          <w:rFonts w:cs="Times New Roman"/>
          <w:color w:val="000000" w:themeColor="text1"/>
          <w:szCs w:val="28"/>
          <w:bdr w:val="none" w:sz="0" w:space="0" w:color="auto" w:frame="1"/>
          <w:lang w:eastAsia="es-CO"/>
        </w:rPr>
        <w:t xml:space="preserve">la Corte </w:t>
      </w:r>
      <w:r w:rsidR="00C914CB" w:rsidRPr="00C454A1">
        <w:rPr>
          <w:rFonts w:cs="Times New Roman"/>
          <w:color w:val="000000" w:themeColor="text1"/>
          <w:szCs w:val="28"/>
          <w:bdr w:val="none" w:sz="0" w:space="0" w:color="auto" w:frame="1"/>
          <w:lang w:eastAsia="es-CO"/>
        </w:rPr>
        <w:t>verificará si el decreto declaratorio cumple con los presupuestos materiales, a saber: fáctico, valorativo y de suficiencia. Por último, la Corte adoptará las órdenes y remedios que correspondan</w:t>
      </w:r>
      <w:r w:rsidR="00175D45" w:rsidRPr="00C454A1">
        <w:rPr>
          <w:rFonts w:cs="Times New Roman"/>
          <w:color w:val="000000" w:themeColor="text1"/>
          <w:szCs w:val="28"/>
          <w:bdr w:val="none" w:sz="0" w:space="0" w:color="auto" w:frame="1"/>
          <w:lang w:eastAsia="es-CO"/>
        </w:rPr>
        <w:t>.</w:t>
      </w:r>
      <w:r w:rsidR="00C914CB" w:rsidRPr="00C454A1">
        <w:rPr>
          <w:rFonts w:cs="Times New Roman"/>
          <w:color w:val="000000" w:themeColor="text1"/>
          <w:szCs w:val="28"/>
          <w:bdr w:val="none" w:sz="0" w:space="0" w:color="auto" w:frame="1"/>
          <w:lang w:eastAsia="es-CO"/>
        </w:rPr>
        <w:t xml:space="preserve"> </w:t>
      </w:r>
    </w:p>
    <w:p w14:paraId="38D81E50" w14:textId="77777777" w:rsidR="00D07886" w:rsidRPr="00C454A1" w:rsidRDefault="00D07886" w:rsidP="002F18CD">
      <w:pPr>
        <w:rPr>
          <w:color w:val="000000" w:themeColor="text1"/>
          <w:bdr w:val="none" w:sz="0" w:space="0" w:color="auto" w:frame="1"/>
          <w:lang w:eastAsia="es-CO"/>
        </w:rPr>
      </w:pPr>
    </w:p>
    <w:p w14:paraId="560FC525" w14:textId="53001F81" w:rsidR="00D07886" w:rsidRPr="00C454A1" w:rsidRDefault="006F311D" w:rsidP="00631C27">
      <w:pPr>
        <w:pStyle w:val="Prrafodelista"/>
        <w:widowControl w:val="0"/>
        <w:numPr>
          <w:ilvl w:val="0"/>
          <w:numId w:val="3"/>
        </w:numPr>
        <w:ind w:left="709" w:hanging="709"/>
        <w:outlineLvl w:val="0"/>
        <w:rPr>
          <w:rFonts w:cs="Times New Roman"/>
          <w:b/>
          <w:bCs/>
          <w:color w:val="000000" w:themeColor="text1"/>
          <w:szCs w:val="28"/>
          <w:lang w:eastAsia="es-ES"/>
        </w:rPr>
      </w:pPr>
      <w:bookmarkStart w:id="101" w:name="_Toc190338945"/>
      <w:bookmarkStart w:id="102" w:name="_Toc190339279"/>
      <w:bookmarkStart w:id="103" w:name="_Toc223979932"/>
      <w:r w:rsidRPr="00C454A1">
        <w:rPr>
          <w:rFonts w:cs="Times New Roman"/>
          <w:b/>
          <w:bCs/>
          <w:color w:val="000000" w:themeColor="text1"/>
          <w:szCs w:val="28"/>
          <w:lang w:eastAsia="es-ES"/>
        </w:rPr>
        <w:t>Los</w:t>
      </w:r>
      <w:r w:rsidR="00E31772" w:rsidRPr="00C454A1">
        <w:rPr>
          <w:rFonts w:cs="Times New Roman"/>
          <w:b/>
          <w:bCs/>
          <w:color w:val="000000" w:themeColor="text1"/>
          <w:szCs w:val="28"/>
          <w:lang w:eastAsia="es-ES"/>
        </w:rPr>
        <w:t xml:space="preserve"> </w:t>
      </w:r>
      <w:r w:rsidRPr="00C454A1">
        <w:rPr>
          <w:rFonts w:cs="Times New Roman"/>
          <w:b/>
          <w:bCs/>
          <w:color w:val="000000" w:themeColor="text1"/>
          <w:szCs w:val="28"/>
          <w:lang w:eastAsia="es-ES"/>
        </w:rPr>
        <w:t>e</w:t>
      </w:r>
      <w:r w:rsidR="00E31772" w:rsidRPr="00C454A1">
        <w:rPr>
          <w:rFonts w:cs="Times New Roman"/>
          <w:b/>
          <w:bCs/>
          <w:color w:val="000000" w:themeColor="text1"/>
          <w:szCs w:val="28"/>
          <w:lang w:eastAsia="es-ES"/>
        </w:rPr>
        <w:t xml:space="preserve">stado de </w:t>
      </w:r>
      <w:bookmarkEnd w:id="101"/>
      <w:bookmarkEnd w:id="102"/>
      <w:r w:rsidRPr="00C454A1">
        <w:rPr>
          <w:rFonts w:cs="Times New Roman"/>
          <w:b/>
          <w:bCs/>
          <w:color w:val="000000" w:themeColor="text1"/>
          <w:szCs w:val="28"/>
          <w:lang w:eastAsia="es-ES"/>
        </w:rPr>
        <w:t>e</w:t>
      </w:r>
      <w:r w:rsidR="00E46016" w:rsidRPr="00C454A1">
        <w:rPr>
          <w:rFonts w:cs="Times New Roman"/>
          <w:b/>
          <w:bCs/>
          <w:color w:val="000000" w:themeColor="text1"/>
          <w:szCs w:val="28"/>
          <w:lang w:eastAsia="es-ES"/>
        </w:rPr>
        <w:t>xcepción</w:t>
      </w:r>
      <w:bookmarkEnd w:id="103"/>
    </w:p>
    <w:p w14:paraId="7A78489C" w14:textId="77777777" w:rsidR="003D285F" w:rsidRPr="00C454A1" w:rsidRDefault="003D285F" w:rsidP="002F18CD">
      <w:pPr>
        <w:rPr>
          <w:color w:val="000000" w:themeColor="text1"/>
          <w:lang w:eastAsia="es-ES"/>
        </w:rPr>
      </w:pPr>
    </w:p>
    <w:p w14:paraId="7F527546" w14:textId="5A84F4F2" w:rsidR="0095407C" w:rsidRPr="00C454A1" w:rsidRDefault="0095407C" w:rsidP="00812B75">
      <w:pPr>
        <w:pStyle w:val="Prrafodelista"/>
        <w:widowControl w:val="0"/>
        <w:numPr>
          <w:ilvl w:val="1"/>
          <w:numId w:val="3"/>
        </w:numPr>
        <w:ind w:left="794" w:hanging="794"/>
        <w:outlineLvl w:val="0"/>
        <w:rPr>
          <w:rFonts w:cs="Times New Roman"/>
          <w:b/>
          <w:bCs/>
          <w:color w:val="000000" w:themeColor="text1"/>
          <w:szCs w:val="28"/>
          <w:lang w:eastAsia="es-ES"/>
        </w:rPr>
      </w:pPr>
      <w:bookmarkStart w:id="104" w:name="_Toc223979933"/>
      <w:r w:rsidRPr="00C454A1">
        <w:rPr>
          <w:rFonts w:cs="Times New Roman"/>
          <w:b/>
          <w:bCs/>
          <w:color w:val="000000" w:themeColor="text1"/>
          <w:szCs w:val="28"/>
          <w:lang w:eastAsia="es-ES"/>
        </w:rPr>
        <w:t>El régimen constitucional y estatutario de los estados de excepción. Reiteración de jurisprudencia</w:t>
      </w:r>
      <w:bookmarkEnd w:id="104"/>
    </w:p>
    <w:p w14:paraId="2C52CB6A" w14:textId="77777777" w:rsidR="0095407C" w:rsidRPr="00C454A1" w:rsidRDefault="0095407C" w:rsidP="00631C27">
      <w:pPr>
        <w:pStyle w:val="Prrafodelista"/>
        <w:ind w:left="0"/>
        <w:rPr>
          <w:rFonts w:cs="Times New Roman"/>
          <w:color w:val="000000" w:themeColor="text1"/>
          <w:szCs w:val="28"/>
        </w:rPr>
      </w:pPr>
    </w:p>
    <w:p w14:paraId="47483205" w14:textId="676D323D" w:rsidR="000E361E" w:rsidRPr="00C454A1" w:rsidRDefault="000E361E" w:rsidP="000E361E">
      <w:pPr>
        <w:numPr>
          <w:ilvl w:val="0"/>
          <w:numId w:val="2"/>
        </w:numPr>
        <w:ind w:left="0" w:firstLine="0"/>
        <w:rPr>
          <w:rFonts w:cs="Times New Roman"/>
          <w:color w:val="000000" w:themeColor="text1"/>
          <w:szCs w:val="28"/>
        </w:rPr>
      </w:pPr>
      <w:r w:rsidRPr="00C454A1">
        <w:rPr>
          <w:rFonts w:cs="Times New Roman"/>
          <w:color w:val="000000" w:themeColor="text1"/>
          <w:szCs w:val="28"/>
        </w:rPr>
        <w:t>La Asamblea Nacional Constituyente de 1991 instituyó un nuevo modelo de los estados de excepción con el propósito de preservar la estabilidad de las instituciones democráticas y frenar el abuso de la figura del estado de sitio</w:t>
      </w:r>
      <w:r w:rsidRPr="00C454A1">
        <w:rPr>
          <w:rStyle w:val="Refdenotaalpie"/>
          <w:rFonts w:cs="Times New Roman"/>
          <w:color w:val="000000" w:themeColor="text1"/>
          <w:szCs w:val="28"/>
        </w:rPr>
        <w:footnoteReference w:id="29"/>
      </w:r>
      <w:r w:rsidRPr="00C454A1">
        <w:rPr>
          <w:rFonts w:cs="Times New Roman"/>
          <w:color w:val="000000" w:themeColor="text1"/>
          <w:szCs w:val="28"/>
        </w:rPr>
        <w:t xml:space="preserve">. Los estados de excepción se encuentran regulados en el Capítulo VI del Título VII de la Constitución. A esta regulación constitucional se integran, por vía del bloque de constitucionalidad, los artículos 4 del Pacto Internacional de Derechos Civiles y Políticos y 27 de la Convención Americana sobre Derechos Humanos. Tales artículos limitan la potestad de los </w:t>
      </w:r>
      <w:r w:rsidR="00803644" w:rsidRPr="00C454A1">
        <w:rPr>
          <w:rFonts w:cs="Times New Roman"/>
          <w:color w:val="000000" w:themeColor="text1"/>
          <w:szCs w:val="28"/>
        </w:rPr>
        <w:t xml:space="preserve">estados </w:t>
      </w:r>
      <w:r w:rsidRPr="00C454A1">
        <w:rPr>
          <w:rFonts w:cs="Times New Roman"/>
          <w:color w:val="000000" w:themeColor="text1"/>
          <w:szCs w:val="28"/>
        </w:rPr>
        <w:t xml:space="preserve">de suspender sus </w:t>
      </w:r>
      <w:r w:rsidRPr="00C454A1">
        <w:rPr>
          <w:rFonts w:cs="Times New Roman"/>
          <w:color w:val="000000" w:themeColor="text1"/>
          <w:szCs w:val="28"/>
        </w:rPr>
        <w:lastRenderedPageBreak/>
        <w:t xml:space="preserve">obligaciones de respeto, protección y garantía de derechos humanos en situaciones de crisis. </w:t>
      </w:r>
    </w:p>
    <w:p w14:paraId="37B3BA71" w14:textId="77777777" w:rsidR="000E361E" w:rsidRPr="00C454A1" w:rsidRDefault="000E361E" w:rsidP="000E361E">
      <w:pPr>
        <w:pStyle w:val="Prrafodelista"/>
        <w:tabs>
          <w:tab w:val="left" w:pos="567"/>
        </w:tabs>
        <w:ind w:left="0"/>
        <w:rPr>
          <w:rFonts w:cs="Times New Roman"/>
          <w:color w:val="000000" w:themeColor="text1"/>
          <w:szCs w:val="28"/>
        </w:rPr>
      </w:pPr>
    </w:p>
    <w:p w14:paraId="0504459D" w14:textId="77777777" w:rsidR="000E361E" w:rsidRPr="00C454A1" w:rsidRDefault="000E361E" w:rsidP="000E361E">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El legislador estatutario, por su parte, expidió la Ley 137 de 1994 “[p]or la cual se reglamentan los estados de excepción en Colombia” (LEEE). La LEEE tiene como objeto regular las “facultades atribuidas al Gobierno durante los estados de excepción” y “establecer los controles a [su] ejercicio”</w:t>
      </w:r>
      <w:r w:rsidRPr="00C454A1">
        <w:rPr>
          <w:rStyle w:val="Refdenotaalpie"/>
          <w:rFonts w:cs="Times New Roman"/>
          <w:color w:val="000000" w:themeColor="text1"/>
          <w:szCs w:val="28"/>
        </w:rPr>
        <w:footnoteReference w:id="30"/>
      </w:r>
      <w:r w:rsidRPr="00C454A1">
        <w:rPr>
          <w:rFonts w:cs="Times New Roman"/>
          <w:color w:val="000000" w:themeColor="text1"/>
          <w:szCs w:val="28"/>
        </w:rPr>
        <w:t xml:space="preserve">. La Constitución, los instrumentos internacionales de derechos humanos citados y la LEEE conforman el régimen constitucional y estatutario de los estados de excepción. </w:t>
      </w:r>
    </w:p>
    <w:p w14:paraId="0FEF533B" w14:textId="77777777" w:rsidR="000E361E" w:rsidRPr="00C454A1" w:rsidRDefault="000E361E" w:rsidP="000E361E">
      <w:pPr>
        <w:pStyle w:val="Prrafodelista"/>
        <w:tabs>
          <w:tab w:val="left" w:pos="567"/>
        </w:tabs>
        <w:ind w:left="0"/>
        <w:rPr>
          <w:rFonts w:cs="Times New Roman"/>
          <w:color w:val="000000" w:themeColor="text1"/>
          <w:szCs w:val="28"/>
        </w:rPr>
      </w:pPr>
    </w:p>
    <w:p w14:paraId="6B58C4F0" w14:textId="77777777" w:rsidR="000E361E" w:rsidRPr="00C454A1" w:rsidRDefault="000E361E" w:rsidP="000E361E">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Los artículos 212 a 215 de la Constitución confieren al presidente de la República la facultad de declarar, mediante decreto con fuerza de ley, tres tipos de estados de excepción: (i) guerra exterior (artículo 212), (ii) conmoción interior (artículo 213) y (iii) emergencia económica, social o ecológica (artículo 215). El Constituyente invistió al presidente de la República de esta competencia debido a que, en su condición de jefe de Estado y máxima autoridad administrativa, tiene contacto permanente y directo “con las exigencias y necesidades de la comunidad”</w:t>
      </w:r>
      <w:r w:rsidRPr="00C454A1">
        <w:rPr>
          <w:rStyle w:val="Refdenotaalpie"/>
          <w:rFonts w:cs="Times New Roman"/>
          <w:color w:val="000000" w:themeColor="text1"/>
          <w:szCs w:val="28"/>
        </w:rPr>
        <w:footnoteReference w:id="31"/>
      </w:r>
      <w:r w:rsidRPr="00C454A1">
        <w:rPr>
          <w:rFonts w:cs="Times New Roman"/>
          <w:color w:val="000000" w:themeColor="text1"/>
          <w:szCs w:val="28"/>
        </w:rPr>
        <w:t>. Esto lo sitúa en una “posición privilegiada para determinar el advenimiento de la anormalidad y la adopción de las medidas idóneas para su conjuración”</w:t>
      </w:r>
      <w:r w:rsidRPr="00C454A1">
        <w:rPr>
          <w:rStyle w:val="Refdenotaalpie"/>
          <w:rFonts w:cs="Times New Roman"/>
          <w:color w:val="000000" w:themeColor="text1"/>
          <w:szCs w:val="28"/>
        </w:rPr>
        <w:footnoteReference w:id="32"/>
      </w:r>
      <w:r w:rsidRPr="00C454A1">
        <w:rPr>
          <w:rFonts w:cs="Times New Roman"/>
          <w:color w:val="000000" w:themeColor="text1"/>
          <w:szCs w:val="28"/>
        </w:rPr>
        <w:t xml:space="preserve">. </w:t>
      </w:r>
    </w:p>
    <w:p w14:paraId="47882878" w14:textId="77777777" w:rsidR="000E361E" w:rsidRPr="00C454A1" w:rsidRDefault="000E361E" w:rsidP="000E361E">
      <w:pPr>
        <w:pStyle w:val="Prrafodelista"/>
        <w:tabs>
          <w:tab w:val="left" w:pos="567"/>
        </w:tabs>
        <w:ind w:left="0"/>
        <w:rPr>
          <w:rFonts w:cs="Times New Roman"/>
          <w:color w:val="000000" w:themeColor="text1"/>
          <w:szCs w:val="28"/>
        </w:rPr>
      </w:pPr>
    </w:p>
    <w:p w14:paraId="4D85520B" w14:textId="4508D922" w:rsidR="000E361E" w:rsidRPr="00C454A1" w:rsidRDefault="000E361E" w:rsidP="000E361E">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Los estados de excepción tienen cuatro características generales: son excepcionales, temporales, reglados y limitados</w:t>
      </w:r>
      <w:r w:rsidRPr="00C454A1">
        <w:rPr>
          <w:rFonts w:cs="Times New Roman"/>
          <w:color w:val="000000" w:themeColor="text1"/>
          <w:szCs w:val="28"/>
          <w:vertAlign w:val="superscript"/>
        </w:rPr>
        <w:footnoteReference w:id="33"/>
      </w:r>
      <w:r w:rsidRPr="00C454A1">
        <w:rPr>
          <w:rFonts w:cs="Times New Roman"/>
          <w:color w:val="000000" w:themeColor="text1"/>
          <w:szCs w:val="28"/>
        </w:rPr>
        <w:t>. En conjunto, estas características constituyen un “límite y freno al abuso de la discrecionalidad”</w:t>
      </w:r>
      <w:r w:rsidRPr="00C454A1">
        <w:rPr>
          <w:rStyle w:val="Refdenotaalpie"/>
          <w:rFonts w:cs="Times New Roman"/>
          <w:color w:val="000000" w:themeColor="text1"/>
          <w:szCs w:val="28"/>
        </w:rPr>
        <w:footnoteReference w:id="34"/>
      </w:r>
      <w:r w:rsidRPr="00C454A1">
        <w:rPr>
          <w:rFonts w:cs="Times New Roman"/>
          <w:color w:val="000000" w:themeColor="text1"/>
          <w:szCs w:val="28"/>
        </w:rPr>
        <w:t xml:space="preserve"> del presidente de la República y un instrumento para “garantizar la vigencia y eficacia de la Constitución </w:t>
      </w:r>
      <w:r w:rsidR="00BB575C" w:rsidRPr="00C454A1">
        <w:rPr>
          <w:rFonts w:cs="Times New Roman"/>
          <w:color w:val="000000" w:themeColor="text1"/>
          <w:szCs w:val="28"/>
        </w:rPr>
        <w:t xml:space="preserve">aun </w:t>
      </w:r>
      <w:r w:rsidRPr="00C454A1">
        <w:rPr>
          <w:rFonts w:cs="Times New Roman"/>
          <w:color w:val="000000" w:themeColor="text1"/>
          <w:szCs w:val="28"/>
        </w:rPr>
        <w:t>en situaciones de anormalidad”</w:t>
      </w:r>
      <w:r w:rsidRPr="00C454A1">
        <w:rPr>
          <w:rStyle w:val="Refdenotaalpie"/>
          <w:rFonts w:cs="Times New Roman"/>
          <w:color w:val="000000" w:themeColor="text1"/>
          <w:szCs w:val="28"/>
        </w:rPr>
        <w:footnoteReference w:id="35"/>
      </w:r>
      <w:r w:rsidRPr="00C454A1">
        <w:rPr>
          <w:rFonts w:cs="Times New Roman"/>
          <w:color w:val="000000" w:themeColor="text1"/>
          <w:szCs w:val="28"/>
        </w:rPr>
        <w:t xml:space="preserve">. </w:t>
      </w:r>
    </w:p>
    <w:p w14:paraId="0EA950A8" w14:textId="77777777" w:rsidR="000E361E" w:rsidRPr="00C454A1" w:rsidRDefault="000E361E" w:rsidP="000E361E">
      <w:pPr>
        <w:pStyle w:val="Prrafodelista"/>
        <w:tabs>
          <w:tab w:val="left" w:pos="567"/>
        </w:tabs>
        <w:ind w:left="0"/>
        <w:rPr>
          <w:rFonts w:cs="Times New Roman"/>
          <w:color w:val="000000" w:themeColor="text1"/>
          <w:szCs w:val="28"/>
        </w:rPr>
      </w:pPr>
    </w:p>
    <w:p w14:paraId="1087FCA6" w14:textId="53705AD1" w:rsidR="000E361E" w:rsidRPr="00C454A1" w:rsidRDefault="000E361E" w:rsidP="000E361E">
      <w:pPr>
        <w:pStyle w:val="Prrafodelista"/>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Los estados de excepción son excepcionales</w:t>
      </w:r>
      <w:r w:rsidRPr="00C454A1">
        <w:rPr>
          <w:rFonts w:cs="Times New Roman"/>
          <w:color w:val="000000" w:themeColor="text1"/>
          <w:szCs w:val="28"/>
        </w:rPr>
        <w:t>. La Constitución autoriza al presidente de la República a declarar el estado de excepción únicamente en tres situaciones de extrema anormalidad</w:t>
      </w:r>
      <w:r w:rsidR="006F311D" w:rsidRPr="00C454A1">
        <w:rPr>
          <w:rFonts w:cs="Times New Roman"/>
          <w:color w:val="000000" w:themeColor="text1"/>
          <w:szCs w:val="28"/>
        </w:rPr>
        <w:t xml:space="preserve">: </w:t>
      </w:r>
      <w:r w:rsidRPr="00C454A1">
        <w:rPr>
          <w:rFonts w:cs="Times New Roman"/>
          <w:color w:val="000000" w:themeColor="text1"/>
          <w:szCs w:val="28"/>
        </w:rPr>
        <w:t>guerra exterior, conmoción interior y emergencia económica, social y ecológica. De acuerdo con la jurisprudencia constitucional, las alteraciones extraordinarias de la normalidad que dan lugar a la declaratoria de los estados de excepción pueden ser identificadas a partir de las hipótesis que el Constituyente de manera circunscrita y taxativa determinó</w:t>
      </w:r>
      <w:r w:rsidRPr="00C454A1">
        <w:rPr>
          <w:rStyle w:val="Refdenotaalpie"/>
          <w:rFonts w:cs="Times New Roman"/>
          <w:color w:val="000000" w:themeColor="text1"/>
          <w:szCs w:val="28"/>
        </w:rPr>
        <w:footnoteReference w:id="36"/>
      </w:r>
      <w:r w:rsidRPr="00C454A1">
        <w:rPr>
          <w:rFonts w:cs="Times New Roman"/>
          <w:color w:val="000000" w:themeColor="text1"/>
          <w:szCs w:val="28"/>
        </w:rPr>
        <w:t xml:space="preserve">. </w:t>
      </w:r>
    </w:p>
    <w:p w14:paraId="4BF427F2" w14:textId="77777777" w:rsidR="000E361E" w:rsidRPr="00C454A1" w:rsidRDefault="000E361E" w:rsidP="000E361E">
      <w:pPr>
        <w:pStyle w:val="Prrafodelista"/>
        <w:tabs>
          <w:tab w:val="left" w:pos="567"/>
        </w:tabs>
        <w:ind w:left="0"/>
        <w:rPr>
          <w:rFonts w:cs="Times New Roman"/>
          <w:color w:val="000000" w:themeColor="text1"/>
          <w:szCs w:val="28"/>
        </w:rPr>
      </w:pPr>
    </w:p>
    <w:p w14:paraId="462B3EFD" w14:textId="5FF43320" w:rsidR="000E361E" w:rsidRPr="00C454A1" w:rsidRDefault="000E361E" w:rsidP="000E361E">
      <w:pPr>
        <w:pStyle w:val="Prrafodelista"/>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Los estados de excepción son temporales</w:t>
      </w:r>
      <w:r w:rsidRPr="00C454A1">
        <w:rPr>
          <w:rFonts w:cs="Times New Roman"/>
          <w:color w:val="000000" w:themeColor="text1"/>
          <w:szCs w:val="28"/>
        </w:rPr>
        <w:t xml:space="preserve">. Los estados de excepción son, por su propia naturaleza, transitorios. Los artículos 213 y 215 de la Constitución establecen estrictas reglas de vigencia temporal del estado de conmoción interior, así como del estado de emergencia económica, social y ecológica. </w:t>
      </w:r>
      <w:r w:rsidR="00EC09FE" w:rsidRPr="00C454A1">
        <w:rPr>
          <w:rFonts w:cs="Times New Roman"/>
          <w:color w:val="000000" w:themeColor="text1"/>
          <w:szCs w:val="28"/>
        </w:rPr>
        <w:t>A su turno, el</w:t>
      </w:r>
      <w:r w:rsidRPr="00C454A1">
        <w:rPr>
          <w:rFonts w:cs="Times New Roman"/>
          <w:color w:val="000000" w:themeColor="text1"/>
          <w:szCs w:val="28"/>
        </w:rPr>
        <w:t xml:space="preserve"> </w:t>
      </w:r>
      <w:r w:rsidR="00EC09FE" w:rsidRPr="00C454A1">
        <w:rPr>
          <w:rFonts w:cs="Times New Roman"/>
          <w:color w:val="000000" w:themeColor="text1"/>
          <w:szCs w:val="28"/>
        </w:rPr>
        <w:t xml:space="preserve">numeral 4 del </w:t>
      </w:r>
      <w:r w:rsidRPr="00C454A1">
        <w:rPr>
          <w:rFonts w:cs="Times New Roman"/>
          <w:color w:val="000000" w:themeColor="text1"/>
          <w:szCs w:val="28"/>
        </w:rPr>
        <w:t xml:space="preserve">artículo 214 obliga al presidente de la República a </w:t>
      </w:r>
      <w:r w:rsidR="00EC09FE" w:rsidRPr="00C454A1">
        <w:rPr>
          <w:rFonts w:cs="Times New Roman"/>
          <w:color w:val="000000" w:themeColor="text1"/>
          <w:szCs w:val="28"/>
        </w:rPr>
        <w:t xml:space="preserve">declarar restablecido el orden </w:t>
      </w:r>
      <w:r w:rsidR="0088058C" w:rsidRPr="00C454A1">
        <w:rPr>
          <w:rFonts w:cs="Times New Roman"/>
          <w:color w:val="000000" w:themeColor="text1"/>
          <w:szCs w:val="28"/>
        </w:rPr>
        <w:t xml:space="preserve">y levantar los respectivos estados de excepción, </w:t>
      </w:r>
      <w:r w:rsidR="00EC09FE" w:rsidRPr="00C454A1">
        <w:rPr>
          <w:rFonts w:cs="Times New Roman"/>
          <w:color w:val="000000" w:themeColor="text1"/>
          <w:szCs w:val="28"/>
        </w:rPr>
        <w:lastRenderedPageBreak/>
        <w:t>cuando ces</w:t>
      </w:r>
      <w:r w:rsidR="0088058C" w:rsidRPr="00C454A1">
        <w:rPr>
          <w:rFonts w:cs="Times New Roman"/>
          <w:color w:val="000000" w:themeColor="text1"/>
          <w:szCs w:val="28"/>
        </w:rPr>
        <w:t>e</w:t>
      </w:r>
      <w:r w:rsidR="00EC09FE" w:rsidRPr="00C454A1">
        <w:rPr>
          <w:rFonts w:cs="Times New Roman"/>
          <w:color w:val="000000" w:themeColor="text1"/>
          <w:szCs w:val="28"/>
        </w:rPr>
        <w:t xml:space="preserve"> la</w:t>
      </w:r>
      <w:r w:rsidRPr="00C454A1">
        <w:rPr>
          <w:rFonts w:cs="Times New Roman"/>
          <w:color w:val="000000" w:themeColor="text1"/>
          <w:szCs w:val="28"/>
        </w:rPr>
        <w:t xml:space="preserve"> guerra exterior </w:t>
      </w:r>
      <w:r w:rsidR="0088058C" w:rsidRPr="00C454A1">
        <w:rPr>
          <w:rFonts w:cs="Times New Roman"/>
          <w:color w:val="000000" w:themeColor="text1"/>
          <w:szCs w:val="28"/>
        </w:rPr>
        <w:t>o</w:t>
      </w:r>
      <w:r w:rsidR="00EC09FE" w:rsidRPr="00C454A1">
        <w:rPr>
          <w:rFonts w:cs="Times New Roman"/>
          <w:color w:val="000000" w:themeColor="text1"/>
          <w:szCs w:val="28"/>
        </w:rPr>
        <w:t xml:space="preserve"> </w:t>
      </w:r>
      <w:r w:rsidRPr="00C454A1">
        <w:rPr>
          <w:rFonts w:cs="Times New Roman"/>
          <w:color w:val="000000" w:themeColor="text1"/>
          <w:szCs w:val="28"/>
        </w:rPr>
        <w:t xml:space="preserve">tan pronto </w:t>
      </w:r>
      <w:r w:rsidR="00BB575C" w:rsidRPr="00C454A1">
        <w:rPr>
          <w:rFonts w:cs="Times New Roman"/>
          <w:color w:val="000000" w:themeColor="text1"/>
          <w:szCs w:val="28"/>
        </w:rPr>
        <w:t xml:space="preserve">como </w:t>
      </w:r>
      <w:r w:rsidR="00EC09FE" w:rsidRPr="00C454A1">
        <w:rPr>
          <w:rFonts w:cs="Times New Roman"/>
          <w:color w:val="000000" w:themeColor="text1"/>
          <w:szCs w:val="28"/>
        </w:rPr>
        <w:t>las</w:t>
      </w:r>
      <w:r w:rsidRPr="00C454A1">
        <w:rPr>
          <w:rFonts w:cs="Times New Roman"/>
          <w:color w:val="000000" w:themeColor="text1"/>
          <w:szCs w:val="28"/>
        </w:rPr>
        <w:t xml:space="preserve"> causas </w:t>
      </w:r>
      <w:r w:rsidR="00EC09FE" w:rsidRPr="00C454A1">
        <w:rPr>
          <w:rFonts w:cs="Times New Roman"/>
          <w:color w:val="000000" w:themeColor="text1"/>
          <w:szCs w:val="28"/>
        </w:rPr>
        <w:t>que condujeron a declarar una conmoción interior hayan desaparecido</w:t>
      </w:r>
      <w:r w:rsidRPr="00C454A1">
        <w:rPr>
          <w:rFonts w:cs="Times New Roman"/>
          <w:color w:val="000000" w:themeColor="text1"/>
          <w:szCs w:val="28"/>
        </w:rPr>
        <w:t xml:space="preserve">. </w:t>
      </w:r>
    </w:p>
    <w:p w14:paraId="53C4E1C4" w14:textId="77777777" w:rsidR="00260965" w:rsidRPr="00C454A1" w:rsidRDefault="00260965" w:rsidP="00260965">
      <w:pPr>
        <w:pStyle w:val="Prrafodelista"/>
        <w:tabs>
          <w:tab w:val="left" w:pos="567"/>
        </w:tabs>
        <w:ind w:left="0"/>
        <w:rPr>
          <w:rFonts w:cs="Times New Roman"/>
          <w:color w:val="000000" w:themeColor="text1"/>
          <w:szCs w:val="28"/>
        </w:rPr>
      </w:pPr>
    </w:p>
    <w:p w14:paraId="041C40C3" w14:textId="77777777" w:rsidR="000E361E" w:rsidRPr="00C454A1" w:rsidRDefault="000E361E" w:rsidP="000E361E">
      <w:pPr>
        <w:pStyle w:val="Prrafodelista"/>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Los estados de excepción son reglados</w:t>
      </w:r>
      <w:r w:rsidRPr="00C454A1">
        <w:rPr>
          <w:rFonts w:cs="Times New Roman"/>
          <w:color w:val="000000" w:themeColor="text1"/>
          <w:szCs w:val="28"/>
        </w:rPr>
        <w:t>. La Constitución y la LEEE establecen requisitos formales y materiales que condicionan la validez de la declaratoria de los estados de excepción y los decretos legislativos de desarrollo. Además, prevén prohibiciones y principios que deben observarse durante los estados de excepción: (</w:t>
      </w:r>
      <w:r w:rsidRPr="00C454A1">
        <w:rPr>
          <w:rFonts w:cs="Times New Roman"/>
          <w:bCs/>
          <w:color w:val="000000" w:themeColor="text1"/>
          <w:szCs w:val="28"/>
        </w:rPr>
        <w:t>i) el cumplimiento de los requisitos previstos en la Constitución, los tratados internacionales de derechos humanos y la LEEE para restringir derechos humanos y libertades fundamentales</w:t>
      </w:r>
      <w:r w:rsidRPr="00C454A1">
        <w:rPr>
          <w:rFonts w:cs="Times New Roman"/>
          <w:bCs/>
          <w:color w:val="000000" w:themeColor="text1"/>
          <w:szCs w:val="28"/>
          <w:vertAlign w:val="superscript"/>
        </w:rPr>
        <w:footnoteReference w:id="37"/>
      </w:r>
      <w:r w:rsidRPr="00C454A1">
        <w:rPr>
          <w:rFonts w:cs="Times New Roman"/>
          <w:bCs/>
          <w:color w:val="000000" w:themeColor="text1"/>
          <w:szCs w:val="28"/>
        </w:rPr>
        <w:t>; (</w:t>
      </w:r>
      <w:r w:rsidRPr="00C454A1">
        <w:rPr>
          <w:rFonts w:cs="Times New Roman"/>
          <w:color w:val="000000" w:themeColor="text1"/>
          <w:szCs w:val="28"/>
        </w:rPr>
        <w:t>ii) el principio de intangibilidad de ciertos derechos</w:t>
      </w:r>
      <w:r w:rsidRPr="00C454A1">
        <w:rPr>
          <w:rFonts w:cs="Times New Roman"/>
          <w:color w:val="000000" w:themeColor="text1"/>
          <w:szCs w:val="28"/>
          <w:vertAlign w:val="superscript"/>
        </w:rPr>
        <w:footnoteReference w:id="38"/>
      </w:r>
      <w:r w:rsidRPr="00C454A1">
        <w:rPr>
          <w:rFonts w:cs="Times New Roman"/>
          <w:color w:val="000000" w:themeColor="text1"/>
          <w:szCs w:val="28"/>
        </w:rPr>
        <w:t>; (iii) la prohibición de desmejorar los derechos sociales de los trabajadores</w:t>
      </w:r>
      <w:r w:rsidRPr="00C454A1">
        <w:rPr>
          <w:rFonts w:cs="Times New Roman"/>
          <w:color w:val="000000" w:themeColor="text1"/>
          <w:szCs w:val="28"/>
          <w:vertAlign w:val="superscript"/>
        </w:rPr>
        <w:footnoteReference w:id="39"/>
      </w:r>
      <w:r w:rsidRPr="00C454A1">
        <w:rPr>
          <w:rFonts w:cs="Times New Roman"/>
          <w:color w:val="000000" w:themeColor="text1"/>
          <w:szCs w:val="28"/>
        </w:rPr>
        <w:t>; (iv) la no interrupción del normal funcionamiento de las ramas del poder público ni de los órganos del Estado; (v) la no supresión ni modificación de los organismos ni de las funciones básicas de acusación y juzgamiento</w:t>
      </w:r>
      <w:r w:rsidRPr="00C454A1">
        <w:rPr>
          <w:rFonts w:cs="Times New Roman"/>
          <w:color w:val="000000" w:themeColor="text1"/>
          <w:szCs w:val="28"/>
          <w:vertAlign w:val="superscript"/>
        </w:rPr>
        <w:footnoteReference w:id="40"/>
      </w:r>
      <w:r w:rsidRPr="00C454A1">
        <w:rPr>
          <w:rFonts w:cs="Times New Roman"/>
          <w:color w:val="000000" w:themeColor="text1"/>
          <w:szCs w:val="28"/>
        </w:rPr>
        <w:t>; y (vi) el cumplimiento de los requisitos de finalidad, necesidad, proporcionalidad y no discriminación</w:t>
      </w:r>
      <w:r w:rsidRPr="00C454A1">
        <w:rPr>
          <w:rFonts w:cs="Times New Roman"/>
          <w:color w:val="000000" w:themeColor="text1"/>
          <w:szCs w:val="28"/>
          <w:vertAlign w:val="superscript"/>
        </w:rPr>
        <w:footnoteReference w:id="41"/>
      </w:r>
      <w:r w:rsidRPr="00C454A1">
        <w:rPr>
          <w:rFonts w:cs="Times New Roman"/>
          <w:color w:val="000000" w:themeColor="text1"/>
          <w:szCs w:val="28"/>
        </w:rPr>
        <w:t>, entre otros</w:t>
      </w:r>
      <w:r w:rsidRPr="00C454A1">
        <w:rPr>
          <w:rFonts w:cs="Times New Roman"/>
          <w:color w:val="000000" w:themeColor="text1"/>
          <w:szCs w:val="28"/>
          <w:vertAlign w:val="superscript"/>
        </w:rPr>
        <w:footnoteReference w:id="42"/>
      </w:r>
      <w:r w:rsidRPr="00C454A1">
        <w:rPr>
          <w:rFonts w:cs="Times New Roman"/>
          <w:color w:val="000000" w:themeColor="text1"/>
          <w:szCs w:val="28"/>
        </w:rPr>
        <w:t>.</w:t>
      </w:r>
    </w:p>
    <w:p w14:paraId="4AED2BF1" w14:textId="77777777" w:rsidR="000E361E" w:rsidRPr="00C454A1" w:rsidRDefault="000E361E" w:rsidP="000E361E">
      <w:pPr>
        <w:pStyle w:val="Prrafodelista"/>
        <w:tabs>
          <w:tab w:val="left" w:pos="567"/>
        </w:tabs>
        <w:rPr>
          <w:rFonts w:cs="Times New Roman"/>
          <w:i/>
          <w:iCs/>
          <w:color w:val="000000" w:themeColor="text1"/>
          <w:szCs w:val="28"/>
        </w:rPr>
      </w:pPr>
    </w:p>
    <w:p w14:paraId="42B3F05C" w14:textId="77777777" w:rsidR="00260965" w:rsidRPr="00C454A1" w:rsidRDefault="000E361E" w:rsidP="00260965">
      <w:pPr>
        <w:pStyle w:val="Prrafodelista"/>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Los estados de excepción son objeto de control</w:t>
      </w:r>
      <w:r w:rsidRPr="00C454A1">
        <w:rPr>
          <w:rFonts w:cs="Times New Roman"/>
          <w:color w:val="000000" w:themeColor="text1"/>
          <w:szCs w:val="28"/>
        </w:rPr>
        <w:t xml:space="preserve">. Los estados de excepción no solo están reglados en la Constitución y la LEEE. Además, están sujetos a dos tipos de controles: político y jurídico. El </w:t>
      </w:r>
      <w:r w:rsidRPr="00C454A1">
        <w:rPr>
          <w:rFonts w:cs="Times New Roman"/>
          <w:i/>
          <w:iCs/>
          <w:color w:val="000000" w:themeColor="text1"/>
          <w:szCs w:val="28"/>
        </w:rPr>
        <w:t xml:space="preserve">control político, </w:t>
      </w:r>
      <w:r w:rsidRPr="00C454A1">
        <w:rPr>
          <w:rFonts w:cs="Times New Roman"/>
          <w:color w:val="000000" w:themeColor="text1"/>
          <w:szCs w:val="28"/>
        </w:rPr>
        <w:t>el cual está a cargo del Congreso de la República, tiene como objeto garantizar el debate público sobre las razones de conveniencia y oportunidad “que subyacen a la declaratoria del estado de excepción”</w:t>
      </w:r>
      <w:r w:rsidRPr="00C454A1">
        <w:rPr>
          <w:rStyle w:val="Refdenotaalpie"/>
          <w:rFonts w:cs="Times New Roman"/>
          <w:color w:val="000000" w:themeColor="text1"/>
          <w:szCs w:val="28"/>
        </w:rPr>
        <w:footnoteReference w:id="43"/>
      </w:r>
      <w:r w:rsidRPr="00C454A1">
        <w:rPr>
          <w:rFonts w:cs="Times New Roman"/>
          <w:color w:val="000000" w:themeColor="text1"/>
          <w:szCs w:val="28"/>
        </w:rPr>
        <w:t xml:space="preserve">. A su vez, el </w:t>
      </w:r>
      <w:r w:rsidRPr="00C454A1">
        <w:rPr>
          <w:rFonts w:cs="Times New Roman"/>
          <w:i/>
          <w:iCs/>
          <w:color w:val="000000" w:themeColor="text1"/>
          <w:szCs w:val="28"/>
        </w:rPr>
        <w:t>control jurídico</w:t>
      </w:r>
      <w:r w:rsidRPr="00C454A1">
        <w:rPr>
          <w:rFonts w:cs="Times New Roman"/>
          <w:color w:val="000000" w:themeColor="text1"/>
          <w:szCs w:val="28"/>
        </w:rPr>
        <w:t xml:space="preserve"> está a cargo de la Corte Constitucional y tiene como finalidad asegurar que la declaratoria del estado de excepción, así como los decretos legislativos de desarrollo, cumplan con los principios, requisitos formales y presupuestos materiales previstos en la Constitución, el derecho internacional de los derechos humanos y la LEEE. </w:t>
      </w:r>
    </w:p>
    <w:p w14:paraId="317B8B59" w14:textId="77777777" w:rsidR="00260965" w:rsidRPr="00C454A1" w:rsidRDefault="00260965" w:rsidP="00260965">
      <w:pPr>
        <w:pStyle w:val="Prrafodelista"/>
        <w:tabs>
          <w:tab w:val="left" w:pos="567"/>
        </w:tabs>
        <w:ind w:left="0"/>
        <w:rPr>
          <w:rFonts w:cs="Times New Roman"/>
          <w:color w:val="000000" w:themeColor="text1"/>
          <w:szCs w:val="28"/>
        </w:rPr>
      </w:pPr>
    </w:p>
    <w:p w14:paraId="6D8A7891" w14:textId="37152EDF" w:rsidR="000E361E" w:rsidRPr="00C454A1" w:rsidRDefault="000E361E" w:rsidP="00260965">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La Constitución y la LEEE prevén una regulación específica para cada estado de excepción. En atención a la naturaleza del Decreto 62 de 2025, a continuación, la Corte se referirá únicamente al régimen constitucional y estatutario del estado de conmoción interior. </w:t>
      </w:r>
    </w:p>
    <w:p w14:paraId="5519EF4F" w14:textId="77777777" w:rsidR="000E361E" w:rsidRPr="00C454A1" w:rsidRDefault="000E361E" w:rsidP="00812B75">
      <w:pPr>
        <w:rPr>
          <w:rFonts w:cs="Times New Roman"/>
          <w:color w:val="000000" w:themeColor="text1"/>
          <w:szCs w:val="28"/>
        </w:rPr>
      </w:pPr>
    </w:p>
    <w:p w14:paraId="28E953B2" w14:textId="12722FE8" w:rsidR="00695445" w:rsidRPr="00C454A1" w:rsidRDefault="00695445" w:rsidP="00695445">
      <w:pPr>
        <w:pStyle w:val="Prrafodelista"/>
        <w:widowControl w:val="0"/>
        <w:numPr>
          <w:ilvl w:val="1"/>
          <w:numId w:val="3"/>
        </w:numPr>
        <w:ind w:left="794" w:hanging="794"/>
        <w:outlineLvl w:val="0"/>
        <w:rPr>
          <w:rFonts w:cs="Times New Roman"/>
          <w:b/>
          <w:bCs/>
          <w:color w:val="000000" w:themeColor="text1"/>
          <w:szCs w:val="28"/>
        </w:rPr>
      </w:pPr>
      <w:bookmarkStart w:id="105" w:name="_Toc223979934"/>
      <w:r w:rsidRPr="00C454A1">
        <w:rPr>
          <w:rFonts w:cs="Times New Roman"/>
          <w:b/>
          <w:bCs/>
          <w:color w:val="000000" w:themeColor="text1"/>
          <w:szCs w:val="28"/>
        </w:rPr>
        <w:t xml:space="preserve">Requisitos formales y presupuestos materiales de la declaratoria del estado de conmoción interior. </w:t>
      </w:r>
      <w:r w:rsidRPr="00C454A1">
        <w:rPr>
          <w:rFonts w:cs="Times New Roman"/>
          <w:b/>
          <w:bCs/>
          <w:color w:val="000000" w:themeColor="text1"/>
          <w:szCs w:val="28"/>
          <w:lang w:eastAsia="es-ES"/>
        </w:rPr>
        <w:t>Reiteración de jurisprudencia</w:t>
      </w:r>
      <w:bookmarkEnd w:id="105"/>
    </w:p>
    <w:p w14:paraId="4B06527F" w14:textId="77777777" w:rsidR="00695445" w:rsidRPr="00C454A1" w:rsidRDefault="00695445" w:rsidP="00BF5877">
      <w:pPr>
        <w:pStyle w:val="Prrafodelista"/>
        <w:ind w:left="0"/>
        <w:rPr>
          <w:rFonts w:cs="Times New Roman"/>
          <w:color w:val="000000" w:themeColor="text1"/>
          <w:szCs w:val="28"/>
        </w:rPr>
      </w:pPr>
    </w:p>
    <w:p w14:paraId="5C854BE2" w14:textId="77777777" w:rsidR="00695445" w:rsidRPr="00C454A1" w:rsidRDefault="00695445" w:rsidP="00695445">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El artículo 213 de la Constitución regula el estado de conmoción interior. Ese artículo dispone: </w:t>
      </w:r>
    </w:p>
    <w:p w14:paraId="00BD1691" w14:textId="77777777" w:rsidR="00695445" w:rsidRPr="00C454A1" w:rsidRDefault="00695445" w:rsidP="00695445">
      <w:pPr>
        <w:pStyle w:val="Prrafodelista"/>
        <w:tabs>
          <w:tab w:val="left" w:pos="567"/>
        </w:tabs>
        <w:rPr>
          <w:rFonts w:cs="Times New Roman"/>
          <w:color w:val="000000" w:themeColor="text1"/>
          <w:szCs w:val="28"/>
        </w:rPr>
      </w:pPr>
    </w:p>
    <w:p w14:paraId="711756A5" w14:textId="7C3C45EE" w:rsidR="00695445" w:rsidRPr="00C454A1" w:rsidRDefault="00260965" w:rsidP="00695445">
      <w:pPr>
        <w:pStyle w:val="Prrafodelista"/>
        <w:tabs>
          <w:tab w:val="left" w:pos="567"/>
        </w:tabs>
        <w:ind w:left="567" w:right="51"/>
        <w:rPr>
          <w:rFonts w:cs="Times New Roman"/>
          <w:color w:val="000000" w:themeColor="text1"/>
          <w:sz w:val="26"/>
          <w:szCs w:val="26"/>
        </w:rPr>
      </w:pPr>
      <w:bookmarkStart w:id="106" w:name="213"/>
      <w:r w:rsidRPr="00C454A1">
        <w:rPr>
          <w:rFonts w:cs="Times New Roman"/>
          <w:color w:val="000000" w:themeColor="text1"/>
          <w:sz w:val="26"/>
          <w:szCs w:val="26"/>
        </w:rPr>
        <w:t>“</w:t>
      </w:r>
      <w:r w:rsidR="00695445" w:rsidRPr="00C454A1">
        <w:rPr>
          <w:rFonts w:cs="Times New Roman"/>
          <w:b/>
          <w:bCs/>
          <w:color w:val="000000" w:themeColor="text1"/>
          <w:sz w:val="26"/>
          <w:szCs w:val="26"/>
        </w:rPr>
        <w:t>Artículo 213.</w:t>
      </w:r>
      <w:bookmarkEnd w:id="106"/>
      <w:r w:rsidR="00695445" w:rsidRPr="00C454A1">
        <w:rPr>
          <w:rFonts w:cs="Times New Roman"/>
          <w:b/>
          <w:bCs/>
          <w:color w:val="000000" w:themeColor="text1"/>
          <w:sz w:val="26"/>
          <w:szCs w:val="26"/>
        </w:rPr>
        <w:t xml:space="preserve"> </w:t>
      </w:r>
      <w:r w:rsidR="00695445" w:rsidRPr="00C454A1">
        <w:rPr>
          <w:rFonts w:cs="Times New Roman"/>
          <w:color w:val="000000" w:themeColor="text1"/>
          <w:sz w:val="26"/>
          <w:szCs w:val="26"/>
        </w:rPr>
        <w:t xml:space="preserve">En caso de grave perturbación del orden público que atente de manera inminente contra la estabilidad institucional, la seguridad del Estado, o </w:t>
      </w:r>
      <w:r w:rsidR="00695445" w:rsidRPr="00C454A1">
        <w:rPr>
          <w:rFonts w:cs="Times New Roman"/>
          <w:color w:val="000000" w:themeColor="text1"/>
          <w:sz w:val="26"/>
          <w:szCs w:val="26"/>
        </w:rPr>
        <w:lastRenderedPageBreak/>
        <w:t>la convivencia ciudadana, y que no pueda ser conjurada mediante el uso de las atribuciones ordinarias de las autoridades de Policía, el presidente de la República, con la firma de todos los ministros, podrá declarar el estado de conmoción interior, en toda la República o parte de ella, por término no mayor de noventa días, prorrogable hasta por dos períodos iguales, el segundo de los cuales requiere concepto previo y favorable del Senado de la República.</w:t>
      </w:r>
    </w:p>
    <w:p w14:paraId="2763EAF6" w14:textId="77777777" w:rsidR="00695445" w:rsidRPr="00C454A1" w:rsidRDefault="00695445" w:rsidP="00695445">
      <w:pPr>
        <w:pStyle w:val="Prrafodelista"/>
        <w:tabs>
          <w:tab w:val="left" w:pos="567"/>
        </w:tabs>
        <w:ind w:left="567" w:right="51"/>
        <w:rPr>
          <w:rFonts w:cs="Times New Roman"/>
          <w:color w:val="000000" w:themeColor="text1"/>
          <w:sz w:val="26"/>
          <w:szCs w:val="26"/>
        </w:rPr>
      </w:pPr>
    </w:p>
    <w:p w14:paraId="3F39977D" w14:textId="77777777" w:rsidR="00695445" w:rsidRPr="00C454A1" w:rsidRDefault="00695445" w:rsidP="00695445">
      <w:pPr>
        <w:pStyle w:val="Prrafodelista"/>
        <w:tabs>
          <w:tab w:val="left" w:pos="567"/>
        </w:tabs>
        <w:ind w:left="567" w:right="51"/>
        <w:rPr>
          <w:rFonts w:cs="Times New Roman"/>
          <w:color w:val="000000" w:themeColor="text1"/>
          <w:sz w:val="26"/>
          <w:szCs w:val="26"/>
        </w:rPr>
      </w:pPr>
      <w:r w:rsidRPr="00C454A1">
        <w:rPr>
          <w:rFonts w:cs="Times New Roman"/>
          <w:color w:val="000000" w:themeColor="text1"/>
          <w:sz w:val="26"/>
          <w:szCs w:val="26"/>
        </w:rPr>
        <w:t>Mediante tal declaración, el Gobierno tendrá las facultades estrictamente necesarias para conjurar las causas de la perturbación e impedir la extensión de sus efectos.</w:t>
      </w:r>
    </w:p>
    <w:p w14:paraId="1F757220" w14:textId="77777777" w:rsidR="00695445" w:rsidRPr="00C454A1" w:rsidRDefault="00695445" w:rsidP="00695445">
      <w:pPr>
        <w:pStyle w:val="Prrafodelista"/>
        <w:tabs>
          <w:tab w:val="left" w:pos="567"/>
        </w:tabs>
        <w:ind w:left="567" w:right="51"/>
        <w:rPr>
          <w:rFonts w:cs="Times New Roman"/>
          <w:color w:val="000000" w:themeColor="text1"/>
          <w:sz w:val="26"/>
          <w:szCs w:val="26"/>
        </w:rPr>
      </w:pPr>
    </w:p>
    <w:p w14:paraId="77A7F5B0" w14:textId="77777777" w:rsidR="00695445" w:rsidRPr="00C454A1" w:rsidRDefault="00695445" w:rsidP="00695445">
      <w:pPr>
        <w:pStyle w:val="Prrafodelista"/>
        <w:tabs>
          <w:tab w:val="left" w:pos="567"/>
        </w:tabs>
        <w:ind w:left="567" w:right="51"/>
        <w:rPr>
          <w:rFonts w:cs="Times New Roman"/>
          <w:color w:val="000000" w:themeColor="text1"/>
          <w:sz w:val="26"/>
          <w:szCs w:val="26"/>
        </w:rPr>
      </w:pPr>
      <w:r w:rsidRPr="00C454A1">
        <w:rPr>
          <w:rFonts w:cs="Times New Roman"/>
          <w:color w:val="000000" w:themeColor="text1"/>
          <w:sz w:val="26"/>
          <w:szCs w:val="26"/>
        </w:rPr>
        <w:t>Los decretos legislativos que dicte el Gobierno podrán suspender las leyes incompatibles con el Estado de Conmoción y dejarán de regir tan pronto como se declare restablecido el orden público. El Gobierno podrá prorrogar su vigencia hasta por noventa días más.</w:t>
      </w:r>
    </w:p>
    <w:p w14:paraId="01894665" w14:textId="77777777" w:rsidR="00695445" w:rsidRPr="00C454A1" w:rsidRDefault="00695445" w:rsidP="00695445">
      <w:pPr>
        <w:pStyle w:val="Prrafodelista"/>
        <w:tabs>
          <w:tab w:val="left" w:pos="567"/>
        </w:tabs>
        <w:ind w:left="567" w:right="51"/>
        <w:rPr>
          <w:rFonts w:cs="Times New Roman"/>
          <w:color w:val="000000" w:themeColor="text1"/>
          <w:sz w:val="26"/>
          <w:szCs w:val="26"/>
        </w:rPr>
      </w:pPr>
    </w:p>
    <w:p w14:paraId="0A5E4213" w14:textId="77777777" w:rsidR="00695445" w:rsidRPr="00C454A1" w:rsidRDefault="00695445" w:rsidP="00695445">
      <w:pPr>
        <w:pStyle w:val="Prrafodelista"/>
        <w:tabs>
          <w:tab w:val="left" w:pos="567"/>
        </w:tabs>
        <w:ind w:left="567" w:right="51"/>
        <w:rPr>
          <w:rFonts w:cs="Times New Roman"/>
          <w:color w:val="000000" w:themeColor="text1"/>
          <w:sz w:val="26"/>
          <w:szCs w:val="26"/>
        </w:rPr>
      </w:pPr>
      <w:r w:rsidRPr="00C454A1">
        <w:rPr>
          <w:rFonts w:cs="Times New Roman"/>
          <w:color w:val="000000" w:themeColor="text1"/>
          <w:sz w:val="26"/>
          <w:szCs w:val="26"/>
        </w:rPr>
        <w:t>Dentro de los tres días siguientes a la declaratoria o prórroga del Estado de Conmoción, el Congreso se reunirá por derecho propio, con la plenitud de sus atribuciones constitucionales y legales. El presidente le pasará inmediatamente un informe motivado sobre las razones que determinaron la declaración.</w:t>
      </w:r>
    </w:p>
    <w:p w14:paraId="5D197AEA" w14:textId="77777777" w:rsidR="00695445" w:rsidRPr="00C454A1" w:rsidRDefault="00695445" w:rsidP="00695445">
      <w:pPr>
        <w:pStyle w:val="Prrafodelista"/>
        <w:tabs>
          <w:tab w:val="left" w:pos="567"/>
        </w:tabs>
        <w:ind w:left="567" w:right="51"/>
        <w:rPr>
          <w:rFonts w:cs="Times New Roman"/>
          <w:color w:val="000000" w:themeColor="text1"/>
          <w:sz w:val="26"/>
          <w:szCs w:val="26"/>
        </w:rPr>
      </w:pPr>
    </w:p>
    <w:p w14:paraId="358D4833" w14:textId="4D9972C2" w:rsidR="00695445" w:rsidRPr="00C454A1" w:rsidRDefault="00695445" w:rsidP="00695445">
      <w:pPr>
        <w:pStyle w:val="Prrafodelista"/>
        <w:tabs>
          <w:tab w:val="left" w:pos="567"/>
        </w:tabs>
        <w:ind w:left="567" w:right="51"/>
        <w:rPr>
          <w:rFonts w:cs="Times New Roman"/>
          <w:color w:val="000000" w:themeColor="text1"/>
          <w:sz w:val="26"/>
          <w:szCs w:val="26"/>
        </w:rPr>
      </w:pPr>
      <w:r w:rsidRPr="00C454A1">
        <w:rPr>
          <w:rFonts w:cs="Times New Roman"/>
          <w:color w:val="000000" w:themeColor="text1"/>
          <w:sz w:val="26"/>
          <w:szCs w:val="26"/>
        </w:rPr>
        <w:t>En ningún caso los civiles podrán ser investigados o juzgados por la justicia penal militar.</w:t>
      </w:r>
      <w:r w:rsidR="00260965" w:rsidRPr="00C454A1">
        <w:rPr>
          <w:rFonts w:cs="Times New Roman"/>
          <w:color w:val="000000" w:themeColor="text1"/>
          <w:sz w:val="26"/>
          <w:szCs w:val="26"/>
        </w:rPr>
        <w:t>”</w:t>
      </w:r>
    </w:p>
    <w:p w14:paraId="08179EF4" w14:textId="77777777" w:rsidR="00695445" w:rsidRPr="00C454A1" w:rsidRDefault="00695445" w:rsidP="00695445">
      <w:pPr>
        <w:pStyle w:val="Prrafodelista"/>
        <w:tabs>
          <w:tab w:val="left" w:pos="567"/>
        </w:tabs>
        <w:ind w:left="0"/>
        <w:rPr>
          <w:rFonts w:cs="Times New Roman"/>
          <w:color w:val="000000" w:themeColor="text1"/>
          <w:szCs w:val="28"/>
        </w:rPr>
      </w:pPr>
    </w:p>
    <w:p w14:paraId="0D39A2A1" w14:textId="77777777" w:rsidR="00695445" w:rsidRPr="00C454A1" w:rsidRDefault="00695445" w:rsidP="00695445">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El estado de conmoción interior es el estado de excepción que la Constitución instituye para conjurar las graves perturbaciones del orden público que atenten de forma inminente contra la estabilidad institucional, la seguridad del Estado o la convivencia ciudadana. De acuerdo con el inciso 2 del artículo 34 de la LEEE y la jurisprudencia constitucional</w:t>
      </w:r>
      <w:r w:rsidRPr="00C454A1">
        <w:rPr>
          <w:rStyle w:val="Refdenotaalpie"/>
          <w:rFonts w:cs="Times New Roman"/>
          <w:color w:val="000000" w:themeColor="text1"/>
          <w:szCs w:val="28"/>
        </w:rPr>
        <w:footnoteReference w:id="44"/>
      </w:r>
      <w:r w:rsidRPr="00C454A1">
        <w:rPr>
          <w:rFonts w:cs="Times New Roman"/>
          <w:color w:val="000000" w:themeColor="text1"/>
          <w:szCs w:val="28"/>
        </w:rPr>
        <w:t>, la declaratoria debe efectuarse mediante decreto. Al tenor del artículo 36 de la LEEE, con apoyo en la declaratoria, el presidente de la República queda facultado para expedir decretos con fuerza material de ley (decretos legislativos de desarrollo). En ejercicio de esta facultad, puede suspender, mediante tales decretos, las leyes que considere incompatibles con la conmoción interior</w:t>
      </w:r>
      <w:r w:rsidRPr="00C454A1">
        <w:rPr>
          <w:rStyle w:val="Refdenotaalpie"/>
          <w:rFonts w:cs="Times New Roman"/>
          <w:color w:val="000000" w:themeColor="text1"/>
          <w:szCs w:val="28"/>
        </w:rPr>
        <w:footnoteReference w:id="45"/>
      </w:r>
      <w:r w:rsidRPr="00C454A1">
        <w:rPr>
          <w:rFonts w:cs="Times New Roman"/>
          <w:color w:val="000000" w:themeColor="text1"/>
          <w:szCs w:val="28"/>
        </w:rPr>
        <w:t xml:space="preserve">. </w:t>
      </w:r>
    </w:p>
    <w:p w14:paraId="77209F80" w14:textId="77777777" w:rsidR="00695445" w:rsidRPr="00C454A1" w:rsidRDefault="00695445" w:rsidP="00695445">
      <w:pPr>
        <w:pStyle w:val="Prrafodelista"/>
        <w:tabs>
          <w:tab w:val="left" w:pos="567"/>
        </w:tabs>
        <w:ind w:left="0"/>
        <w:rPr>
          <w:rFonts w:cs="Times New Roman"/>
          <w:color w:val="000000" w:themeColor="text1"/>
          <w:szCs w:val="28"/>
        </w:rPr>
      </w:pPr>
    </w:p>
    <w:p w14:paraId="3993E75D" w14:textId="58E55CD5" w:rsidR="00695445" w:rsidRPr="00C454A1" w:rsidRDefault="00695445" w:rsidP="00695445">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El citado artículo también dispone que durante el estado de conmoción interior el presidente de la República tendrá las facultades excepcionales “estrictamente necesarias para conjurar las causas de la perturbación e impedir la extensión de sus efectos”. El artículo 38 de la LEEE enlista las medidas que, previo el cumplimiento de determinados requisitos, el presidente de la República puede adoptar durante el estado de conmoción interior. Los artículos 39 y 40 </w:t>
      </w:r>
      <w:r w:rsidRPr="00C454A1">
        <w:rPr>
          <w:rFonts w:cs="Times New Roman"/>
          <w:i/>
          <w:iCs/>
          <w:color w:val="000000" w:themeColor="text1"/>
          <w:szCs w:val="28"/>
        </w:rPr>
        <w:t>ejusdem</w:t>
      </w:r>
      <w:r w:rsidRPr="00C454A1">
        <w:rPr>
          <w:rFonts w:cs="Times New Roman"/>
          <w:color w:val="000000" w:themeColor="text1"/>
          <w:szCs w:val="28"/>
        </w:rPr>
        <w:t xml:space="preserve"> regulan el deber, a cargo del </w:t>
      </w:r>
      <w:r w:rsidR="007525E1" w:rsidRPr="00C454A1">
        <w:rPr>
          <w:rFonts w:cs="Times New Roman"/>
          <w:color w:val="000000" w:themeColor="text1"/>
          <w:szCs w:val="28"/>
        </w:rPr>
        <w:t>Gobierno nacional</w:t>
      </w:r>
      <w:r w:rsidRPr="00C454A1">
        <w:rPr>
          <w:rFonts w:cs="Times New Roman"/>
          <w:color w:val="000000" w:themeColor="text1"/>
          <w:szCs w:val="28"/>
        </w:rPr>
        <w:t xml:space="preserve">, de rendir un informe al Congreso de la República sobre las razones que determinaron la declaratoria, así como la necesidad de que el Senado rinda un concepto </w:t>
      </w:r>
      <w:r w:rsidRPr="00C454A1">
        <w:rPr>
          <w:rFonts w:cs="Times New Roman"/>
          <w:color w:val="000000" w:themeColor="text1"/>
          <w:szCs w:val="28"/>
        </w:rPr>
        <w:lastRenderedPageBreak/>
        <w:t>favorable sobre la prórroga del estado de conmoción interior. Finalmente, los artículos 41 a 45 de la misma ley se refieren, entre otras materias, a la prórroga de la vigencia de los decretos de desarrollo, la prohibición de tribunales militares para la investigación y juzgamiento de civiles, los límites del ejercicio del poder punitivo del Estado y la garantía de la autonomía de las entidades territoriales en el manejo de sus recursos o ingresos ordinarios.</w:t>
      </w:r>
    </w:p>
    <w:p w14:paraId="7A1FA9FB" w14:textId="77777777" w:rsidR="00695445" w:rsidRPr="00C454A1" w:rsidRDefault="00695445" w:rsidP="00695445">
      <w:pPr>
        <w:pStyle w:val="Prrafodelista"/>
        <w:tabs>
          <w:tab w:val="left" w:pos="567"/>
        </w:tabs>
        <w:ind w:left="0"/>
        <w:rPr>
          <w:rFonts w:cs="Times New Roman"/>
          <w:color w:val="000000" w:themeColor="text1"/>
          <w:szCs w:val="28"/>
        </w:rPr>
      </w:pPr>
    </w:p>
    <w:p w14:paraId="163DE26C" w14:textId="3600164E" w:rsidR="00695445" w:rsidRPr="00C454A1" w:rsidRDefault="00695445" w:rsidP="001F3006">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El recurso al estado de conmoción interior es, como ocurre con todos los estados de excepción, reglado y limitado. La Constitución y la LEEE prevén estrictos requisitos formales y materiales que condicionan la validez de la declaratoria y los decretos legislativos de desarrollo. As</w:t>
      </w:r>
      <w:r w:rsidR="00F37F4C" w:rsidRPr="00C454A1">
        <w:rPr>
          <w:rFonts w:cs="Times New Roman"/>
          <w:color w:val="000000" w:themeColor="text1"/>
          <w:szCs w:val="28"/>
        </w:rPr>
        <w:t>i</w:t>
      </w:r>
      <w:r w:rsidRPr="00C454A1">
        <w:rPr>
          <w:rFonts w:cs="Times New Roman"/>
          <w:color w:val="000000" w:themeColor="text1"/>
          <w:szCs w:val="28"/>
        </w:rPr>
        <w:t xml:space="preserve">mismo, establecen que la declaratoria de conmoción interior y las medidas que se expidan durante su vigencia están sujetas al control político a cargo del Congreso de la República y al control jurídico que adelanta la Corte Constitucional. En atención al objeto del presente proceso de constitucionalidad, a continuación, la Sala Plena se referirá a los requisitos formales y materiales aplicables al decreto </w:t>
      </w:r>
      <w:r w:rsidR="007C4464" w:rsidRPr="00C454A1">
        <w:rPr>
          <w:rFonts w:cs="Times New Roman"/>
          <w:color w:val="000000" w:themeColor="text1"/>
          <w:szCs w:val="28"/>
        </w:rPr>
        <w:t xml:space="preserve">legislativo </w:t>
      </w:r>
      <w:r w:rsidRPr="00C454A1">
        <w:rPr>
          <w:rFonts w:cs="Times New Roman"/>
          <w:color w:val="000000" w:themeColor="text1"/>
          <w:szCs w:val="28"/>
        </w:rPr>
        <w:t xml:space="preserve">mediante el cual el presidente de la República declara el estado de conmoción interior. </w:t>
      </w:r>
      <w:r w:rsidR="00B74EEA" w:rsidRPr="00C454A1">
        <w:rPr>
          <w:rFonts w:cs="Times New Roman"/>
          <w:color w:val="000000" w:themeColor="text1"/>
          <w:szCs w:val="28"/>
        </w:rPr>
        <w:t>La Sala recuerda que el incumplimiento de cualquiera de los requisitos que se enuncian a continuación vicia la constitucionalidad del decreto declaratorio y hace innecesario que la Corporación prosiga con el examen de los demás requisitos.</w:t>
      </w:r>
    </w:p>
    <w:p w14:paraId="6596B8F2" w14:textId="77777777" w:rsidR="00B74EEA" w:rsidRPr="00C454A1" w:rsidRDefault="00B74EEA" w:rsidP="00B74EEA">
      <w:pPr>
        <w:pStyle w:val="Prrafodelista"/>
        <w:tabs>
          <w:tab w:val="left" w:pos="567"/>
        </w:tabs>
        <w:ind w:left="0"/>
        <w:rPr>
          <w:rFonts w:cs="Times New Roman"/>
          <w:color w:val="000000" w:themeColor="text1"/>
          <w:szCs w:val="28"/>
        </w:rPr>
      </w:pPr>
    </w:p>
    <w:p w14:paraId="35D6CC18" w14:textId="7B5F1DEE" w:rsidR="006B2534" w:rsidRPr="00C454A1" w:rsidRDefault="006B2534" w:rsidP="00260965">
      <w:pPr>
        <w:pStyle w:val="Prrafodelista"/>
        <w:widowControl w:val="0"/>
        <w:numPr>
          <w:ilvl w:val="2"/>
          <w:numId w:val="3"/>
        </w:numPr>
        <w:outlineLvl w:val="0"/>
        <w:rPr>
          <w:rFonts w:cs="Times New Roman"/>
          <w:b/>
          <w:bCs/>
          <w:color w:val="000000" w:themeColor="text1"/>
          <w:szCs w:val="28"/>
        </w:rPr>
      </w:pPr>
      <w:bookmarkStart w:id="108" w:name="_Toc223979935"/>
      <w:r w:rsidRPr="00C454A1">
        <w:rPr>
          <w:rFonts w:cs="Times New Roman"/>
          <w:b/>
          <w:bCs/>
          <w:color w:val="000000" w:themeColor="text1"/>
          <w:szCs w:val="28"/>
        </w:rPr>
        <w:t xml:space="preserve">Requisitos </w:t>
      </w:r>
      <w:r w:rsidR="00643FF9" w:rsidRPr="00C454A1">
        <w:rPr>
          <w:rFonts w:cs="Times New Roman"/>
          <w:b/>
          <w:bCs/>
          <w:color w:val="000000" w:themeColor="text1"/>
          <w:szCs w:val="28"/>
        </w:rPr>
        <w:t>formales</w:t>
      </w:r>
      <w:bookmarkEnd w:id="108"/>
    </w:p>
    <w:p w14:paraId="2D817991" w14:textId="77777777" w:rsidR="00431CA7" w:rsidRPr="00C454A1" w:rsidRDefault="00431CA7" w:rsidP="00431CA7">
      <w:pPr>
        <w:pStyle w:val="Prrafodelista"/>
        <w:ind w:left="0"/>
        <w:rPr>
          <w:rFonts w:cs="Times New Roman"/>
          <w:color w:val="000000" w:themeColor="text1"/>
          <w:szCs w:val="28"/>
        </w:rPr>
      </w:pPr>
    </w:p>
    <w:p w14:paraId="5B2F7099" w14:textId="64C8E0D1" w:rsidR="00431CA7" w:rsidRPr="00C454A1" w:rsidRDefault="00431CA7" w:rsidP="00431CA7">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Mediante las sentencias C-556 de 1992, C-031 de 1993, C-300 de 1994, C-466 de 1995, C-027 de 1996, C-802 de 2002 y C-070 de 2009, la Corte ha examinado siete decretos legislativos declaratorios de estados de conmoción interior. En concordancia con el texto constitucional y la LEEE, en las sentencias C-556 de 1992, C-031 de 1993, C-300 de 1994, C-466 de 1995 y C-027 de 1996, la Sala Plena advirtió que la Constitución y la LEEE prevén los siguientes tres requisitos formales que condicionan la validez constitucional del decreto </w:t>
      </w:r>
      <w:r w:rsidR="007C4464" w:rsidRPr="00C454A1">
        <w:rPr>
          <w:rFonts w:cs="Times New Roman"/>
          <w:color w:val="000000" w:themeColor="text1"/>
          <w:szCs w:val="28"/>
        </w:rPr>
        <w:t xml:space="preserve">legislativo </w:t>
      </w:r>
      <w:r w:rsidRPr="00C454A1">
        <w:rPr>
          <w:rFonts w:cs="Times New Roman"/>
          <w:color w:val="000000" w:themeColor="text1"/>
          <w:szCs w:val="28"/>
        </w:rPr>
        <w:t>que declara el estado de conmoción interior:</w:t>
      </w:r>
    </w:p>
    <w:p w14:paraId="45FF81C3" w14:textId="77777777" w:rsidR="00431CA7" w:rsidRPr="00C454A1" w:rsidRDefault="00431CA7" w:rsidP="00431CA7">
      <w:pPr>
        <w:pStyle w:val="Prrafodelista"/>
        <w:tabs>
          <w:tab w:val="left" w:pos="567"/>
        </w:tabs>
        <w:ind w:left="0"/>
        <w:rPr>
          <w:rFonts w:cs="Times New Roman"/>
          <w:color w:val="000000" w:themeColor="text1"/>
          <w:szCs w:val="28"/>
        </w:rPr>
      </w:pPr>
    </w:p>
    <w:p w14:paraId="7621EA0E" w14:textId="5E567BFC" w:rsidR="00431CA7" w:rsidRPr="00C454A1" w:rsidRDefault="00431CA7" w:rsidP="00431CA7">
      <w:pPr>
        <w:pStyle w:val="Prrafodelista"/>
        <w:tabs>
          <w:tab w:val="left" w:pos="567"/>
        </w:tabs>
        <w:ind w:left="567"/>
        <w:rPr>
          <w:rFonts w:cs="Times New Roman"/>
          <w:color w:val="000000" w:themeColor="text1"/>
          <w:szCs w:val="28"/>
        </w:rPr>
      </w:pPr>
      <w:r w:rsidRPr="00C454A1">
        <w:rPr>
          <w:rFonts w:cs="Times New Roman"/>
          <w:color w:val="000000" w:themeColor="text1"/>
          <w:szCs w:val="28"/>
        </w:rPr>
        <w:t>1. La firma del presidente de la República y de todos los ministros: el inciso 1 del artículo 213 y el numeral 1 del artículo 214 de la Constitución, así como el artículo 34 de la LEEE, prevén que el estado de conmoción interior debe ser declarado por “el presidente de la República, con la firma de todos los ministros”.</w:t>
      </w:r>
    </w:p>
    <w:p w14:paraId="0E1D2196" w14:textId="77777777" w:rsidR="00431CA7" w:rsidRPr="00C454A1" w:rsidRDefault="00431CA7" w:rsidP="00431CA7">
      <w:pPr>
        <w:pStyle w:val="Prrafodelista"/>
        <w:tabs>
          <w:tab w:val="left" w:pos="567"/>
        </w:tabs>
        <w:ind w:left="567"/>
        <w:rPr>
          <w:rFonts w:cs="Times New Roman"/>
          <w:color w:val="000000" w:themeColor="text1"/>
          <w:szCs w:val="28"/>
        </w:rPr>
      </w:pPr>
    </w:p>
    <w:p w14:paraId="0E9E2CC5" w14:textId="01AF57B1" w:rsidR="00431CA7" w:rsidRPr="00C454A1" w:rsidRDefault="00431CA7" w:rsidP="00431CA7">
      <w:pPr>
        <w:pStyle w:val="Prrafodelista"/>
        <w:tabs>
          <w:tab w:val="left" w:pos="567"/>
        </w:tabs>
        <w:ind w:left="567"/>
        <w:rPr>
          <w:rFonts w:cs="Times New Roman"/>
          <w:color w:val="000000" w:themeColor="text1"/>
          <w:szCs w:val="28"/>
        </w:rPr>
      </w:pPr>
      <w:r w:rsidRPr="00C454A1">
        <w:rPr>
          <w:rFonts w:cs="Times New Roman"/>
          <w:color w:val="000000" w:themeColor="text1"/>
          <w:szCs w:val="28"/>
        </w:rPr>
        <w:t xml:space="preserve">2. La motivación: los artículos 213 </w:t>
      </w:r>
      <w:r w:rsidR="007C4464" w:rsidRPr="00C454A1">
        <w:rPr>
          <w:rFonts w:cs="Times New Roman"/>
          <w:color w:val="000000" w:themeColor="text1"/>
          <w:szCs w:val="28"/>
        </w:rPr>
        <w:t xml:space="preserve">de la Constitución </w:t>
      </w:r>
      <w:r w:rsidRPr="00C454A1">
        <w:rPr>
          <w:rFonts w:cs="Times New Roman"/>
          <w:color w:val="000000" w:themeColor="text1"/>
          <w:szCs w:val="28"/>
        </w:rPr>
        <w:t xml:space="preserve">y 8 de la LEEE disponen que el decreto mediante el cual se declara el estado de conmoción interior debe contener las razones que dieron lugar a la declaratoria. </w:t>
      </w:r>
    </w:p>
    <w:p w14:paraId="65283AA9" w14:textId="77777777" w:rsidR="00431CA7" w:rsidRPr="00C454A1" w:rsidRDefault="00431CA7" w:rsidP="00431CA7">
      <w:pPr>
        <w:pStyle w:val="Prrafodelista"/>
        <w:tabs>
          <w:tab w:val="left" w:pos="567"/>
        </w:tabs>
        <w:ind w:left="567"/>
        <w:rPr>
          <w:rFonts w:cs="Times New Roman"/>
          <w:color w:val="000000" w:themeColor="text1"/>
          <w:szCs w:val="28"/>
        </w:rPr>
      </w:pPr>
    </w:p>
    <w:p w14:paraId="535F4EF8" w14:textId="09659210" w:rsidR="00431CA7" w:rsidRPr="00C454A1" w:rsidRDefault="00431CA7" w:rsidP="00431CA7">
      <w:pPr>
        <w:pStyle w:val="Prrafodelista"/>
        <w:tabs>
          <w:tab w:val="left" w:pos="567"/>
        </w:tabs>
        <w:ind w:left="567"/>
        <w:rPr>
          <w:rFonts w:cs="Times New Roman"/>
          <w:color w:val="000000" w:themeColor="text1"/>
          <w:szCs w:val="28"/>
        </w:rPr>
      </w:pPr>
      <w:r w:rsidRPr="00C454A1">
        <w:rPr>
          <w:rFonts w:cs="Times New Roman"/>
          <w:color w:val="000000" w:themeColor="text1"/>
          <w:szCs w:val="28"/>
        </w:rPr>
        <w:t xml:space="preserve">3. La delimitación temporal: el inciso 1 del artículo 213 de la Constitución y los artículos 34 y 35 de la LEEE establecen que el presidente de la República podrá declarar la conmoción por un término no mayor </w:t>
      </w:r>
      <w:r w:rsidR="007C4464" w:rsidRPr="00C454A1">
        <w:rPr>
          <w:rFonts w:cs="Times New Roman"/>
          <w:color w:val="000000" w:themeColor="text1"/>
          <w:szCs w:val="28"/>
        </w:rPr>
        <w:t xml:space="preserve">a </w:t>
      </w:r>
      <w:r w:rsidRPr="00C454A1">
        <w:rPr>
          <w:rFonts w:cs="Times New Roman"/>
          <w:color w:val="000000" w:themeColor="text1"/>
          <w:szCs w:val="28"/>
        </w:rPr>
        <w:t xml:space="preserve">90 días, prorrogable hasta por dos períodos iguales, el segundo de los cuales requiere concepto previo y favorable del Senado de la República. </w:t>
      </w:r>
    </w:p>
    <w:p w14:paraId="0A655750" w14:textId="77777777" w:rsidR="00431CA7" w:rsidRPr="00C454A1" w:rsidRDefault="00431CA7" w:rsidP="00431CA7">
      <w:pPr>
        <w:pStyle w:val="Prrafodelista"/>
        <w:tabs>
          <w:tab w:val="left" w:pos="567"/>
        </w:tabs>
        <w:ind w:left="0"/>
        <w:rPr>
          <w:rFonts w:cs="Times New Roman"/>
          <w:color w:val="000000" w:themeColor="text1"/>
          <w:szCs w:val="28"/>
        </w:rPr>
      </w:pPr>
    </w:p>
    <w:p w14:paraId="30296021" w14:textId="2A907E49" w:rsidR="001A126E" w:rsidRPr="00C454A1" w:rsidRDefault="00431CA7" w:rsidP="001A126E">
      <w:pPr>
        <w:pStyle w:val="Prrafodelista"/>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Posteriormente, en la Sentencia C-802 de 2002, reiterada en la Sentencia C-070 de 2009, la </w:t>
      </w:r>
      <w:r w:rsidR="00512516" w:rsidRPr="00C454A1">
        <w:rPr>
          <w:rFonts w:cs="Times New Roman"/>
          <w:color w:val="000000" w:themeColor="text1"/>
          <w:szCs w:val="28"/>
        </w:rPr>
        <w:t>C</w:t>
      </w:r>
      <w:r w:rsidRPr="00C454A1">
        <w:rPr>
          <w:rFonts w:cs="Times New Roman"/>
          <w:color w:val="000000" w:themeColor="text1"/>
          <w:szCs w:val="28"/>
        </w:rPr>
        <w:t>orporación determinó un requisito adicional: la delimitación territorial. Con este propósito, destacó que</w:t>
      </w:r>
      <w:r w:rsidRPr="00C454A1">
        <w:rPr>
          <w:rFonts w:cs="Times New Roman"/>
          <w:i/>
          <w:iCs/>
          <w:color w:val="000000" w:themeColor="text1"/>
          <w:szCs w:val="28"/>
        </w:rPr>
        <w:t xml:space="preserve"> </w:t>
      </w:r>
      <w:r w:rsidRPr="00C454A1">
        <w:rPr>
          <w:rFonts w:cs="Times New Roman"/>
          <w:color w:val="000000" w:themeColor="text1"/>
          <w:szCs w:val="28"/>
        </w:rPr>
        <w:t>el inciso 1 del artículo 213 de la Constitución prevé que la declaratoria del estado de conmoción interior podrá tener efectos en “toda la República o parte de ella”. El inciso final del artículo 34 de la LEEE también dispone que “el decreto declaratorio determinará el ámbito territorial de la conmoción interior”.</w:t>
      </w:r>
    </w:p>
    <w:p w14:paraId="0ED75013" w14:textId="77777777" w:rsidR="001A126E" w:rsidRPr="00C454A1" w:rsidRDefault="001A126E" w:rsidP="001A126E">
      <w:pPr>
        <w:pStyle w:val="Prrafodelista"/>
        <w:tabs>
          <w:tab w:val="left" w:pos="567"/>
        </w:tabs>
        <w:ind w:left="0"/>
        <w:rPr>
          <w:rFonts w:cs="Times New Roman"/>
          <w:color w:val="000000" w:themeColor="text1"/>
          <w:szCs w:val="28"/>
        </w:rPr>
      </w:pPr>
    </w:p>
    <w:p w14:paraId="03E31357" w14:textId="4CB3FE23" w:rsidR="008B1BD7" w:rsidRPr="00C454A1" w:rsidRDefault="007C5185" w:rsidP="001A126E">
      <w:pPr>
        <w:pStyle w:val="Prrafodelista"/>
        <w:numPr>
          <w:ilvl w:val="0"/>
          <w:numId w:val="2"/>
        </w:numPr>
        <w:tabs>
          <w:tab w:val="left" w:pos="567"/>
        </w:tabs>
        <w:ind w:left="0" w:firstLine="0"/>
        <w:rPr>
          <w:rFonts w:cs="Times New Roman"/>
          <w:color w:val="000000" w:themeColor="text1"/>
          <w:szCs w:val="28"/>
        </w:rPr>
      </w:pPr>
      <w:r w:rsidRPr="00C454A1">
        <w:rPr>
          <w:color w:val="000000" w:themeColor="text1"/>
        </w:rPr>
        <w:t>Por último, el artículo 16 de la LEEE, en concordancia con los artículos</w:t>
      </w:r>
      <w:r w:rsidRPr="00C454A1">
        <w:rPr>
          <w:rFonts w:cs="Times New Roman"/>
          <w:color w:val="000000" w:themeColor="text1"/>
          <w:szCs w:val="28"/>
          <w:lang w:eastAsia="es-ES"/>
        </w:rPr>
        <w:t xml:space="preserve"> 27 </w:t>
      </w:r>
      <w:r w:rsidRPr="00C454A1">
        <w:rPr>
          <w:color w:val="000000" w:themeColor="text1"/>
        </w:rPr>
        <w:t>de la Convención Americana de Derechos Humanos y 4 del Pacto Internacional de Derechos Civiles y Políticos,</w:t>
      </w:r>
      <w:r w:rsidRPr="00C454A1">
        <w:rPr>
          <w:rFonts w:cs="Times New Roman"/>
          <w:color w:val="000000" w:themeColor="text1"/>
          <w:szCs w:val="28"/>
          <w:lang w:eastAsia="es-ES"/>
        </w:rPr>
        <w:t xml:space="preserve"> dispone que al día siguiente de la declaración de un estado de excepción, </w:t>
      </w:r>
      <w:r w:rsidRPr="00C454A1">
        <w:rPr>
          <w:color w:val="000000" w:themeColor="text1"/>
        </w:rPr>
        <w:t xml:space="preserve">el Gobierno nacional deberá enviar al Secretario General de la Organización de Estados Americanos </w:t>
      </w:r>
      <w:r w:rsidR="0022328B" w:rsidRPr="00C454A1">
        <w:rPr>
          <w:color w:val="000000" w:themeColor="text1"/>
        </w:rPr>
        <w:t xml:space="preserve">(OEA) </w:t>
      </w:r>
      <w:r w:rsidRPr="00C454A1">
        <w:rPr>
          <w:color w:val="000000" w:themeColor="text1"/>
        </w:rPr>
        <w:t>y al Secretario General de las Naciones Unidas</w:t>
      </w:r>
      <w:r w:rsidR="0022328B" w:rsidRPr="00C454A1">
        <w:rPr>
          <w:color w:val="000000" w:themeColor="text1"/>
        </w:rPr>
        <w:t xml:space="preserve"> (ONU)</w:t>
      </w:r>
      <w:r w:rsidRPr="00C454A1">
        <w:rPr>
          <w:color w:val="000000" w:themeColor="text1"/>
        </w:rPr>
        <w:t xml:space="preserve">, “una comunicación en que dé aviso a los Estados Partes de los tratados citados, de la declaratoria del estado de excepción, y de los motivos que condujeron a ella”. </w:t>
      </w:r>
    </w:p>
    <w:p w14:paraId="6C419C62" w14:textId="77777777" w:rsidR="0022328B" w:rsidRPr="00C454A1" w:rsidRDefault="0022328B" w:rsidP="0022328B">
      <w:pPr>
        <w:pStyle w:val="Prrafodelista"/>
        <w:widowControl w:val="0"/>
        <w:ind w:left="0"/>
        <w:outlineLvl w:val="0"/>
        <w:rPr>
          <w:rFonts w:cs="Times New Roman"/>
          <w:color w:val="000000" w:themeColor="text1"/>
          <w:szCs w:val="28"/>
        </w:rPr>
      </w:pPr>
    </w:p>
    <w:p w14:paraId="6951CE3C" w14:textId="18ABC51A" w:rsidR="0093727D" w:rsidRPr="00C454A1" w:rsidRDefault="0063770D" w:rsidP="003C5D61">
      <w:pPr>
        <w:pStyle w:val="Prrafodelista"/>
        <w:widowControl w:val="0"/>
        <w:numPr>
          <w:ilvl w:val="2"/>
          <w:numId w:val="3"/>
        </w:numPr>
        <w:outlineLvl w:val="0"/>
        <w:rPr>
          <w:rFonts w:cs="Times New Roman"/>
          <w:b/>
          <w:bCs/>
          <w:color w:val="000000" w:themeColor="text1"/>
          <w:szCs w:val="28"/>
        </w:rPr>
      </w:pPr>
      <w:bookmarkStart w:id="109" w:name="_Toc223979936"/>
      <w:r w:rsidRPr="00C454A1">
        <w:rPr>
          <w:rFonts w:cs="Times New Roman"/>
          <w:b/>
          <w:bCs/>
          <w:color w:val="000000" w:themeColor="text1"/>
          <w:szCs w:val="28"/>
        </w:rPr>
        <w:t>Requisitos</w:t>
      </w:r>
      <w:r w:rsidR="008835F4" w:rsidRPr="00C454A1">
        <w:rPr>
          <w:rFonts w:cs="Times New Roman"/>
          <w:b/>
          <w:bCs/>
          <w:color w:val="000000" w:themeColor="text1"/>
          <w:szCs w:val="28"/>
        </w:rPr>
        <w:t xml:space="preserve"> </w:t>
      </w:r>
      <w:r w:rsidR="0093727D" w:rsidRPr="00C454A1">
        <w:rPr>
          <w:rFonts w:cs="Times New Roman"/>
          <w:b/>
          <w:bCs/>
          <w:color w:val="000000" w:themeColor="text1"/>
          <w:szCs w:val="28"/>
        </w:rPr>
        <w:t>materiales</w:t>
      </w:r>
      <w:bookmarkEnd w:id="109"/>
      <w:r w:rsidR="0093727D" w:rsidRPr="00C454A1">
        <w:rPr>
          <w:rFonts w:cs="Times New Roman"/>
          <w:b/>
          <w:bCs/>
          <w:color w:val="000000" w:themeColor="text1"/>
          <w:szCs w:val="28"/>
        </w:rPr>
        <w:t xml:space="preserve"> </w:t>
      </w:r>
    </w:p>
    <w:p w14:paraId="1353DE96" w14:textId="77777777" w:rsidR="008B1BD7" w:rsidRPr="00C454A1" w:rsidRDefault="008B1BD7" w:rsidP="008B1BD7">
      <w:pPr>
        <w:tabs>
          <w:tab w:val="left" w:pos="567"/>
        </w:tabs>
        <w:rPr>
          <w:rFonts w:cs="Times New Roman"/>
          <w:color w:val="000000" w:themeColor="text1"/>
          <w:szCs w:val="28"/>
        </w:rPr>
      </w:pPr>
    </w:p>
    <w:p w14:paraId="138ED6F8" w14:textId="40717851" w:rsidR="008B1BD7" w:rsidRPr="00C454A1" w:rsidRDefault="000607BA" w:rsidP="008B1BD7">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Como </w:t>
      </w:r>
      <w:r w:rsidR="001332D1" w:rsidRPr="00C454A1">
        <w:rPr>
          <w:rFonts w:cs="Times New Roman"/>
          <w:color w:val="000000" w:themeColor="text1"/>
          <w:szCs w:val="28"/>
        </w:rPr>
        <w:t>se indicó con anterioridad,</w:t>
      </w:r>
      <w:r w:rsidR="008B1BD7" w:rsidRPr="00C454A1">
        <w:rPr>
          <w:rFonts w:cs="Times New Roman"/>
          <w:color w:val="000000" w:themeColor="text1"/>
          <w:szCs w:val="28"/>
        </w:rPr>
        <w:t xml:space="preserve"> la Corte ha examinado siete decretos legislativos declaratorios de estados de conmoción interior, mediante las sentencias C-556 de 1992, C-031 de 1993, C-300 de 1994, C-466 de 1995, C-027 de 1996, C-802 de 2002 y C-070 de 2009. En esas providencias es posible identificar dos materias que serán abordad</w:t>
      </w:r>
      <w:r w:rsidR="007C4464" w:rsidRPr="00C454A1">
        <w:rPr>
          <w:rFonts w:cs="Times New Roman"/>
          <w:color w:val="000000" w:themeColor="text1"/>
          <w:szCs w:val="28"/>
        </w:rPr>
        <w:t>a</w:t>
      </w:r>
      <w:r w:rsidR="008B1BD7" w:rsidRPr="00C454A1">
        <w:rPr>
          <w:rFonts w:cs="Times New Roman"/>
          <w:color w:val="000000" w:themeColor="text1"/>
          <w:szCs w:val="28"/>
        </w:rPr>
        <w:t>s en los siguientes capítulos</w:t>
      </w:r>
      <w:r w:rsidR="001332D1" w:rsidRPr="00C454A1">
        <w:rPr>
          <w:rFonts w:cs="Times New Roman"/>
          <w:color w:val="000000" w:themeColor="text1"/>
          <w:szCs w:val="28"/>
        </w:rPr>
        <w:t>, a saber</w:t>
      </w:r>
      <w:r w:rsidR="008B1BD7" w:rsidRPr="00C454A1">
        <w:rPr>
          <w:rFonts w:cs="Times New Roman"/>
          <w:color w:val="000000" w:themeColor="text1"/>
          <w:szCs w:val="28"/>
        </w:rPr>
        <w:t>: (i) las etapas en el desarrollo de la jurisprudencia sobre los estados de conmoción interior</w:t>
      </w:r>
      <w:r w:rsidR="00BB575C" w:rsidRPr="00C454A1">
        <w:rPr>
          <w:rFonts w:cs="Times New Roman"/>
          <w:color w:val="000000" w:themeColor="text1"/>
          <w:szCs w:val="28"/>
        </w:rPr>
        <w:t>,</w:t>
      </w:r>
      <w:r w:rsidR="008B1BD7" w:rsidRPr="00C454A1">
        <w:rPr>
          <w:rFonts w:cs="Times New Roman"/>
          <w:color w:val="000000" w:themeColor="text1"/>
          <w:szCs w:val="28"/>
        </w:rPr>
        <w:t xml:space="preserve"> y (ii) el alcance de la exigencia </w:t>
      </w:r>
      <w:r w:rsidR="001332D1" w:rsidRPr="00C454A1">
        <w:rPr>
          <w:rFonts w:cs="Times New Roman"/>
          <w:color w:val="000000" w:themeColor="text1"/>
          <w:szCs w:val="28"/>
        </w:rPr>
        <w:t>según</w:t>
      </w:r>
      <w:r w:rsidR="008B1BD7" w:rsidRPr="00C454A1">
        <w:rPr>
          <w:rFonts w:cs="Times New Roman"/>
          <w:color w:val="000000" w:themeColor="text1"/>
          <w:szCs w:val="28"/>
        </w:rPr>
        <w:t xml:space="preserve"> la cual </w:t>
      </w:r>
      <w:r w:rsidR="001332D1" w:rsidRPr="00C454A1">
        <w:rPr>
          <w:rFonts w:cs="Times New Roman"/>
          <w:color w:val="000000" w:themeColor="text1"/>
          <w:szCs w:val="28"/>
        </w:rPr>
        <w:t>declarar</w:t>
      </w:r>
      <w:r w:rsidR="008B1BD7" w:rsidRPr="00C454A1">
        <w:rPr>
          <w:rFonts w:cs="Times New Roman"/>
          <w:color w:val="000000" w:themeColor="text1"/>
          <w:szCs w:val="28"/>
        </w:rPr>
        <w:t xml:space="preserve"> un estado de conmoción interior </w:t>
      </w:r>
      <w:r w:rsidR="001332D1" w:rsidRPr="00C454A1">
        <w:rPr>
          <w:rFonts w:cs="Times New Roman"/>
          <w:color w:val="000000" w:themeColor="text1"/>
          <w:szCs w:val="28"/>
        </w:rPr>
        <w:t xml:space="preserve">requiere cumplir </w:t>
      </w:r>
      <w:r w:rsidR="008B1BD7" w:rsidRPr="00C454A1">
        <w:rPr>
          <w:rFonts w:cs="Times New Roman"/>
          <w:color w:val="000000" w:themeColor="text1"/>
          <w:szCs w:val="28"/>
        </w:rPr>
        <w:t xml:space="preserve">los presupuestos fáctico, valorativo y de suficiencia. </w:t>
      </w:r>
    </w:p>
    <w:p w14:paraId="26E5A78E" w14:textId="77777777" w:rsidR="008B1BD7" w:rsidRPr="00C454A1" w:rsidRDefault="008B1BD7" w:rsidP="008B1BD7">
      <w:pPr>
        <w:tabs>
          <w:tab w:val="left" w:pos="567"/>
        </w:tabs>
        <w:rPr>
          <w:rFonts w:cs="Times New Roman"/>
          <w:color w:val="000000" w:themeColor="text1"/>
          <w:szCs w:val="28"/>
        </w:rPr>
      </w:pPr>
    </w:p>
    <w:p w14:paraId="5359CAED" w14:textId="2968237D" w:rsidR="008B1BD7" w:rsidRPr="00C454A1" w:rsidRDefault="00895D07" w:rsidP="00895D07">
      <w:pPr>
        <w:pStyle w:val="Prrafodelista"/>
        <w:numPr>
          <w:ilvl w:val="0"/>
          <w:numId w:val="2"/>
        </w:numPr>
        <w:tabs>
          <w:tab w:val="left" w:pos="567"/>
        </w:tabs>
        <w:ind w:left="0" w:firstLine="0"/>
        <w:rPr>
          <w:rFonts w:cs="Times New Roman"/>
          <w:b/>
          <w:bCs/>
          <w:i/>
          <w:iCs/>
          <w:color w:val="000000" w:themeColor="text1"/>
          <w:szCs w:val="28"/>
        </w:rPr>
      </w:pPr>
      <w:r w:rsidRPr="00C454A1">
        <w:rPr>
          <w:rFonts w:cs="Times New Roman"/>
          <w:i/>
          <w:iCs/>
          <w:color w:val="000000" w:themeColor="text1"/>
          <w:szCs w:val="28"/>
        </w:rPr>
        <w:t>Etapas de la jurisprudencia sobre los estados de conmoción interior.</w:t>
      </w:r>
      <w:r w:rsidRPr="00C454A1">
        <w:rPr>
          <w:rFonts w:cs="Times New Roman"/>
          <w:b/>
          <w:bCs/>
          <w:i/>
          <w:iCs/>
          <w:color w:val="000000" w:themeColor="text1"/>
          <w:szCs w:val="28"/>
        </w:rPr>
        <w:t xml:space="preserve"> </w:t>
      </w:r>
      <w:r w:rsidR="00BB575C" w:rsidRPr="00C454A1">
        <w:rPr>
          <w:color w:val="000000" w:themeColor="text1"/>
        </w:rPr>
        <w:t>La distinción de las etapas de la jurisprudencia sobre los estados de conmoción interior permite contextualizar las decisiones de la Corte, precisar las exigencias actuales de validez y diferenciar esta línea jurisprudencial de la relativa a otros estados de excepción, a la luz de los cambios cuantitativos y cualitativos de la violencia estructural</w:t>
      </w:r>
      <w:r w:rsidR="00051A59" w:rsidRPr="00C454A1">
        <w:rPr>
          <w:color w:val="000000" w:themeColor="text1"/>
        </w:rPr>
        <w:t xml:space="preserve"> que ha afrontado el país.</w:t>
      </w:r>
      <w:r w:rsidR="008B1BD7" w:rsidRPr="00C454A1">
        <w:rPr>
          <w:rFonts w:cs="Times New Roman"/>
          <w:color w:val="000000" w:themeColor="text1"/>
          <w:szCs w:val="28"/>
        </w:rPr>
        <w:t xml:space="preserve"> </w:t>
      </w:r>
      <w:r w:rsidR="00E6585C" w:rsidRPr="00C454A1">
        <w:rPr>
          <w:rFonts w:cs="Times New Roman"/>
          <w:color w:val="000000" w:themeColor="text1"/>
          <w:szCs w:val="28"/>
        </w:rPr>
        <w:t xml:space="preserve">El desarrollo jurisprudencial que a continuación se presenta ha conducido a que hoy el control material que realiza la Corte Constitucional sea estricto, integral y no meramente deferente. </w:t>
      </w:r>
      <w:r w:rsidR="008B1BD7" w:rsidRPr="00C454A1">
        <w:rPr>
          <w:rFonts w:cs="Times New Roman"/>
          <w:color w:val="000000" w:themeColor="text1"/>
          <w:szCs w:val="28"/>
        </w:rPr>
        <w:t>Las etapas ju</w:t>
      </w:r>
      <w:r w:rsidR="00051A59" w:rsidRPr="00C454A1">
        <w:rPr>
          <w:rFonts w:cs="Times New Roman"/>
          <w:color w:val="000000" w:themeColor="text1"/>
          <w:szCs w:val="28"/>
        </w:rPr>
        <w:t>r</w:t>
      </w:r>
      <w:r w:rsidR="008B1BD7" w:rsidRPr="00C454A1">
        <w:rPr>
          <w:rFonts w:cs="Times New Roman"/>
          <w:color w:val="000000" w:themeColor="text1"/>
          <w:szCs w:val="28"/>
        </w:rPr>
        <w:t>isprudenciales anunciadas son las siguientes:</w:t>
      </w:r>
    </w:p>
    <w:p w14:paraId="36CAC5DB" w14:textId="77777777" w:rsidR="008B1BD7" w:rsidRPr="00C454A1" w:rsidRDefault="008B1BD7" w:rsidP="008B1BD7">
      <w:pPr>
        <w:tabs>
          <w:tab w:val="left" w:pos="567"/>
        </w:tabs>
        <w:rPr>
          <w:rFonts w:cs="Times New Roman"/>
          <w:color w:val="000000" w:themeColor="text1"/>
          <w:szCs w:val="28"/>
        </w:rPr>
      </w:pPr>
    </w:p>
    <w:p w14:paraId="1C1541A5" w14:textId="56E9B6A5" w:rsidR="008B1BD7" w:rsidRPr="00C454A1" w:rsidRDefault="008B1BD7" w:rsidP="008B1BD7">
      <w:pPr>
        <w:numPr>
          <w:ilvl w:val="0"/>
          <w:numId w:val="2"/>
        </w:numPr>
        <w:tabs>
          <w:tab w:val="left" w:pos="567"/>
        </w:tabs>
        <w:ind w:left="0" w:firstLine="0"/>
        <w:rPr>
          <w:rFonts w:cs="Times New Roman"/>
          <w:i/>
          <w:iCs/>
          <w:color w:val="000000" w:themeColor="text1"/>
          <w:szCs w:val="28"/>
        </w:rPr>
      </w:pPr>
      <w:r w:rsidRPr="00C454A1">
        <w:rPr>
          <w:rFonts w:cs="Times New Roman"/>
          <w:i/>
          <w:iCs/>
          <w:color w:val="000000" w:themeColor="text1"/>
          <w:szCs w:val="28"/>
        </w:rPr>
        <w:t xml:space="preserve">Primera etapa: </w:t>
      </w:r>
      <w:r w:rsidR="00A82567" w:rsidRPr="00C454A1">
        <w:rPr>
          <w:rFonts w:cs="Times New Roman"/>
          <w:iCs/>
          <w:color w:val="000000" w:themeColor="text1"/>
          <w:szCs w:val="28"/>
        </w:rPr>
        <w:t>las</w:t>
      </w:r>
      <w:r w:rsidR="00A82567" w:rsidRPr="00C454A1">
        <w:rPr>
          <w:rFonts w:cs="Times New Roman"/>
          <w:i/>
          <w:iCs/>
          <w:color w:val="000000" w:themeColor="text1"/>
          <w:szCs w:val="28"/>
        </w:rPr>
        <w:t xml:space="preserve"> </w:t>
      </w:r>
      <w:r w:rsidRPr="00C454A1">
        <w:rPr>
          <w:rFonts w:cs="Times New Roman"/>
          <w:i/>
          <w:iCs/>
          <w:color w:val="000000" w:themeColor="text1"/>
          <w:szCs w:val="28"/>
        </w:rPr>
        <w:t>sentencias C-556 de 1992 y C-031 de 1993</w:t>
      </w:r>
      <w:r w:rsidR="00A82567" w:rsidRPr="00C454A1">
        <w:rPr>
          <w:rFonts w:cs="Times New Roman"/>
          <w:i/>
          <w:iCs/>
          <w:color w:val="000000" w:themeColor="text1"/>
          <w:szCs w:val="28"/>
        </w:rPr>
        <w:t xml:space="preserve"> </w:t>
      </w:r>
      <w:r w:rsidR="00A82567" w:rsidRPr="00C454A1">
        <w:rPr>
          <w:rFonts w:cs="Times New Roman"/>
          <w:iCs/>
          <w:color w:val="000000" w:themeColor="text1"/>
          <w:szCs w:val="28"/>
        </w:rPr>
        <w:t>fueron las primeras sentencias constitucionales que analizaron una declaratoria de conmoción interior bajo la vigencia de la Constitución de 1991</w:t>
      </w:r>
      <w:r w:rsidRPr="00C454A1">
        <w:rPr>
          <w:rFonts w:cs="Times New Roman"/>
          <w:i/>
          <w:iCs/>
          <w:color w:val="000000" w:themeColor="text1"/>
          <w:szCs w:val="28"/>
        </w:rPr>
        <w:t>.</w:t>
      </w:r>
      <w:r w:rsidRPr="00C454A1">
        <w:rPr>
          <w:rFonts w:cs="Times New Roman"/>
          <w:color w:val="000000" w:themeColor="text1"/>
          <w:szCs w:val="28"/>
        </w:rPr>
        <w:t xml:space="preserve"> </w:t>
      </w:r>
      <w:r w:rsidR="00A82567" w:rsidRPr="00C454A1">
        <w:rPr>
          <w:rFonts w:cs="Times New Roman"/>
          <w:color w:val="000000" w:themeColor="text1"/>
          <w:szCs w:val="28"/>
        </w:rPr>
        <w:t xml:space="preserve">Estas </w:t>
      </w:r>
      <w:r w:rsidRPr="00C454A1">
        <w:rPr>
          <w:rFonts w:cs="Times New Roman"/>
          <w:color w:val="000000" w:themeColor="text1"/>
          <w:szCs w:val="28"/>
        </w:rPr>
        <w:t>providencias</w:t>
      </w:r>
      <w:r w:rsidR="00051A59" w:rsidRPr="00C454A1">
        <w:rPr>
          <w:color w:val="000000" w:themeColor="text1"/>
        </w:rPr>
        <w:t xml:space="preserve"> fueron expedidas en un momento de tránsito constitucional </w:t>
      </w:r>
      <w:r w:rsidR="00051A59" w:rsidRPr="00C454A1">
        <w:rPr>
          <w:rFonts w:cs="Times New Roman"/>
          <w:color w:val="000000" w:themeColor="text1"/>
          <w:szCs w:val="28"/>
          <w:lang w:val="es-ES"/>
        </w:rPr>
        <w:t>en el que la Corte exhibía deferencia a las decisiones tomadas por el Gobierno nacional en materia de estados de excepción</w:t>
      </w:r>
      <w:r w:rsidR="002533D3" w:rsidRPr="00C454A1">
        <w:rPr>
          <w:rFonts w:cs="Times New Roman"/>
          <w:color w:val="000000" w:themeColor="text1"/>
          <w:szCs w:val="28"/>
        </w:rPr>
        <w:t>, sin que ello implicará renuncia al control constitucional.</w:t>
      </w:r>
    </w:p>
    <w:p w14:paraId="76841DAC" w14:textId="77777777" w:rsidR="008B1BD7" w:rsidRPr="00C454A1" w:rsidRDefault="008B1BD7" w:rsidP="008B1BD7">
      <w:pPr>
        <w:tabs>
          <w:tab w:val="left" w:pos="567"/>
        </w:tabs>
        <w:rPr>
          <w:rFonts w:cs="Times New Roman"/>
          <w:i/>
          <w:iCs/>
          <w:color w:val="000000" w:themeColor="text1"/>
          <w:szCs w:val="28"/>
        </w:rPr>
      </w:pPr>
    </w:p>
    <w:p w14:paraId="45733B4E" w14:textId="03829EEB" w:rsidR="008B1BD7" w:rsidRPr="00C454A1" w:rsidRDefault="008B1BD7" w:rsidP="008B1BD7">
      <w:pPr>
        <w:numPr>
          <w:ilvl w:val="0"/>
          <w:numId w:val="2"/>
        </w:numPr>
        <w:tabs>
          <w:tab w:val="left" w:pos="567"/>
        </w:tabs>
        <w:ind w:left="0" w:firstLine="0"/>
        <w:rPr>
          <w:rFonts w:cs="Times New Roman"/>
          <w:i/>
          <w:iCs/>
          <w:color w:val="000000" w:themeColor="text1"/>
          <w:szCs w:val="28"/>
        </w:rPr>
      </w:pPr>
      <w:r w:rsidRPr="00C454A1">
        <w:rPr>
          <w:rFonts w:cs="Times New Roman"/>
          <w:i/>
          <w:iCs/>
          <w:color w:val="000000" w:themeColor="text1"/>
          <w:szCs w:val="28"/>
        </w:rPr>
        <w:lastRenderedPageBreak/>
        <w:t xml:space="preserve"> </w:t>
      </w:r>
      <w:bookmarkStart w:id="110" w:name="_Ref203391073"/>
      <w:r w:rsidR="00A82567" w:rsidRPr="00C454A1">
        <w:rPr>
          <w:rFonts w:cs="Times New Roman"/>
          <w:color w:val="000000" w:themeColor="text1"/>
          <w:szCs w:val="28"/>
        </w:rPr>
        <w:t>Así, l</w:t>
      </w:r>
      <w:r w:rsidRPr="00C454A1">
        <w:rPr>
          <w:rFonts w:cs="Times New Roman"/>
          <w:color w:val="000000" w:themeColor="text1"/>
          <w:szCs w:val="28"/>
        </w:rPr>
        <w:t xml:space="preserve">a Sentencia C-556 de 1992 fue la primera providencia </w:t>
      </w:r>
      <w:r w:rsidR="00A82567" w:rsidRPr="00C454A1">
        <w:rPr>
          <w:rFonts w:cs="Times New Roman"/>
          <w:color w:val="000000" w:themeColor="text1"/>
          <w:szCs w:val="28"/>
        </w:rPr>
        <w:t>de esta Corte</w:t>
      </w:r>
      <w:r w:rsidRPr="00C454A1">
        <w:rPr>
          <w:rFonts w:cs="Times New Roman"/>
          <w:color w:val="000000" w:themeColor="text1"/>
          <w:szCs w:val="28"/>
        </w:rPr>
        <w:t xml:space="preserve"> que </w:t>
      </w:r>
      <w:r w:rsidR="00B62A15" w:rsidRPr="00C454A1">
        <w:rPr>
          <w:rFonts w:cs="Times New Roman"/>
          <w:color w:val="000000" w:themeColor="text1"/>
          <w:szCs w:val="28"/>
        </w:rPr>
        <w:t>analizó</w:t>
      </w:r>
      <w:r w:rsidRPr="00C454A1">
        <w:rPr>
          <w:rFonts w:cs="Times New Roman"/>
          <w:color w:val="000000" w:themeColor="text1"/>
          <w:szCs w:val="28"/>
        </w:rPr>
        <w:t xml:space="preserve"> la exequibilidad de un decreto declaratorio del estado de conmoción interior. Se trataba del Decreto 1156 de 1992. El </w:t>
      </w:r>
      <w:r w:rsidR="007525E1" w:rsidRPr="00C454A1">
        <w:rPr>
          <w:rFonts w:cs="Times New Roman"/>
          <w:color w:val="000000" w:themeColor="text1"/>
          <w:szCs w:val="28"/>
        </w:rPr>
        <w:t>Gobierno nacional</w:t>
      </w:r>
      <w:r w:rsidRPr="00C454A1">
        <w:rPr>
          <w:rFonts w:cs="Times New Roman"/>
          <w:color w:val="000000" w:themeColor="text1"/>
          <w:szCs w:val="28"/>
        </w:rPr>
        <w:t xml:space="preserve"> justificó la expedición de este decreto en la necesidad de adoptar medidas extraordinarias para corregir interpretaciones problemáticas sobre las normas especiales que regían la entonces denominada jurisdicción de orden público, creada antes de la Constitución de 1991. Por su parte, en la Sentencia C-031 de 1993, la </w:t>
      </w:r>
      <w:r w:rsidR="00A82567" w:rsidRPr="00C454A1">
        <w:rPr>
          <w:rFonts w:cs="Times New Roman"/>
          <w:color w:val="000000" w:themeColor="text1"/>
          <w:szCs w:val="28"/>
        </w:rPr>
        <w:t xml:space="preserve">Corte </w:t>
      </w:r>
      <w:r w:rsidRPr="00C454A1">
        <w:rPr>
          <w:rFonts w:cs="Times New Roman"/>
          <w:color w:val="000000" w:themeColor="text1"/>
          <w:szCs w:val="28"/>
        </w:rPr>
        <w:t>revisó la constitucionalidad del Decreto 1793 de 1992</w:t>
      </w:r>
      <w:r w:rsidR="00A82567" w:rsidRPr="00C454A1">
        <w:rPr>
          <w:rFonts w:cs="Times New Roman"/>
          <w:color w:val="000000" w:themeColor="text1"/>
          <w:szCs w:val="28"/>
        </w:rPr>
        <w:t xml:space="preserve">, por medio del cual el </w:t>
      </w:r>
      <w:r w:rsidRPr="00C454A1">
        <w:rPr>
          <w:rFonts w:cs="Times New Roman"/>
          <w:color w:val="000000" w:themeColor="text1"/>
          <w:szCs w:val="28"/>
        </w:rPr>
        <w:t xml:space="preserve">presidente de la República </w:t>
      </w:r>
      <w:r w:rsidR="00A82567" w:rsidRPr="00C454A1">
        <w:rPr>
          <w:rFonts w:cs="Times New Roman"/>
          <w:color w:val="000000" w:themeColor="text1"/>
          <w:szCs w:val="28"/>
        </w:rPr>
        <w:t>declaró la conmoción interior, con el argumento de</w:t>
      </w:r>
      <w:r w:rsidRPr="00C454A1">
        <w:rPr>
          <w:rFonts w:cs="Times New Roman"/>
          <w:color w:val="000000" w:themeColor="text1"/>
          <w:szCs w:val="28"/>
        </w:rPr>
        <w:t xml:space="preserve"> </w:t>
      </w:r>
      <w:r w:rsidR="00A82567" w:rsidRPr="00C454A1">
        <w:rPr>
          <w:rFonts w:cs="Times New Roman"/>
          <w:color w:val="000000" w:themeColor="text1"/>
          <w:szCs w:val="28"/>
        </w:rPr>
        <w:t>que</w:t>
      </w:r>
      <w:r w:rsidRPr="00C454A1">
        <w:rPr>
          <w:rFonts w:cs="Times New Roman"/>
          <w:color w:val="000000" w:themeColor="text1"/>
          <w:szCs w:val="28"/>
        </w:rPr>
        <w:t xml:space="preserve"> la actividad delictiva de los grupos guerrilleros y del narcotráfico</w:t>
      </w:r>
      <w:r w:rsidR="00A82567" w:rsidRPr="00C454A1">
        <w:rPr>
          <w:rFonts w:cs="Times New Roman"/>
          <w:color w:val="000000" w:themeColor="text1"/>
          <w:szCs w:val="28"/>
        </w:rPr>
        <w:t xml:space="preserve"> se había incrementado</w:t>
      </w:r>
      <w:r w:rsidRPr="00C454A1">
        <w:rPr>
          <w:rFonts w:cs="Times New Roman"/>
          <w:color w:val="000000" w:themeColor="text1"/>
          <w:szCs w:val="28"/>
        </w:rPr>
        <w:t xml:space="preserve"> durante los meses de octubre y noviembre de ese año.</w:t>
      </w:r>
      <w:bookmarkEnd w:id="110"/>
    </w:p>
    <w:p w14:paraId="70B707DC" w14:textId="77777777" w:rsidR="008B1BD7" w:rsidRPr="00C454A1" w:rsidRDefault="008B1BD7" w:rsidP="008B1BD7">
      <w:pPr>
        <w:tabs>
          <w:tab w:val="left" w:pos="567"/>
        </w:tabs>
        <w:rPr>
          <w:rFonts w:cs="Times New Roman"/>
          <w:i/>
          <w:iCs/>
          <w:color w:val="000000" w:themeColor="text1"/>
          <w:szCs w:val="28"/>
        </w:rPr>
      </w:pPr>
    </w:p>
    <w:p w14:paraId="38B56BAC" w14:textId="77777777" w:rsidR="008B1BD7" w:rsidRPr="00C454A1" w:rsidRDefault="008B1BD7" w:rsidP="008B1BD7">
      <w:pPr>
        <w:numPr>
          <w:ilvl w:val="0"/>
          <w:numId w:val="2"/>
        </w:numPr>
        <w:tabs>
          <w:tab w:val="left" w:pos="567"/>
        </w:tabs>
        <w:ind w:left="0" w:firstLine="0"/>
        <w:rPr>
          <w:rFonts w:cs="Times New Roman"/>
          <w:i/>
          <w:iCs/>
          <w:color w:val="000000" w:themeColor="text1"/>
          <w:szCs w:val="28"/>
        </w:rPr>
      </w:pPr>
      <w:r w:rsidRPr="00C454A1">
        <w:rPr>
          <w:rFonts w:cs="Times New Roman"/>
          <w:color w:val="000000" w:themeColor="text1"/>
          <w:szCs w:val="28"/>
        </w:rPr>
        <w:t xml:space="preserve">Para analizar la constitucionalidad de los dos decretos, la Sala Plena reiteró algunas de las consideraciones generales de la Sentencia C-004 de 1992, que declaró la exequibilidad del Decreto 333 de 1992, “[p]or el cual se declara el Estado de Emergencia Social”. De acuerdo con esa providencia, la declaratoria de un estado de excepción estaba gobernada por un requisito material llamado </w:t>
      </w:r>
      <w:r w:rsidRPr="00C454A1">
        <w:rPr>
          <w:rFonts w:cs="Times New Roman"/>
          <w:i/>
          <w:iCs/>
          <w:color w:val="000000" w:themeColor="text1"/>
          <w:szCs w:val="28"/>
        </w:rPr>
        <w:t>presupuesto objetivo</w:t>
      </w:r>
      <w:r w:rsidRPr="00C454A1">
        <w:rPr>
          <w:rFonts w:cs="Times New Roman"/>
          <w:color w:val="000000" w:themeColor="text1"/>
          <w:szCs w:val="28"/>
        </w:rPr>
        <w:t xml:space="preserve">. Tal presupuesto estaba dado por la </w:t>
      </w:r>
      <w:r w:rsidRPr="00C454A1">
        <w:rPr>
          <w:rFonts w:cs="Times New Roman"/>
          <w:i/>
          <w:iCs/>
          <w:color w:val="000000" w:themeColor="text1"/>
          <w:szCs w:val="28"/>
        </w:rPr>
        <w:t>existencia</w:t>
      </w:r>
      <w:r w:rsidRPr="00C454A1">
        <w:rPr>
          <w:rFonts w:cs="Times New Roman"/>
          <w:color w:val="000000" w:themeColor="text1"/>
          <w:szCs w:val="28"/>
        </w:rPr>
        <w:t xml:space="preserve"> de las “situaciones de anormalidad” definidas en la Constitución que daban lugar a la declaratoria de cada estado de excepción</w:t>
      </w:r>
      <w:r w:rsidRPr="00C454A1">
        <w:rPr>
          <w:rStyle w:val="Refdenotaalpie"/>
          <w:rFonts w:cs="Times New Roman"/>
          <w:color w:val="000000" w:themeColor="text1"/>
          <w:szCs w:val="28"/>
        </w:rPr>
        <w:footnoteReference w:id="46"/>
      </w:r>
      <w:r w:rsidRPr="00C454A1">
        <w:rPr>
          <w:rFonts w:cs="Times New Roman"/>
          <w:color w:val="000000" w:themeColor="text1"/>
          <w:szCs w:val="28"/>
        </w:rPr>
        <w:t>. La tarea de la Sala consistía, entonces, en verificar, “frente al respectivo evento concreto”</w:t>
      </w:r>
      <w:r w:rsidRPr="00C454A1">
        <w:rPr>
          <w:rStyle w:val="Refdenotaalpie"/>
          <w:rFonts w:cs="Times New Roman"/>
          <w:color w:val="000000" w:themeColor="text1"/>
          <w:szCs w:val="28"/>
        </w:rPr>
        <w:footnoteReference w:id="47"/>
      </w:r>
      <w:r w:rsidRPr="00C454A1">
        <w:rPr>
          <w:rFonts w:cs="Times New Roman"/>
          <w:color w:val="000000" w:themeColor="text1"/>
          <w:szCs w:val="28"/>
        </w:rPr>
        <w:t>, la sujeción de los hechos constitutivos de la declaratoria a las causales constitucionales del estado de excepción. Es decir, en el caso de la conmoción interior, la Corte debía examinar si su declaratoria obedecía a una “una grave perturbación del orden público, atentatoria de manera inminente contra la estabilidad institucional, la seguridad del Estado y la convivencia ciudadana, que no podía ser conjurada mediante el uso de las atribuciones ordinarias de las autoridades de policía”</w:t>
      </w:r>
      <w:r w:rsidRPr="00C454A1">
        <w:rPr>
          <w:rStyle w:val="Refdenotaalpie"/>
          <w:rFonts w:cs="Times New Roman"/>
          <w:color w:val="000000" w:themeColor="text1"/>
          <w:szCs w:val="28"/>
        </w:rPr>
        <w:footnoteReference w:id="48"/>
      </w:r>
      <w:r w:rsidRPr="00C454A1">
        <w:rPr>
          <w:rFonts w:cs="Times New Roman"/>
          <w:color w:val="000000" w:themeColor="text1"/>
          <w:szCs w:val="28"/>
        </w:rPr>
        <w:t>.</w:t>
      </w:r>
    </w:p>
    <w:p w14:paraId="22F07CEE" w14:textId="77777777" w:rsidR="008B1BD7" w:rsidRPr="00C454A1" w:rsidRDefault="008B1BD7" w:rsidP="008B1BD7">
      <w:pPr>
        <w:tabs>
          <w:tab w:val="left" w:pos="567"/>
        </w:tabs>
        <w:rPr>
          <w:rFonts w:cs="Times New Roman"/>
          <w:i/>
          <w:iCs/>
          <w:color w:val="000000" w:themeColor="text1"/>
          <w:szCs w:val="28"/>
        </w:rPr>
      </w:pPr>
    </w:p>
    <w:p w14:paraId="7EF568F6" w14:textId="1F0B5F01" w:rsidR="008B1BD7" w:rsidRPr="00C454A1" w:rsidRDefault="004A0910" w:rsidP="00F858F2">
      <w:pPr>
        <w:pStyle w:val="Prrafodelista"/>
        <w:numPr>
          <w:ilvl w:val="0"/>
          <w:numId w:val="2"/>
        </w:numPr>
        <w:spacing w:line="240" w:lineRule="atLeast"/>
        <w:ind w:left="0" w:right="51" w:firstLine="0"/>
        <w:rPr>
          <w:color w:val="000000" w:themeColor="text1"/>
          <w:szCs w:val="28"/>
        </w:rPr>
      </w:pPr>
      <w:r w:rsidRPr="00C454A1">
        <w:rPr>
          <w:rFonts w:cs="Times New Roman"/>
          <w:color w:val="000000" w:themeColor="text1"/>
          <w:szCs w:val="28"/>
        </w:rPr>
        <w:t xml:space="preserve"> </w:t>
      </w:r>
      <w:bookmarkStart w:id="111" w:name="_Ref219711740"/>
      <w:r w:rsidR="008B1BD7" w:rsidRPr="00C454A1">
        <w:rPr>
          <w:rFonts w:cs="Times New Roman"/>
          <w:color w:val="000000" w:themeColor="text1"/>
          <w:szCs w:val="28"/>
        </w:rPr>
        <w:t xml:space="preserve">Al comprobar la existencia de los hechos sobre los cuales se justificaron los decretos declaratorios de las conmociones interiores, es decir, su carácter objetivo, así como su adecuación a las “situaciones de anormalidad” definidas en el artículo 213 de la Constitución, la Sala Plena declaró la exequibilidad de los Decretos 1155 y 1792 de 1992. Resulta interesante destacar que, en la Sentencia C-031 de 1993, para </w:t>
      </w:r>
      <w:r w:rsidR="00215392" w:rsidRPr="00C454A1">
        <w:rPr>
          <w:rFonts w:cs="Times New Roman"/>
          <w:color w:val="000000" w:themeColor="text1"/>
          <w:szCs w:val="28"/>
        </w:rPr>
        <w:t xml:space="preserve">fundamentar </w:t>
      </w:r>
      <w:r w:rsidR="008B1BD7" w:rsidRPr="00C454A1">
        <w:rPr>
          <w:rFonts w:cs="Times New Roman"/>
          <w:color w:val="000000" w:themeColor="text1"/>
          <w:szCs w:val="28"/>
        </w:rPr>
        <w:t>su decisión, la Corte precisó que el carácter estructural de la violencia “no le resta alcance o significado como causal perturbadora del orden público”</w:t>
      </w:r>
      <w:r w:rsidR="00DC5D46" w:rsidRPr="00C454A1">
        <w:rPr>
          <w:rFonts w:cs="Times New Roman"/>
          <w:color w:val="000000" w:themeColor="text1"/>
          <w:szCs w:val="28"/>
        </w:rPr>
        <w:t xml:space="preserve">. Para la Sala Plena de aquel entonces, </w:t>
      </w:r>
      <w:r w:rsidR="00215392" w:rsidRPr="00C454A1">
        <w:rPr>
          <w:rFonts w:cs="Times New Roman"/>
          <w:color w:val="000000" w:themeColor="text1"/>
          <w:szCs w:val="28"/>
        </w:rPr>
        <w:t>el hecho de que la violencia en Colombia sea una práctica de larga data no le quita su carácter “patológico”, es decir, no le resta su carácter de problema grave. No reconocer su gravedad generaría el riesgo de legitimarla y desconocer los serios efectos que tiene sobre el “desarrollo material y espiritual” de las generaciones presentes y futuras.</w:t>
      </w:r>
      <w:r w:rsidR="00215392" w:rsidRPr="00C454A1">
        <w:rPr>
          <w:rStyle w:val="Refdenotaalpie"/>
          <w:rFonts w:cs="Times New Roman"/>
          <w:color w:val="000000" w:themeColor="text1"/>
          <w:szCs w:val="28"/>
        </w:rPr>
        <w:footnoteReference w:id="49"/>
      </w:r>
      <w:r w:rsidR="008B1BD7" w:rsidRPr="00C454A1">
        <w:rPr>
          <w:rFonts w:cs="Times New Roman"/>
          <w:color w:val="000000" w:themeColor="text1"/>
          <w:szCs w:val="28"/>
        </w:rPr>
        <w:t>.</w:t>
      </w:r>
      <w:bookmarkEnd w:id="111"/>
    </w:p>
    <w:p w14:paraId="27C88F8B" w14:textId="77777777" w:rsidR="008B1BD7" w:rsidRPr="00C454A1" w:rsidRDefault="008B1BD7" w:rsidP="008B1BD7">
      <w:pPr>
        <w:tabs>
          <w:tab w:val="left" w:pos="567"/>
        </w:tabs>
        <w:rPr>
          <w:rFonts w:cs="Times New Roman"/>
          <w:i/>
          <w:iCs/>
          <w:color w:val="000000" w:themeColor="text1"/>
          <w:szCs w:val="28"/>
        </w:rPr>
      </w:pPr>
    </w:p>
    <w:p w14:paraId="543789CF" w14:textId="6A14D657" w:rsidR="008B1BD7" w:rsidRPr="00C454A1" w:rsidRDefault="008B1BD7" w:rsidP="008B1BD7">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 xml:space="preserve">Segunda etapa: sentencias C-300 de 1994, C-466 de 1995 y C-027 de 1996. </w:t>
      </w:r>
      <w:r w:rsidRPr="00C454A1">
        <w:rPr>
          <w:rFonts w:cs="Times New Roman"/>
          <w:color w:val="000000" w:themeColor="text1"/>
          <w:szCs w:val="28"/>
        </w:rPr>
        <w:t xml:space="preserve">Esta etapa se </w:t>
      </w:r>
      <w:r w:rsidR="00EC09FE" w:rsidRPr="00C454A1">
        <w:rPr>
          <w:rFonts w:cs="Times New Roman"/>
          <w:color w:val="000000" w:themeColor="text1"/>
          <w:szCs w:val="28"/>
        </w:rPr>
        <w:t>distingue</w:t>
      </w:r>
      <w:r w:rsidRPr="00C454A1">
        <w:rPr>
          <w:rFonts w:cs="Times New Roman"/>
          <w:color w:val="000000" w:themeColor="text1"/>
          <w:szCs w:val="28"/>
        </w:rPr>
        <w:t xml:space="preserve"> por una mayor exigencia en el juicio de </w:t>
      </w:r>
      <w:r w:rsidRPr="00C454A1">
        <w:rPr>
          <w:rFonts w:cs="Times New Roman"/>
          <w:color w:val="000000" w:themeColor="text1"/>
          <w:szCs w:val="28"/>
        </w:rPr>
        <w:lastRenderedPageBreak/>
        <w:t>constitucionalidad. Resulta razonable considerar que este cambi</w:t>
      </w:r>
      <w:r w:rsidR="00895D07" w:rsidRPr="00C454A1">
        <w:rPr>
          <w:rFonts w:cs="Times New Roman"/>
          <w:color w:val="000000" w:themeColor="text1"/>
          <w:szCs w:val="28"/>
        </w:rPr>
        <w:t>o</w:t>
      </w:r>
      <w:r w:rsidRPr="00C454A1">
        <w:rPr>
          <w:rFonts w:cs="Times New Roman"/>
          <w:color w:val="000000" w:themeColor="text1"/>
          <w:szCs w:val="28"/>
        </w:rPr>
        <w:t xml:space="preserve"> obedeció, en parte, a la expedición de la LEEE. Esta etapa también se caracteriza por la construcción de una metodología básica para adelantar el control de constitucionalidad del decreto declaratorio y por el rechazo a la idea de conjurar situaciones estructurales que perturben gravemente el orden público, mediante la declaratoria del estado de conmoción. En los términos de la Sentencia C-300 de 1994, en contraste con las decisiones adoptadas en las sentencias C-556 de 1992 y C-031 de 1993, “el objetivo constitucional en este momento [año 1994] [consistió en] normalizar el tratamiento de los problemas de orden público y de evitar el recurso permanente a los estados de excepción”</w:t>
      </w:r>
      <w:r w:rsidRPr="00C454A1">
        <w:rPr>
          <w:rStyle w:val="Refdenotaalpie"/>
          <w:rFonts w:cs="Times New Roman"/>
          <w:color w:val="000000" w:themeColor="text1"/>
          <w:szCs w:val="28"/>
        </w:rPr>
        <w:footnoteReference w:id="50"/>
      </w:r>
      <w:r w:rsidRPr="00C454A1">
        <w:rPr>
          <w:rFonts w:cs="Times New Roman"/>
          <w:color w:val="000000" w:themeColor="text1"/>
          <w:szCs w:val="28"/>
        </w:rPr>
        <w:t>.</w:t>
      </w:r>
    </w:p>
    <w:p w14:paraId="71AE9A85" w14:textId="77777777" w:rsidR="008B1BD7" w:rsidRPr="00C454A1" w:rsidRDefault="008B1BD7" w:rsidP="008B1BD7">
      <w:pPr>
        <w:tabs>
          <w:tab w:val="left" w:pos="567"/>
        </w:tabs>
        <w:rPr>
          <w:rFonts w:cs="Times New Roman"/>
          <w:color w:val="000000" w:themeColor="text1"/>
          <w:szCs w:val="28"/>
        </w:rPr>
      </w:pPr>
    </w:p>
    <w:p w14:paraId="526AD5BA" w14:textId="0EBDF0B6" w:rsidR="008B1BD7" w:rsidRPr="00C454A1" w:rsidRDefault="008B1BD7" w:rsidP="008B1BD7">
      <w:pPr>
        <w:numPr>
          <w:ilvl w:val="0"/>
          <w:numId w:val="2"/>
        </w:numPr>
        <w:tabs>
          <w:tab w:val="left" w:pos="567"/>
        </w:tabs>
        <w:ind w:left="0" w:firstLine="0"/>
        <w:rPr>
          <w:rFonts w:cs="Times New Roman"/>
          <w:i/>
          <w:iCs/>
          <w:color w:val="000000" w:themeColor="text1"/>
          <w:szCs w:val="28"/>
        </w:rPr>
      </w:pPr>
      <w:r w:rsidRPr="00C454A1">
        <w:rPr>
          <w:rFonts w:cs="Times New Roman"/>
          <w:color w:val="000000" w:themeColor="text1"/>
          <w:szCs w:val="28"/>
        </w:rPr>
        <w:t xml:space="preserve">Mediante la Sentencia C-300 de 1994, la Corte examinó la exequibilidad del Decreto 874 de 1994. Este decreto se sustentó en “la inminente, indiscriminada y masiva liberación” de cerca de 864 personas sindicadas de delitos graves, en razón del vencimiento del término establecido en el parágrafo transitorio del artículo 55 de la Ley 81 de 1993. Esta es la primera vez que, en el contexto específico del estado de conmoción interior, la Corte se refiere a tres cuestiones de la mayor importancia: (i) </w:t>
      </w:r>
      <w:r w:rsidR="001540C1" w:rsidRPr="00C454A1">
        <w:rPr>
          <w:rFonts w:cs="Times New Roman"/>
          <w:color w:val="000000" w:themeColor="text1"/>
          <w:szCs w:val="28"/>
        </w:rPr>
        <w:t xml:space="preserve">la metodología de análisis que debía seguir la Sala Plena para evaluar la constitucionalidad de la declaratoria del estado de conmoción interior; (ii)  </w:t>
      </w:r>
      <w:r w:rsidRPr="00C454A1">
        <w:rPr>
          <w:rFonts w:cs="Times New Roman"/>
          <w:color w:val="000000" w:themeColor="text1"/>
          <w:szCs w:val="28"/>
        </w:rPr>
        <w:t xml:space="preserve">el </w:t>
      </w:r>
      <w:r w:rsidRPr="00C454A1">
        <w:rPr>
          <w:rFonts w:cs="Times New Roman"/>
          <w:i/>
          <w:iCs/>
          <w:color w:val="000000" w:themeColor="text1"/>
          <w:szCs w:val="28"/>
        </w:rPr>
        <w:t>presupuesto fáctico</w:t>
      </w:r>
      <w:r w:rsidRPr="00C454A1">
        <w:rPr>
          <w:rFonts w:cs="Times New Roman"/>
          <w:color w:val="000000" w:themeColor="text1"/>
          <w:szCs w:val="28"/>
        </w:rPr>
        <w:t xml:space="preserve"> de la declaratoria, esto es, en palabras de esa providencia, el conjunto de hechos que sustentan el estado de excepción; y (iii) “las dificultades funcionales e incluso estructurales” del Estado o de una de sus ramas —en el caso concreto, de la Rama Judicial— como fundamento para la declaratoria de ese estado de excepción. </w:t>
      </w:r>
    </w:p>
    <w:p w14:paraId="679632AF" w14:textId="77777777" w:rsidR="008B1BD7" w:rsidRPr="00C454A1" w:rsidRDefault="008B1BD7" w:rsidP="008B1BD7">
      <w:pPr>
        <w:tabs>
          <w:tab w:val="left" w:pos="567"/>
        </w:tabs>
        <w:rPr>
          <w:rFonts w:cs="Times New Roman"/>
          <w:i/>
          <w:iCs/>
          <w:color w:val="000000" w:themeColor="text1"/>
          <w:szCs w:val="28"/>
        </w:rPr>
      </w:pPr>
    </w:p>
    <w:p w14:paraId="082355EB" w14:textId="77777777" w:rsidR="008B1BD7" w:rsidRPr="00C454A1" w:rsidRDefault="008B1BD7" w:rsidP="008B1BD7">
      <w:pPr>
        <w:numPr>
          <w:ilvl w:val="0"/>
          <w:numId w:val="2"/>
        </w:numPr>
        <w:tabs>
          <w:tab w:val="left" w:pos="567"/>
        </w:tabs>
        <w:ind w:left="0" w:firstLine="0"/>
        <w:rPr>
          <w:rFonts w:cs="Times New Roman"/>
          <w:i/>
          <w:iCs/>
          <w:color w:val="000000" w:themeColor="text1"/>
          <w:szCs w:val="28"/>
        </w:rPr>
      </w:pPr>
      <w:r w:rsidRPr="00C454A1">
        <w:rPr>
          <w:rFonts w:cs="Times New Roman"/>
          <w:color w:val="000000" w:themeColor="text1"/>
          <w:szCs w:val="28"/>
        </w:rPr>
        <w:t>En relación con la metodología de la decisión, la Sala siguió los siguientes pasos: primero, comprobó si la declaratoria superaba el presupuesto fáctico. Segundo, examinó el respeto por “el margen de apreciación del presupuesto objetivo de los estados de excepción”. Este criterio, tomado por la Sala de la Sentencia C-004 de 1992, aludía a la naturaleza no arbitraria —“discrecionalidad relativa”</w:t>
      </w:r>
      <w:r w:rsidRPr="00C454A1">
        <w:rPr>
          <w:rStyle w:val="Refdenotaalpie"/>
          <w:rFonts w:cs="Times New Roman"/>
          <w:color w:val="000000" w:themeColor="text1"/>
          <w:szCs w:val="28"/>
        </w:rPr>
        <w:footnoteReference w:id="51"/>
      </w:r>
      <w:r w:rsidRPr="00C454A1">
        <w:rPr>
          <w:rFonts w:cs="Times New Roman"/>
          <w:color w:val="000000" w:themeColor="text1"/>
          <w:szCs w:val="28"/>
        </w:rPr>
        <w:t xml:space="preserve"> — de la valoración que realiza el presidente de la República sobre los hechos que dan lugar al estado de excepción. En esta etapa del juicio, la Corte examinó si las “circunstancias que configuran el presupuesto fáctico de la declaratoria de conmoción interior pueden ser calificadas como constitutivas de una grave perturbación del orden público que atente de manera inminente contra la estabilidad institucional, la seguridad del Estado o la convivencia ciudadana”. Y, tercero, determinó “si la situación descrita no podía ser conjurada mediante el uso de las atribuciones ordinarias de policía”.</w:t>
      </w:r>
    </w:p>
    <w:p w14:paraId="4EA3D2E4" w14:textId="77777777" w:rsidR="008B1BD7" w:rsidRPr="00C454A1" w:rsidRDefault="008B1BD7" w:rsidP="008B1BD7">
      <w:pPr>
        <w:tabs>
          <w:tab w:val="left" w:pos="567"/>
        </w:tabs>
        <w:rPr>
          <w:rFonts w:cs="Times New Roman"/>
          <w:i/>
          <w:iCs/>
          <w:color w:val="000000" w:themeColor="text1"/>
          <w:szCs w:val="28"/>
        </w:rPr>
      </w:pPr>
    </w:p>
    <w:p w14:paraId="7DDE4958" w14:textId="13931DD9" w:rsidR="008B1BD7" w:rsidRPr="00C454A1" w:rsidRDefault="008B1BD7" w:rsidP="008B1BD7">
      <w:pPr>
        <w:numPr>
          <w:ilvl w:val="0"/>
          <w:numId w:val="2"/>
        </w:numPr>
        <w:tabs>
          <w:tab w:val="left" w:pos="567"/>
        </w:tabs>
        <w:ind w:left="0" w:firstLine="0"/>
        <w:rPr>
          <w:rFonts w:cs="Times New Roman"/>
          <w:i/>
          <w:iCs/>
          <w:color w:val="000000" w:themeColor="text1"/>
          <w:szCs w:val="28"/>
        </w:rPr>
      </w:pPr>
      <w:r w:rsidRPr="00C454A1">
        <w:rPr>
          <w:rFonts w:cs="Times New Roman"/>
          <w:color w:val="000000" w:themeColor="text1"/>
          <w:szCs w:val="28"/>
        </w:rPr>
        <w:lastRenderedPageBreak/>
        <w:t xml:space="preserve">Con base en esta metodología, la Corte declaró la inexequibilidad del Decreto 874 de 1994. Para el efecto, concluyó que, si bien el decreto satisfacía el presupuesto fáctico, </w:t>
      </w:r>
      <w:r w:rsidR="00185105" w:rsidRPr="00C454A1">
        <w:rPr>
          <w:rFonts w:cs="Times New Roman"/>
          <w:color w:val="000000" w:themeColor="text1"/>
          <w:szCs w:val="28"/>
        </w:rPr>
        <w:t xml:space="preserve">pues </w:t>
      </w:r>
      <w:r w:rsidR="00201706" w:rsidRPr="00C454A1">
        <w:rPr>
          <w:rFonts w:cs="Times New Roman"/>
          <w:color w:val="000000" w:themeColor="text1"/>
          <w:szCs w:val="28"/>
        </w:rPr>
        <w:t xml:space="preserve">los hechos invocados por el Gobierno nacional estaban acreditados, </w:t>
      </w:r>
      <w:r w:rsidRPr="00C454A1">
        <w:rPr>
          <w:rFonts w:cs="Times New Roman"/>
          <w:color w:val="000000" w:themeColor="text1"/>
          <w:szCs w:val="28"/>
        </w:rPr>
        <w:t xml:space="preserve">en el ejercicio de </w:t>
      </w:r>
      <w:r w:rsidRPr="00C454A1">
        <w:rPr>
          <w:rFonts w:cs="Times New Roman"/>
          <w:i/>
          <w:iCs/>
          <w:color w:val="000000" w:themeColor="text1"/>
          <w:szCs w:val="28"/>
        </w:rPr>
        <w:t>valorar</w:t>
      </w:r>
      <w:r w:rsidRPr="00C454A1">
        <w:rPr>
          <w:rFonts w:cs="Times New Roman"/>
          <w:color w:val="000000" w:themeColor="text1"/>
          <w:szCs w:val="28"/>
        </w:rPr>
        <w:t xml:space="preserve"> los hechos, el presidente de la República había </w:t>
      </w:r>
      <w:r w:rsidRPr="00C454A1">
        <w:rPr>
          <w:rFonts w:cs="Times New Roman"/>
          <w:i/>
          <w:iCs/>
          <w:color w:val="000000" w:themeColor="text1"/>
          <w:szCs w:val="28"/>
        </w:rPr>
        <w:t>desbordado</w:t>
      </w:r>
      <w:r w:rsidRPr="00C454A1">
        <w:rPr>
          <w:rFonts w:cs="Times New Roman"/>
          <w:color w:val="000000" w:themeColor="text1"/>
          <w:szCs w:val="28"/>
        </w:rPr>
        <w:t xml:space="preserve"> su margen de apreciación “para discernir la probabilidad real de una amenaza al orden público”. Lo anterior, pues no existía certeza sobre “la conducta futura de los detenidos una vez puestos en libertad” y, por tanto, no era posible establecer su capacidad para alterar el orden público. Respecto del uso de las atribuciones ordinarias de policía, la </w:t>
      </w:r>
      <w:r w:rsidR="00512516" w:rsidRPr="00C454A1">
        <w:rPr>
          <w:rFonts w:cs="Times New Roman"/>
          <w:color w:val="000000" w:themeColor="text1"/>
          <w:szCs w:val="28"/>
        </w:rPr>
        <w:t>C</w:t>
      </w:r>
      <w:r w:rsidRPr="00C454A1">
        <w:rPr>
          <w:rFonts w:cs="Times New Roman"/>
          <w:color w:val="000000" w:themeColor="text1"/>
          <w:szCs w:val="28"/>
        </w:rPr>
        <w:t xml:space="preserve">orporación afirmó que “no ha debido pensarse en manejar con instrumentos de orden público lo que es en su esencia un asunto judicial”. </w:t>
      </w:r>
    </w:p>
    <w:p w14:paraId="53B0B0F9" w14:textId="77777777" w:rsidR="008B1BD7" w:rsidRPr="00C454A1" w:rsidRDefault="008B1BD7" w:rsidP="008B1BD7">
      <w:pPr>
        <w:tabs>
          <w:tab w:val="left" w:pos="567"/>
        </w:tabs>
        <w:rPr>
          <w:rFonts w:cs="Times New Roman"/>
          <w:i/>
          <w:iCs/>
          <w:color w:val="000000" w:themeColor="text1"/>
          <w:szCs w:val="28"/>
        </w:rPr>
      </w:pPr>
    </w:p>
    <w:p w14:paraId="3C8231F9" w14:textId="61D131A6" w:rsidR="008B1BD7" w:rsidRPr="00C454A1" w:rsidRDefault="008B1BD7" w:rsidP="00215392">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Para terminar, la Sala </w:t>
      </w:r>
      <w:r w:rsidR="00185105" w:rsidRPr="00C454A1">
        <w:rPr>
          <w:rFonts w:cs="Times New Roman"/>
          <w:color w:val="000000" w:themeColor="text1"/>
          <w:szCs w:val="28"/>
        </w:rPr>
        <w:t>formuló una precisión importante:</w:t>
      </w:r>
      <w:r w:rsidR="00215392" w:rsidRPr="00C454A1">
        <w:rPr>
          <w:rFonts w:ascii="Helvetica" w:hAnsi="Helvetica" w:cs="Helvetica"/>
          <w:color w:val="000000" w:themeColor="text1"/>
          <w:kern w:val="0"/>
          <w:sz w:val="24"/>
          <w:lang w:val="es-ES"/>
        </w:rPr>
        <w:t xml:space="preserve"> </w:t>
      </w:r>
      <w:r w:rsidR="00215392" w:rsidRPr="00C454A1">
        <w:rPr>
          <w:rFonts w:cs="Times New Roman"/>
          <w:color w:val="000000" w:themeColor="text1"/>
          <w:szCs w:val="28"/>
          <w:lang w:val="es-ES"/>
        </w:rPr>
        <w:t>cuando se decreta un estado de conmoción interior bajo el argumento de un deficiente funcionamiento del Estado, el ejecutivo tiene un deber reforzado de demostrar que se cumple con las condiciones fácticas exigidas por el artículo 213 de la Constitución</w:t>
      </w:r>
      <w:r w:rsidRPr="00C454A1">
        <w:rPr>
          <w:rFonts w:cs="Times New Roman"/>
          <w:color w:val="000000" w:themeColor="text1"/>
          <w:szCs w:val="28"/>
        </w:rPr>
        <w:t xml:space="preserve">. Dos son las razones que, </w:t>
      </w:r>
      <w:r w:rsidR="00185105" w:rsidRPr="00C454A1">
        <w:rPr>
          <w:rFonts w:cs="Times New Roman"/>
          <w:color w:val="000000" w:themeColor="text1"/>
          <w:szCs w:val="28"/>
        </w:rPr>
        <w:t>para</w:t>
      </w:r>
      <w:r w:rsidRPr="00C454A1">
        <w:rPr>
          <w:rFonts w:cs="Times New Roman"/>
          <w:color w:val="000000" w:themeColor="text1"/>
          <w:szCs w:val="28"/>
        </w:rPr>
        <w:t xml:space="preserve"> la Corte, justifican este requerimiento adicional: (i) en esos eventos es necesario despejar “la sospecha de una simple instrumentalización gubernamental para solucionar problemas políticos”; y (ii) la Constitución de 1991 se propuso poner término a la utilización abusiva e innecesaria de los estados de excepción, de manera que estos no pueden ser usados para resolver dificultades “que no están llamadas a desaparecer en el mediano plazo”.</w:t>
      </w:r>
    </w:p>
    <w:p w14:paraId="69C3FE69" w14:textId="77777777" w:rsidR="008B1BD7" w:rsidRPr="00C454A1" w:rsidRDefault="008B1BD7" w:rsidP="008B1BD7">
      <w:pPr>
        <w:tabs>
          <w:tab w:val="left" w:pos="567"/>
        </w:tabs>
        <w:rPr>
          <w:rFonts w:cs="Times New Roman"/>
          <w:color w:val="000000" w:themeColor="text1"/>
          <w:szCs w:val="28"/>
        </w:rPr>
      </w:pPr>
    </w:p>
    <w:p w14:paraId="1F0403FF" w14:textId="51FF7FFF" w:rsidR="008B1BD7" w:rsidRPr="00C454A1" w:rsidRDefault="008B1BD7" w:rsidP="008B1BD7">
      <w:pPr>
        <w:numPr>
          <w:ilvl w:val="0"/>
          <w:numId w:val="2"/>
        </w:numPr>
        <w:tabs>
          <w:tab w:val="left" w:pos="567"/>
        </w:tabs>
        <w:ind w:left="0" w:firstLine="0"/>
        <w:rPr>
          <w:rFonts w:cs="Times New Roman"/>
          <w:color w:val="000000" w:themeColor="text1"/>
          <w:szCs w:val="28"/>
        </w:rPr>
      </w:pPr>
      <w:bookmarkStart w:id="113" w:name="_Ref203391106"/>
      <w:r w:rsidRPr="00C454A1">
        <w:rPr>
          <w:rFonts w:cs="Times New Roman"/>
          <w:color w:val="000000" w:themeColor="text1"/>
          <w:szCs w:val="28"/>
        </w:rPr>
        <w:t>En aplicación del precedente establecido en la Sentencia C-300 de 1994 y, en particular, de la metodología allí empleada, en la Sentencia C-466 de 1995, la Sala Plena declaró la inexequibilidad del Decreto 1370 del mismo año. Este estado de conmoción interior se sustentó en tres hechos cuya existencia la Corte encontró demostrada: el incremento de la delincuencia política y común</w:t>
      </w:r>
      <w:r w:rsidRPr="00C454A1">
        <w:rPr>
          <w:rStyle w:val="Refdenotaalpie"/>
          <w:rFonts w:cs="Times New Roman"/>
          <w:color w:val="000000" w:themeColor="text1"/>
          <w:szCs w:val="28"/>
        </w:rPr>
        <w:footnoteReference w:id="52"/>
      </w:r>
      <w:r w:rsidRPr="00C454A1">
        <w:rPr>
          <w:rFonts w:cs="Times New Roman"/>
          <w:color w:val="000000" w:themeColor="text1"/>
          <w:szCs w:val="28"/>
        </w:rPr>
        <w:t xml:space="preserve">; la grave congestión de los despachos judiciales, “circunstancia ésta que ha tenido entre otros graves efectos, el aumento de impunidad en el país”; y el deterioro del régimen carcelario. En esta sentencia, por primera vez, la </w:t>
      </w:r>
      <w:r w:rsidR="00512516" w:rsidRPr="00C454A1">
        <w:rPr>
          <w:rFonts w:cs="Times New Roman"/>
          <w:color w:val="000000" w:themeColor="text1"/>
          <w:szCs w:val="28"/>
        </w:rPr>
        <w:t>C</w:t>
      </w:r>
      <w:r w:rsidRPr="00C454A1">
        <w:rPr>
          <w:rFonts w:cs="Times New Roman"/>
          <w:color w:val="000000" w:themeColor="text1"/>
          <w:szCs w:val="28"/>
        </w:rPr>
        <w:t xml:space="preserve">orporación, además de exigir pruebas sobre el carácter objetivo de los hechos, demandó que estos fuesen </w:t>
      </w:r>
      <w:r w:rsidRPr="00C454A1">
        <w:rPr>
          <w:rFonts w:cs="Times New Roman"/>
          <w:i/>
          <w:iCs/>
          <w:color w:val="000000" w:themeColor="text1"/>
          <w:szCs w:val="28"/>
        </w:rPr>
        <w:t>graves</w:t>
      </w:r>
      <w:r w:rsidRPr="00C454A1">
        <w:rPr>
          <w:rFonts w:cs="Times New Roman"/>
          <w:color w:val="000000" w:themeColor="text1"/>
          <w:szCs w:val="28"/>
        </w:rPr>
        <w:t xml:space="preserve"> y tuvieran carácter </w:t>
      </w:r>
      <w:r w:rsidRPr="00C454A1">
        <w:rPr>
          <w:rFonts w:cs="Times New Roman"/>
          <w:i/>
          <w:iCs/>
          <w:color w:val="000000" w:themeColor="text1"/>
          <w:szCs w:val="28"/>
        </w:rPr>
        <w:t>sobreviniente</w:t>
      </w:r>
      <w:r w:rsidRPr="00C454A1">
        <w:rPr>
          <w:rFonts w:cs="Times New Roman"/>
          <w:color w:val="000000" w:themeColor="text1"/>
          <w:szCs w:val="28"/>
        </w:rPr>
        <w:t>, es decir, que fueran “excepcionales, cualitativa y cuantitativamente”.</w:t>
      </w:r>
      <w:bookmarkEnd w:id="113"/>
      <w:r w:rsidRPr="00C454A1">
        <w:rPr>
          <w:rFonts w:cs="Times New Roman"/>
          <w:color w:val="000000" w:themeColor="text1"/>
          <w:szCs w:val="28"/>
        </w:rPr>
        <w:t xml:space="preserve"> </w:t>
      </w:r>
    </w:p>
    <w:p w14:paraId="781A1F28" w14:textId="77777777" w:rsidR="008B1BD7" w:rsidRPr="00C454A1" w:rsidRDefault="008B1BD7" w:rsidP="008B1BD7">
      <w:pPr>
        <w:tabs>
          <w:tab w:val="left" w:pos="567"/>
        </w:tabs>
        <w:rPr>
          <w:rFonts w:cs="Times New Roman"/>
          <w:color w:val="000000" w:themeColor="text1"/>
          <w:szCs w:val="28"/>
        </w:rPr>
      </w:pPr>
    </w:p>
    <w:p w14:paraId="1D2A335A" w14:textId="541644BE" w:rsidR="008B1BD7" w:rsidRPr="00C454A1" w:rsidRDefault="008B1BD7" w:rsidP="008B1BD7">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Luego de adelantar la valoración de las pruebas aportadas, la </w:t>
      </w:r>
      <w:r w:rsidR="00512516" w:rsidRPr="00C454A1">
        <w:rPr>
          <w:rFonts w:cs="Times New Roman"/>
          <w:color w:val="000000" w:themeColor="text1"/>
          <w:szCs w:val="28"/>
        </w:rPr>
        <w:t>C</w:t>
      </w:r>
      <w:r w:rsidRPr="00C454A1">
        <w:rPr>
          <w:rFonts w:cs="Times New Roman"/>
          <w:color w:val="000000" w:themeColor="text1"/>
          <w:szCs w:val="28"/>
        </w:rPr>
        <w:t xml:space="preserve">orporación concluyó que “los hechos invocados por el Gobierno son, ciertamente, ‘graves’ y perturbadores del orden público”. Sin embargo, advirtió que “no tienen el carácter de coyunturales, transitorios ni excepcionales”. Por el contrario, </w:t>
      </w:r>
      <w:r w:rsidR="00BD16AC" w:rsidRPr="00C454A1">
        <w:rPr>
          <w:rFonts w:cs="Times New Roman"/>
          <w:color w:val="000000" w:themeColor="text1"/>
          <w:szCs w:val="28"/>
        </w:rPr>
        <w:t xml:space="preserve">indicó </w:t>
      </w:r>
      <w:r w:rsidR="00BD16AC" w:rsidRPr="00C454A1">
        <w:rPr>
          <w:rFonts w:cs="Times New Roman"/>
          <w:color w:val="000000" w:themeColor="text1"/>
          <w:szCs w:val="28"/>
        </w:rPr>
        <w:lastRenderedPageBreak/>
        <w:t xml:space="preserve">la Corte, </w:t>
      </w:r>
      <w:r w:rsidRPr="00C454A1">
        <w:rPr>
          <w:rFonts w:cs="Times New Roman"/>
          <w:color w:val="000000" w:themeColor="text1"/>
          <w:szCs w:val="28"/>
        </w:rPr>
        <w:t>“constituyen patologías arraigadas que merecen tratamiento distinto por medio de los mecanismos ordinarios con que cuenta el Estado para sortear problemas funcionales y estructurales normales”. En otras palabras, tales hechos eran “manifestaciones reiteradas de la vieja y arraigada patología social que aqueja al país”</w:t>
      </w:r>
      <w:r w:rsidRPr="00C454A1">
        <w:rPr>
          <w:rStyle w:val="Refdenotaalpie"/>
          <w:rFonts w:cs="Times New Roman"/>
          <w:color w:val="000000" w:themeColor="text1"/>
          <w:szCs w:val="28"/>
        </w:rPr>
        <w:footnoteReference w:id="53"/>
      </w:r>
      <w:r w:rsidRPr="00C454A1">
        <w:rPr>
          <w:rFonts w:cs="Times New Roman"/>
          <w:color w:val="000000" w:themeColor="text1"/>
          <w:szCs w:val="28"/>
        </w:rPr>
        <w:t xml:space="preserve">. No obstante, en este contexto, la Corte identificó una excepción a esta regla general: el presidente de la República puede declarar el estado de conmoción interior para conjurar “hechos crónicos que </w:t>
      </w:r>
      <w:r w:rsidRPr="00C454A1">
        <w:rPr>
          <w:rFonts w:cs="Times New Roman"/>
          <w:color w:val="000000" w:themeColor="text1"/>
          <w:szCs w:val="28"/>
          <w:u w:val="single"/>
        </w:rPr>
        <w:t>repentinamente</w:t>
      </w:r>
      <w:r w:rsidRPr="00C454A1">
        <w:rPr>
          <w:rFonts w:cs="Times New Roman"/>
          <w:color w:val="000000" w:themeColor="text1"/>
          <w:szCs w:val="28"/>
        </w:rPr>
        <w:t xml:space="preserve"> revistieran grados de intensidad inusitados, bien, difusos en todo el territorio nacional o localizados en una determinada zona” [subraya del texto original].</w:t>
      </w:r>
    </w:p>
    <w:p w14:paraId="7700B3DF" w14:textId="77777777" w:rsidR="008B1BD7" w:rsidRPr="00C454A1" w:rsidRDefault="008B1BD7" w:rsidP="008B1BD7">
      <w:pPr>
        <w:tabs>
          <w:tab w:val="left" w:pos="567"/>
        </w:tabs>
        <w:rPr>
          <w:rFonts w:cs="Times New Roman"/>
          <w:color w:val="000000" w:themeColor="text1"/>
          <w:szCs w:val="28"/>
        </w:rPr>
      </w:pPr>
    </w:p>
    <w:p w14:paraId="71016A58" w14:textId="4DA4771A" w:rsidR="008B1BD7" w:rsidRPr="00C454A1" w:rsidRDefault="008B1BD7" w:rsidP="008B1BD7">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Por último, la Sala destacó uno a uno los poderes ordinarios de las autoridades de policía que no habían sido usados por el </w:t>
      </w:r>
      <w:r w:rsidR="007525E1" w:rsidRPr="00C454A1">
        <w:rPr>
          <w:rFonts w:cs="Times New Roman"/>
          <w:color w:val="000000" w:themeColor="text1"/>
          <w:szCs w:val="28"/>
        </w:rPr>
        <w:t>Gobierno nacional</w:t>
      </w:r>
      <w:r w:rsidRPr="00C454A1">
        <w:rPr>
          <w:rFonts w:cs="Times New Roman"/>
          <w:color w:val="000000" w:themeColor="text1"/>
          <w:szCs w:val="28"/>
        </w:rPr>
        <w:t xml:space="preserve"> para contrarrestar los hechos aducidos en el decreto declaratorio. Al respecto, la </w:t>
      </w:r>
      <w:r w:rsidR="00512516" w:rsidRPr="00C454A1">
        <w:rPr>
          <w:rFonts w:cs="Times New Roman"/>
          <w:color w:val="000000" w:themeColor="text1"/>
          <w:szCs w:val="28"/>
        </w:rPr>
        <w:t>C</w:t>
      </w:r>
      <w:r w:rsidRPr="00C454A1">
        <w:rPr>
          <w:rFonts w:cs="Times New Roman"/>
          <w:color w:val="000000" w:themeColor="text1"/>
          <w:szCs w:val="28"/>
        </w:rPr>
        <w:t xml:space="preserve">orporación precisó: “el presidente de la República no demostró haber hecho uso de los mecanismos ordinarios de que dispone para atender al progresivo deterioro de la situación de orden público, como si su actitud debiera consistir en esperar que la acumulación de males se hiciera insoportable, para tratarlos con medidas de excepción, bajo la vigencia de un régimen restrictivo de libertades”. </w:t>
      </w:r>
    </w:p>
    <w:p w14:paraId="5E59A761" w14:textId="77777777" w:rsidR="008B1BD7" w:rsidRPr="00C454A1" w:rsidRDefault="008B1BD7" w:rsidP="008B1BD7">
      <w:pPr>
        <w:tabs>
          <w:tab w:val="left" w:pos="567"/>
        </w:tabs>
        <w:rPr>
          <w:rFonts w:cs="Times New Roman"/>
          <w:color w:val="000000" w:themeColor="text1"/>
          <w:szCs w:val="28"/>
        </w:rPr>
      </w:pPr>
    </w:p>
    <w:p w14:paraId="3077265B" w14:textId="77777777" w:rsidR="008B1BD7" w:rsidRPr="00C454A1" w:rsidRDefault="008B1BD7" w:rsidP="008B1BD7">
      <w:pPr>
        <w:numPr>
          <w:ilvl w:val="0"/>
          <w:numId w:val="2"/>
        </w:numPr>
        <w:tabs>
          <w:tab w:val="left" w:pos="567"/>
        </w:tabs>
        <w:ind w:left="0" w:firstLine="0"/>
        <w:rPr>
          <w:rFonts w:cs="Times New Roman"/>
          <w:color w:val="000000" w:themeColor="text1"/>
          <w:szCs w:val="28"/>
        </w:rPr>
      </w:pPr>
      <w:bookmarkStart w:id="114" w:name="_Ref203391136"/>
      <w:r w:rsidRPr="00C454A1">
        <w:rPr>
          <w:rFonts w:cs="Times New Roman"/>
          <w:color w:val="000000" w:themeColor="text1"/>
          <w:szCs w:val="28"/>
        </w:rPr>
        <w:t xml:space="preserve">El año siguiente, en la Sentencia C-027 de 1996, la Sala Plena declaró la exequibilidad del Decreto 1900 de 1995, </w:t>
      </w:r>
      <w:r w:rsidRPr="00C454A1">
        <w:rPr>
          <w:rFonts w:cs="Times New Roman"/>
          <w:color w:val="000000" w:themeColor="text1"/>
        </w:rPr>
        <w:t xml:space="preserve">“salvo en lo concerniente al considerando 2 del decreto materia de revisión”. Este considerando se refería a los “hechos de violencia en diferentes regiones del país, atribuidos a organizaciones criminales y terroristas”. El Decreto 1900 de 1995 se justificó en tales hechos y en el homicidio del </w:t>
      </w:r>
      <w:r w:rsidRPr="00C454A1">
        <w:rPr>
          <w:rFonts w:cs="Times New Roman"/>
          <w:color w:val="000000" w:themeColor="text1"/>
          <w:szCs w:val="28"/>
        </w:rPr>
        <w:t xml:space="preserve">expresidente de la Asamblea Nacional Constituyente, Álvaro Gómez Hurtado, y de otros dirigentes políticos, así como </w:t>
      </w:r>
      <w:r w:rsidRPr="00C454A1">
        <w:rPr>
          <w:rFonts w:cs="Times New Roman"/>
          <w:color w:val="000000" w:themeColor="text1"/>
          <w:szCs w:val="28"/>
        </w:rPr>
        <w:lastRenderedPageBreak/>
        <w:t>en “las amenazas que se han proferido contra diversas personalidades de la vida pública nacional”.</w:t>
      </w:r>
      <w:bookmarkEnd w:id="114"/>
    </w:p>
    <w:p w14:paraId="66073D09" w14:textId="77777777" w:rsidR="008B1BD7" w:rsidRPr="00C454A1" w:rsidRDefault="008B1BD7" w:rsidP="008B1BD7">
      <w:pPr>
        <w:tabs>
          <w:tab w:val="left" w:pos="567"/>
        </w:tabs>
        <w:rPr>
          <w:rFonts w:cs="Times New Roman"/>
          <w:color w:val="000000" w:themeColor="text1"/>
          <w:szCs w:val="28"/>
        </w:rPr>
      </w:pPr>
    </w:p>
    <w:p w14:paraId="3EBD6327" w14:textId="110FD57E" w:rsidR="008B1BD7" w:rsidRPr="00C454A1" w:rsidRDefault="008B1BD7" w:rsidP="008B1BD7">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rPr>
        <w:t xml:space="preserve">En esta providencia, la Corte sostuvo que la perturbación del orden público no solo debía ser grave y sobreviniente o extraordinaria, sino también </w:t>
      </w:r>
      <w:r w:rsidRPr="00C454A1">
        <w:rPr>
          <w:rFonts w:cs="Times New Roman"/>
          <w:i/>
          <w:iCs/>
          <w:color w:val="000000" w:themeColor="text1"/>
        </w:rPr>
        <w:t>inminente</w:t>
      </w:r>
      <w:r w:rsidRPr="00C454A1">
        <w:rPr>
          <w:rFonts w:cs="Times New Roman"/>
          <w:color w:val="000000" w:themeColor="text1"/>
        </w:rPr>
        <w:t xml:space="preserve">. Sin ahondar en el alcance o contenido de esta última exigencia, la Sala estimó que los hechos del considerando dos del </w:t>
      </w:r>
      <w:r w:rsidRPr="00C454A1">
        <w:rPr>
          <w:rFonts w:cs="Times New Roman"/>
          <w:color w:val="000000" w:themeColor="text1"/>
          <w:szCs w:val="28"/>
        </w:rPr>
        <w:t>Decreto 1900 de 1995 no eran sobrevinientes o extraordinarios, pues se trataba de “las mismas situaciones que vienen ocurriendo desde hace años”</w:t>
      </w:r>
      <w:r w:rsidRPr="00C454A1">
        <w:rPr>
          <w:rStyle w:val="Refdenotaalpie"/>
          <w:rFonts w:cs="Times New Roman"/>
          <w:color w:val="000000" w:themeColor="text1"/>
          <w:szCs w:val="28"/>
        </w:rPr>
        <w:footnoteReference w:id="54"/>
      </w:r>
      <w:r w:rsidRPr="00C454A1">
        <w:rPr>
          <w:rFonts w:cs="Times New Roman"/>
          <w:color w:val="000000" w:themeColor="text1"/>
          <w:szCs w:val="28"/>
        </w:rPr>
        <w:t xml:space="preserve">. </w:t>
      </w:r>
    </w:p>
    <w:p w14:paraId="0291A3B1" w14:textId="77777777" w:rsidR="008B1BD7" w:rsidRPr="00C454A1" w:rsidRDefault="008B1BD7" w:rsidP="008B1BD7">
      <w:pPr>
        <w:tabs>
          <w:tab w:val="left" w:pos="567"/>
        </w:tabs>
        <w:rPr>
          <w:rFonts w:cs="Times New Roman"/>
          <w:color w:val="000000" w:themeColor="text1"/>
          <w:szCs w:val="28"/>
        </w:rPr>
      </w:pPr>
    </w:p>
    <w:p w14:paraId="28416C95" w14:textId="77777777" w:rsidR="008B1BD7" w:rsidRPr="00C454A1" w:rsidRDefault="008B1BD7" w:rsidP="008B1BD7">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Respecto del </w:t>
      </w:r>
      <w:r w:rsidRPr="00C454A1">
        <w:rPr>
          <w:rFonts w:cs="Times New Roman"/>
          <w:color w:val="000000" w:themeColor="text1"/>
        </w:rPr>
        <w:t xml:space="preserve">homicidio del </w:t>
      </w:r>
      <w:r w:rsidRPr="00C454A1">
        <w:rPr>
          <w:rFonts w:cs="Times New Roman"/>
          <w:color w:val="000000" w:themeColor="text1"/>
          <w:szCs w:val="28"/>
        </w:rPr>
        <w:t xml:space="preserve">expresidente de la Asamblea Nacional Constituyente, Álvaro Gómez Hurtado, y las amenazas contra varios dirigentes políticos, aseguró que estos hechos sí eran </w:t>
      </w:r>
      <w:r w:rsidRPr="00C454A1">
        <w:rPr>
          <w:rFonts w:cs="Times New Roman"/>
          <w:i/>
          <w:iCs/>
          <w:color w:val="000000" w:themeColor="text1"/>
          <w:szCs w:val="28"/>
        </w:rPr>
        <w:t xml:space="preserve">sobrevinientes, súbitos, coyunturales </w:t>
      </w:r>
      <w:r w:rsidRPr="00C454A1">
        <w:rPr>
          <w:rFonts w:cs="Times New Roman"/>
          <w:color w:val="000000" w:themeColor="text1"/>
          <w:szCs w:val="28"/>
        </w:rPr>
        <w:t>y</w:t>
      </w:r>
      <w:r w:rsidRPr="00C454A1">
        <w:rPr>
          <w:rFonts w:cs="Times New Roman"/>
          <w:i/>
          <w:iCs/>
          <w:color w:val="000000" w:themeColor="text1"/>
          <w:szCs w:val="28"/>
        </w:rPr>
        <w:t xml:space="preserve"> transitorios</w:t>
      </w:r>
      <w:r w:rsidRPr="00C454A1">
        <w:rPr>
          <w:rFonts w:cs="Times New Roman"/>
          <w:color w:val="000000" w:themeColor="text1"/>
          <w:szCs w:val="28"/>
        </w:rPr>
        <w:t>, “con un altísimo grado de incidencia en la vida ordinaria de la comunidad”, y, en consecuencia, no podían ser conjurados mediante el ejercicio de las facultades ordinarias</w:t>
      </w:r>
      <w:r w:rsidRPr="00C454A1">
        <w:rPr>
          <w:rStyle w:val="Refdenotaalpie"/>
          <w:rFonts w:cs="Times New Roman"/>
          <w:color w:val="000000" w:themeColor="text1"/>
          <w:szCs w:val="28"/>
        </w:rPr>
        <w:footnoteReference w:id="55"/>
      </w:r>
      <w:r w:rsidRPr="00C454A1">
        <w:rPr>
          <w:rFonts w:cs="Times New Roman"/>
          <w:color w:val="000000" w:themeColor="text1"/>
          <w:szCs w:val="28"/>
        </w:rPr>
        <w:t>. En este sentido, tales circunstancias no eran propias “de los hechos de violencia arraigada desde hace varios años bajo la perspectiva de hechos endémicos y permanentes, sino de la actividad terrorista desplegada contra la estabilidad institucional y la convivencia ciudadana”.</w:t>
      </w:r>
    </w:p>
    <w:p w14:paraId="70EF5B35" w14:textId="77777777" w:rsidR="008B1BD7" w:rsidRPr="00C454A1" w:rsidRDefault="008B1BD7" w:rsidP="008B1BD7">
      <w:pPr>
        <w:tabs>
          <w:tab w:val="left" w:pos="567"/>
        </w:tabs>
        <w:rPr>
          <w:rFonts w:cs="Times New Roman"/>
          <w:color w:val="000000" w:themeColor="text1"/>
          <w:szCs w:val="28"/>
        </w:rPr>
      </w:pPr>
    </w:p>
    <w:p w14:paraId="298AF13F" w14:textId="5CB0A398" w:rsidR="008B1BD7" w:rsidRPr="00C454A1" w:rsidRDefault="008B1BD7" w:rsidP="008B1BD7">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Tercera etapa: sentencias C-802 de 2002 y C-070 de 2009</w:t>
      </w:r>
      <w:r w:rsidRPr="00C454A1">
        <w:rPr>
          <w:rFonts w:cs="Times New Roman"/>
          <w:color w:val="000000" w:themeColor="text1"/>
          <w:szCs w:val="28"/>
        </w:rPr>
        <w:t xml:space="preserve">. Esta etapa se caracteriza por la consolidación de la metodología para adelantar el control de constitucionalidad del decreto declaratorio; también por la delimitación del alcance y las características de lo que en la actualidad se </w:t>
      </w:r>
      <w:r w:rsidR="00CD18E6" w:rsidRPr="00C454A1">
        <w:rPr>
          <w:rFonts w:cs="Times New Roman"/>
          <w:color w:val="000000" w:themeColor="text1"/>
          <w:szCs w:val="28"/>
        </w:rPr>
        <w:t>denominan</w:t>
      </w:r>
      <w:r w:rsidRPr="00C454A1">
        <w:rPr>
          <w:rFonts w:cs="Times New Roman"/>
          <w:color w:val="000000" w:themeColor="text1"/>
          <w:szCs w:val="28"/>
        </w:rPr>
        <w:t xml:space="preserve"> </w:t>
      </w:r>
      <w:r w:rsidR="00CD18E6" w:rsidRPr="00C454A1">
        <w:rPr>
          <w:rFonts w:cs="Times New Roman"/>
          <w:color w:val="000000" w:themeColor="text1"/>
          <w:szCs w:val="28"/>
        </w:rPr>
        <w:t xml:space="preserve">los </w:t>
      </w:r>
      <w:r w:rsidRPr="00C454A1">
        <w:rPr>
          <w:rFonts w:cs="Times New Roman"/>
          <w:color w:val="000000" w:themeColor="text1"/>
          <w:szCs w:val="28"/>
        </w:rPr>
        <w:t xml:space="preserve">presupuestos </w:t>
      </w:r>
      <w:r w:rsidRPr="00C454A1">
        <w:rPr>
          <w:rFonts w:cs="Times New Roman"/>
          <w:i/>
          <w:iCs/>
          <w:color w:val="000000" w:themeColor="text1"/>
          <w:szCs w:val="28"/>
        </w:rPr>
        <w:t xml:space="preserve">fáctico, valorativo </w:t>
      </w:r>
      <w:r w:rsidRPr="00C454A1">
        <w:rPr>
          <w:rFonts w:cs="Times New Roman"/>
          <w:color w:val="000000" w:themeColor="text1"/>
          <w:szCs w:val="28"/>
        </w:rPr>
        <w:t>y de</w:t>
      </w:r>
      <w:r w:rsidRPr="00C454A1">
        <w:rPr>
          <w:rFonts w:cs="Times New Roman"/>
          <w:i/>
          <w:iCs/>
          <w:color w:val="000000" w:themeColor="text1"/>
          <w:szCs w:val="28"/>
        </w:rPr>
        <w:t xml:space="preserve"> suficiencia</w:t>
      </w:r>
      <w:r w:rsidRPr="00C454A1">
        <w:rPr>
          <w:rFonts w:cs="Times New Roman"/>
          <w:color w:val="000000" w:themeColor="text1"/>
          <w:szCs w:val="28"/>
        </w:rPr>
        <w:t xml:space="preserve">. </w:t>
      </w:r>
    </w:p>
    <w:p w14:paraId="5255D46E" w14:textId="77777777" w:rsidR="008B1BD7" w:rsidRPr="00C454A1" w:rsidRDefault="008B1BD7" w:rsidP="008B1BD7">
      <w:pPr>
        <w:tabs>
          <w:tab w:val="left" w:pos="567"/>
        </w:tabs>
        <w:rPr>
          <w:rFonts w:cs="Times New Roman"/>
          <w:color w:val="000000" w:themeColor="text1"/>
          <w:szCs w:val="28"/>
        </w:rPr>
      </w:pPr>
    </w:p>
    <w:p w14:paraId="41C351EF" w14:textId="19388089" w:rsidR="008B1BD7" w:rsidRPr="00C454A1" w:rsidRDefault="008B1BD7" w:rsidP="008B1BD7">
      <w:pPr>
        <w:numPr>
          <w:ilvl w:val="0"/>
          <w:numId w:val="2"/>
        </w:numPr>
        <w:tabs>
          <w:tab w:val="left" w:pos="567"/>
        </w:tabs>
        <w:ind w:left="0" w:firstLine="0"/>
        <w:rPr>
          <w:rFonts w:cs="Times New Roman"/>
          <w:color w:val="000000" w:themeColor="text1"/>
          <w:szCs w:val="28"/>
        </w:rPr>
      </w:pPr>
      <w:bookmarkStart w:id="115" w:name="_Ref203391149"/>
      <w:r w:rsidRPr="00C454A1">
        <w:rPr>
          <w:rFonts w:cs="Times New Roman"/>
          <w:color w:val="000000" w:themeColor="text1"/>
          <w:szCs w:val="28"/>
        </w:rPr>
        <w:t xml:space="preserve">En la Sentencia C-802 de 2002, la </w:t>
      </w:r>
      <w:r w:rsidR="00512516" w:rsidRPr="00C454A1">
        <w:rPr>
          <w:rFonts w:cs="Times New Roman"/>
          <w:color w:val="000000" w:themeColor="text1"/>
          <w:szCs w:val="28"/>
        </w:rPr>
        <w:t>C</w:t>
      </w:r>
      <w:r w:rsidRPr="00C454A1">
        <w:rPr>
          <w:rFonts w:cs="Times New Roman"/>
          <w:color w:val="000000" w:themeColor="text1"/>
          <w:szCs w:val="28"/>
        </w:rPr>
        <w:t>orporación declaró la exequibilidad del Decreto 1837 de 2002</w:t>
      </w:r>
      <w:r w:rsidRPr="00C454A1">
        <w:rPr>
          <w:rStyle w:val="Refdenotaalpie"/>
          <w:rFonts w:cs="Times New Roman"/>
          <w:color w:val="000000" w:themeColor="text1"/>
          <w:szCs w:val="28"/>
        </w:rPr>
        <w:footnoteReference w:id="56"/>
      </w:r>
      <w:r w:rsidRPr="00C454A1">
        <w:rPr>
          <w:rFonts w:cs="Times New Roman"/>
          <w:color w:val="000000" w:themeColor="text1"/>
          <w:szCs w:val="28"/>
        </w:rPr>
        <w:t xml:space="preserve">. El </w:t>
      </w:r>
      <w:r w:rsidR="007525E1" w:rsidRPr="00C454A1">
        <w:rPr>
          <w:rFonts w:cs="Times New Roman"/>
          <w:color w:val="000000" w:themeColor="text1"/>
          <w:szCs w:val="28"/>
        </w:rPr>
        <w:t>Gobierno nacional</w:t>
      </w:r>
      <w:r w:rsidRPr="00C454A1">
        <w:rPr>
          <w:rFonts w:cs="Times New Roman"/>
          <w:color w:val="000000" w:themeColor="text1"/>
          <w:szCs w:val="28"/>
        </w:rPr>
        <w:t xml:space="preserve"> justificó este estado de excepción en el incremento de los ataques perpetrados contra la población civil por grupos guerrilleros y grupos criminales (masacres, desapariciones, </w:t>
      </w:r>
      <w:r w:rsidRPr="00C454A1">
        <w:rPr>
          <w:rFonts w:cs="Times New Roman"/>
          <w:color w:val="000000" w:themeColor="text1"/>
          <w:szCs w:val="28"/>
        </w:rPr>
        <w:lastRenderedPageBreak/>
        <w:t>secuestros, desplazamientos forzados y destrucción de la infraestructura de servicios esenciales) y de actos de coacción a mandatarios locales, seccionales y nacionales y a sus familias, después de la ruptura del proceso de paz iniciado por el gobierno anterior.</w:t>
      </w:r>
      <w:bookmarkEnd w:id="115"/>
      <w:r w:rsidRPr="00C454A1">
        <w:rPr>
          <w:rFonts w:cs="Times New Roman"/>
          <w:color w:val="000000" w:themeColor="text1"/>
          <w:szCs w:val="28"/>
        </w:rPr>
        <w:t xml:space="preserve"> </w:t>
      </w:r>
    </w:p>
    <w:p w14:paraId="7D2B0CB8" w14:textId="77777777" w:rsidR="008B1BD7" w:rsidRPr="00C454A1" w:rsidRDefault="008B1BD7" w:rsidP="008B1BD7">
      <w:pPr>
        <w:tabs>
          <w:tab w:val="left" w:pos="567"/>
        </w:tabs>
        <w:rPr>
          <w:rFonts w:cs="Times New Roman"/>
          <w:color w:val="000000" w:themeColor="text1"/>
          <w:szCs w:val="28"/>
        </w:rPr>
      </w:pPr>
    </w:p>
    <w:p w14:paraId="7793F94F" w14:textId="19D1AE7B" w:rsidR="008B1BD7" w:rsidRPr="00C454A1" w:rsidRDefault="008B1BD7" w:rsidP="008B1BD7">
      <w:pPr>
        <w:numPr>
          <w:ilvl w:val="0"/>
          <w:numId w:val="2"/>
        </w:numPr>
        <w:tabs>
          <w:tab w:val="left" w:pos="567"/>
        </w:tabs>
        <w:ind w:left="0" w:firstLine="0"/>
        <w:rPr>
          <w:rFonts w:cs="Times New Roman"/>
          <w:color w:val="000000" w:themeColor="text1"/>
          <w:szCs w:val="28"/>
        </w:rPr>
      </w:pPr>
      <w:bookmarkStart w:id="116" w:name="_Ref219711623"/>
      <w:r w:rsidRPr="00C454A1">
        <w:rPr>
          <w:rFonts w:cs="Times New Roman"/>
          <w:color w:val="000000" w:themeColor="text1"/>
          <w:szCs w:val="28"/>
        </w:rPr>
        <w:t xml:space="preserve">En la citada providencia, </w:t>
      </w:r>
      <w:r w:rsidR="00CD18E6" w:rsidRPr="00C454A1">
        <w:rPr>
          <w:rFonts w:cs="Times New Roman"/>
          <w:color w:val="000000" w:themeColor="text1"/>
          <w:szCs w:val="28"/>
        </w:rPr>
        <w:t xml:space="preserve">en el contexto del estado de conmoción interior, </w:t>
      </w:r>
      <w:r w:rsidRPr="00C454A1">
        <w:rPr>
          <w:rFonts w:cs="Times New Roman"/>
          <w:color w:val="000000" w:themeColor="text1"/>
          <w:szCs w:val="28"/>
        </w:rPr>
        <w:t>la Sala</w:t>
      </w:r>
      <w:r w:rsidR="00CD18E6" w:rsidRPr="00C454A1">
        <w:rPr>
          <w:rFonts w:cs="Times New Roman"/>
          <w:color w:val="000000" w:themeColor="text1"/>
          <w:szCs w:val="28"/>
        </w:rPr>
        <w:t>: (i)</w:t>
      </w:r>
      <w:r w:rsidRPr="00C454A1">
        <w:rPr>
          <w:rFonts w:cs="Times New Roman"/>
          <w:color w:val="000000" w:themeColor="text1"/>
          <w:szCs w:val="28"/>
        </w:rPr>
        <w:t xml:space="preserve"> se refirió por primera vez a los </w:t>
      </w:r>
      <w:r w:rsidRPr="00C454A1">
        <w:rPr>
          <w:rFonts w:cs="Times New Roman"/>
          <w:i/>
          <w:iCs/>
          <w:color w:val="000000" w:themeColor="text1"/>
          <w:szCs w:val="28"/>
        </w:rPr>
        <w:t>presupuestos</w:t>
      </w:r>
      <w:r w:rsidRPr="00C454A1">
        <w:rPr>
          <w:rFonts w:cs="Times New Roman"/>
          <w:color w:val="000000" w:themeColor="text1"/>
          <w:szCs w:val="28"/>
        </w:rPr>
        <w:t xml:space="preserve"> fáctico, valorativo </w:t>
      </w:r>
      <w:r w:rsidRPr="00C454A1">
        <w:rPr>
          <w:rFonts w:cs="Times New Roman"/>
          <w:color w:val="000000" w:themeColor="text1"/>
        </w:rPr>
        <w:t>y de suficiencia de los medios policivos ordinarios</w:t>
      </w:r>
      <w:r w:rsidR="00CD18E6" w:rsidRPr="00C454A1">
        <w:rPr>
          <w:rFonts w:cs="Times New Roman"/>
          <w:color w:val="000000" w:themeColor="text1"/>
        </w:rPr>
        <w:t>; (ii)</w:t>
      </w:r>
      <w:r w:rsidRPr="00C454A1">
        <w:rPr>
          <w:rFonts w:cs="Times New Roman"/>
          <w:color w:val="000000" w:themeColor="text1"/>
        </w:rPr>
        <w:t xml:space="preserve"> unificó su contenido</w:t>
      </w:r>
      <w:r w:rsidR="00CD18E6" w:rsidRPr="00C454A1">
        <w:rPr>
          <w:rFonts w:cs="Times New Roman"/>
          <w:color w:val="000000" w:themeColor="text1"/>
        </w:rPr>
        <w:t>;</w:t>
      </w:r>
      <w:r w:rsidRPr="00C454A1">
        <w:rPr>
          <w:rFonts w:cs="Times New Roman"/>
          <w:color w:val="000000" w:themeColor="text1"/>
        </w:rPr>
        <w:t xml:space="preserve"> y </w:t>
      </w:r>
      <w:r w:rsidR="00CD18E6" w:rsidRPr="00C454A1">
        <w:rPr>
          <w:rFonts w:cs="Times New Roman"/>
          <w:color w:val="000000" w:themeColor="text1"/>
        </w:rPr>
        <w:t xml:space="preserve">(iii) </w:t>
      </w:r>
      <w:r w:rsidRPr="00C454A1">
        <w:rPr>
          <w:rFonts w:cs="Times New Roman"/>
          <w:color w:val="000000" w:themeColor="text1"/>
        </w:rPr>
        <w:t>delimitó el alcance del juicio de constitucionalidad</w:t>
      </w:r>
      <w:r w:rsidR="00CD18E6" w:rsidRPr="00C454A1">
        <w:rPr>
          <w:rFonts w:cs="Times New Roman"/>
          <w:color w:val="000000" w:themeColor="text1"/>
        </w:rPr>
        <w:t xml:space="preserve"> en relación con dicho estado de excepción</w:t>
      </w:r>
      <w:r w:rsidRPr="00C454A1">
        <w:rPr>
          <w:rFonts w:cs="Times New Roman"/>
          <w:color w:val="000000" w:themeColor="text1"/>
        </w:rPr>
        <w:t xml:space="preserve">. La Corte concluyó que el </w:t>
      </w:r>
      <w:r w:rsidRPr="00C454A1">
        <w:rPr>
          <w:rFonts w:cs="Times New Roman"/>
          <w:color w:val="000000" w:themeColor="text1"/>
          <w:szCs w:val="28"/>
        </w:rPr>
        <w:t xml:space="preserve">Decreto 1837 de 2002 cumplía </w:t>
      </w:r>
      <w:r w:rsidR="00CD18E6" w:rsidRPr="00C454A1">
        <w:rPr>
          <w:rFonts w:cs="Times New Roman"/>
          <w:color w:val="000000" w:themeColor="text1"/>
          <w:szCs w:val="28"/>
        </w:rPr>
        <w:t xml:space="preserve">los </w:t>
      </w:r>
      <w:r w:rsidRPr="00C454A1">
        <w:rPr>
          <w:rFonts w:cs="Times New Roman"/>
          <w:color w:val="000000" w:themeColor="text1"/>
          <w:szCs w:val="28"/>
        </w:rPr>
        <w:t>tres presupuestos. Primero, porque en el último año los grupos subversivos y terroristas habían llevado a cabo múltiples ataques contra la población civil, la fuerza pública y la infraestructura de servicios públicos del Estado (presupuesto fáctico)</w:t>
      </w:r>
      <w:r w:rsidRPr="00C454A1">
        <w:rPr>
          <w:rStyle w:val="Refdenotaalpie"/>
          <w:rFonts w:cs="Times New Roman"/>
          <w:color w:val="000000" w:themeColor="text1"/>
          <w:szCs w:val="28"/>
        </w:rPr>
        <w:footnoteReference w:id="57"/>
      </w:r>
      <w:r w:rsidRPr="00C454A1">
        <w:rPr>
          <w:rFonts w:cs="Times New Roman"/>
          <w:color w:val="000000" w:themeColor="text1"/>
          <w:szCs w:val="28"/>
        </w:rPr>
        <w:t>. Segundo, porque, aunque tales hechos no eran “en manera alguna […] sobrevinientes, pues todas ellas son situaciones que de tiempo atrás afectan a la sociedad colombiana” sí habían adquirido de manera repentina una intensidad inusitada, esto es, un recrudecimiento o escalamiento, cualitativo y cuantitativo</w:t>
      </w:r>
      <w:r w:rsidRPr="00C454A1">
        <w:rPr>
          <w:rStyle w:val="Refdenotaalpie"/>
          <w:rFonts w:cs="Times New Roman"/>
          <w:color w:val="000000" w:themeColor="text1"/>
          <w:szCs w:val="28"/>
        </w:rPr>
        <w:footnoteReference w:id="58"/>
      </w:r>
      <w:r w:rsidRPr="00C454A1">
        <w:rPr>
          <w:rFonts w:cs="Times New Roman"/>
          <w:color w:val="000000" w:themeColor="text1"/>
          <w:szCs w:val="28"/>
        </w:rPr>
        <w:t xml:space="preserve"> (presupuesto valorativo). Y, tercero, porque “las atribuciones ordinarias de policía resultan limitadas pues ellas no están diseñadas para afrontar situaciones agudas de crisis institucional como las invocadas en la declaratoria del estado de conmoción interior” (presupuesto de suficiencia).</w:t>
      </w:r>
      <w:bookmarkEnd w:id="116"/>
    </w:p>
    <w:p w14:paraId="02D03F51" w14:textId="77777777" w:rsidR="008B1BD7" w:rsidRPr="00C454A1" w:rsidRDefault="008B1BD7" w:rsidP="008B1BD7">
      <w:pPr>
        <w:tabs>
          <w:tab w:val="left" w:pos="567"/>
        </w:tabs>
        <w:rPr>
          <w:rFonts w:cs="Times New Roman"/>
          <w:color w:val="000000" w:themeColor="text1"/>
          <w:szCs w:val="28"/>
        </w:rPr>
      </w:pPr>
    </w:p>
    <w:p w14:paraId="0A19C465" w14:textId="59A436D2" w:rsidR="008B1BD7" w:rsidRPr="00C454A1" w:rsidRDefault="008B1BD7" w:rsidP="008B1BD7">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rPr>
        <w:t xml:space="preserve">La metodología de </w:t>
      </w:r>
      <w:r w:rsidR="00F85ECC" w:rsidRPr="00C454A1">
        <w:rPr>
          <w:rFonts w:cs="Times New Roman"/>
          <w:color w:val="000000" w:themeColor="text1"/>
        </w:rPr>
        <w:t xml:space="preserve">análisis constitucional </w:t>
      </w:r>
      <w:r w:rsidRPr="00C454A1">
        <w:rPr>
          <w:rFonts w:cs="Times New Roman"/>
          <w:color w:val="000000" w:themeColor="text1"/>
        </w:rPr>
        <w:t xml:space="preserve">definida en la Sentencia C-802 de 2002 fue reiterada en la Sentencia C-070 de 2009. </w:t>
      </w:r>
      <w:r w:rsidRPr="00C454A1">
        <w:rPr>
          <w:rFonts w:cs="Times New Roman"/>
          <w:color w:val="000000" w:themeColor="text1"/>
          <w:szCs w:val="28"/>
        </w:rPr>
        <w:t xml:space="preserve">En esta providencia, la Sala declaró la inexequibilidad </w:t>
      </w:r>
      <w:r w:rsidR="00F03DBD" w:rsidRPr="00C454A1">
        <w:rPr>
          <w:rFonts w:cs="Times New Roman"/>
          <w:color w:val="000000" w:themeColor="text1"/>
          <w:szCs w:val="28"/>
        </w:rPr>
        <w:t xml:space="preserve">del </w:t>
      </w:r>
      <w:r w:rsidRPr="00C454A1">
        <w:rPr>
          <w:rFonts w:cs="Times New Roman"/>
          <w:color w:val="000000" w:themeColor="text1"/>
          <w:szCs w:val="28"/>
        </w:rPr>
        <w:t xml:space="preserve">Decreto 3929 de 2008, que declaró el estado de conmoción interior por el cese de actividades de la administración de justicia por más de un mes. </w:t>
      </w:r>
      <w:r w:rsidR="00F03DBD" w:rsidRPr="00C454A1">
        <w:rPr>
          <w:rFonts w:cs="Times New Roman"/>
          <w:color w:val="000000" w:themeColor="text1"/>
        </w:rPr>
        <w:t>L</w:t>
      </w:r>
      <w:r w:rsidRPr="00C454A1">
        <w:rPr>
          <w:rFonts w:cs="Times New Roman"/>
          <w:color w:val="000000" w:themeColor="text1"/>
        </w:rPr>
        <w:t xml:space="preserve">a Corte </w:t>
      </w:r>
      <w:r w:rsidR="00F03DBD" w:rsidRPr="00C454A1">
        <w:rPr>
          <w:rFonts w:cs="Times New Roman"/>
          <w:color w:val="000000" w:themeColor="text1"/>
        </w:rPr>
        <w:t xml:space="preserve">llegó a esta conclusión tras </w:t>
      </w:r>
      <w:r w:rsidRPr="00C454A1">
        <w:rPr>
          <w:rFonts w:cs="Times New Roman"/>
          <w:color w:val="000000" w:themeColor="text1"/>
        </w:rPr>
        <w:t>constat</w:t>
      </w:r>
      <w:r w:rsidR="00F03DBD" w:rsidRPr="00C454A1">
        <w:rPr>
          <w:rFonts w:cs="Times New Roman"/>
          <w:color w:val="000000" w:themeColor="text1"/>
        </w:rPr>
        <w:t>ar</w:t>
      </w:r>
      <w:r w:rsidRPr="00C454A1">
        <w:rPr>
          <w:rFonts w:cs="Times New Roman"/>
          <w:color w:val="000000" w:themeColor="text1"/>
        </w:rPr>
        <w:t xml:space="preserve"> lo siguiente: (i) el </w:t>
      </w:r>
      <w:r w:rsidR="007525E1" w:rsidRPr="00C454A1">
        <w:rPr>
          <w:rFonts w:cs="Times New Roman"/>
          <w:color w:val="000000" w:themeColor="text1"/>
        </w:rPr>
        <w:t>Gobierno nacional</w:t>
      </w:r>
      <w:r w:rsidRPr="00C454A1">
        <w:rPr>
          <w:rFonts w:cs="Times New Roman"/>
          <w:color w:val="000000" w:themeColor="text1"/>
        </w:rPr>
        <w:t xml:space="preserve"> no aportó pruebas que acreditaran la totalidad de los hechos aducidos, por lo que solo se satisfacía parcialmente el presupuesto fáctico; (ii) en la parte motiva del decreto, el presidente de la República no consignó “</w:t>
      </w:r>
      <w:r w:rsidRPr="00C454A1">
        <w:rPr>
          <w:iCs/>
          <w:color w:val="000000" w:themeColor="text1"/>
          <w:szCs w:val="28"/>
        </w:rPr>
        <w:t>una apreciación suficiente sobre [la] gravedad [de los hechos] y su naturaleza excepcional”, de manera que el decreto incumplía el presupuesto valorativo; y (iii) tampoco valoró “la insuficiencia de los poderes de policía […]</w:t>
      </w:r>
      <w:r w:rsidRPr="00C454A1">
        <w:rPr>
          <w:color w:val="000000" w:themeColor="text1"/>
          <w:szCs w:val="28"/>
        </w:rPr>
        <w:t xml:space="preserve"> para sortear la situaci</w:t>
      </w:r>
      <w:r w:rsidRPr="00C454A1">
        <w:rPr>
          <w:iCs/>
          <w:color w:val="000000" w:themeColor="text1"/>
          <w:szCs w:val="28"/>
        </w:rPr>
        <w:t xml:space="preserve">ón crítica originada por el cese de actividades judiciales”, situación que </w:t>
      </w:r>
      <w:r w:rsidR="00F03DBD" w:rsidRPr="00C454A1">
        <w:rPr>
          <w:iCs/>
          <w:color w:val="000000" w:themeColor="text1"/>
          <w:szCs w:val="28"/>
        </w:rPr>
        <w:t xml:space="preserve">supuso </w:t>
      </w:r>
      <w:r w:rsidRPr="00C454A1">
        <w:rPr>
          <w:iCs/>
          <w:color w:val="000000" w:themeColor="text1"/>
          <w:szCs w:val="28"/>
        </w:rPr>
        <w:t xml:space="preserve">la insatisfacción del presupuesto de suficiencia. </w:t>
      </w:r>
    </w:p>
    <w:p w14:paraId="1990127D" w14:textId="77777777" w:rsidR="008B1BD7" w:rsidRPr="00C454A1" w:rsidRDefault="008B1BD7" w:rsidP="008B1BD7">
      <w:pPr>
        <w:tabs>
          <w:tab w:val="left" w:pos="567"/>
        </w:tabs>
        <w:rPr>
          <w:rFonts w:cs="Times New Roman"/>
          <w:color w:val="000000" w:themeColor="text1"/>
          <w:szCs w:val="28"/>
        </w:rPr>
      </w:pPr>
    </w:p>
    <w:p w14:paraId="007D4DD3" w14:textId="697E6BE1" w:rsidR="008B1BD7" w:rsidRPr="00C454A1" w:rsidRDefault="009B1C37" w:rsidP="008B1BD7">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lastRenderedPageBreak/>
        <w:t>La tabla</w:t>
      </w:r>
      <w:r w:rsidR="008B1BD7" w:rsidRPr="00C454A1">
        <w:rPr>
          <w:rFonts w:cs="Times New Roman"/>
          <w:color w:val="000000" w:themeColor="text1"/>
          <w:szCs w:val="28"/>
        </w:rPr>
        <w:t xml:space="preserve"> que se presenta a continuación contiene un resumen de las siete sentencias analizadas en este capítulo: </w:t>
      </w:r>
    </w:p>
    <w:p w14:paraId="3A51700F" w14:textId="77777777" w:rsidR="00F842E0" w:rsidRPr="00C454A1" w:rsidRDefault="00F842E0" w:rsidP="008B1BD7">
      <w:pPr>
        <w:tabs>
          <w:tab w:val="left" w:pos="567"/>
        </w:tabs>
        <w:rPr>
          <w:rFonts w:cs="Times New Roman"/>
          <w:color w:val="000000" w:themeColor="text1"/>
          <w:szCs w:val="28"/>
        </w:rPr>
      </w:pPr>
    </w:p>
    <w:p w14:paraId="1F1B1327" w14:textId="3A7C8215" w:rsidR="009B1C37" w:rsidRPr="00C454A1" w:rsidRDefault="009B1C37" w:rsidP="00895D07">
      <w:pPr>
        <w:tabs>
          <w:tab w:val="left" w:pos="567"/>
        </w:tabs>
        <w:ind w:left="851" w:right="902"/>
        <w:jc w:val="center"/>
        <w:rPr>
          <w:rFonts w:cs="Times New Roman"/>
          <w:i/>
          <w:iCs/>
          <w:color w:val="000000" w:themeColor="text1"/>
          <w:sz w:val="22"/>
          <w:szCs w:val="22"/>
        </w:rPr>
      </w:pPr>
      <w:r w:rsidRPr="00C454A1">
        <w:rPr>
          <w:rFonts w:cs="Times New Roman"/>
          <w:i/>
          <w:iCs/>
          <w:color w:val="000000" w:themeColor="text1"/>
          <w:sz w:val="22"/>
          <w:szCs w:val="22"/>
        </w:rPr>
        <w:t>Tabla 2: resumen de sentencias de control de constitucionalidad sobre el estado de conmoción interior</w:t>
      </w:r>
    </w:p>
    <w:tbl>
      <w:tblPr>
        <w:tblStyle w:val="Tablaconcuadrcula"/>
        <w:tblW w:w="5000" w:type="pct"/>
        <w:jc w:val="center"/>
        <w:tblLook w:val="04A0" w:firstRow="1" w:lastRow="0" w:firstColumn="1" w:lastColumn="0" w:noHBand="0" w:noVBand="1"/>
      </w:tblPr>
      <w:tblGrid>
        <w:gridCol w:w="2317"/>
        <w:gridCol w:w="2923"/>
        <w:gridCol w:w="1559"/>
        <w:gridCol w:w="2031"/>
      </w:tblGrid>
      <w:tr w:rsidR="00C454A1" w:rsidRPr="00C454A1" w14:paraId="4281BFBF" w14:textId="77777777" w:rsidTr="001B62B0">
        <w:trPr>
          <w:jc w:val="center"/>
        </w:trPr>
        <w:tc>
          <w:tcPr>
            <w:tcW w:w="1312" w:type="pct"/>
            <w:shd w:val="clear" w:color="auto" w:fill="D1D1D1" w:themeFill="background2" w:themeFillShade="E6"/>
          </w:tcPr>
          <w:p w14:paraId="621F5817" w14:textId="77777777" w:rsidR="008B1BD7" w:rsidRPr="00C454A1" w:rsidRDefault="008B1BD7" w:rsidP="00EE77DF">
            <w:pPr>
              <w:tabs>
                <w:tab w:val="left" w:pos="567"/>
              </w:tabs>
              <w:jc w:val="center"/>
              <w:rPr>
                <w:rFonts w:cs="Times New Roman"/>
                <w:b/>
                <w:bCs/>
                <w:color w:val="000000" w:themeColor="text1"/>
                <w:sz w:val="22"/>
                <w:szCs w:val="22"/>
              </w:rPr>
            </w:pPr>
            <w:r w:rsidRPr="00C454A1">
              <w:rPr>
                <w:rFonts w:cs="Times New Roman"/>
                <w:b/>
                <w:bCs/>
                <w:color w:val="000000" w:themeColor="text1"/>
                <w:sz w:val="22"/>
                <w:szCs w:val="22"/>
              </w:rPr>
              <w:t>Decreto Legislativo</w:t>
            </w:r>
          </w:p>
        </w:tc>
        <w:tc>
          <w:tcPr>
            <w:tcW w:w="1655" w:type="pct"/>
            <w:shd w:val="clear" w:color="auto" w:fill="D1D1D1" w:themeFill="background2" w:themeFillShade="E6"/>
          </w:tcPr>
          <w:p w14:paraId="67834C49" w14:textId="77777777" w:rsidR="008B1BD7" w:rsidRPr="00C454A1" w:rsidRDefault="008B1BD7" w:rsidP="00EE77DF">
            <w:pPr>
              <w:tabs>
                <w:tab w:val="left" w:pos="567"/>
              </w:tabs>
              <w:jc w:val="center"/>
              <w:rPr>
                <w:rFonts w:cs="Times New Roman"/>
                <w:b/>
                <w:bCs/>
                <w:color w:val="000000" w:themeColor="text1"/>
                <w:sz w:val="22"/>
                <w:szCs w:val="22"/>
              </w:rPr>
            </w:pPr>
            <w:r w:rsidRPr="00C454A1">
              <w:rPr>
                <w:rFonts w:cs="Times New Roman"/>
                <w:b/>
                <w:bCs/>
                <w:color w:val="000000" w:themeColor="text1"/>
                <w:sz w:val="22"/>
                <w:szCs w:val="22"/>
              </w:rPr>
              <w:t>Fundamento fáctico</w:t>
            </w:r>
          </w:p>
        </w:tc>
        <w:tc>
          <w:tcPr>
            <w:tcW w:w="883" w:type="pct"/>
            <w:shd w:val="clear" w:color="auto" w:fill="D1D1D1" w:themeFill="background2" w:themeFillShade="E6"/>
          </w:tcPr>
          <w:p w14:paraId="33128155" w14:textId="77777777" w:rsidR="008B1BD7" w:rsidRPr="00C454A1" w:rsidRDefault="008B1BD7" w:rsidP="00EE77DF">
            <w:pPr>
              <w:tabs>
                <w:tab w:val="left" w:pos="567"/>
              </w:tabs>
              <w:jc w:val="center"/>
              <w:rPr>
                <w:rFonts w:cs="Times New Roman"/>
                <w:b/>
                <w:bCs/>
                <w:color w:val="000000" w:themeColor="text1"/>
                <w:sz w:val="22"/>
                <w:szCs w:val="22"/>
              </w:rPr>
            </w:pPr>
            <w:r w:rsidRPr="00C454A1">
              <w:rPr>
                <w:rFonts w:cs="Times New Roman"/>
                <w:b/>
                <w:bCs/>
                <w:color w:val="000000" w:themeColor="text1"/>
                <w:sz w:val="22"/>
                <w:szCs w:val="22"/>
              </w:rPr>
              <w:t>Sentencia</w:t>
            </w:r>
          </w:p>
        </w:tc>
        <w:tc>
          <w:tcPr>
            <w:tcW w:w="1150" w:type="pct"/>
            <w:shd w:val="clear" w:color="auto" w:fill="D1D1D1" w:themeFill="background2" w:themeFillShade="E6"/>
          </w:tcPr>
          <w:p w14:paraId="67F87A89" w14:textId="77777777" w:rsidR="008B1BD7" w:rsidRPr="00C454A1" w:rsidRDefault="008B1BD7" w:rsidP="00EE77DF">
            <w:pPr>
              <w:tabs>
                <w:tab w:val="left" w:pos="567"/>
              </w:tabs>
              <w:jc w:val="center"/>
              <w:rPr>
                <w:rFonts w:cs="Times New Roman"/>
                <w:b/>
                <w:bCs/>
                <w:color w:val="000000" w:themeColor="text1"/>
                <w:sz w:val="22"/>
                <w:szCs w:val="22"/>
              </w:rPr>
            </w:pPr>
            <w:r w:rsidRPr="00C454A1">
              <w:rPr>
                <w:rFonts w:cs="Times New Roman"/>
                <w:b/>
                <w:bCs/>
                <w:color w:val="000000" w:themeColor="text1"/>
                <w:sz w:val="22"/>
                <w:szCs w:val="22"/>
              </w:rPr>
              <w:t>Decisión</w:t>
            </w:r>
          </w:p>
        </w:tc>
      </w:tr>
      <w:tr w:rsidR="00C454A1" w:rsidRPr="00C454A1" w14:paraId="30142345" w14:textId="77777777" w:rsidTr="001B62B0">
        <w:trPr>
          <w:jc w:val="center"/>
        </w:trPr>
        <w:tc>
          <w:tcPr>
            <w:tcW w:w="1312" w:type="pct"/>
            <w:shd w:val="clear" w:color="auto" w:fill="D1D1D1" w:themeFill="background2" w:themeFillShade="E6"/>
            <w:vAlign w:val="center"/>
          </w:tcPr>
          <w:p w14:paraId="06A5E466"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Decreto 1156 de 1992</w:t>
            </w:r>
          </w:p>
        </w:tc>
        <w:tc>
          <w:tcPr>
            <w:tcW w:w="1655" w:type="pct"/>
            <w:vAlign w:val="center"/>
          </w:tcPr>
          <w:p w14:paraId="2537C0A6" w14:textId="77777777" w:rsidR="008B1BD7" w:rsidRPr="00C454A1" w:rsidRDefault="008B1BD7" w:rsidP="00EE77DF">
            <w:pPr>
              <w:tabs>
                <w:tab w:val="left" w:pos="567"/>
              </w:tabs>
              <w:rPr>
                <w:rFonts w:cs="Times New Roman"/>
                <w:color w:val="000000" w:themeColor="text1"/>
                <w:sz w:val="22"/>
                <w:szCs w:val="22"/>
              </w:rPr>
            </w:pPr>
            <w:r w:rsidRPr="00C454A1">
              <w:rPr>
                <w:rFonts w:cs="Times New Roman"/>
                <w:color w:val="000000" w:themeColor="text1"/>
                <w:sz w:val="22"/>
                <w:szCs w:val="22"/>
              </w:rPr>
              <w:t>Existencia de interpretaciones problemáticas sobre las normas especiales que regían la jurisdicción de orden público.</w:t>
            </w:r>
          </w:p>
        </w:tc>
        <w:tc>
          <w:tcPr>
            <w:tcW w:w="883" w:type="pct"/>
            <w:vAlign w:val="center"/>
          </w:tcPr>
          <w:p w14:paraId="66E65E7E"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C-556 de 1992</w:t>
            </w:r>
          </w:p>
        </w:tc>
        <w:tc>
          <w:tcPr>
            <w:tcW w:w="1150" w:type="pct"/>
            <w:vAlign w:val="center"/>
          </w:tcPr>
          <w:p w14:paraId="2EC3FED6"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Exequible</w:t>
            </w:r>
          </w:p>
        </w:tc>
      </w:tr>
      <w:tr w:rsidR="00C454A1" w:rsidRPr="00C454A1" w14:paraId="38715CD1" w14:textId="77777777" w:rsidTr="001B62B0">
        <w:trPr>
          <w:jc w:val="center"/>
        </w:trPr>
        <w:tc>
          <w:tcPr>
            <w:tcW w:w="1312" w:type="pct"/>
            <w:shd w:val="clear" w:color="auto" w:fill="D1D1D1" w:themeFill="background2" w:themeFillShade="E6"/>
            <w:vAlign w:val="center"/>
          </w:tcPr>
          <w:p w14:paraId="0F99EB81"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Decreto 1793 de 1992</w:t>
            </w:r>
          </w:p>
        </w:tc>
        <w:tc>
          <w:tcPr>
            <w:tcW w:w="1655" w:type="pct"/>
          </w:tcPr>
          <w:p w14:paraId="1EEC7ABF" w14:textId="77777777" w:rsidR="008B1BD7" w:rsidRPr="00C454A1" w:rsidRDefault="008B1BD7" w:rsidP="00EE77DF">
            <w:pPr>
              <w:tabs>
                <w:tab w:val="left" w:pos="567"/>
              </w:tabs>
              <w:rPr>
                <w:rFonts w:cs="Times New Roman"/>
                <w:color w:val="000000" w:themeColor="text1"/>
                <w:sz w:val="22"/>
                <w:szCs w:val="22"/>
              </w:rPr>
            </w:pPr>
            <w:r w:rsidRPr="00C454A1">
              <w:rPr>
                <w:rFonts w:cs="Times New Roman"/>
                <w:color w:val="000000" w:themeColor="text1"/>
                <w:sz w:val="22"/>
                <w:szCs w:val="22"/>
              </w:rPr>
              <w:t>Intensificación de la actividad delictiva de los grupos guerrilleros y del narcotráfico.</w:t>
            </w:r>
          </w:p>
        </w:tc>
        <w:tc>
          <w:tcPr>
            <w:tcW w:w="883" w:type="pct"/>
            <w:vAlign w:val="center"/>
          </w:tcPr>
          <w:p w14:paraId="712DC4C7"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C-031 de 1993</w:t>
            </w:r>
          </w:p>
        </w:tc>
        <w:tc>
          <w:tcPr>
            <w:tcW w:w="1150" w:type="pct"/>
            <w:vAlign w:val="center"/>
          </w:tcPr>
          <w:p w14:paraId="03E30CDE"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Exequible</w:t>
            </w:r>
          </w:p>
        </w:tc>
      </w:tr>
      <w:tr w:rsidR="00C454A1" w:rsidRPr="00C454A1" w14:paraId="626B11AA" w14:textId="77777777" w:rsidTr="001B62B0">
        <w:trPr>
          <w:jc w:val="center"/>
        </w:trPr>
        <w:tc>
          <w:tcPr>
            <w:tcW w:w="1312" w:type="pct"/>
            <w:shd w:val="clear" w:color="auto" w:fill="D1D1D1" w:themeFill="background2" w:themeFillShade="E6"/>
            <w:vAlign w:val="center"/>
          </w:tcPr>
          <w:p w14:paraId="7002924B"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Decreto 874 de 1994</w:t>
            </w:r>
          </w:p>
        </w:tc>
        <w:tc>
          <w:tcPr>
            <w:tcW w:w="1655" w:type="pct"/>
          </w:tcPr>
          <w:p w14:paraId="2DB33551" w14:textId="77777777" w:rsidR="008B1BD7" w:rsidRPr="00C454A1" w:rsidRDefault="008B1BD7" w:rsidP="00EE77DF">
            <w:pPr>
              <w:tabs>
                <w:tab w:val="left" w:pos="567"/>
              </w:tabs>
              <w:rPr>
                <w:rFonts w:cs="Times New Roman"/>
                <w:color w:val="000000" w:themeColor="text1"/>
                <w:sz w:val="22"/>
                <w:szCs w:val="22"/>
              </w:rPr>
            </w:pPr>
            <w:r w:rsidRPr="00C454A1">
              <w:rPr>
                <w:rFonts w:cs="Times New Roman"/>
                <w:color w:val="000000" w:themeColor="text1"/>
                <w:sz w:val="22"/>
                <w:szCs w:val="22"/>
              </w:rPr>
              <w:t>Liberación de cerca de 864 personas sindicadas por delitos graves, en razón del vencimiento del término establecido en el parágrafo transitorio del artículo 55 de la Ley 81 de 1993.</w:t>
            </w:r>
          </w:p>
        </w:tc>
        <w:tc>
          <w:tcPr>
            <w:tcW w:w="883" w:type="pct"/>
            <w:vAlign w:val="center"/>
          </w:tcPr>
          <w:p w14:paraId="4F1137D2"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C-300 de 1994</w:t>
            </w:r>
          </w:p>
        </w:tc>
        <w:tc>
          <w:tcPr>
            <w:tcW w:w="1150" w:type="pct"/>
            <w:vAlign w:val="center"/>
          </w:tcPr>
          <w:p w14:paraId="6297537F"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Inexequible</w:t>
            </w:r>
          </w:p>
        </w:tc>
      </w:tr>
      <w:tr w:rsidR="00C454A1" w:rsidRPr="00C454A1" w14:paraId="774D2DAB" w14:textId="77777777" w:rsidTr="001B62B0">
        <w:trPr>
          <w:jc w:val="center"/>
        </w:trPr>
        <w:tc>
          <w:tcPr>
            <w:tcW w:w="1312" w:type="pct"/>
            <w:shd w:val="clear" w:color="auto" w:fill="D1D1D1" w:themeFill="background2" w:themeFillShade="E6"/>
            <w:vAlign w:val="center"/>
          </w:tcPr>
          <w:p w14:paraId="4091A17E"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Decreto 1370 de 1995</w:t>
            </w:r>
          </w:p>
        </w:tc>
        <w:tc>
          <w:tcPr>
            <w:tcW w:w="1655" w:type="pct"/>
            <w:vAlign w:val="center"/>
          </w:tcPr>
          <w:p w14:paraId="2DED267B" w14:textId="77777777" w:rsidR="008B1BD7" w:rsidRPr="00C454A1" w:rsidRDefault="008B1BD7" w:rsidP="00EE77DF">
            <w:pPr>
              <w:tabs>
                <w:tab w:val="left" w:pos="567"/>
              </w:tabs>
              <w:rPr>
                <w:rFonts w:cs="Times New Roman"/>
                <w:color w:val="000000" w:themeColor="text1"/>
                <w:sz w:val="22"/>
                <w:szCs w:val="22"/>
              </w:rPr>
            </w:pPr>
            <w:r w:rsidRPr="00C454A1">
              <w:rPr>
                <w:rFonts w:cs="Times New Roman"/>
                <w:color w:val="000000" w:themeColor="text1"/>
                <w:sz w:val="22"/>
                <w:szCs w:val="22"/>
              </w:rPr>
              <w:t>Incremento de la delincuencia política y común, congestión de los despachos judiciales y deterioro del régimen carcelario.</w:t>
            </w:r>
          </w:p>
        </w:tc>
        <w:tc>
          <w:tcPr>
            <w:tcW w:w="883" w:type="pct"/>
            <w:vAlign w:val="center"/>
          </w:tcPr>
          <w:p w14:paraId="7DEA1000"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C-466 de 1995</w:t>
            </w:r>
          </w:p>
        </w:tc>
        <w:tc>
          <w:tcPr>
            <w:tcW w:w="1150" w:type="pct"/>
            <w:vAlign w:val="center"/>
          </w:tcPr>
          <w:p w14:paraId="1774CF9B"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Inexequible</w:t>
            </w:r>
          </w:p>
        </w:tc>
      </w:tr>
      <w:tr w:rsidR="00C454A1" w:rsidRPr="00C454A1" w14:paraId="4D2B28F6" w14:textId="77777777" w:rsidTr="001B62B0">
        <w:trPr>
          <w:jc w:val="center"/>
        </w:trPr>
        <w:tc>
          <w:tcPr>
            <w:tcW w:w="1312" w:type="pct"/>
            <w:shd w:val="clear" w:color="auto" w:fill="D1D1D1" w:themeFill="background2" w:themeFillShade="E6"/>
            <w:vAlign w:val="center"/>
          </w:tcPr>
          <w:p w14:paraId="66DDFA72"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Decreto 1900 de 1995</w:t>
            </w:r>
          </w:p>
        </w:tc>
        <w:tc>
          <w:tcPr>
            <w:tcW w:w="1655" w:type="pct"/>
          </w:tcPr>
          <w:p w14:paraId="6CDDD508" w14:textId="77777777" w:rsidR="008B1BD7" w:rsidRPr="00C454A1" w:rsidRDefault="008B1BD7" w:rsidP="00EE77DF">
            <w:pPr>
              <w:tabs>
                <w:tab w:val="left" w:pos="567"/>
              </w:tabs>
              <w:rPr>
                <w:rFonts w:cs="Times New Roman"/>
                <w:color w:val="000000" w:themeColor="text1"/>
                <w:sz w:val="22"/>
                <w:szCs w:val="22"/>
              </w:rPr>
            </w:pPr>
            <w:r w:rsidRPr="00C454A1">
              <w:rPr>
                <w:rFonts w:cs="Times New Roman"/>
                <w:color w:val="000000" w:themeColor="text1"/>
                <w:sz w:val="22"/>
                <w:szCs w:val="22"/>
              </w:rPr>
              <w:t>Hechos de violencia en diferentes regiones del país, homicidio del expresidente de la Asamblea Nacional Constituyente, Álvaro Gómez Hurtado y amenazas contra varios dirigentes políticos.</w:t>
            </w:r>
          </w:p>
        </w:tc>
        <w:tc>
          <w:tcPr>
            <w:tcW w:w="883" w:type="pct"/>
            <w:vAlign w:val="center"/>
          </w:tcPr>
          <w:p w14:paraId="15428A25"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C-027 de 1996</w:t>
            </w:r>
          </w:p>
        </w:tc>
        <w:tc>
          <w:tcPr>
            <w:tcW w:w="1150" w:type="pct"/>
            <w:vAlign w:val="center"/>
          </w:tcPr>
          <w:p w14:paraId="34BA7932"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 xml:space="preserve">Exequible, </w:t>
            </w:r>
            <w:bookmarkStart w:id="117" w:name="_Hlk197515646"/>
          </w:p>
          <w:p w14:paraId="70C83F24" w14:textId="77777777" w:rsidR="008B1BD7" w:rsidRPr="00C454A1" w:rsidRDefault="008B1BD7" w:rsidP="00EE77DF">
            <w:pPr>
              <w:tabs>
                <w:tab w:val="left" w:pos="567"/>
              </w:tabs>
              <w:rPr>
                <w:rFonts w:cs="Times New Roman"/>
                <w:color w:val="000000" w:themeColor="text1"/>
                <w:sz w:val="22"/>
                <w:szCs w:val="22"/>
              </w:rPr>
            </w:pPr>
            <w:r w:rsidRPr="00C454A1">
              <w:rPr>
                <w:rFonts w:cs="Times New Roman"/>
                <w:color w:val="000000" w:themeColor="text1"/>
                <w:sz w:val="22"/>
                <w:szCs w:val="22"/>
              </w:rPr>
              <w:t>“salvo en lo concerniente al considerando 2 del decreto materia de revisión [hechos de violencia en diferentes regiones del país, atribuidos a organizaciones criminales y terroristas]”</w:t>
            </w:r>
            <w:bookmarkEnd w:id="117"/>
          </w:p>
        </w:tc>
      </w:tr>
      <w:tr w:rsidR="00C454A1" w:rsidRPr="00C454A1" w14:paraId="501A5823" w14:textId="77777777" w:rsidTr="001B62B0">
        <w:trPr>
          <w:jc w:val="center"/>
        </w:trPr>
        <w:tc>
          <w:tcPr>
            <w:tcW w:w="1312" w:type="pct"/>
            <w:shd w:val="clear" w:color="auto" w:fill="D1D1D1" w:themeFill="background2" w:themeFillShade="E6"/>
            <w:vAlign w:val="center"/>
          </w:tcPr>
          <w:p w14:paraId="0BCF39F7"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Decreto 1837 de 2002</w:t>
            </w:r>
          </w:p>
        </w:tc>
        <w:tc>
          <w:tcPr>
            <w:tcW w:w="1655" w:type="pct"/>
          </w:tcPr>
          <w:p w14:paraId="27EF6EFB" w14:textId="77777777" w:rsidR="008B1BD7" w:rsidRPr="00C454A1" w:rsidRDefault="008B1BD7" w:rsidP="00EE77DF">
            <w:pPr>
              <w:tabs>
                <w:tab w:val="left" w:pos="567"/>
              </w:tabs>
              <w:rPr>
                <w:rFonts w:cs="Times New Roman"/>
                <w:color w:val="000000" w:themeColor="text1"/>
                <w:sz w:val="22"/>
                <w:szCs w:val="22"/>
              </w:rPr>
            </w:pPr>
            <w:r w:rsidRPr="00C454A1">
              <w:rPr>
                <w:rFonts w:cs="Times New Roman"/>
                <w:color w:val="000000" w:themeColor="text1"/>
                <w:sz w:val="22"/>
                <w:szCs w:val="22"/>
              </w:rPr>
              <w:t>Incremento de los ataques perpetrados por grupos guerrilleros</w:t>
            </w:r>
          </w:p>
        </w:tc>
        <w:tc>
          <w:tcPr>
            <w:tcW w:w="883" w:type="pct"/>
            <w:vAlign w:val="center"/>
          </w:tcPr>
          <w:p w14:paraId="27815A24"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C-802 de 2002</w:t>
            </w:r>
          </w:p>
        </w:tc>
        <w:tc>
          <w:tcPr>
            <w:tcW w:w="1150" w:type="pct"/>
            <w:vAlign w:val="center"/>
          </w:tcPr>
          <w:p w14:paraId="286BF172"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Exequible</w:t>
            </w:r>
          </w:p>
        </w:tc>
      </w:tr>
      <w:tr w:rsidR="008B1BD7" w:rsidRPr="00C454A1" w14:paraId="1DC4C047" w14:textId="77777777" w:rsidTr="001B62B0">
        <w:trPr>
          <w:jc w:val="center"/>
        </w:trPr>
        <w:tc>
          <w:tcPr>
            <w:tcW w:w="1312" w:type="pct"/>
            <w:shd w:val="clear" w:color="auto" w:fill="D1D1D1" w:themeFill="background2" w:themeFillShade="E6"/>
            <w:vAlign w:val="center"/>
          </w:tcPr>
          <w:p w14:paraId="1DB4199F"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Decreto 3929 de 2008</w:t>
            </w:r>
          </w:p>
        </w:tc>
        <w:tc>
          <w:tcPr>
            <w:tcW w:w="1655" w:type="pct"/>
          </w:tcPr>
          <w:p w14:paraId="2147B99D" w14:textId="77777777" w:rsidR="008B1BD7" w:rsidRPr="00C454A1" w:rsidRDefault="008B1BD7" w:rsidP="00EE77DF">
            <w:pPr>
              <w:tabs>
                <w:tab w:val="left" w:pos="567"/>
              </w:tabs>
              <w:rPr>
                <w:rFonts w:cs="Times New Roman"/>
                <w:color w:val="000000" w:themeColor="text1"/>
                <w:sz w:val="22"/>
                <w:szCs w:val="22"/>
              </w:rPr>
            </w:pPr>
            <w:r w:rsidRPr="00C454A1">
              <w:rPr>
                <w:rFonts w:cs="Times New Roman"/>
                <w:color w:val="000000" w:themeColor="text1"/>
                <w:sz w:val="22"/>
                <w:szCs w:val="22"/>
              </w:rPr>
              <w:t>Cese de actividades de la administración de justicia por más de un mes</w:t>
            </w:r>
          </w:p>
        </w:tc>
        <w:tc>
          <w:tcPr>
            <w:tcW w:w="883" w:type="pct"/>
            <w:vAlign w:val="center"/>
          </w:tcPr>
          <w:p w14:paraId="57A86F23"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C-070 de 2009</w:t>
            </w:r>
          </w:p>
        </w:tc>
        <w:tc>
          <w:tcPr>
            <w:tcW w:w="1150" w:type="pct"/>
            <w:vAlign w:val="center"/>
          </w:tcPr>
          <w:p w14:paraId="73BC66E8" w14:textId="77777777" w:rsidR="008B1BD7" w:rsidRPr="00C454A1" w:rsidRDefault="008B1BD7" w:rsidP="00EE77DF">
            <w:pPr>
              <w:tabs>
                <w:tab w:val="left" w:pos="567"/>
              </w:tabs>
              <w:jc w:val="center"/>
              <w:rPr>
                <w:rFonts w:cs="Times New Roman"/>
                <w:color w:val="000000" w:themeColor="text1"/>
                <w:sz w:val="22"/>
                <w:szCs w:val="22"/>
              </w:rPr>
            </w:pPr>
            <w:r w:rsidRPr="00C454A1">
              <w:rPr>
                <w:rFonts w:cs="Times New Roman"/>
                <w:color w:val="000000" w:themeColor="text1"/>
                <w:sz w:val="22"/>
                <w:szCs w:val="22"/>
              </w:rPr>
              <w:t>Inexequible</w:t>
            </w:r>
          </w:p>
        </w:tc>
      </w:tr>
    </w:tbl>
    <w:p w14:paraId="52D6FF19" w14:textId="77777777" w:rsidR="00A40EDA" w:rsidRPr="00C454A1" w:rsidRDefault="00A40EDA" w:rsidP="008B1BD7">
      <w:pPr>
        <w:rPr>
          <w:rFonts w:cs="Times New Roman"/>
          <w:color w:val="000000" w:themeColor="text1"/>
        </w:rPr>
      </w:pPr>
    </w:p>
    <w:p w14:paraId="12C51413" w14:textId="7FAFBB6D" w:rsidR="008B1BD7" w:rsidRPr="00C454A1" w:rsidRDefault="00B6383E" w:rsidP="00631C27">
      <w:pPr>
        <w:numPr>
          <w:ilvl w:val="0"/>
          <w:numId w:val="2"/>
        </w:numPr>
        <w:tabs>
          <w:tab w:val="left" w:pos="567"/>
        </w:tabs>
        <w:ind w:left="0" w:firstLine="0"/>
        <w:rPr>
          <w:rFonts w:cs="Times New Roman"/>
          <w:color w:val="000000" w:themeColor="text1"/>
          <w:szCs w:val="28"/>
        </w:rPr>
      </w:pPr>
      <w:r w:rsidRPr="00C454A1">
        <w:rPr>
          <w:color w:val="000000" w:themeColor="text1"/>
        </w:rPr>
        <w:t>Dado que las sentencias C-802 de 2002 y C-070 de 2019 establecen el precedente actual de la Corte para el examen de la conmoción interior, a continuación</w:t>
      </w:r>
      <w:r w:rsidR="009B1C37" w:rsidRPr="00C454A1">
        <w:rPr>
          <w:color w:val="000000" w:themeColor="text1"/>
        </w:rPr>
        <w:t>,</w:t>
      </w:r>
      <w:r w:rsidRPr="00C454A1">
        <w:rPr>
          <w:color w:val="000000" w:themeColor="text1"/>
        </w:rPr>
        <w:t xml:space="preserve"> la Corte explicará el alcance de los presupuestos fáctico, valorativo y de suficiencia, de conformidad con dichos precedentes. En particular se detallará: (i) el fundamento y el contenido de cada presupuesto; (ii) el margen de discrecionalidad que se le reconoce al presidente de la República para apreciar los hechos que configuran el estado de conmoción interior; y (ii</w:t>
      </w:r>
      <w:r w:rsidR="00D275FB" w:rsidRPr="00C454A1">
        <w:rPr>
          <w:color w:val="000000" w:themeColor="text1"/>
        </w:rPr>
        <w:t>i</w:t>
      </w:r>
      <w:r w:rsidRPr="00C454A1">
        <w:rPr>
          <w:color w:val="000000" w:themeColor="text1"/>
        </w:rPr>
        <w:t>) el tipo de control constitucional que efectúa esta Corporación en relación con el decreto declarativo de la conmoción interior</w:t>
      </w:r>
      <w:r w:rsidR="008B1BD7" w:rsidRPr="00C454A1">
        <w:rPr>
          <w:rFonts w:cs="Times New Roman"/>
          <w:color w:val="000000" w:themeColor="text1"/>
        </w:rPr>
        <w:t xml:space="preserve">. </w:t>
      </w:r>
    </w:p>
    <w:p w14:paraId="19A749C8" w14:textId="77777777" w:rsidR="008B62D2" w:rsidRPr="00C454A1" w:rsidRDefault="008B62D2" w:rsidP="008B62D2">
      <w:pPr>
        <w:tabs>
          <w:tab w:val="left" w:pos="567"/>
        </w:tabs>
        <w:rPr>
          <w:rFonts w:cs="Times New Roman"/>
          <w:color w:val="000000" w:themeColor="text1"/>
          <w:szCs w:val="28"/>
        </w:rPr>
      </w:pPr>
    </w:p>
    <w:p w14:paraId="3A9BB771" w14:textId="4C8AB9F7" w:rsidR="00D161C1" w:rsidRPr="00C454A1" w:rsidRDefault="008B62D2" w:rsidP="008B62D2">
      <w:pPr>
        <w:rPr>
          <w:rFonts w:cs="Times New Roman"/>
          <w:b/>
          <w:bCs/>
          <w:color w:val="000000" w:themeColor="text1"/>
          <w:szCs w:val="28"/>
        </w:rPr>
      </w:pPr>
      <w:r w:rsidRPr="00C454A1">
        <w:rPr>
          <w:rFonts w:cs="Times New Roman"/>
          <w:b/>
          <w:bCs/>
          <w:color w:val="000000" w:themeColor="text1"/>
          <w:szCs w:val="28"/>
        </w:rPr>
        <w:t xml:space="preserve">(i) </w:t>
      </w:r>
      <w:r w:rsidR="002F27C3" w:rsidRPr="00C454A1">
        <w:rPr>
          <w:rFonts w:cs="Times New Roman"/>
          <w:b/>
          <w:bCs/>
          <w:color w:val="000000" w:themeColor="text1"/>
          <w:szCs w:val="28"/>
        </w:rPr>
        <w:t>El p</w:t>
      </w:r>
      <w:r w:rsidR="000D08EB" w:rsidRPr="00C454A1">
        <w:rPr>
          <w:rFonts w:cs="Times New Roman"/>
          <w:b/>
          <w:bCs/>
          <w:color w:val="000000" w:themeColor="text1"/>
          <w:szCs w:val="28"/>
        </w:rPr>
        <w:t>resupuesto fáctico</w:t>
      </w:r>
    </w:p>
    <w:p w14:paraId="51A02270" w14:textId="77777777" w:rsidR="00B31B8F" w:rsidRPr="00C454A1" w:rsidRDefault="00B31B8F" w:rsidP="00631C27">
      <w:pPr>
        <w:rPr>
          <w:rFonts w:cs="Times New Roman"/>
          <w:color w:val="000000" w:themeColor="text1"/>
          <w:szCs w:val="28"/>
          <w:u w:val="single"/>
        </w:rPr>
      </w:pPr>
    </w:p>
    <w:p w14:paraId="7D97C260" w14:textId="77777777" w:rsidR="008B62D2" w:rsidRPr="00C454A1" w:rsidRDefault="002F1E6D" w:rsidP="00A40EDA">
      <w:pPr>
        <w:numPr>
          <w:ilvl w:val="0"/>
          <w:numId w:val="2"/>
        </w:numPr>
        <w:tabs>
          <w:tab w:val="left" w:pos="567"/>
        </w:tabs>
        <w:ind w:left="0" w:firstLine="0"/>
        <w:rPr>
          <w:rFonts w:cs="Times New Roman"/>
          <w:color w:val="000000" w:themeColor="text1"/>
          <w:szCs w:val="28"/>
        </w:rPr>
      </w:pPr>
      <w:bookmarkStart w:id="118" w:name="_Ref219308153"/>
      <w:r w:rsidRPr="00C454A1">
        <w:rPr>
          <w:rFonts w:cs="Times New Roman"/>
          <w:i/>
          <w:iCs/>
          <w:color w:val="000000" w:themeColor="text1"/>
          <w:szCs w:val="28"/>
        </w:rPr>
        <w:t>Fundamento constitucional y contenido.</w:t>
      </w:r>
      <w:r w:rsidRPr="00C454A1">
        <w:rPr>
          <w:rFonts w:cs="Times New Roman"/>
          <w:color w:val="000000" w:themeColor="text1"/>
          <w:szCs w:val="28"/>
        </w:rPr>
        <w:t xml:space="preserve"> El presupuesto fáctico está previsto en los artículos 213 de la Constitución y 34 de la LEEE. Estas normas condicionan la declaratoria del estado de conmoción interior a la existencia de una “perturbación del orden público”. El presupuesto fáctico es aquel que exige al presidente de la República demostrar que la declaratoria de conmoción interior se sustenta en “la</w:t>
      </w:r>
      <w:r w:rsidRPr="00C454A1">
        <w:rPr>
          <w:rFonts w:cs="Times New Roman"/>
          <w:i/>
          <w:iCs/>
          <w:color w:val="000000" w:themeColor="text1"/>
          <w:szCs w:val="28"/>
        </w:rPr>
        <w:t xml:space="preserve"> </w:t>
      </w:r>
      <w:r w:rsidRPr="00C454A1">
        <w:rPr>
          <w:rFonts w:cs="Times New Roman"/>
          <w:color w:val="000000" w:themeColor="text1"/>
          <w:szCs w:val="28"/>
        </w:rPr>
        <w:t>ocurrencia de hechos concretos, perceptibles y, en consecuencia, verificables, que objetivamente generan una alteración de las condiciones de seguridad y tranquilidad requeridas para el ejercicio de los derechos”</w:t>
      </w:r>
      <w:r w:rsidRPr="00C454A1">
        <w:rPr>
          <w:rStyle w:val="Refdenotaalpie"/>
          <w:rFonts w:cs="Times New Roman"/>
          <w:color w:val="000000" w:themeColor="text1"/>
          <w:szCs w:val="28"/>
        </w:rPr>
        <w:footnoteReference w:id="59"/>
      </w:r>
      <w:r w:rsidRPr="00C454A1">
        <w:rPr>
          <w:rFonts w:cs="Times New Roman"/>
          <w:color w:val="000000" w:themeColor="text1"/>
          <w:szCs w:val="28"/>
        </w:rPr>
        <w:t>. El presupuesto fáctico es el punto de partida “objetivo” de la declaratoria de conmoción interior</w:t>
      </w:r>
      <w:r w:rsidRPr="00C454A1">
        <w:rPr>
          <w:rStyle w:val="Refdenotaalpie"/>
          <w:rFonts w:cs="Times New Roman"/>
          <w:color w:val="000000" w:themeColor="text1"/>
          <w:szCs w:val="28"/>
        </w:rPr>
        <w:footnoteReference w:id="60"/>
      </w:r>
      <w:r w:rsidRPr="00C454A1">
        <w:rPr>
          <w:rFonts w:cs="Times New Roman"/>
          <w:color w:val="000000" w:themeColor="text1"/>
          <w:szCs w:val="28"/>
        </w:rPr>
        <w:t>. Esto es así, porque exige que los hechos en los que se apoya la declaratoria sean susceptibles de demostración empírica</w:t>
      </w:r>
      <w:r w:rsidRPr="00C454A1">
        <w:rPr>
          <w:rStyle w:val="Refdenotaalpie"/>
          <w:rFonts w:cs="Times New Roman"/>
          <w:color w:val="000000" w:themeColor="text1"/>
          <w:szCs w:val="28"/>
        </w:rPr>
        <w:footnoteReference w:id="61"/>
      </w:r>
      <w:r w:rsidRPr="00C454A1">
        <w:rPr>
          <w:rFonts w:cs="Times New Roman"/>
          <w:color w:val="000000" w:themeColor="text1"/>
          <w:szCs w:val="28"/>
        </w:rPr>
        <w:t>.</w:t>
      </w:r>
      <w:bookmarkEnd w:id="118"/>
      <w:r w:rsidRPr="00C454A1">
        <w:rPr>
          <w:rFonts w:cs="Times New Roman"/>
          <w:color w:val="000000" w:themeColor="text1"/>
          <w:szCs w:val="28"/>
        </w:rPr>
        <w:t xml:space="preserve"> </w:t>
      </w:r>
    </w:p>
    <w:p w14:paraId="68C2BDD6" w14:textId="77777777" w:rsidR="008B62D2" w:rsidRPr="00C454A1" w:rsidRDefault="008B62D2" w:rsidP="008B62D2">
      <w:pPr>
        <w:tabs>
          <w:tab w:val="left" w:pos="567"/>
        </w:tabs>
        <w:rPr>
          <w:rFonts w:cs="Times New Roman"/>
          <w:color w:val="000000" w:themeColor="text1"/>
          <w:szCs w:val="28"/>
        </w:rPr>
      </w:pPr>
    </w:p>
    <w:p w14:paraId="014E21FD" w14:textId="6A7A2D7D" w:rsidR="008B62D2" w:rsidRPr="00C454A1" w:rsidRDefault="002F1E6D" w:rsidP="008B62D2">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Margen de discrecionalidad del presidente de la República</w:t>
      </w:r>
      <w:r w:rsidRPr="00C454A1">
        <w:rPr>
          <w:rFonts w:cs="Times New Roman"/>
          <w:color w:val="000000" w:themeColor="text1"/>
          <w:szCs w:val="28"/>
        </w:rPr>
        <w:t xml:space="preserve">. </w:t>
      </w:r>
      <w:r w:rsidRPr="00C454A1">
        <w:rPr>
          <w:rFonts w:cs="Times New Roman"/>
          <w:iCs/>
          <w:color w:val="000000" w:themeColor="text1"/>
          <w:szCs w:val="28"/>
        </w:rPr>
        <w:t>Al presidente de la República “</w:t>
      </w:r>
      <w:r w:rsidRPr="00C454A1">
        <w:rPr>
          <w:rFonts w:cs="Times New Roman"/>
          <w:color w:val="000000" w:themeColor="text1"/>
        </w:rPr>
        <w:t>no le es dado apoyar la declaratoria del estado de excepción en un presupuesto fáctico inexistente”</w:t>
      </w:r>
      <w:r w:rsidRPr="00C454A1">
        <w:rPr>
          <w:rStyle w:val="Refdenotaalpie"/>
          <w:rFonts w:cs="Times New Roman"/>
          <w:color w:val="000000" w:themeColor="text1"/>
        </w:rPr>
        <w:footnoteReference w:id="62"/>
      </w:r>
      <w:r w:rsidRPr="00C454A1">
        <w:rPr>
          <w:rFonts w:cs="Times New Roman"/>
          <w:iCs/>
          <w:color w:val="000000" w:themeColor="text1"/>
          <w:szCs w:val="28"/>
        </w:rPr>
        <w:t xml:space="preserve">. En tales términos, el deber constitucional y estatutario del presidente de la República es demostrar, por medio de pruebas </w:t>
      </w:r>
      <w:r w:rsidR="00A61DCC" w:rsidRPr="00C454A1">
        <w:rPr>
          <w:rFonts w:cs="Times New Roman"/>
          <w:iCs/>
          <w:color w:val="000000" w:themeColor="text1"/>
          <w:szCs w:val="28"/>
        </w:rPr>
        <w:t>objetivas, verificables y pertinentes</w:t>
      </w:r>
      <w:r w:rsidRPr="00C454A1">
        <w:rPr>
          <w:rFonts w:cs="Times New Roman"/>
          <w:iCs/>
          <w:color w:val="000000" w:themeColor="text1"/>
          <w:szCs w:val="28"/>
        </w:rPr>
        <w:t>, que los hechos que invoca para la declaratoria de la conmoción interior son reales y generan una perturbación del orden público.</w:t>
      </w:r>
      <w:r w:rsidRPr="00C454A1">
        <w:rPr>
          <w:rFonts w:cs="Times New Roman"/>
          <w:color w:val="000000" w:themeColor="text1"/>
          <w:szCs w:val="28"/>
        </w:rPr>
        <w:t xml:space="preserve"> </w:t>
      </w:r>
    </w:p>
    <w:p w14:paraId="547BAE63" w14:textId="77777777" w:rsidR="008B62D2" w:rsidRPr="00C454A1" w:rsidRDefault="008B62D2" w:rsidP="008B62D2">
      <w:pPr>
        <w:tabs>
          <w:tab w:val="left" w:pos="567"/>
        </w:tabs>
        <w:rPr>
          <w:rFonts w:cs="Times New Roman"/>
          <w:color w:val="000000" w:themeColor="text1"/>
          <w:szCs w:val="28"/>
        </w:rPr>
      </w:pPr>
    </w:p>
    <w:p w14:paraId="45A03CA4" w14:textId="546E2308" w:rsidR="00F20471" w:rsidRPr="00C454A1" w:rsidRDefault="002F1E6D" w:rsidP="00631C27">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Alcance del control constitucional.</w:t>
      </w:r>
      <w:r w:rsidRPr="00C454A1">
        <w:rPr>
          <w:rFonts w:cs="Times New Roman"/>
          <w:iCs/>
          <w:color w:val="000000" w:themeColor="text1"/>
          <w:szCs w:val="28"/>
        </w:rPr>
        <w:t xml:space="preserve"> La Corte Constitucional examina el cumplimiento del presupuesto fáctico por medio de un “un </w:t>
      </w:r>
      <w:r w:rsidRPr="00C454A1">
        <w:rPr>
          <w:rFonts w:cs="Times New Roman"/>
          <w:color w:val="000000" w:themeColor="text1"/>
        </w:rPr>
        <w:t>juicio objetivo de existencia que debe resolverse en una verificación positiva</w:t>
      </w:r>
      <w:r w:rsidRPr="00C454A1">
        <w:rPr>
          <w:rFonts w:cs="Times New Roman"/>
          <w:iCs/>
          <w:color w:val="000000" w:themeColor="text1"/>
          <w:szCs w:val="28"/>
        </w:rPr>
        <w:t>”</w:t>
      </w:r>
      <w:r w:rsidRPr="00C454A1">
        <w:rPr>
          <w:rFonts w:cs="Times New Roman"/>
          <w:iCs/>
          <w:color w:val="000000" w:themeColor="text1"/>
          <w:szCs w:val="28"/>
          <w:vertAlign w:val="superscript"/>
        </w:rPr>
        <w:footnoteReference w:id="63"/>
      </w:r>
      <w:r w:rsidRPr="00C454A1">
        <w:rPr>
          <w:rFonts w:cs="Times New Roman"/>
          <w:iCs/>
          <w:color w:val="000000" w:themeColor="text1"/>
          <w:szCs w:val="28"/>
        </w:rPr>
        <w:t xml:space="preserve">. El propósito de este juicio es “determinar si la perturbación del orden público tuvo o no tuvo ocurrencia, </w:t>
      </w:r>
      <w:r w:rsidRPr="00C454A1">
        <w:rPr>
          <w:rFonts w:cs="Times New Roman"/>
          <w:color w:val="000000" w:themeColor="text1"/>
        </w:rPr>
        <w:t>pues por tratarse de un supuesto fáctico no hay alternativa distinta a la de haber o no haber ocurrido</w:t>
      </w:r>
      <w:r w:rsidRPr="00C454A1">
        <w:rPr>
          <w:rFonts w:cs="Times New Roman"/>
          <w:iCs/>
          <w:color w:val="000000" w:themeColor="text1"/>
          <w:szCs w:val="28"/>
        </w:rPr>
        <w:t>”</w:t>
      </w:r>
      <w:r w:rsidRPr="00C454A1">
        <w:rPr>
          <w:rStyle w:val="Refdenotaalpie"/>
          <w:rFonts w:cs="Times New Roman"/>
          <w:iCs/>
          <w:color w:val="000000" w:themeColor="text1"/>
          <w:szCs w:val="28"/>
        </w:rPr>
        <w:footnoteReference w:id="64"/>
      </w:r>
      <w:r w:rsidRPr="00C454A1">
        <w:rPr>
          <w:rFonts w:cs="Times New Roman"/>
          <w:iCs/>
          <w:color w:val="000000" w:themeColor="text1"/>
          <w:szCs w:val="28"/>
        </w:rPr>
        <w:t>. En este sentido, “</w:t>
      </w:r>
      <w:r w:rsidRPr="00C454A1">
        <w:rPr>
          <w:rFonts w:cs="Times New Roman"/>
          <w:color w:val="000000" w:themeColor="text1"/>
        </w:rPr>
        <w:t>si el hecho efectivamente ocurrió, el juicio objetivo de existencia se resuelve de manera positiva y, en consecuencia, la declaratoria del estado de conmoción interior, en lo atinente a ese primer presupuesto, es legítima”</w:t>
      </w:r>
      <w:r w:rsidRPr="00C454A1">
        <w:rPr>
          <w:rStyle w:val="Refdenotaalpie"/>
          <w:rFonts w:cs="Times New Roman"/>
          <w:color w:val="000000" w:themeColor="text1"/>
        </w:rPr>
        <w:footnoteReference w:id="65"/>
      </w:r>
      <w:r w:rsidRPr="00C454A1">
        <w:rPr>
          <w:rFonts w:cs="Times New Roman"/>
          <w:color w:val="000000" w:themeColor="text1"/>
        </w:rPr>
        <w:t>.</w:t>
      </w:r>
    </w:p>
    <w:p w14:paraId="43D8AEB2" w14:textId="77777777" w:rsidR="00F20471" w:rsidRPr="00C454A1" w:rsidRDefault="00F20471" w:rsidP="00631C27">
      <w:pPr>
        <w:rPr>
          <w:rFonts w:cs="Times New Roman"/>
          <w:color w:val="000000" w:themeColor="text1"/>
          <w:szCs w:val="28"/>
          <w:u w:val="single"/>
        </w:rPr>
      </w:pPr>
    </w:p>
    <w:p w14:paraId="267394C2" w14:textId="49FA3DB2" w:rsidR="00024376" w:rsidRPr="00C454A1" w:rsidRDefault="008B62D2" w:rsidP="008B62D2">
      <w:pPr>
        <w:rPr>
          <w:rFonts w:cs="Times New Roman"/>
          <w:b/>
          <w:bCs/>
          <w:color w:val="000000" w:themeColor="text1"/>
          <w:szCs w:val="28"/>
        </w:rPr>
      </w:pPr>
      <w:r w:rsidRPr="00C454A1">
        <w:rPr>
          <w:rFonts w:cs="Times New Roman"/>
          <w:b/>
          <w:bCs/>
          <w:color w:val="000000" w:themeColor="text1"/>
          <w:szCs w:val="28"/>
        </w:rPr>
        <w:t xml:space="preserve">(ii) </w:t>
      </w:r>
      <w:r w:rsidR="00047AC5" w:rsidRPr="00C454A1">
        <w:rPr>
          <w:rFonts w:cs="Times New Roman"/>
          <w:b/>
          <w:bCs/>
          <w:color w:val="000000" w:themeColor="text1"/>
          <w:szCs w:val="28"/>
        </w:rPr>
        <w:t>El p</w:t>
      </w:r>
      <w:r w:rsidR="00024376" w:rsidRPr="00C454A1">
        <w:rPr>
          <w:rFonts w:cs="Times New Roman"/>
          <w:b/>
          <w:bCs/>
          <w:color w:val="000000" w:themeColor="text1"/>
          <w:szCs w:val="28"/>
        </w:rPr>
        <w:t xml:space="preserve">resupuesto valorativo </w:t>
      </w:r>
    </w:p>
    <w:p w14:paraId="4C7B6D8F" w14:textId="77777777" w:rsidR="008B62D2" w:rsidRPr="00C454A1" w:rsidRDefault="008B62D2" w:rsidP="00631C27">
      <w:pPr>
        <w:rPr>
          <w:rFonts w:cs="Times New Roman"/>
          <w:color w:val="000000" w:themeColor="text1"/>
          <w:szCs w:val="28"/>
          <w:u w:val="single"/>
        </w:rPr>
      </w:pPr>
    </w:p>
    <w:p w14:paraId="0F44F4FE" w14:textId="1721AEA0" w:rsidR="00544A6F" w:rsidRPr="00C454A1" w:rsidRDefault="00544A6F" w:rsidP="00544A6F">
      <w:pPr>
        <w:numPr>
          <w:ilvl w:val="0"/>
          <w:numId w:val="2"/>
        </w:numPr>
        <w:tabs>
          <w:tab w:val="left" w:pos="567"/>
        </w:tabs>
        <w:ind w:left="0" w:firstLine="0"/>
        <w:rPr>
          <w:rFonts w:cs="Times New Roman"/>
          <w:color w:val="000000" w:themeColor="text1"/>
          <w:szCs w:val="28"/>
        </w:rPr>
      </w:pPr>
      <w:bookmarkStart w:id="119" w:name="_Ref219308483"/>
      <w:r w:rsidRPr="00C454A1">
        <w:rPr>
          <w:rFonts w:cs="Times New Roman"/>
          <w:i/>
          <w:iCs/>
          <w:color w:val="000000" w:themeColor="text1"/>
          <w:szCs w:val="28"/>
        </w:rPr>
        <w:t>Fundamento constitucional y contenido</w:t>
      </w:r>
      <w:r w:rsidRPr="00C454A1">
        <w:rPr>
          <w:rFonts w:cs="Times New Roman"/>
          <w:color w:val="000000" w:themeColor="text1"/>
          <w:szCs w:val="28"/>
        </w:rPr>
        <w:t>. El presupuesto valorativo está previsto en los artículos 213 de la Constitución, así como en los artículos 2 y 34 de la LEEE. Estas normas exigen que, para que la declaración de conmoción interior sea procedente, la perturbación del orden público debe ser grave</w:t>
      </w:r>
      <w:r w:rsidR="00FE2158" w:rsidRPr="00C454A1">
        <w:rPr>
          <w:rFonts w:cs="Times New Roman"/>
          <w:color w:val="000000" w:themeColor="text1"/>
          <w:szCs w:val="28"/>
        </w:rPr>
        <w:t xml:space="preserve"> y</w:t>
      </w:r>
      <w:r w:rsidRPr="00C454A1">
        <w:rPr>
          <w:rFonts w:cs="Times New Roman"/>
          <w:color w:val="000000" w:themeColor="text1"/>
          <w:szCs w:val="28"/>
        </w:rPr>
        <w:t xml:space="preserve"> extraordinaria</w:t>
      </w:r>
      <w:r w:rsidR="00910088" w:rsidRPr="00C454A1">
        <w:rPr>
          <w:rFonts w:cs="Times New Roman"/>
          <w:color w:val="000000" w:themeColor="text1"/>
          <w:szCs w:val="28"/>
        </w:rPr>
        <w:t>,</w:t>
      </w:r>
      <w:r w:rsidRPr="00C454A1">
        <w:rPr>
          <w:rFonts w:cs="Times New Roman"/>
          <w:color w:val="000000" w:themeColor="text1"/>
          <w:szCs w:val="28"/>
        </w:rPr>
        <w:t xml:space="preserve"> </w:t>
      </w:r>
      <w:r w:rsidR="00FE2158" w:rsidRPr="00C454A1">
        <w:rPr>
          <w:rFonts w:cs="Times New Roman"/>
          <w:color w:val="000000" w:themeColor="text1"/>
          <w:szCs w:val="28"/>
        </w:rPr>
        <w:t>y debe atentar de manera inminente contra la estabilidad institucional, la seguridad del Estado o la convivencia ciudadana</w:t>
      </w:r>
      <w:r w:rsidRPr="00C454A1">
        <w:rPr>
          <w:rFonts w:cs="Times New Roman"/>
          <w:color w:val="000000" w:themeColor="text1"/>
          <w:szCs w:val="28"/>
        </w:rPr>
        <w:t xml:space="preserve">. El </w:t>
      </w:r>
      <w:r w:rsidRPr="00C454A1">
        <w:rPr>
          <w:rFonts w:cs="Times New Roman"/>
          <w:color w:val="000000" w:themeColor="text1"/>
          <w:szCs w:val="28"/>
        </w:rPr>
        <w:lastRenderedPageBreak/>
        <w:t xml:space="preserve">cumplimiento del presupuesto valorativo obliga al presidente de la República a demostrar que </w:t>
      </w:r>
      <w:r w:rsidR="00FE2158" w:rsidRPr="00C454A1">
        <w:rPr>
          <w:rFonts w:cs="Times New Roman"/>
          <w:color w:val="000000" w:themeColor="text1"/>
          <w:szCs w:val="28"/>
        </w:rPr>
        <w:t xml:space="preserve">su valoración de que la </w:t>
      </w:r>
      <w:r w:rsidRPr="00C454A1">
        <w:rPr>
          <w:rFonts w:cs="Times New Roman"/>
          <w:color w:val="000000" w:themeColor="text1"/>
          <w:szCs w:val="28"/>
        </w:rPr>
        <w:t xml:space="preserve">perturbación del orden público que invoca </w:t>
      </w:r>
      <w:r w:rsidR="00FE2158" w:rsidRPr="00C454A1">
        <w:rPr>
          <w:rFonts w:cs="Times New Roman"/>
          <w:color w:val="000000" w:themeColor="text1"/>
          <w:szCs w:val="28"/>
        </w:rPr>
        <w:t>cumple con estos requisitos es fundada</w:t>
      </w:r>
      <w:r w:rsidR="005329EF" w:rsidRPr="00C454A1">
        <w:rPr>
          <w:rFonts w:cs="Times New Roman"/>
          <w:color w:val="000000" w:themeColor="text1"/>
          <w:szCs w:val="28"/>
        </w:rPr>
        <w:t xml:space="preserve"> y se basa en evidencia objetiva</w:t>
      </w:r>
      <w:r w:rsidRPr="00C454A1">
        <w:rPr>
          <w:rFonts w:cs="Times New Roman"/>
          <w:color w:val="000000" w:themeColor="text1"/>
          <w:szCs w:val="28"/>
          <w:vertAlign w:val="superscript"/>
        </w:rPr>
        <w:footnoteReference w:id="66"/>
      </w:r>
      <w:r w:rsidRPr="00C454A1">
        <w:rPr>
          <w:rFonts w:cs="Times New Roman"/>
          <w:color w:val="000000" w:themeColor="text1"/>
          <w:szCs w:val="28"/>
        </w:rPr>
        <w:t>.</w:t>
      </w:r>
      <w:bookmarkEnd w:id="119"/>
      <w:r w:rsidRPr="00C454A1">
        <w:rPr>
          <w:rFonts w:cs="Times New Roman"/>
          <w:color w:val="000000" w:themeColor="text1"/>
          <w:szCs w:val="28"/>
        </w:rPr>
        <w:t xml:space="preserve"> </w:t>
      </w:r>
    </w:p>
    <w:p w14:paraId="63777CA7" w14:textId="77777777" w:rsidR="00544A6F" w:rsidRPr="00C454A1" w:rsidRDefault="00544A6F" w:rsidP="00544A6F">
      <w:pPr>
        <w:tabs>
          <w:tab w:val="left" w:pos="567"/>
        </w:tabs>
        <w:rPr>
          <w:rFonts w:cs="Times New Roman"/>
          <w:color w:val="000000" w:themeColor="text1"/>
          <w:szCs w:val="28"/>
        </w:rPr>
      </w:pPr>
    </w:p>
    <w:p w14:paraId="79F5FE56" w14:textId="77777777" w:rsidR="00544A6F" w:rsidRPr="00C454A1" w:rsidRDefault="00544A6F" w:rsidP="00544A6F">
      <w:pPr>
        <w:numPr>
          <w:ilvl w:val="0"/>
          <w:numId w:val="2"/>
        </w:numPr>
        <w:tabs>
          <w:tab w:val="left" w:pos="567"/>
        </w:tabs>
        <w:ind w:left="0" w:firstLine="0"/>
        <w:rPr>
          <w:rFonts w:cs="Times New Roman"/>
          <w:i/>
          <w:iCs/>
          <w:color w:val="000000" w:themeColor="text1"/>
          <w:szCs w:val="28"/>
        </w:rPr>
      </w:pPr>
      <w:bookmarkStart w:id="120" w:name="_Ref203394942"/>
      <w:r w:rsidRPr="00C454A1">
        <w:rPr>
          <w:rFonts w:cs="Times New Roman"/>
          <w:i/>
          <w:iCs/>
          <w:color w:val="000000" w:themeColor="text1"/>
          <w:szCs w:val="28"/>
        </w:rPr>
        <w:t>Gravedad</w:t>
      </w:r>
      <w:bookmarkStart w:id="121" w:name="_Hlk194241213"/>
      <w:r w:rsidRPr="00C454A1">
        <w:rPr>
          <w:rFonts w:cs="Times New Roman"/>
          <w:color w:val="000000" w:themeColor="text1"/>
          <w:szCs w:val="28"/>
        </w:rPr>
        <w:t>. Los artículos 213 de la Constitución y 34 de la LEEE disponen que el presidente de la República podrá declarar la conmoción interior si la perturbación del orden público es “grave”. La exigencia constitucional y estatutaria de gravedad exige que la perturbación del orden público tenga un significativo “poder expansivo”, “capacidad desestabilizadora”, “potencial lesivo” y “cobertura”</w:t>
      </w:r>
      <w:r w:rsidRPr="00C454A1">
        <w:rPr>
          <w:rStyle w:val="Refdenotaalpie"/>
          <w:rFonts w:cs="Times New Roman"/>
          <w:color w:val="000000" w:themeColor="text1"/>
          <w:szCs w:val="28"/>
        </w:rPr>
        <w:footnoteReference w:id="67"/>
      </w:r>
      <w:r w:rsidRPr="00C454A1">
        <w:rPr>
          <w:rFonts w:cs="Times New Roman"/>
          <w:color w:val="000000" w:themeColor="text1"/>
          <w:szCs w:val="28"/>
        </w:rPr>
        <w:t xml:space="preserve">. </w:t>
      </w:r>
      <w:bookmarkEnd w:id="121"/>
      <w:r w:rsidRPr="00C454A1">
        <w:rPr>
          <w:rFonts w:cs="Times New Roman"/>
          <w:color w:val="000000" w:themeColor="text1"/>
          <w:szCs w:val="28"/>
        </w:rPr>
        <w:t>De este modo, “</w:t>
      </w:r>
      <w:r w:rsidRPr="00C454A1">
        <w:rPr>
          <w:rFonts w:cs="Times New Roman"/>
          <w:color w:val="000000" w:themeColor="text1"/>
        </w:rPr>
        <w:t>no es cualquier perturbación del orden público la prevista en la norma superior, sino una perturbación de naturaleza grave”</w:t>
      </w:r>
      <w:r w:rsidRPr="00C454A1">
        <w:rPr>
          <w:rStyle w:val="Refdenotaalpie"/>
          <w:rFonts w:cs="Times New Roman"/>
          <w:color w:val="000000" w:themeColor="text1"/>
        </w:rPr>
        <w:footnoteReference w:id="68"/>
      </w:r>
      <w:r w:rsidRPr="00C454A1">
        <w:rPr>
          <w:rFonts w:cs="Times New Roman"/>
          <w:color w:val="000000" w:themeColor="text1"/>
        </w:rPr>
        <w:t>.</w:t>
      </w:r>
      <w:bookmarkEnd w:id="120"/>
      <w:r w:rsidRPr="00C454A1">
        <w:rPr>
          <w:rFonts w:cs="Times New Roman"/>
          <w:color w:val="000000" w:themeColor="text1"/>
          <w:szCs w:val="28"/>
        </w:rPr>
        <w:t xml:space="preserve"> </w:t>
      </w:r>
    </w:p>
    <w:p w14:paraId="6D2B2A1E" w14:textId="77777777" w:rsidR="00544A6F" w:rsidRPr="00C454A1" w:rsidRDefault="00544A6F" w:rsidP="00544A6F">
      <w:pPr>
        <w:tabs>
          <w:tab w:val="left" w:pos="567"/>
        </w:tabs>
        <w:rPr>
          <w:rFonts w:cs="Times New Roman"/>
          <w:color w:val="000000" w:themeColor="text1"/>
          <w:szCs w:val="28"/>
        </w:rPr>
      </w:pPr>
    </w:p>
    <w:p w14:paraId="2BFBAAEC" w14:textId="24C7CC64" w:rsidR="00544A6F" w:rsidRPr="00C454A1" w:rsidRDefault="00544A6F" w:rsidP="00544A6F">
      <w:pPr>
        <w:numPr>
          <w:ilvl w:val="0"/>
          <w:numId w:val="2"/>
        </w:numPr>
        <w:tabs>
          <w:tab w:val="left" w:pos="567"/>
        </w:tabs>
        <w:ind w:left="0" w:firstLine="0"/>
        <w:rPr>
          <w:rFonts w:cs="Times New Roman"/>
          <w:color w:val="000000" w:themeColor="text1"/>
          <w:szCs w:val="28"/>
        </w:rPr>
      </w:pPr>
      <w:bookmarkStart w:id="122" w:name="_Ref219309233"/>
      <w:bookmarkStart w:id="123" w:name="_Ref203391019"/>
      <w:r w:rsidRPr="00C454A1">
        <w:rPr>
          <w:rFonts w:cs="Times New Roman"/>
          <w:i/>
          <w:iCs/>
          <w:color w:val="000000" w:themeColor="text1"/>
          <w:szCs w:val="28"/>
        </w:rPr>
        <w:t>Carácter extraordinario</w:t>
      </w:r>
      <w:r w:rsidRPr="00C454A1">
        <w:rPr>
          <w:rFonts w:cs="Times New Roman"/>
          <w:color w:val="000000" w:themeColor="text1"/>
          <w:szCs w:val="28"/>
        </w:rPr>
        <w:t xml:space="preserve">. El artículo 2 de la LEEE establece que “las facultades atribuidas al Gobierno durante los estados de excepción solo podrán ser utilizadas cuando circunstancias extraordinarias hagan imposible el mantenimiento de la normalidad mediante los poderes ordinarios del Estado”. El carácter extraordinario de los hechos es una exigencia que se deriva </w:t>
      </w:r>
      <w:r w:rsidR="00D7261A" w:rsidRPr="00C454A1">
        <w:rPr>
          <w:rFonts w:cs="Times New Roman"/>
          <w:color w:val="000000" w:themeColor="text1"/>
          <w:szCs w:val="28"/>
        </w:rPr>
        <w:t xml:space="preserve">también </w:t>
      </w:r>
      <w:r w:rsidRPr="00C454A1">
        <w:rPr>
          <w:rFonts w:cs="Times New Roman"/>
          <w:color w:val="000000" w:themeColor="text1"/>
          <w:szCs w:val="28"/>
        </w:rPr>
        <w:t>de los principios de excepcionalidad y temporalidad del régimen constitucional de los estados de excepción, así como de los principios generales de necesidad y proporcionalidad</w:t>
      </w:r>
      <w:r w:rsidRPr="00C454A1">
        <w:rPr>
          <w:rStyle w:val="Refdenotaalpie"/>
          <w:rFonts w:cs="Times New Roman"/>
          <w:color w:val="000000" w:themeColor="text1"/>
          <w:szCs w:val="28"/>
        </w:rPr>
        <w:footnoteReference w:id="69"/>
      </w:r>
      <w:r w:rsidRPr="00C454A1">
        <w:rPr>
          <w:rFonts w:cs="Times New Roman"/>
          <w:color w:val="000000" w:themeColor="text1"/>
          <w:szCs w:val="28"/>
        </w:rPr>
        <w:t>.</w:t>
      </w:r>
      <w:bookmarkEnd w:id="122"/>
      <w:r w:rsidRPr="00C454A1">
        <w:rPr>
          <w:rFonts w:cs="Times New Roman"/>
          <w:color w:val="000000" w:themeColor="text1"/>
          <w:szCs w:val="28"/>
        </w:rPr>
        <w:t xml:space="preserve"> </w:t>
      </w:r>
      <w:bookmarkEnd w:id="123"/>
    </w:p>
    <w:p w14:paraId="70D8FA78" w14:textId="77777777" w:rsidR="00544A6F" w:rsidRPr="00C454A1" w:rsidRDefault="00544A6F" w:rsidP="00544A6F">
      <w:pPr>
        <w:tabs>
          <w:tab w:val="left" w:pos="567"/>
        </w:tabs>
        <w:rPr>
          <w:rFonts w:cs="Times New Roman"/>
          <w:color w:val="000000" w:themeColor="text1"/>
          <w:szCs w:val="28"/>
        </w:rPr>
      </w:pPr>
    </w:p>
    <w:p w14:paraId="784B48F4" w14:textId="63B209F5" w:rsidR="00376B4C" w:rsidRPr="00C454A1" w:rsidRDefault="00376B4C" w:rsidP="00376B4C">
      <w:pPr>
        <w:numPr>
          <w:ilvl w:val="0"/>
          <w:numId w:val="2"/>
        </w:numPr>
        <w:ind w:left="0" w:firstLine="0"/>
        <w:rPr>
          <w:rFonts w:cs="Times New Roman"/>
          <w:color w:val="000000" w:themeColor="text1"/>
          <w:lang w:eastAsia="es-ES"/>
        </w:rPr>
      </w:pPr>
      <w:bookmarkStart w:id="124" w:name="_Ref203394988"/>
      <w:r w:rsidRPr="00C454A1">
        <w:rPr>
          <w:rFonts w:cs="Times New Roman"/>
          <w:color w:val="000000" w:themeColor="text1"/>
          <w:szCs w:val="28"/>
        </w:rPr>
        <w:t xml:space="preserve">Con base en las anteriores consideraciones, la Corte Constitucional ha </w:t>
      </w:r>
      <w:r w:rsidR="00D7261A" w:rsidRPr="00C454A1">
        <w:rPr>
          <w:rFonts w:cs="Times New Roman"/>
          <w:color w:val="000000" w:themeColor="text1"/>
          <w:szCs w:val="28"/>
        </w:rPr>
        <w:t>señalado</w:t>
      </w:r>
      <w:r w:rsidRPr="00C454A1">
        <w:rPr>
          <w:rFonts w:cs="Times New Roman"/>
          <w:color w:val="000000" w:themeColor="text1"/>
          <w:szCs w:val="28"/>
        </w:rPr>
        <w:t xml:space="preserve"> que, por regla general, los problemas estructurales, endémicos o crónicos</w:t>
      </w:r>
      <w:r w:rsidR="00D7261A" w:rsidRPr="00C454A1">
        <w:rPr>
          <w:rFonts w:cs="Times New Roman"/>
          <w:color w:val="000000" w:themeColor="text1"/>
          <w:szCs w:val="28"/>
        </w:rPr>
        <w:t xml:space="preserve"> </w:t>
      </w:r>
      <w:r w:rsidRPr="00C454A1">
        <w:rPr>
          <w:rFonts w:cs="Times New Roman"/>
          <w:color w:val="000000" w:themeColor="text1"/>
          <w:szCs w:val="28"/>
        </w:rPr>
        <w:t xml:space="preserve">no </w:t>
      </w:r>
      <w:r w:rsidR="00D50415" w:rsidRPr="00C454A1">
        <w:rPr>
          <w:rFonts w:cs="Times New Roman"/>
          <w:color w:val="000000" w:themeColor="text1"/>
          <w:szCs w:val="28"/>
        </w:rPr>
        <w:t>justifican</w:t>
      </w:r>
      <w:r w:rsidR="00F07C70" w:rsidRPr="00C454A1">
        <w:rPr>
          <w:rFonts w:cs="Times New Roman"/>
          <w:color w:val="000000" w:themeColor="text1"/>
          <w:szCs w:val="28"/>
        </w:rPr>
        <w:t xml:space="preserve"> la adopción de un estado de excepción</w:t>
      </w:r>
      <w:r w:rsidRPr="00C454A1">
        <w:rPr>
          <w:rFonts w:cs="Times New Roman"/>
          <w:color w:val="000000" w:themeColor="text1"/>
          <w:szCs w:val="28"/>
        </w:rPr>
        <w:t xml:space="preserve">, </w:t>
      </w:r>
      <w:r w:rsidR="00D7261A" w:rsidRPr="00C454A1">
        <w:rPr>
          <w:rFonts w:cs="Times New Roman"/>
          <w:color w:val="000000" w:themeColor="text1"/>
          <w:szCs w:val="28"/>
        </w:rPr>
        <w:t xml:space="preserve">pues no pueden categorizarse como extraordinarios. En consecuencia, tales problemas </w:t>
      </w:r>
      <w:r w:rsidRPr="00C454A1">
        <w:rPr>
          <w:rFonts w:cs="Times New Roman"/>
          <w:color w:val="000000" w:themeColor="text1"/>
          <w:szCs w:val="28"/>
        </w:rPr>
        <w:t xml:space="preserve">deben </w:t>
      </w:r>
      <w:r w:rsidR="00D50415" w:rsidRPr="00C454A1">
        <w:rPr>
          <w:rFonts w:cs="Times New Roman"/>
          <w:color w:val="000000" w:themeColor="text1"/>
          <w:szCs w:val="28"/>
        </w:rPr>
        <w:t>afrontarse</w:t>
      </w:r>
      <w:r w:rsidRPr="00C454A1">
        <w:rPr>
          <w:rFonts w:cs="Times New Roman"/>
          <w:color w:val="000000" w:themeColor="text1"/>
          <w:szCs w:val="28"/>
        </w:rPr>
        <w:t xml:space="preserve"> mediante los mecanismos ordinarios dispuestos por el ordenamiento jurídico. Sin embargo, la jurisprudencia constitucional ha reconocido excepciones </w:t>
      </w:r>
      <w:r w:rsidR="00D50415" w:rsidRPr="00C454A1">
        <w:rPr>
          <w:rFonts w:cs="Times New Roman"/>
          <w:color w:val="000000" w:themeColor="text1"/>
          <w:szCs w:val="28"/>
        </w:rPr>
        <w:t>a esta</w:t>
      </w:r>
      <w:r w:rsidRPr="00C454A1">
        <w:rPr>
          <w:rFonts w:cs="Times New Roman"/>
          <w:color w:val="000000" w:themeColor="text1"/>
          <w:szCs w:val="28"/>
        </w:rPr>
        <w:t xml:space="preserve"> regla </w:t>
      </w:r>
      <w:r w:rsidR="00D50415" w:rsidRPr="00C454A1">
        <w:rPr>
          <w:rFonts w:cs="Times New Roman"/>
          <w:color w:val="000000" w:themeColor="text1"/>
          <w:szCs w:val="28"/>
        </w:rPr>
        <w:t>cuando</w:t>
      </w:r>
      <w:r w:rsidRPr="00C454A1">
        <w:rPr>
          <w:rFonts w:cs="Times New Roman"/>
          <w:color w:val="000000" w:themeColor="text1"/>
          <w:szCs w:val="28"/>
        </w:rPr>
        <w:t xml:space="preserve"> se evidencia un hecho sobreviniente que agudiza </w:t>
      </w:r>
      <w:r w:rsidR="00F07C70" w:rsidRPr="00C454A1">
        <w:rPr>
          <w:rFonts w:cs="Times New Roman"/>
          <w:color w:val="000000" w:themeColor="text1"/>
          <w:szCs w:val="28"/>
        </w:rPr>
        <w:t>de forma inusitada o significativamente mayor un</w:t>
      </w:r>
      <w:r w:rsidRPr="00C454A1">
        <w:rPr>
          <w:rFonts w:cs="Times New Roman"/>
          <w:color w:val="000000" w:themeColor="text1"/>
          <w:szCs w:val="28"/>
        </w:rPr>
        <w:t xml:space="preserve"> fenómeno o situación estructural</w:t>
      </w:r>
      <w:r w:rsidR="00D7261A" w:rsidRPr="00C454A1">
        <w:rPr>
          <w:rFonts w:cs="Times New Roman"/>
          <w:color w:val="000000" w:themeColor="text1"/>
          <w:szCs w:val="28"/>
        </w:rPr>
        <w:t>, más allá de la progresión esperada en el contexto social e institucional del país</w:t>
      </w:r>
      <w:r w:rsidR="00F07C70" w:rsidRPr="00C454A1">
        <w:rPr>
          <w:rFonts w:cs="Times New Roman"/>
          <w:color w:val="000000" w:themeColor="text1"/>
          <w:szCs w:val="28"/>
          <w:vertAlign w:val="superscript"/>
        </w:rPr>
        <w:footnoteReference w:id="70"/>
      </w:r>
      <w:r w:rsidRPr="00C454A1">
        <w:rPr>
          <w:rFonts w:cs="Times New Roman"/>
          <w:color w:val="000000" w:themeColor="text1"/>
          <w:szCs w:val="28"/>
        </w:rPr>
        <w:t>.</w:t>
      </w:r>
      <w:bookmarkEnd w:id="124"/>
    </w:p>
    <w:p w14:paraId="35544C7C" w14:textId="77777777" w:rsidR="00E978D8" w:rsidRPr="00C454A1" w:rsidRDefault="00E978D8" w:rsidP="009F792C">
      <w:pPr>
        <w:pStyle w:val="Prrafodelista"/>
        <w:rPr>
          <w:rFonts w:cs="Times New Roman"/>
          <w:color w:val="000000" w:themeColor="text1"/>
          <w:lang w:eastAsia="es-ES"/>
        </w:rPr>
      </w:pPr>
    </w:p>
    <w:p w14:paraId="27295F73" w14:textId="587D7F9B" w:rsidR="00E978D8" w:rsidRPr="00C454A1" w:rsidRDefault="00E978D8" w:rsidP="00E978D8">
      <w:pPr>
        <w:numPr>
          <w:ilvl w:val="0"/>
          <w:numId w:val="2"/>
        </w:numPr>
        <w:ind w:left="0" w:firstLine="0"/>
        <w:rPr>
          <w:rFonts w:cs="Times New Roman"/>
          <w:color w:val="000000" w:themeColor="text1"/>
          <w:lang w:eastAsia="es-ES"/>
        </w:rPr>
      </w:pPr>
      <w:r w:rsidRPr="00C454A1">
        <w:rPr>
          <w:rFonts w:cs="Times New Roman"/>
          <w:color w:val="000000" w:themeColor="text1"/>
          <w:szCs w:val="28"/>
        </w:rPr>
        <w:t xml:space="preserve">No obstante, aun en tales casos, la Corte ha insistido en que las medidas adoptadas deben guardar una relación </w:t>
      </w:r>
      <w:r w:rsidR="000B5D03" w:rsidRPr="00C454A1">
        <w:rPr>
          <w:rFonts w:cs="Times New Roman"/>
          <w:color w:val="000000" w:themeColor="text1"/>
          <w:szCs w:val="28"/>
        </w:rPr>
        <w:t xml:space="preserve">de conexidad </w:t>
      </w:r>
      <w:r w:rsidRPr="00C454A1">
        <w:rPr>
          <w:rFonts w:cs="Times New Roman"/>
          <w:color w:val="000000" w:themeColor="text1"/>
          <w:szCs w:val="28"/>
        </w:rPr>
        <w:t xml:space="preserve">estricta con la crisis inmediata y no pueden utilizarse como mecanismo para solucionar </w:t>
      </w:r>
      <w:r w:rsidR="00566A2B" w:rsidRPr="00C454A1">
        <w:rPr>
          <w:rFonts w:cs="Times New Roman"/>
          <w:color w:val="000000" w:themeColor="text1"/>
          <w:szCs w:val="28"/>
        </w:rPr>
        <w:t xml:space="preserve">los </w:t>
      </w:r>
      <w:r w:rsidRPr="00C454A1">
        <w:rPr>
          <w:rFonts w:cs="Times New Roman"/>
          <w:color w:val="000000" w:themeColor="text1"/>
          <w:szCs w:val="28"/>
        </w:rPr>
        <w:t xml:space="preserve">problemas crónicos, estructurales o permanentes que requieren una intervención prolongada y democrática a través del Congreso y otras instancias estatales. Sin perjuicio de lo anterior, la Corte ha admitido “la posibilidad de una medida adoptada al amparo del estado de emergencia atienda la dimensión estructural </w:t>
      </w:r>
      <w:r w:rsidRPr="00C454A1">
        <w:rPr>
          <w:rFonts w:cs="Times New Roman"/>
          <w:color w:val="000000" w:themeColor="text1"/>
          <w:szCs w:val="28"/>
        </w:rPr>
        <w:lastRenderedPageBreak/>
        <w:t>y la dimensión extraordinaria de un mismo problema, ‘cuando la respuesta prevista para atender la coyuntura aporta, al mismo tiempo, una solución definitiva”</w:t>
      </w:r>
      <w:r w:rsidRPr="00C454A1">
        <w:rPr>
          <w:rFonts w:cs="Times New Roman"/>
          <w:color w:val="000000" w:themeColor="text1"/>
          <w:vertAlign w:val="superscript"/>
        </w:rPr>
        <w:footnoteReference w:id="71"/>
      </w:r>
      <w:r w:rsidRPr="00C454A1">
        <w:rPr>
          <w:rFonts w:cs="Times New Roman"/>
          <w:color w:val="000000" w:themeColor="text1"/>
          <w:szCs w:val="28"/>
        </w:rPr>
        <w:t>.</w:t>
      </w:r>
    </w:p>
    <w:p w14:paraId="4E9E9366" w14:textId="77777777" w:rsidR="00376B4C" w:rsidRPr="00C454A1" w:rsidRDefault="00376B4C" w:rsidP="009F792C">
      <w:pPr>
        <w:rPr>
          <w:rFonts w:cs="Times New Roman"/>
          <w:color w:val="000000" w:themeColor="text1"/>
          <w:szCs w:val="28"/>
        </w:rPr>
      </w:pPr>
    </w:p>
    <w:p w14:paraId="5E26A2B0" w14:textId="24E9139F" w:rsidR="004365B3" w:rsidRPr="00C454A1" w:rsidRDefault="00D50415" w:rsidP="009F792C">
      <w:pPr>
        <w:numPr>
          <w:ilvl w:val="0"/>
          <w:numId w:val="2"/>
        </w:numPr>
        <w:ind w:left="0" w:firstLine="0"/>
        <w:rPr>
          <w:rFonts w:cs="Times New Roman"/>
          <w:color w:val="000000" w:themeColor="text1"/>
          <w:lang w:eastAsia="es-ES"/>
        </w:rPr>
      </w:pPr>
      <w:bookmarkStart w:id="125" w:name="_Ref203391032"/>
      <w:r w:rsidRPr="00C454A1">
        <w:rPr>
          <w:rFonts w:cs="Times New Roman"/>
          <w:color w:val="000000" w:themeColor="text1"/>
          <w:szCs w:val="28"/>
        </w:rPr>
        <w:t>E</w:t>
      </w:r>
      <w:r w:rsidR="00F07C70" w:rsidRPr="00C454A1">
        <w:rPr>
          <w:rFonts w:cs="Times New Roman"/>
          <w:color w:val="000000" w:themeColor="text1"/>
          <w:szCs w:val="28"/>
        </w:rPr>
        <w:t xml:space="preserve">n relación </w:t>
      </w:r>
      <w:r w:rsidRPr="00C454A1">
        <w:rPr>
          <w:rFonts w:cs="Times New Roman"/>
          <w:color w:val="000000" w:themeColor="text1"/>
          <w:szCs w:val="28"/>
        </w:rPr>
        <w:t xml:space="preserve">específicamente </w:t>
      </w:r>
      <w:r w:rsidR="00F07C70" w:rsidRPr="00C454A1">
        <w:rPr>
          <w:rFonts w:cs="Times New Roman"/>
          <w:color w:val="000000" w:themeColor="text1"/>
          <w:szCs w:val="28"/>
        </w:rPr>
        <w:t xml:space="preserve">con la conmoción interior, </w:t>
      </w:r>
      <w:bookmarkStart w:id="126" w:name="_Hlk194241104"/>
      <w:r w:rsidR="00F07C70" w:rsidRPr="00C454A1">
        <w:rPr>
          <w:rFonts w:cs="Times New Roman"/>
          <w:color w:val="000000" w:themeColor="text1"/>
          <w:szCs w:val="28"/>
        </w:rPr>
        <w:t>e</w:t>
      </w:r>
      <w:r w:rsidR="00544A6F" w:rsidRPr="00C454A1">
        <w:rPr>
          <w:rFonts w:cs="Times New Roman"/>
          <w:color w:val="000000" w:themeColor="text1"/>
          <w:szCs w:val="28"/>
        </w:rPr>
        <w:t xml:space="preserve">n las sentencias C-802 de 2002 y C-070 de 2009, la Corte </w:t>
      </w:r>
      <w:r w:rsidR="00380116" w:rsidRPr="00C454A1">
        <w:rPr>
          <w:rFonts w:cs="Times New Roman"/>
          <w:color w:val="000000" w:themeColor="text1"/>
          <w:szCs w:val="28"/>
        </w:rPr>
        <w:t xml:space="preserve">afirmó </w:t>
      </w:r>
      <w:r w:rsidR="00544A6F" w:rsidRPr="00C454A1">
        <w:rPr>
          <w:rFonts w:cs="Times New Roman"/>
          <w:color w:val="000000" w:themeColor="text1"/>
          <w:szCs w:val="28"/>
        </w:rPr>
        <w:t xml:space="preserve">que </w:t>
      </w:r>
      <w:r w:rsidR="000B5D03" w:rsidRPr="00C454A1">
        <w:rPr>
          <w:rFonts w:cs="Times New Roman"/>
          <w:color w:val="000000" w:themeColor="text1"/>
          <w:szCs w:val="28"/>
        </w:rPr>
        <w:t xml:space="preserve">la </w:t>
      </w:r>
      <w:r w:rsidR="00544A6F" w:rsidRPr="00C454A1">
        <w:rPr>
          <w:rFonts w:cs="Times New Roman"/>
          <w:color w:val="000000" w:themeColor="text1"/>
          <w:szCs w:val="28"/>
        </w:rPr>
        <w:t>perturbación extraordinaria</w:t>
      </w:r>
      <w:r w:rsidR="000B5D03" w:rsidRPr="00C454A1">
        <w:rPr>
          <w:rFonts w:cs="Times New Roman"/>
          <w:color w:val="000000" w:themeColor="text1"/>
          <w:szCs w:val="28"/>
        </w:rPr>
        <w:t xml:space="preserve"> </w:t>
      </w:r>
      <w:r w:rsidR="00544A6F" w:rsidRPr="00C454A1">
        <w:rPr>
          <w:rFonts w:cs="Times New Roman"/>
          <w:color w:val="000000" w:themeColor="text1"/>
          <w:szCs w:val="28"/>
        </w:rPr>
        <w:t xml:space="preserve">debe ser el resultado de hechos “coyunturales”, “transitorios” o “excepcionales” que produzcan, individualmente o en conjunto, una intensificación, agravamiento o giro </w:t>
      </w:r>
      <w:r w:rsidR="00BE1BF0" w:rsidRPr="00C454A1">
        <w:rPr>
          <w:rFonts w:cs="Times New Roman"/>
          <w:color w:val="000000" w:themeColor="text1"/>
          <w:szCs w:val="28"/>
        </w:rPr>
        <w:t xml:space="preserve">importante </w:t>
      </w:r>
      <w:r w:rsidR="00544A6F" w:rsidRPr="00C454A1">
        <w:rPr>
          <w:rFonts w:cs="Times New Roman"/>
          <w:color w:val="000000" w:themeColor="text1"/>
          <w:szCs w:val="28"/>
        </w:rPr>
        <w:t>cuantitativo o cualitativo de la situación de violencia o alteración del orden público en todo o en parte del territorio nacional.</w:t>
      </w:r>
      <w:bookmarkEnd w:id="126"/>
      <w:r w:rsidR="00544A6F" w:rsidRPr="00C454A1">
        <w:rPr>
          <w:rFonts w:cs="Times New Roman"/>
          <w:color w:val="000000" w:themeColor="text1"/>
          <w:szCs w:val="28"/>
        </w:rPr>
        <w:t xml:space="preserve"> </w:t>
      </w:r>
      <w:r w:rsidR="004365B3" w:rsidRPr="00C454A1">
        <w:rPr>
          <w:rFonts w:cs="Times New Roman"/>
          <w:color w:val="000000" w:themeColor="text1"/>
          <w:szCs w:val="28"/>
        </w:rPr>
        <w:t xml:space="preserve">Sobre el desarrollo </w:t>
      </w:r>
      <w:r w:rsidR="00441801" w:rsidRPr="00C454A1">
        <w:rPr>
          <w:rFonts w:cs="Times New Roman"/>
          <w:color w:val="000000" w:themeColor="text1"/>
          <w:szCs w:val="28"/>
        </w:rPr>
        <w:t xml:space="preserve">de la jurisprudencia </w:t>
      </w:r>
      <w:r w:rsidR="004A0291" w:rsidRPr="00C454A1">
        <w:rPr>
          <w:rFonts w:cs="Times New Roman"/>
          <w:color w:val="000000" w:themeColor="text1"/>
          <w:szCs w:val="28"/>
        </w:rPr>
        <w:t>en este respecto</w:t>
      </w:r>
      <w:r w:rsidR="00910088" w:rsidRPr="00C454A1">
        <w:rPr>
          <w:rFonts w:cs="Times New Roman"/>
          <w:color w:val="000000" w:themeColor="text1"/>
          <w:szCs w:val="28"/>
        </w:rPr>
        <w:t>, la Sala</w:t>
      </w:r>
      <w:r w:rsidR="004A0291" w:rsidRPr="00C454A1">
        <w:rPr>
          <w:rFonts w:cs="Times New Roman"/>
          <w:color w:val="000000" w:themeColor="text1"/>
          <w:szCs w:val="28"/>
        </w:rPr>
        <w:t xml:space="preserve"> se ocupará en la sección 4.</w:t>
      </w:r>
      <w:bookmarkEnd w:id="125"/>
    </w:p>
    <w:p w14:paraId="5F6BFF21" w14:textId="77777777" w:rsidR="00544A6F" w:rsidRPr="00C454A1" w:rsidRDefault="00544A6F" w:rsidP="009F792C">
      <w:pPr>
        <w:rPr>
          <w:rFonts w:cs="Times New Roman"/>
          <w:i/>
          <w:iCs/>
          <w:color w:val="000000" w:themeColor="text1"/>
          <w:szCs w:val="28"/>
        </w:rPr>
      </w:pPr>
    </w:p>
    <w:p w14:paraId="4D2775A5" w14:textId="1F6A03D3" w:rsidR="00544A6F" w:rsidRPr="00C454A1" w:rsidRDefault="00544A6F" w:rsidP="00544A6F">
      <w:pPr>
        <w:numPr>
          <w:ilvl w:val="0"/>
          <w:numId w:val="2"/>
        </w:numPr>
        <w:tabs>
          <w:tab w:val="left" w:pos="567"/>
        </w:tabs>
        <w:ind w:left="0" w:firstLine="0"/>
        <w:rPr>
          <w:rFonts w:cs="Times New Roman"/>
          <w:i/>
          <w:iCs/>
          <w:color w:val="000000" w:themeColor="text1"/>
          <w:szCs w:val="28"/>
        </w:rPr>
      </w:pPr>
      <w:bookmarkStart w:id="127" w:name="_Ref203395838"/>
      <w:r w:rsidRPr="00C454A1">
        <w:rPr>
          <w:rFonts w:cs="Times New Roman"/>
          <w:i/>
          <w:iCs/>
          <w:color w:val="000000" w:themeColor="text1"/>
          <w:szCs w:val="28"/>
        </w:rPr>
        <w:t>Inminencia.</w:t>
      </w:r>
      <w:r w:rsidRPr="00C454A1">
        <w:rPr>
          <w:rFonts w:cs="Times New Roman"/>
          <w:color w:val="000000" w:themeColor="text1"/>
          <w:szCs w:val="28"/>
        </w:rPr>
        <w:t xml:space="preserve"> Los artículos 213 de la Constitución y 34 de la LEEE exigen que la perturbación del orden público, además de ser grave y extraordinaria, atente de forma “inminente” contra “la estabilidad institucional”, “la seguridad del Estado” o “la convivencia ciudadana”. La conjunción disyuntiva “o” denota carácter alternativo, por lo que basta con que la grave alteración del orden público atente “contra uno de esos tres ámbitos para que la declaratoria del estado de conmoción interior sea legítima”</w:t>
      </w:r>
      <w:r w:rsidRPr="00C454A1">
        <w:rPr>
          <w:rFonts w:cs="Times New Roman"/>
          <w:color w:val="000000" w:themeColor="text1"/>
          <w:vertAlign w:val="superscript"/>
        </w:rPr>
        <w:footnoteReference w:id="72"/>
      </w:r>
      <w:r w:rsidRPr="00C454A1">
        <w:rPr>
          <w:rFonts w:cs="Times New Roman"/>
          <w:color w:val="000000" w:themeColor="text1"/>
          <w:szCs w:val="28"/>
        </w:rPr>
        <w:t>. El carácter “inminente” implica que debe existir “</w:t>
      </w:r>
      <w:r w:rsidRPr="00C454A1">
        <w:rPr>
          <w:rFonts w:cs="Times New Roman"/>
          <w:color w:val="000000" w:themeColor="text1"/>
        </w:rPr>
        <w:t>un riesgo efectivo que puede materializarse en cualquier momento, de un peligro potenciado por su inmediatez temporal”</w:t>
      </w:r>
      <w:r w:rsidRPr="00C454A1">
        <w:rPr>
          <w:rStyle w:val="Refdenotaalpie"/>
          <w:rFonts w:cs="Times New Roman"/>
          <w:color w:val="000000" w:themeColor="text1"/>
        </w:rPr>
        <w:footnoteReference w:id="73"/>
      </w:r>
      <w:r w:rsidRPr="00C454A1">
        <w:rPr>
          <w:rFonts w:cs="Times New Roman"/>
          <w:i/>
          <w:iCs/>
          <w:color w:val="000000" w:themeColor="text1"/>
          <w:szCs w:val="28"/>
        </w:rPr>
        <w:t>.</w:t>
      </w:r>
      <w:bookmarkEnd w:id="127"/>
      <w:r w:rsidR="004A0291" w:rsidRPr="00C454A1">
        <w:rPr>
          <w:rFonts w:cs="Times New Roman"/>
          <w:color w:val="000000" w:themeColor="text1"/>
          <w:szCs w:val="28"/>
        </w:rPr>
        <w:t xml:space="preserve"> </w:t>
      </w:r>
      <w:r w:rsidRPr="00C454A1">
        <w:rPr>
          <w:rFonts w:cs="Times New Roman"/>
          <w:i/>
          <w:iCs/>
          <w:color w:val="000000" w:themeColor="text1"/>
          <w:szCs w:val="28"/>
        </w:rPr>
        <w:t xml:space="preserve"> </w:t>
      </w:r>
    </w:p>
    <w:p w14:paraId="7DD920EA" w14:textId="77777777" w:rsidR="00544A6F" w:rsidRPr="00C454A1" w:rsidRDefault="00544A6F" w:rsidP="00544A6F">
      <w:pPr>
        <w:tabs>
          <w:tab w:val="left" w:pos="567"/>
        </w:tabs>
        <w:rPr>
          <w:rFonts w:cs="Times New Roman"/>
          <w:color w:val="000000" w:themeColor="text1"/>
          <w:szCs w:val="28"/>
        </w:rPr>
      </w:pPr>
    </w:p>
    <w:p w14:paraId="0DD0B961" w14:textId="5784CBF9" w:rsidR="00544A6F" w:rsidRPr="00C454A1" w:rsidRDefault="00544A6F" w:rsidP="00544A6F">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Margen de discrecionalidad del presidente de la República</w:t>
      </w:r>
      <w:r w:rsidRPr="00C454A1">
        <w:rPr>
          <w:rFonts w:cs="Times New Roman"/>
          <w:color w:val="000000" w:themeColor="text1"/>
          <w:szCs w:val="28"/>
        </w:rPr>
        <w:t>. El presidente de la República “tiene un margen amplio para apreciar la ocurrencia de hechos perturbadores, su gravedad y su amenaza inminente contra la estabilidad institucional, la seguridad del Estado y la convivencia ciudadana”</w:t>
      </w:r>
      <w:r w:rsidRPr="00C454A1">
        <w:rPr>
          <w:rStyle w:val="Refdenotaalpie"/>
          <w:rFonts w:cs="Times New Roman"/>
          <w:color w:val="000000" w:themeColor="text1"/>
          <w:szCs w:val="28"/>
        </w:rPr>
        <w:footnoteReference w:id="74"/>
      </w:r>
      <w:r w:rsidRPr="00C454A1">
        <w:rPr>
          <w:rFonts w:cs="Times New Roman"/>
          <w:color w:val="000000" w:themeColor="text1"/>
          <w:szCs w:val="28"/>
        </w:rPr>
        <w:t xml:space="preserve">. El artículo 189, numerales 4 y 7, de la Constitución asignan al presidente de la República, en su condición de jefe de Estado y máxima autoridad administrativa, la competencia de “[d]irigir la fuerza pública y disponer de ella como comandante Supremo de las Fuerzas Armadas de la República” y “[c]onservar en todo el territorio el orden público y restablecerlo donde fuere turbado”. La valoración de la intensidad, </w:t>
      </w:r>
      <w:r w:rsidR="006B0866" w:rsidRPr="00C454A1">
        <w:rPr>
          <w:rFonts w:cs="Times New Roman"/>
          <w:color w:val="000000" w:themeColor="text1"/>
          <w:szCs w:val="28"/>
        </w:rPr>
        <w:t xml:space="preserve">la </w:t>
      </w:r>
      <w:r w:rsidRPr="00C454A1">
        <w:rPr>
          <w:rFonts w:cs="Times New Roman"/>
          <w:color w:val="000000" w:themeColor="text1"/>
          <w:szCs w:val="28"/>
        </w:rPr>
        <w:t>naturaleza y</w:t>
      </w:r>
      <w:r w:rsidR="006B0866" w:rsidRPr="00C454A1">
        <w:rPr>
          <w:rFonts w:cs="Times New Roman"/>
          <w:color w:val="000000" w:themeColor="text1"/>
          <w:szCs w:val="28"/>
        </w:rPr>
        <w:t xml:space="preserve"> el</w:t>
      </w:r>
      <w:r w:rsidRPr="00C454A1">
        <w:rPr>
          <w:rFonts w:cs="Times New Roman"/>
          <w:color w:val="000000" w:themeColor="text1"/>
          <w:szCs w:val="28"/>
        </w:rPr>
        <w:t xml:space="preserve"> potencial lesivo de la perturbación del orden público está cobijada por estas competencias constitucionales. </w:t>
      </w:r>
    </w:p>
    <w:p w14:paraId="1B648832" w14:textId="77777777" w:rsidR="00544A6F" w:rsidRPr="00C454A1" w:rsidRDefault="00544A6F" w:rsidP="00544A6F">
      <w:pPr>
        <w:tabs>
          <w:tab w:val="left" w:pos="567"/>
        </w:tabs>
        <w:rPr>
          <w:rFonts w:cs="Times New Roman"/>
          <w:color w:val="000000" w:themeColor="text1"/>
          <w:szCs w:val="28"/>
        </w:rPr>
      </w:pPr>
    </w:p>
    <w:p w14:paraId="7AC9A45A" w14:textId="77777777" w:rsidR="00544A6F" w:rsidRPr="00C454A1" w:rsidRDefault="00544A6F" w:rsidP="00544A6F">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No obstante, esa amplitud en el margen de apreciación de los hechos “</w:t>
      </w:r>
      <w:r w:rsidRPr="00C454A1">
        <w:rPr>
          <w:rFonts w:cs="Times New Roman"/>
          <w:color w:val="000000" w:themeColor="text1"/>
        </w:rPr>
        <w:t>no impide que tal valoración sea objetivable, esto es, que ella sea susceptible de [ser] arbitraria o […] fruto de un error manifiesto”</w:t>
      </w:r>
      <w:r w:rsidRPr="00C454A1">
        <w:rPr>
          <w:rStyle w:val="Refdenotaalpie"/>
          <w:rFonts w:cs="Times New Roman"/>
          <w:color w:val="000000" w:themeColor="text1"/>
        </w:rPr>
        <w:footnoteReference w:id="75"/>
      </w:r>
      <w:r w:rsidRPr="00C454A1">
        <w:rPr>
          <w:rFonts w:cs="Times New Roman"/>
          <w:color w:val="000000" w:themeColor="text1"/>
        </w:rPr>
        <w:t xml:space="preserve">. En este orden, la facultad del presidente de valorar los hechos “no puede ser fruto de su más absoluta discrecionalidad, sino que debe ceñirse a la naturaleza del instituto excepcional de cuya declaración se trata y a la razón de ser que le asiste en la estructura y </w:t>
      </w:r>
      <w:r w:rsidRPr="00C454A1">
        <w:rPr>
          <w:rFonts w:cs="Times New Roman"/>
          <w:color w:val="000000" w:themeColor="text1"/>
        </w:rPr>
        <w:lastRenderedPageBreak/>
        <w:t>funcionalidad del Estado constitucional”</w:t>
      </w:r>
      <w:r w:rsidRPr="00C454A1">
        <w:rPr>
          <w:rStyle w:val="Refdenotaalpie"/>
          <w:rFonts w:cs="Times New Roman"/>
          <w:color w:val="000000" w:themeColor="text1"/>
        </w:rPr>
        <w:footnoteReference w:id="76"/>
      </w:r>
      <w:r w:rsidRPr="00C454A1">
        <w:rPr>
          <w:rFonts w:cs="Times New Roman"/>
          <w:color w:val="000000" w:themeColor="text1"/>
        </w:rPr>
        <w:t>. En otras palabras, “[e]l compromiso jurídico del presidente de la República en punto de la apreciación de la alteración del orden público es no forzar la naturaleza del presupuesto fáctico para atribuirle implicaciones que no tiene”</w:t>
      </w:r>
      <w:r w:rsidRPr="00C454A1">
        <w:rPr>
          <w:rStyle w:val="Refdenotaalpie"/>
          <w:rFonts w:cs="Times New Roman"/>
          <w:color w:val="000000" w:themeColor="text1"/>
        </w:rPr>
        <w:footnoteReference w:id="77"/>
      </w:r>
      <w:r w:rsidRPr="00C454A1">
        <w:rPr>
          <w:rFonts w:cs="Times New Roman"/>
          <w:color w:val="000000" w:themeColor="text1"/>
        </w:rPr>
        <w:t xml:space="preserve">. </w:t>
      </w:r>
    </w:p>
    <w:p w14:paraId="24B307C2" w14:textId="77777777" w:rsidR="00544A6F" w:rsidRPr="00C454A1" w:rsidRDefault="00544A6F" w:rsidP="00544A6F">
      <w:pPr>
        <w:tabs>
          <w:tab w:val="left" w:pos="567"/>
        </w:tabs>
        <w:rPr>
          <w:rFonts w:cs="Times New Roman"/>
          <w:color w:val="000000" w:themeColor="text1"/>
          <w:szCs w:val="28"/>
        </w:rPr>
      </w:pPr>
    </w:p>
    <w:p w14:paraId="033D6915" w14:textId="530BAE6B" w:rsidR="00544A6F" w:rsidRPr="00C454A1" w:rsidRDefault="00544A6F" w:rsidP="00544A6F">
      <w:pPr>
        <w:numPr>
          <w:ilvl w:val="0"/>
          <w:numId w:val="2"/>
        </w:numPr>
        <w:tabs>
          <w:tab w:val="left" w:pos="567"/>
        </w:tabs>
        <w:ind w:left="0" w:firstLine="0"/>
        <w:rPr>
          <w:rFonts w:cs="Times New Roman"/>
          <w:color w:val="000000" w:themeColor="text1"/>
          <w:szCs w:val="28"/>
        </w:rPr>
      </w:pPr>
      <w:bookmarkStart w:id="128" w:name="_Ref219308598"/>
      <w:r w:rsidRPr="00C454A1">
        <w:rPr>
          <w:rFonts w:cs="Times New Roman"/>
          <w:color w:val="000000" w:themeColor="text1"/>
        </w:rPr>
        <w:t xml:space="preserve">De acuerdo con lo anterior, </w:t>
      </w:r>
      <w:r w:rsidRPr="00C454A1">
        <w:rPr>
          <w:rFonts w:cs="Times New Roman"/>
          <w:color w:val="000000" w:themeColor="text1"/>
          <w:szCs w:val="28"/>
        </w:rPr>
        <w:t>para satisfacer el presupuesto valorativo</w:t>
      </w:r>
      <w:r w:rsidRPr="00C454A1">
        <w:rPr>
          <w:rFonts w:cs="Times New Roman"/>
          <w:color w:val="000000" w:themeColor="text1"/>
        </w:rPr>
        <w:t xml:space="preserve">, el presidente de la República está llamado a cumplir dos obligaciones: una de índole argumentativa y otra de naturaleza probatoria. Respecto de la primera, </w:t>
      </w:r>
      <w:r w:rsidRPr="00C454A1">
        <w:rPr>
          <w:rFonts w:cs="Times New Roman"/>
          <w:color w:val="000000" w:themeColor="text1"/>
          <w:szCs w:val="28"/>
        </w:rPr>
        <w:t xml:space="preserve">en la parte motiva del decreto declaratorio, el presidente debe </w:t>
      </w:r>
      <w:r w:rsidRPr="00C454A1">
        <w:rPr>
          <w:iCs/>
          <w:color w:val="000000" w:themeColor="text1"/>
          <w:szCs w:val="28"/>
        </w:rPr>
        <w:t>consignar una apreciación suficiente sobre</w:t>
      </w:r>
      <w:r w:rsidR="00491DB3" w:rsidRPr="00C454A1">
        <w:rPr>
          <w:iCs/>
          <w:color w:val="000000" w:themeColor="text1"/>
          <w:szCs w:val="28"/>
        </w:rPr>
        <w:t xml:space="preserve"> la</w:t>
      </w:r>
      <w:r w:rsidRPr="00C454A1">
        <w:rPr>
          <w:iCs/>
          <w:color w:val="000000" w:themeColor="text1"/>
          <w:szCs w:val="28"/>
        </w:rPr>
        <w:t xml:space="preserve"> gravedad de los hechos</w:t>
      </w:r>
      <w:r w:rsidR="00491DB3" w:rsidRPr="00C454A1">
        <w:rPr>
          <w:iCs/>
          <w:color w:val="000000" w:themeColor="text1"/>
          <w:szCs w:val="28"/>
        </w:rPr>
        <w:t>,</w:t>
      </w:r>
      <w:r w:rsidRPr="00C454A1">
        <w:rPr>
          <w:iCs/>
          <w:color w:val="000000" w:themeColor="text1"/>
          <w:szCs w:val="28"/>
        </w:rPr>
        <w:t xml:space="preserve"> su naturaleza excepcional</w:t>
      </w:r>
      <w:r w:rsidR="00491DB3" w:rsidRPr="00C454A1">
        <w:rPr>
          <w:iCs/>
          <w:color w:val="000000" w:themeColor="text1"/>
          <w:szCs w:val="28"/>
        </w:rPr>
        <w:t xml:space="preserve"> y la inminencia de la afectación de </w:t>
      </w:r>
      <w:r w:rsidR="00491DB3" w:rsidRPr="00C454A1">
        <w:rPr>
          <w:rFonts w:cs="Times New Roman"/>
          <w:color w:val="000000" w:themeColor="text1"/>
          <w:szCs w:val="28"/>
        </w:rPr>
        <w:t>la estabilidad institucional, la seguridad del Estado o la convivencia ciudadana</w:t>
      </w:r>
      <w:r w:rsidRPr="00C454A1">
        <w:rPr>
          <w:rStyle w:val="Refdenotaalpie"/>
          <w:iCs/>
          <w:color w:val="000000" w:themeColor="text1"/>
          <w:szCs w:val="28"/>
        </w:rPr>
        <w:footnoteReference w:id="78"/>
      </w:r>
      <w:r w:rsidRPr="00C454A1">
        <w:rPr>
          <w:iCs/>
          <w:color w:val="000000" w:themeColor="text1"/>
          <w:szCs w:val="28"/>
        </w:rPr>
        <w:t>. El incumplimiento de este deber “convierte en arbitraria la declaración de un estado de emergencia pues significa una elusión de las cargas argumentativas mínimas a cargo del gobierno impuestas por la Constitución y por la LEEE”</w:t>
      </w:r>
      <w:r w:rsidRPr="00C454A1">
        <w:rPr>
          <w:rStyle w:val="Refdenotaalpie"/>
          <w:iCs/>
          <w:color w:val="000000" w:themeColor="text1"/>
          <w:szCs w:val="28"/>
        </w:rPr>
        <w:footnoteReference w:id="79"/>
      </w:r>
      <w:r w:rsidRPr="00C454A1">
        <w:rPr>
          <w:iCs/>
          <w:color w:val="000000" w:themeColor="text1"/>
          <w:szCs w:val="28"/>
        </w:rPr>
        <w:t xml:space="preserve">. En relación con la segunda obligación, </w:t>
      </w:r>
      <w:r w:rsidRPr="00C454A1">
        <w:rPr>
          <w:rFonts w:cs="Times New Roman"/>
          <w:color w:val="000000" w:themeColor="text1"/>
        </w:rPr>
        <w:t>“</w:t>
      </w:r>
      <w:r w:rsidRPr="00C454A1">
        <w:rPr>
          <w:iCs/>
          <w:color w:val="000000" w:themeColor="text1"/>
          <w:szCs w:val="28"/>
        </w:rPr>
        <w:t>la apreciación que hace el gobierno de los hechos también debe basarse en pruebas objetivas que muestran si éstos tienen un carácter anormal y excepcional”</w:t>
      </w:r>
      <w:r w:rsidRPr="00C454A1">
        <w:rPr>
          <w:rStyle w:val="Refdenotaalpie"/>
          <w:iCs/>
          <w:color w:val="000000" w:themeColor="text1"/>
          <w:szCs w:val="28"/>
        </w:rPr>
        <w:footnoteReference w:id="80"/>
      </w:r>
      <w:r w:rsidRPr="00C454A1">
        <w:rPr>
          <w:iCs/>
          <w:color w:val="000000" w:themeColor="text1"/>
          <w:szCs w:val="28"/>
        </w:rPr>
        <w:t>.</w:t>
      </w:r>
      <w:bookmarkEnd w:id="128"/>
    </w:p>
    <w:p w14:paraId="65F508AB" w14:textId="77777777" w:rsidR="00544A6F" w:rsidRPr="00C454A1" w:rsidRDefault="00544A6F" w:rsidP="00544A6F">
      <w:pPr>
        <w:tabs>
          <w:tab w:val="left" w:pos="567"/>
        </w:tabs>
        <w:rPr>
          <w:rFonts w:cs="Times New Roman"/>
          <w:color w:val="000000" w:themeColor="text1"/>
          <w:szCs w:val="28"/>
        </w:rPr>
      </w:pPr>
    </w:p>
    <w:p w14:paraId="045A7140" w14:textId="318F4D07" w:rsidR="00544A6F" w:rsidRPr="00C454A1" w:rsidRDefault="00544A6F" w:rsidP="00544A6F">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Ahora bien, el presupuesto valorativo no exige que la </w:t>
      </w:r>
      <w:r w:rsidR="00BB7F7E" w:rsidRPr="00C454A1">
        <w:rPr>
          <w:rFonts w:cs="Times New Roman"/>
          <w:color w:val="000000" w:themeColor="text1"/>
          <w:szCs w:val="28"/>
        </w:rPr>
        <w:t xml:space="preserve">declaración </w:t>
      </w:r>
      <w:r w:rsidRPr="00C454A1">
        <w:rPr>
          <w:rFonts w:cs="Times New Roman"/>
          <w:color w:val="000000" w:themeColor="text1"/>
          <w:szCs w:val="28"/>
        </w:rPr>
        <w:t>del estado de conmoción interior se sustente únicamente en “hechos sobrevinientes ni [en] la acumulación de hechos de una misma índole”</w:t>
      </w:r>
      <w:r w:rsidRPr="00C454A1">
        <w:rPr>
          <w:rStyle w:val="Refdenotaalpie"/>
          <w:rFonts w:cs="Times New Roman"/>
          <w:color w:val="000000" w:themeColor="text1"/>
          <w:szCs w:val="28"/>
        </w:rPr>
        <w:footnoteReference w:id="81"/>
      </w:r>
      <w:r w:rsidRPr="00C454A1">
        <w:rPr>
          <w:rFonts w:cs="Times New Roman"/>
          <w:color w:val="000000" w:themeColor="text1"/>
          <w:szCs w:val="28"/>
        </w:rPr>
        <w:t>. El presidente de la República también puede declarar dicho estado de excepción cuando constate “el despliegue de hechos que ya venían cometiéndose pero que inusitadamente adquieren mucha mayor intensidad”</w:t>
      </w:r>
      <w:r w:rsidRPr="00C454A1">
        <w:rPr>
          <w:rStyle w:val="Refdenotaalpie"/>
          <w:rFonts w:cs="Times New Roman"/>
          <w:color w:val="000000" w:themeColor="text1"/>
          <w:szCs w:val="28"/>
        </w:rPr>
        <w:footnoteReference w:id="82"/>
      </w:r>
      <w:r w:rsidRPr="00C454A1">
        <w:rPr>
          <w:rFonts w:cs="Times New Roman"/>
          <w:color w:val="000000" w:themeColor="text1"/>
          <w:szCs w:val="28"/>
        </w:rPr>
        <w:t xml:space="preserve">. En consecuencia, tratándose de </w:t>
      </w:r>
      <w:r w:rsidR="00BB7F7E" w:rsidRPr="00C454A1">
        <w:rPr>
          <w:rFonts w:cs="Times New Roman"/>
          <w:color w:val="000000" w:themeColor="text1"/>
          <w:szCs w:val="28"/>
        </w:rPr>
        <w:t>problemáticas de carácter</w:t>
      </w:r>
      <w:r w:rsidRPr="00C454A1">
        <w:rPr>
          <w:rFonts w:cs="Times New Roman"/>
          <w:color w:val="000000" w:themeColor="text1"/>
          <w:szCs w:val="28"/>
        </w:rPr>
        <w:t xml:space="preserve"> estructural, la excepcionalidad de la situación puede justificarse en su “intensidad”, “escalamiento extraordinario”, “</w:t>
      </w:r>
      <w:r w:rsidRPr="00C454A1">
        <w:rPr>
          <w:rFonts w:cs="Times New Roman"/>
          <w:color w:val="000000" w:themeColor="text1"/>
        </w:rPr>
        <w:t>poder expansivo”, “mayor capacidad desestabilizadora”, “mayor potencia lesiva y mayor cobertura”</w:t>
      </w:r>
      <w:r w:rsidRPr="00C454A1">
        <w:rPr>
          <w:rStyle w:val="Refdenotaalpie"/>
          <w:rFonts w:cs="Times New Roman"/>
          <w:color w:val="000000" w:themeColor="text1"/>
        </w:rPr>
        <w:footnoteReference w:id="83"/>
      </w:r>
      <w:r w:rsidRPr="00C454A1">
        <w:rPr>
          <w:rFonts w:cs="Times New Roman"/>
          <w:color w:val="000000" w:themeColor="text1"/>
          <w:szCs w:val="28"/>
        </w:rPr>
        <w:t xml:space="preserve">. </w:t>
      </w:r>
    </w:p>
    <w:p w14:paraId="1CB768A9" w14:textId="77777777" w:rsidR="00544A6F" w:rsidRPr="00C454A1" w:rsidRDefault="00544A6F" w:rsidP="00544A6F">
      <w:pPr>
        <w:tabs>
          <w:tab w:val="left" w:pos="567"/>
        </w:tabs>
        <w:rPr>
          <w:rFonts w:cs="Times New Roman"/>
          <w:color w:val="000000" w:themeColor="text1"/>
          <w:szCs w:val="28"/>
        </w:rPr>
      </w:pPr>
    </w:p>
    <w:p w14:paraId="4336EF04" w14:textId="3E49EA2D" w:rsidR="00544A6F" w:rsidRPr="00C454A1" w:rsidRDefault="00544A6F" w:rsidP="00544A6F">
      <w:pPr>
        <w:numPr>
          <w:ilvl w:val="0"/>
          <w:numId w:val="2"/>
        </w:numPr>
        <w:tabs>
          <w:tab w:val="left" w:pos="567"/>
        </w:tabs>
        <w:ind w:left="0" w:firstLine="0"/>
        <w:rPr>
          <w:rFonts w:cs="Times New Roman"/>
          <w:i/>
          <w:iCs/>
          <w:color w:val="000000" w:themeColor="text1"/>
          <w:szCs w:val="28"/>
        </w:rPr>
      </w:pPr>
      <w:bookmarkStart w:id="129" w:name="_Ref223705484"/>
      <w:r w:rsidRPr="00C454A1">
        <w:rPr>
          <w:rFonts w:cs="Times New Roman"/>
          <w:i/>
          <w:iCs/>
          <w:color w:val="000000" w:themeColor="text1"/>
          <w:szCs w:val="28"/>
        </w:rPr>
        <w:t>Alcance del control constitucional</w:t>
      </w:r>
      <w:r w:rsidRPr="00C454A1">
        <w:rPr>
          <w:rFonts w:cs="Times New Roman"/>
          <w:iCs/>
          <w:color w:val="000000" w:themeColor="text1"/>
          <w:szCs w:val="28"/>
        </w:rPr>
        <w:t xml:space="preserve">. A diferencia del presupuesto fáctico, el presupuesto valorativo no está sujeto a un “control constitucional objetivo” o “juicio objetivo de existencia” por parte de la Corte Constitucional. Esto es así porque, por definición, el presupuesto valorativo involucra un “juicio de valor” sobre la gravedad, </w:t>
      </w:r>
      <w:r w:rsidR="006B0866" w:rsidRPr="00C454A1">
        <w:rPr>
          <w:rFonts w:cs="Times New Roman"/>
          <w:iCs/>
          <w:color w:val="000000" w:themeColor="text1"/>
          <w:szCs w:val="28"/>
        </w:rPr>
        <w:t xml:space="preserve">el </w:t>
      </w:r>
      <w:r w:rsidRPr="00C454A1">
        <w:rPr>
          <w:rFonts w:cs="Times New Roman"/>
          <w:iCs/>
          <w:color w:val="000000" w:themeColor="text1"/>
          <w:szCs w:val="28"/>
        </w:rPr>
        <w:t>carácter extraordinario y</w:t>
      </w:r>
      <w:r w:rsidR="006B0866" w:rsidRPr="00C454A1">
        <w:rPr>
          <w:rFonts w:cs="Times New Roman"/>
          <w:iCs/>
          <w:color w:val="000000" w:themeColor="text1"/>
          <w:szCs w:val="28"/>
        </w:rPr>
        <w:t xml:space="preserve"> los</w:t>
      </w:r>
      <w:r w:rsidRPr="00C454A1">
        <w:rPr>
          <w:rFonts w:cs="Times New Roman"/>
          <w:iCs/>
          <w:color w:val="000000" w:themeColor="text1"/>
          <w:szCs w:val="28"/>
        </w:rPr>
        <w:t xml:space="preserve"> efectos de la perturbación del orden público</w:t>
      </w:r>
      <w:r w:rsidRPr="00C454A1">
        <w:rPr>
          <w:rFonts w:cs="Times New Roman"/>
          <w:iCs/>
          <w:color w:val="000000" w:themeColor="text1"/>
          <w:szCs w:val="28"/>
          <w:vertAlign w:val="superscript"/>
        </w:rPr>
        <w:footnoteReference w:id="84"/>
      </w:r>
      <w:r w:rsidRPr="00C454A1">
        <w:rPr>
          <w:rFonts w:cs="Times New Roman"/>
          <w:iCs/>
          <w:color w:val="000000" w:themeColor="text1"/>
          <w:szCs w:val="28"/>
        </w:rPr>
        <w:t xml:space="preserve">. El control jurídico que efectúa la Corte debe atender a la naturaleza subjetiva de estos conceptos, así como </w:t>
      </w:r>
      <w:r w:rsidR="00BB7F7E" w:rsidRPr="00C454A1">
        <w:rPr>
          <w:rFonts w:cs="Times New Roman"/>
          <w:iCs/>
          <w:color w:val="000000" w:themeColor="text1"/>
          <w:szCs w:val="28"/>
        </w:rPr>
        <w:t xml:space="preserve">al </w:t>
      </w:r>
      <w:r w:rsidRPr="00C454A1">
        <w:rPr>
          <w:rFonts w:cs="Times New Roman"/>
          <w:iCs/>
          <w:color w:val="000000" w:themeColor="text1"/>
          <w:szCs w:val="28"/>
        </w:rPr>
        <w:t xml:space="preserve">margen de discrecionalidad </w:t>
      </w:r>
      <w:r w:rsidRPr="00C454A1">
        <w:rPr>
          <w:rFonts w:cs="Times New Roman"/>
          <w:iCs/>
          <w:color w:val="000000" w:themeColor="text1"/>
          <w:szCs w:val="28"/>
        </w:rPr>
        <w:lastRenderedPageBreak/>
        <w:t>que la Constitución reconoce al presidente de la República respecto de la calificación de los hechos.</w:t>
      </w:r>
      <w:bookmarkEnd w:id="129"/>
      <w:r w:rsidRPr="00C454A1">
        <w:rPr>
          <w:rFonts w:cs="Times New Roman"/>
          <w:iCs/>
          <w:color w:val="000000" w:themeColor="text1"/>
          <w:szCs w:val="28"/>
        </w:rPr>
        <w:t xml:space="preserve"> </w:t>
      </w:r>
    </w:p>
    <w:p w14:paraId="2D7C3B34" w14:textId="77777777" w:rsidR="00544A6F" w:rsidRPr="00C454A1" w:rsidRDefault="00544A6F" w:rsidP="00544A6F">
      <w:pPr>
        <w:tabs>
          <w:tab w:val="left" w:pos="567"/>
        </w:tabs>
        <w:rPr>
          <w:rFonts w:cs="Times New Roman"/>
          <w:color w:val="000000" w:themeColor="text1"/>
          <w:szCs w:val="28"/>
        </w:rPr>
      </w:pPr>
    </w:p>
    <w:p w14:paraId="11F81010" w14:textId="77777777" w:rsidR="00544A6F" w:rsidRPr="00C454A1" w:rsidRDefault="00544A6F" w:rsidP="00544A6F">
      <w:pPr>
        <w:numPr>
          <w:ilvl w:val="0"/>
          <w:numId w:val="2"/>
        </w:numPr>
        <w:tabs>
          <w:tab w:val="left" w:pos="567"/>
        </w:tabs>
        <w:ind w:left="0" w:firstLine="0"/>
        <w:rPr>
          <w:rFonts w:cs="Times New Roman"/>
          <w:i/>
          <w:iCs/>
          <w:color w:val="000000" w:themeColor="text1"/>
          <w:szCs w:val="28"/>
        </w:rPr>
      </w:pPr>
      <w:r w:rsidRPr="00C454A1">
        <w:rPr>
          <w:rFonts w:cs="Times New Roman"/>
          <w:color w:val="000000" w:themeColor="text1"/>
          <w:szCs w:val="28"/>
        </w:rPr>
        <w:t xml:space="preserve">El presupuesto valorativo de la declaratoria, entonces, está sujeto a un juicio </w:t>
      </w:r>
      <w:r w:rsidRPr="00C454A1">
        <w:rPr>
          <w:rFonts w:cs="Times New Roman"/>
          <w:color w:val="000000" w:themeColor="text1"/>
        </w:rPr>
        <w:t>de mera razonabilidad</w:t>
      </w:r>
      <w:r w:rsidRPr="00C454A1">
        <w:rPr>
          <w:rStyle w:val="Refdenotaalpie"/>
          <w:rFonts w:cs="Times New Roman"/>
          <w:color w:val="000000" w:themeColor="text1"/>
          <w:szCs w:val="28"/>
        </w:rPr>
        <w:footnoteReference w:id="85"/>
      </w:r>
      <w:r w:rsidRPr="00C454A1">
        <w:rPr>
          <w:rFonts w:cs="Times New Roman"/>
          <w:color w:val="000000" w:themeColor="text1"/>
          <w:szCs w:val="28"/>
        </w:rPr>
        <w:t>. Por medio de este, la Corte Constitucional constata si la valoración que el presidente de la República efectuó respecto de la gravedad, carácter extraordinario e inminencia de los efectos de la perturbación del orden público “es o no arbitraria y si en ella incurrió o no en un error manifiesto de apreciación”</w:t>
      </w:r>
      <w:r w:rsidRPr="00C454A1">
        <w:rPr>
          <w:rFonts w:cs="Times New Roman"/>
          <w:color w:val="000000" w:themeColor="text1"/>
          <w:szCs w:val="28"/>
          <w:vertAlign w:val="superscript"/>
        </w:rPr>
        <w:footnoteReference w:id="86"/>
      </w:r>
      <w:r w:rsidRPr="00C454A1">
        <w:rPr>
          <w:rFonts w:cs="Times New Roman"/>
          <w:color w:val="000000" w:themeColor="text1"/>
          <w:szCs w:val="28"/>
        </w:rPr>
        <w:t xml:space="preserve">. </w:t>
      </w:r>
    </w:p>
    <w:p w14:paraId="748CE4F1" w14:textId="77777777" w:rsidR="00544A6F" w:rsidRPr="00C454A1" w:rsidRDefault="00544A6F" w:rsidP="00544A6F">
      <w:pPr>
        <w:tabs>
          <w:tab w:val="left" w:pos="567"/>
        </w:tabs>
        <w:rPr>
          <w:rFonts w:cs="Times New Roman"/>
          <w:i/>
          <w:iCs/>
          <w:color w:val="000000" w:themeColor="text1"/>
          <w:szCs w:val="28"/>
        </w:rPr>
      </w:pPr>
    </w:p>
    <w:p w14:paraId="5C37D50E" w14:textId="77777777" w:rsidR="00544A6F" w:rsidRPr="00C454A1" w:rsidRDefault="00544A6F" w:rsidP="00544A6F">
      <w:pPr>
        <w:numPr>
          <w:ilvl w:val="0"/>
          <w:numId w:val="2"/>
        </w:numPr>
        <w:tabs>
          <w:tab w:val="left" w:pos="567"/>
        </w:tabs>
        <w:ind w:left="0" w:firstLine="0"/>
        <w:rPr>
          <w:rFonts w:cs="Times New Roman"/>
          <w:i/>
          <w:iCs/>
          <w:color w:val="000000" w:themeColor="text1"/>
          <w:szCs w:val="28"/>
        </w:rPr>
      </w:pPr>
      <w:bookmarkStart w:id="130" w:name="_Ref223705514"/>
      <w:r w:rsidRPr="00C454A1">
        <w:rPr>
          <w:rFonts w:cs="Times New Roman"/>
          <w:color w:val="000000" w:themeColor="text1"/>
          <w:szCs w:val="28"/>
        </w:rPr>
        <w:t xml:space="preserve">Por tanto, la Corte no puede llevar a cabo un análisis de conveniencia que suplante al presidente de la República en su función ejecutiva de preservar y restaurar el orden público. Así, “a la Corte </w:t>
      </w:r>
      <w:r w:rsidRPr="00C454A1">
        <w:rPr>
          <w:rFonts w:cs="Times New Roman"/>
          <w:color w:val="000000" w:themeColor="text1"/>
        </w:rPr>
        <w:t>le está vedado someter el presupuesto valorativo de la declaratoria de los estados de excepción a un escrutinio que rebase la determinación de una apreciación arbitraria o de un error manifiesto pues lo que a partir de allí se realice ya no puede ser objeto de reparos jurídicos, que son los que le incumben al juez constitucional, sino de juicios de oportunidad o conveniencia”</w:t>
      </w:r>
      <w:r w:rsidRPr="00C454A1">
        <w:rPr>
          <w:rStyle w:val="Refdenotaalpie"/>
          <w:rFonts w:cs="Times New Roman"/>
          <w:color w:val="000000" w:themeColor="text1"/>
        </w:rPr>
        <w:footnoteReference w:id="87"/>
      </w:r>
      <w:r w:rsidRPr="00C454A1">
        <w:rPr>
          <w:rFonts w:cs="Times New Roman"/>
          <w:color w:val="000000" w:themeColor="text1"/>
        </w:rPr>
        <w:t>.</w:t>
      </w:r>
      <w:bookmarkEnd w:id="130"/>
    </w:p>
    <w:p w14:paraId="64F55C51" w14:textId="77777777" w:rsidR="00544A6F" w:rsidRPr="00C454A1" w:rsidRDefault="00544A6F" w:rsidP="00544A6F">
      <w:pPr>
        <w:pStyle w:val="Prrafodelista"/>
        <w:tabs>
          <w:tab w:val="left" w:pos="567"/>
        </w:tabs>
        <w:ind w:left="737" w:right="567"/>
        <w:rPr>
          <w:rFonts w:cs="Times New Roman"/>
          <w:color w:val="000000" w:themeColor="text1"/>
          <w:sz w:val="22"/>
          <w:szCs w:val="22"/>
        </w:rPr>
      </w:pPr>
    </w:p>
    <w:p w14:paraId="33E36E49" w14:textId="6E14F19D" w:rsidR="00544A6F" w:rsidRPr="00C454A1" w:rsidRDefault="00544A6F" w:rsidP="00544A6F">
      <w:pPr>
        <w:numPr>
          <w:ilvl w:val="0"/>
          <w:numId w:val="2"/>
        </w:numPr>
        <w:tabs>
          <w:tab w:val="left" w:pos="567"/>
        </w:tabs>
        <w:ind w:left="0" w:firstLine="0"/>
        <w:rPr>
          <w:rFonts w:cs="Times New Roman"/>
          <w:color w:val="000000" w:themeColor="text1"/>
          <w:szCs w:val="28"/>
        </w:rPr>
      </w:pPr>
      <w:bookmarkStart w:id="131" w:name="_Ref223705259"/>
      <w:r w:rsidRPr="00C454A1">
        <w:rPr>
          <w:rFonts w:cs="Times New Roman"/>
          <w:color w:val="000000" w:themeColor="text1"/>
          <w:szCs w:val="28"/>
        </w:rPr>
        <w:t xml:space="preserve">En resumen, el examen del presupuesto valorativo es deferente </w:t>
      </w:r>
      <w:r w:rsidR="006B0866" w:rsidRPr="00C454A1">
        <w:rPr>
          <w:rFonts w:cs="Times New Roman"/>
          <w:color w:val="000000" w:themeColor="text1"/>
          <w:szCs w:val="28"/>
        </w:rPr>
        <w:t>con</w:t>
      </w:r>
      <w:r w:rsidRPr="00C454A1">
        <w:rPr>
          <w:rFonts w:cs="Times New Roman"/>
          <w:color w:val="000000" w:themeColor="text1"/>
          <w:szCs w:val="28"/>
        </w:rPr>
        <w:t xml:space="preserve"> las apreciaciones del presidente de la República. Sin embargo, la Corte Constitucional debe garantizar que la valoración del presidente de la República respete los límites semánticos y normativos que la Constitución y la LEEE imponen como condición de validez a la declaratoria. Esto implica que la Corte debe constatar que la perturbación del orden público con fundamento en la cual se declara el estado de conmoción interior sea grave, tenga carácter extraordinario, y atente de forma inminente contra la estabilidad institucional, la seguridad del Estado o la convivencia ciudadana.</w:t>
      </w:r>
      <w:bookmarkEnd w:id="131"/>
      <w:r w:rsidRPr="00C454A1">
        <w:rPr>
          <w:rFonts w:cs="Times New Roman"/>
          <w:color w:val="000000" w:themeColor="text1"/>
          <w:szCs w:val="28"/>
        </w:rPr>
        <w:t xml:space="preserve"> </w:t>
      </w:r>
      <w:bookmarkStart w:id="132" w:name="_Hlk195111087"/>
      <w:bookmarkStart w:id="133" w:name="_Hlk195113914"/>
    </w:p>
    <w:bookmarkEnd w:id="132"/>
    <w:bookmarkEnd w:id="133"/>
    <w:p w14:paraId="4BF5F956" w14:textId="77777777" w:rsidR="00544A6F" w:rsidRPr="00C454A1" w:rsidRDefault="00544A6F" w:rsidP="000137DB">
      <w:pPr>
        <w:rPr>
          <w:rFonts w:cs="Times New Roman"/>
          <w:b/>
          <w:bCs/>
          <w:color w:val="000000" w:themeColor="text1"/>
          <w:szCs w:val="28"/>
        </w:rPr>
      </w:pPr>
    </w:p>
    <w:p w14:paraId="412896F8" w14:textId="107E87A8" w:rsidR="00217419" w:rsidRPr="00C454A1" w:rsidRDefault="000137DB" w:rsidP="000137DB">
      <w:pPr>
        <w:rPr>
          <w:rFonts w:cs="Times New Roman"/>
          <w:b/>
          <w:bCs/>
          <w:color w:val="000000" w:themeColor="text1"/>
          <w:szCs w:val="28"/>
        </w:rPr>
      </w:pPr>
      <w:r w:rsidRPr="00C454A1">
        <w:rPr>
          <w:rFonts w:cs="Times New Roman"/>
          <w:b/>
          <w:bCs/>
          <w:color w:val="000000" w:themeColor="text1"/>
          <w:szCs w:val="28"/>
        </w:rPr>
        <w:t xml:space="preserve">(iii) </w:t>
      </w:r>
      <w:r w:rsidR="00BA609D" w:rsidRPr="00C454A1">
        <w:rPr>
          <w:rFonts w:cs="Times New Roman"/>
          <w:b/>
          <w:bCs/>
          <w:color w:val="000000" w:themeColor="text1"/>
          <w:szCs w:val="28"/>
        </w:rPr>
        <w:t>El p</w:t>
      </w:r>
      <w:r w:rsidR="00217419" w:rsidRPr="00C454A1">
        <w:rPr>
          <w:rFonts w:cs="Times New Roman"/>
          <w:b/>
          <w:bCs/>
          <w:color w:val="000000" w:themeColor="text1"/>
          <w:szCs w:val="28"/>
        </w:rPr>
        <w:t xml:space="preserve">resupuesto de suficiencia </w:t>
      </w:r>
    </w:p>
    <w:p w14:paraId="401D43B2" w14:textId="77777777" w:rsidR="000827FE" w:rsidRPr="00C454A1" w:rsidRDefault="000827FE" w:rsidP="00631C27">
      <w:pPr>
        <w:rPr>
          <w:rFonts w:cs="Times New Roman"/>
          <w:color w:val="000000" w:themeColor="text1"/>
          <w:szCs w:val="28"/>
          <w:u w:val="single"/>
        </w:rPr>
      </w:pPr>
    </w:p>
    <w:p w14:paraId="61A2004B" w14:textId="25E823F4" w:rsidR="000137DB" w:rsidRPr="00C454A1" w:rsidRDefault="000137DB" w:rsidP="000137DB">
      <w:pPr>
        <w:numPr>
          <w:ilvl w:val="0"/>
          <w:numId w:val="2"/>
        </w:numPr>
        <w:tabs>
          <w:tab w:val="left" w:pos="567"/>
        </w:tabs>
        <w:ind w:left="0" w:firstLine="0"/>
        <w:rPr>
          <w:rFonts w:cs="Times New Roman"/>
          <w:color w:val="000000" w:themeColor="text1"/>
          <w:szCs w:val="28"/>
        </w:rPr>
      </w:pPr>
      <w:bookmarkStart w:id="134" w:name="_Ref203401394"/>
      <w:r w:rsidRPr="00C454A1">
        <w:rPr>
          <w:rFonts w:cs="Times New Roman"/>
          <w:i/>
          <w:iCs/>
          <w:color w:val="000000" w:themeColor="text1"/>
          <w:szCs w:val="28"/>
        </w:rPr>
        <w:t>Fundamento constitucional y contenido</w:t>
      </w:r>
      <w:r w:rsidRPr="00C454A1">
        <w:rPr>
          <w:rFonts w:cs="Times New Roman"/>
          <w:color w:val="000000" w:themeColor="text1"/>
          <w:szCs w:val="28"/>
        </w:rPr>
        <w:t xml:space="preserve">. Los artículos 213 de la Constitución y 34 de la LEEE disponen que la declaratoria de conmoción interior solo es procedente cuando la grave perturbación del orden público “no pueda ser conjurada mediante el uso de las atribuciones ordinarias de las autoridades de Policía”. El artículo 2 de la LEEE, por su parte, prevé que las facultades excepcionales del </w:t>
      </w:r>
      <w:r w:rsidR="007525E1" w:rsidRPr="00C454A1">
        <w:rPr>
          <w:rFonts w:cs="Times New Roman"/>
          <w:color w:val="000000" w:themeColor="text1"/>
          <w:szCs w:val="28"/>
        </w:rPr>
        <w:t>Gobierno nacional</w:t>
      </w:r>
      <w:r w:rsidRPr="00C454A1">
        <w:rPr>
          <w:rFonts w:cs="Times New Roman"/>
          <w:color w:val="000000" w:themeColor="text1"/>
          <w:szCs w:val="28"/>
        </w:rPr>
        <w:t xml:space="preserve"> durante los estados de excepción “solo podrán ser utilizadas cuando circunstancias extraordinarias hagan imposible el mantenimiento de la normalidad mediante los poderes ordinarios del Estado”. En concordancia con estas disposiciones constitucionales y estatutarias, el presupuesto de suficiencia es aquel que exige al presidente de la República </w:t>
      </w:r>
      <w:r w:rsidR="00BB7F7E" w:rsidRPr="00C454A1">
        <w:rPr>
          <w:rFonts w:cs="Times New Roman"/>
          <w:color w:val="000000" w:themeColor="text1"/>
          <w:szCs w:val="28"/>
        </w:rPr>
        <w:t xml:space="preserve">justificar </w:t>
      </w:r>
      <w:r w:rsidRPr="00C454A1">
        <w:rPr>
          <w:rFonts w:cs="Times New Roman"/>
          <w:color w:val="000000" w:themeColor="text1"/>
          <w:szCs w:val="28"/>
        </w:rPr>
        <w:t xml:space="preserve">que las atribuciones ordinarias de policía </w:t>
      </w:r>
      <w:r w:rsidRPr="00C454A1">
        <w:rPr>
          <w:rFonts w:cs="Times New Roman"/>
          <w:color w:val="000000" w:themeColor="text1"/>
          <w:szCs w:val="28"/>
        </w:rPr>
        <w:lastRenderedPageBreak/>
        <w:t>y los poderes ordinarios del Estado son insuficientes para conjurar las causas de la perturbación del orden público y sus efectos</w:t>
      </w:r>
      <w:r w:rsidRPr="00C454A1">
        <w:rPr>
          <w:rStyle w:val="Refdenotaalpie"/>
          <w:rFonts w:cs="Times New Roman"/>
          <w:color w:val="000000" w:themeColor="text1"/>
          <w:szCs w:val="28"/>
        </w:rPr>
        <w:footnoteReference w:id="88"/>
      </w:r>
      <w:r w:rsidRPr="00C454A1">
        <w:rPr>
          <w:rFonts w:cs="Times New Roman"/>
          <w:color w:val="000000" w:themeColor="text1"/>
          <w:szCs w:val="28"/>
        </w:rPr>
        <w:t>.</w:t>
      </w:r>
      <w:bookmarkEnd w:id="134"/>
      <w:r w:rsidRPr="00C454A1">
        <w:rPr>
          <w:rFonts w:cs="Times New Roman"/>
          <w:color w:val="000000" w:themeColor="text1"/>
          <w:szCs w:val="28"/>
        </w:rPr>
        <w:t xml:space="preserve"> </w:t>
      </w:r>
    </w:p>
    <w:p w14:paraId="1EF224CD" w14:textId="77777777" w:rsidR="000137DB" w:rsidRPr="00C454A1" w:rsidRDefault="000137DB" w:rsidP="000137DB">
      <w:pPr>
        <w:tabs>
          <w:tab w:val="left" w:pos="567"/>
        </w:tabs>
        <w:rPr>
          <w:rFonts w:cs="Times New Roman"/>
          <w:color w:val="000000" w:themeColor="text1"/>
          <w:szCs w:val="28"/>
        </w:rPr>
      </w:pPr>
    </w:p>
    <w:p w14:paraId="222EFE1C" w14:textId="5D483377" w:rsidR="00B30838" w:rsidRPr="00C454A1" w:rsidRDefault="000137DB" w:rsidP="00B30838">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El presupuesto de suficiencia busca garantizar que la declaratoria del estado de conmoción interior sea el “</w:t>
      </w:r>
      <w:r w:rsidRPr="00C454A1">
        <w:rPr>
          <w:rFonts w:cs="Times New Roman"/>
          <w:color w:val="000000" w:themeColor="text1"/>
        </w:rPr>
        <w:t>último recurso para defender al pueblo colombiano y a la organización institucional que él se ha dado”</w:t>
      </w:r>
      <w:r w:rsidRPr="00C454A1">
        <w:rPr>
          <w:rStyle w:val="Refdenotaalpie"/>
          <w:rFonts w:cs="Times New Roman"/>
          <w:color w:val="000000" w:themeColor="text1"/>
        </w:rPr>
        <w:footnoteReference w:id="89"/>
      </w:r>
      <w:r w:rsidRPr="00C454A1">
        <w:rPr>
          <w:rFonts w:cs="Times New Roman"/>
          <w:color w:val="000000" w:themeColor="text1"/>
        </w:rPr>
        <w:t>. De este modo, el presidente de la República “solo […] puede acudir al estado de conmoción interior cuando las herramientas jurídicas ordinarias con que cuenta el Estado no permitan conjurar la grave alteración del orden público que amenaza con disolver el acuerdo que posibilita la convivencia”</w:t>
      </w:r>
      <w:r w:rsidRPr="00C454A1">
        <w:rPr>
          <w:rStyle w:val="Refdenotaalpie"/>
          <w:rFonts w:cs="Times New Roman"/>
          <w:color w:val="000000" w:themeColor="text1"/>
        </w:rPr>
        <w:footnoteReference w:id="90"/>
      </w:r>
      <w:r w:rsidRPr="00C454A1">
        <w:rPr>
          <w:rFonts w:cs="Times New Roman"/>
          <w:color w:val="000000" w:themeColor="text1"/>
        </w:rPr>
        <w:t xml:space="preserve">. Desde esta perspectiva, para declarar el estado de conmoción interior, no basta que exista una perturbación del orden público ni tampoco que esta sea grave, extraordinaria e inminente. Es necesario, además, que </w:t>
      </w:r>
      <w:r w:rsidR="004D5F6D" w:rsidRPr="00C454A1">
        <w:rPr>
          <w:rFonts w:cs="Times New Roman"/>
          <w:color w:val="000000" w:themeColor="text1"/>
        </w:rPr>
        <w:t>dentro de las</w:t>
      </w:r>
      <w:r w:rsidRPr="00C454A1">
        <w:rPr>
          <w:rFonts w:cs="Times New Roman"/>
          <w:color w:val="000000" w:themeColor="text1"/>
        </w:rPr>
        <w:t xml:space="preserve"> atribuciones ordinarias de</w:t>
      </w:r>
      <w:r w:rsidR="004D5F6D" w:rsidRPr="00C454A1">
        <w:rPr>
          <w:rFonts w:cs="Times New Roman"/>
          <w:color w:val="000000" w:themeColor="text1"/>
        </w:rPr>
        <w:t>l Gobierno nacional</w:t>
      </w:r>
      <w:r w:rsidRPr="00C454A1">
        <w:rPr>
          <w:rFonts w:cs="Times New Roman"/>
          <w:color w:val="000000" w:themeColor="text1"/>
        </w:rPr>
        <w:t xml:space="preserve"> no existan mecanismos que permitan conjurar </w:t>
      </w:r>
      <w:r w:rsidR="0061618F" w:rsidRPr="00C454A1">
        <w:rPr>
          <w:rFonts w:cs="Times New Roman"/>
          <w:color w:val="000000" w:themeColor="text1"/>
        </w:rPr>
        <w:t xml:space="preserve">oportunamente </w:t>
      </w:r>
      <w:r w:rsidRPr="00C454A1">
        <w:rPr>
          <w:rFonts w:cs="Times New Roman"/>
          <w:color w:val="000000" w:themeColor="text1"/>
        </w:rPr>
        <w:t xml:space="preserve">la amenaza que se cierne contra </w:t>
      </w:r>
      <w:r w:rsidR="004D5F6D" w:rsidRPr="00C454A1">
        <w:rPr>
          <w:rFonts w:cs="Times New Roman"/>
          <w:color w:val="000000" w:themeColor="text1"/>
        </w:rPr>
        <w:t>la población</w:t>
      </w:r>
      <w:r w:rsidRPr="00C454A1">
        <w:rPr>
          <w:rFonts w:cs="Times New Roman"/>
          <w:color w:val="000000" w:themeColor="text1"/>
        </w:rPr>
        <w:t xml:space="preserve"> y la organización política </w:t>
      </w:r>
      <w:r w:rsidR="004D5F6D" w:rsidRPr="00C454A1">
        <w:rPr>
          <w:rFonts w:cs="Times New Roman"/>
          <w:color w:val="000000" w:themeColor="text1"/>
        </w:rPr>
        <w:t>del país</w:t>
      </w:r>
      <w:r w:rsidRPr="00C454A1">
        <w:rPr>
          <w:rStyle w:val="Refdenotaalpie"/>
          <w:rFonts w:cs="Times New Roman"/>
          <w:color w:val="000000" w:themeColor="text1"/>
        </w:rPr>
        <w:footnoteReference w:id="91"/>
      </w:r>
      <w:r w:rsidRPr="00C454A1">
        <w:rPr>
          <w:rFonts w:cs="Times New Roman"/>
          <w:color w:val="000000" w:themeColor="text1"/>
        </w:rPr>
        <w:t>.</w:t>
      </w:r>
    </w:p>
    <w:p w14:paraId="70875AB9" w14:textId="77777777" w:rsidR="00B30838" w:rsidRPr="00C454A1" w:rsidRDefault="00B30838" w:rsidP="00B30838">
      <w:pPr>
        <w:tabs>
          <w:tab w:val="left" w:pos="567"/>
        </w:tabs>
        <w:rPr>
          <w:rFonts w:cs="Times New Roman"/>
          <w:color w:val="000000" w:themeColor="text1"/>
          <w:szCs w:val="28"/>
        </w:rPr>
      </w:pPr>
    </w:p>
    <w:p w14:paraId="64573C5C" w14:textId="02FB3ADF" w:rsidR="00B30838" w:rsidRPr="00C454A1" w:rsidRDefault="004D5F6D" w:rsidP="00B30838">
      <w:pPr>
        <w:numPr>
          <w:ilvl w:val="0"/>
          <w:numId w:val="2"/>
        </w:numPr>
        <w:tabs>
          <w:tab w:val="left" w:pos="567"/>
        </w:tabs>
        <w:ind w:left="0" w:firstLine="0"/>
        <w:rPr>
          <w:color w:val="000000" w:themeColor="text1"/>
        </w:rPr>
      </w:pPr>
      <w:r w:rsidRPr="00C454A1">
        <w:rPr>
          <w:rFonts w:cs="Times New Roman"/>
          <w:color w:val="000000" w:themeColor="text1"/>
          <w:szCs w:val="28"/>
        </w:rPr>
        <w:t>E</w:t>
      </w:r>
      <w:r w:rsidR="000137DB" w:rsidRPr="00C454A1">
        <w:rPr>
          <w:rFonts w:cs="Times New Roman"/>
          <w:color w:val="000000" w:themeColor="text1"/>
        </w:rPr>
        <w:t xml:space="preserve">l conjunto de facultades con que cuenta </w:t>
      </w:r>
      <w:r w:rsidRPr="00C454A1">
        <w:rPr>
          <w:rFonts w:cs="Times New Roman"/>
          <w:color w:val="000000" w:themeColor="text1"/>
        </w:rPr>
        <w:t>el Gobierno nacional</w:t>
      </w:r>
      <w:r w:rsidR="000137DB" w:rsidRPr="00C454A1">
        <w:rPr>
          <w:rFonts w:cs="Times New Roman"/>
          <w:color w:val="000000" w:themeColor="text1"/>
        </w:rPr>
        <w:t xml:space="preserve"> para mantener y restablecer el orden público</w:t>
      </w:r>
      <w:r w:rsidRPr="00C454A1">
        <w:rPr>
          <w:rFonts w:cs="Times New Roman"/>
          <w:color w:val="000000" w:themeColor="text1"/>
        </w:rPr>
        <w:t xml:space="preserve"> </w:t>
      </w:r>
      <w:r w:rsidR="0061618F" w:rsidRPr="00C454A1">
        <w:rPr>
          <w:rFonts w:cs="Times New Roman"/>
          <w:color w:val="000000" w:themeColor="text1"/>
        </w:rPr>
        <w:t xml:space="preserve">comprende </w:t>
      </w:r>
      <w:r w:rsidRPr="00C454A1">
        <w:rPr>
          <w:rFonts w:cs="Times New Roman"/>
          <w:color w:val="000000" w:themeColor="text1"/>
        </w:rPr>
        <w:t xml:space="preserve">el poder de policía, </w:t>
      </w:r>
      <w:r w:rsidR="0061618F" w:rsidRPr="00C454A1">
        <w:rPr>
          <w:rFonts w:cs="Times New Roman"/>
          <w:color w:val="000000" w:themeColor="text1"/>
        </w:rPr>
        <w:t>la facultad</w:t>
      </w:r>
      <w:r w:rsidRPr="00C454A1">
        <w:rPr>
          <w:rFonts w:cs="Times New Roman"/>
          <w:color w:val="000000" w:themeColor="text1"/>
        </w:rPr>
        <w:t xml:space="preserve"> reglamentaria</w:t>
      </w:r>
      <w:r w:rsidR="0061618F" w:rsidRPr="00C454A1">
        <w:rPr>
          <w:rFonts w:cs="Times New Roman"/>
          <w:color w:val="000000" w:themeColor="text1"/>
        </w:rPr>
        <w:t xml:space="preserve"> y</w:t>
      </w:r>
      <w:r w:rsidRPr="00C454A1">
        <w:rPr>
          <w:rFonts w:cs="Times New Roman"/>
          <w:color w:val="000000" w:themeColor="text1"/>
        </w:rPr>
        <w:t xml:space="preserve"> la posibilidad de presentar proyectos de ley ante el Congreso de la </w:t>
      </w:r>
      <w:r w:rsidR="0061618F" w:rsidRPr="00C454A1">
        <w:rPr>
          <w:rFonts w:cs="Times New Roman"/>
          <w:color w:val="000000" w:themeColor="text1"/>
        </w:rPr>
        <w:t>R</w:t>
      </w:r>
      <w:r w:rsidRPr="00C454A1">
        <w:rPr>
          <w:rFonts w:cs="Times New Roman"/>
          <w:color w:val="000000" w:themeColor="text1"/>
        </w:rPr>
        <w:t>epública</w:t>
      </w:r>
      <w:r w:rsidR="000137DB" w:rsidRPr="00C454A1">
        <w:rPr>
          <w:rStyle w:val="Refdenotaalpie"/>
          <w:rFonts w:cs="Times New Roman"/>
          <w:color w:val="000000" w:themeColor="text1"/>
        </w:rPr>
        <w:footnoteReference w:id="92"/>
      </w:r>
      <w:r w:rsidR="000137DB" w:rsidRPr="00C454A1">
        <w:rPr>
          <w:rFonts w:cs="Times New Roman"/>
          <w:color w:val="000000" w:themeColor="text1"/>
        </w:rPr>
        <w:t xml:space="preserve">. </w:t>
      </w:r>
      <w:r w:rsidRPr="00C454A1">
        <w:rPr>
          <w:rFonts w:cs="Times New Roman"/>
          <w:color w:val="000000" w:themeColor="text1"/>
        </w:rPr>
        <w:t>El poder de policía</w:t>
      </w:r>
      <w:r w:rsidR="000137DB" w:rsidRPr="00C454A1">
        <w:rPr>
          <w:rFonts w:cs="Times New Roman"/>
          <w:color w:val="000000" w:themeColor="text1"/>
        </w:rPr>
        <w:t xml:space="preserve"> consiste en “</w:t>
      </w:r>
      <w:r w:rsidR="000137DB" w:rsidRPr="00C454A1">
        <w:rPr>
          <w:iCs/>
          <w:color w:val="000000" w:themeColor="text1"/>
          <w:szCs w:val="28"/>
        </w:rPr>
        <w:t>la facultad de dictar normas que regulen y limiten los derechos fundamentales”</w:t>
      </w:r>
      <w:r w:rsidR="000137DB" w:rsidRPr="00C454A1">
        <w:rPr>
          <w:rStyle w:val="Refdenotaalpie"/>
          <w:iCs/>
          <w:color w:val="000000" w:themeColor="text1"/>
          <w:szCs w:val="28"/>
        </w:rPr>
        <w:footnoteReference w:id="93"/>
      </w:r>
      <w:r w:rsidRPr="00C454A1">
        <w:rPr>
          <w:iCs/>
          <w:color w:val="000000" w:themeColor="text1"/>
          <w:szCs w:val="28"/>
        </w:rPr>
        <w:t>, la cual puede ser ejercida por e</w:t>
      </w:r>
      <w:r w:rsidR="000137DB" w:rsidRPr="00C454A1">
        <w:rPr>
          <w:rFonts w:cs="Times New Roman"/>
          <w:color w:val="000000" w:themeColor="text1"/>
        </w:rPr>
        <w:t>l Congreso de la República y</w:t>
      </w:r>
      <w:r w:rsidRPr="00C454A1">
        <w:rPr>
          <w:rFonts w:cs="Times New Roman"/>
          <w:color w:val="000000" w:themeColor="text1"/>
        </w:rPr>
        <w:t xml:space="preserve"> el</w:t>
      </w:r>
      <w:r w:rsidR="000137DB" w:rsidRPr="00C454A1">
        <w:rPr>
          <w:rFonts w:cs="Times New Roman"/>
          <w:color w:val="000000" w:themeColor="text1"/>
        </w:rPr>
        <w:t xml:space="preserve"> presidente de la República</w:t>
      </w:r>
      <w:r w:rsidRPr="00C454A1">
        <w:rPr>
          <w:rFonts w:cs="Times New Roman"/>
          <w:color w:val="000000" w:themeColor="text1"/>
        </w:rPr>
        <w:t>, e</w:t>
      </w:r>
      <w:r w:rsidR="000137DB" w:rsidRPr="00C454A1">
        <w:rPr>
          <w:rFonts w:cs="Times New Roman"/>
          <w:color w:val="000000" w:themeColor="text1"/>
        </w:rPr>
        <w:t xml:space="preserve">ste último, de acuerdo con lo estatuido en </w:t>
      </w:r>
      <w:r w:rsidR="000137DB" w:rsidRPr="00C454A1">
        <w:rPr>
          <w:rFonts w:cs="Times New Roman"/>
          <w:color w:val="000000" w:themeColor="text1"/>
          <w:szCs w:val="28"/>
        </w:rPr>
        <w:t>el artículo 189, numerales 4 y 7, de la Constitución.</w:t>
      </w:r>
      <w:r w:rsidR="00910088" w:rsidRPr="00C454A1">
        <w:rPr>
          <w:rFonts w:cs="Times New Roman"/>
          <w:color w:val="000000" w:themeColor="text1"/>
          <w:szCs w:val="28"/>
        </w:rPr>
        <w:t xml:space="preserve"> </w:t>
      </w:r>
      <w:r w:rsidRPr="00C454A1">
        <w:rPr>
          <w:rFonts w:cs="Times New Roman"/>
          <w:color w:val="000000" w:themeColor="text1"/>
          <w:szCs w:val="28"/>
        </w:rPr>
        <w:t>La facultad</w:t>
      </w:r>
      <w:r w:rsidR="00910088" w:rsidRPr="00C454A1">
        <w:rPr>
          <w:rFonts w:cs="Times New Roman"/>
          <w:color w:val="000000" w:themeColor="text1"/>
          <w:szCs w:val="28"/>
        </w:rPr>
        <w:t xml:space="preserve"> reglamentaria en cabeza del presidente de la República, establecida en el numeral 11 del artículo 189 de la Constitución</w:t>
      </w:r>
      <w:r w:rsidRPr="00C454A1">
        <w:rPr>
          <w:rFonts w:cs="Times New Roman"/>
          <w:color w:val="000000" w:themeColor="text1"/>
          <w:szCs w:val="28"/>
        </w:rPr>
        <w:t xml:space="preserve">, </w:t>
      </w:r>
      <w:r w:rsidR="00F2655B" w:rsidRPr="00C454A1">
        <w:rPr>
          <w:rFonts w:cs="Times New Roman"/>
          <w:color w:val="000000" w:themeColor="text1"/>
          <w:szCs w:val="28"/>
        </w:rPr>
        <w:t>comprende</w:t>
      </w:r>
      <w:r w:rsidRPr="00C454A1">
        <w:rPr>
          <w:rFonts w:cs="Times New Roman"/>
          <w:color w:val="000000" w:themeColor="text1"/>
          <w:szCs w:val="28"/>
        </w:rPr>
        <w:t xml:space="preserve"> la posibilidad de desarrollar </w:t>
      </w:r>
      <w:r w:rsidR="00B30838" w:rsidRPr="00C454A1">
        <w:rPr>
          <w:rFonts w:cs="Times New Roman"/>
          <w:color w:val="000000" w:themeColor="text1"/>
          <w:szCs w:val="28"/>
        </w:rPr>
        <w:t xml:space="preserve">y disponer medidas para el cumplimiento de </w:t>
      </w:r>
      <w:r w:rsidRPr="00C454A1">
        <w:rPr>
          <w:rFonts w:cs="Times New Roman"/>
          <w:color w:val="000000" w:themeColor="text1"/>
          <w:szCs w:val="28"/>
        </w:rPr>
        <w:t>las leyes mediante decretos</w:t>
      </w:r>
      <w:r w:rsidR="00B30838" w:rsidRPr="00C454A1">
        <w:rPr>
          <w:rFonts w:cs="Times New Roman"/>
          <w:color w:val="000000" w:themeColor="text1"/>
          <w:szCs w:val="28"/>
        </w:rPr>
        <w:t>, resoluciones y órdenes</w:t>
      </w:r>
      <w:r w:rsidRPr="00C454A1">
        <w:rPr>
          <w:rFonts w:cs="Times New Roman"/>
          <w:color w:val="000000" w:themeColor="text1"/>
          <w:szCs w:val="28"/>
        </w:rPr>
        <w:t xml:space="preserve">. </w:t>
      </w:r>
      <w:r w:rsidR="00B30838" w:rsidRPr="00C454A1">
        <w:rPr>
          <w:color w:val="000000" w:themeColor="text1"/>
        </w:rPr>
        <w:t>Por último, el artículo 154 de la Constitución reconoce la facultad del Gobierno nacional para presentar proyectos de ley y reserva determinadas materias a su iniciativa exclusiva.</w:t>
      </w:r>
    </w:p>
    <w:p w14:paraId="05FCF630" w14:textId="77777777" w:rsidR="000137DB" w:rsidRPr="00C454A1" w:rsidRDefault="000137DB" w:rsidP="001F3006">
      <w:pPr>
        <w:tabs>
          <w:tab w:val="left" w:pos="567"/>
        </w:tabs>
        <w:rPr>
          <w:rFonts w:cs="Times New Roman"/>
          <w:color w:val="000000" w:themeColor="text1"/>
          <w:szCs w:val="28"/>
        </w:rPr>
      </w:pPr>
    </w:p>
    <w:p w14:paraId="547D5066" w14:textId="77777777" w:rsidR="000137DB" w:rsidRPr="00C454A1" w:rsidRDefault="000137DB" w:rsidP="000137DB">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Margen de discrecionalidad del presidente de la República.</w:t>
      </w:r>
      <w:r w:rsidRPr="00C454A1">
        <w:rPr>
          <w:rFonts w:cs="Times New Roman"/>
          <w:color w:val="000000" w:themeColor="text1"/>
          <w:szCs w:val="28"/>
        </w:rPr>
        <w:t xml:space="preserve"> La Corte Constitucional ha reconocido que, tal y como ocurre con el presupuesto valorativo, el presidente de la República goza de un amplio margen de discrecionalidad para calificar la suficiencia de las atribuciones ordinarias</w:t>
      </w:r>
      <w:r w:rsidRPr="00C454A1">
        <w:rPr>
          <w:rStyle w:val="Refdenotaalpie"/>
          <w:rFonts w:cs="Times New Roman"/>
          <w:color w:val="000000" w:themeColor="text1"/>
          <w:szCs w:val="28"/>
        </w:rPr>
        <w:footnoteReference w:id="94"/>
      </w:r>
      <w:r w:rsidRPr="00C454A1">
        <w:rPr>
          <w:rFonts w:cs="Times New Roman"/>
          <w:color w:val="000000" w:themeColor="text1"/>
          <w:szCs w:val="28"/>
        </w:rPr>
        <w:t>. Este margen de discrecionalidad, sin embargo, no es absoluto, pues “</w:t>
      </w:r>
      <w:r w:rsidRPr="00C454A1">
        <w:rPr>
          <w:rFonts w:cs="Times New Roman"/>
          <w:color w:val="000000" w:themeColor="text1"/>
        </w:rPr>
        <w:t xml:space="preserve">debe ejercerse con sujeción a límites normativos”, estos son, la Constitución, “los </w:t>
      </w:r>
      <w:r w:rsidRPr="00C454A1">
        <w:rPr>
          <w:rFonts w:cs="Times New Roman"/>
          <w:color w:val="000000" w:themeColor="text1"/>
        </w:rPr>
        <w:lastRenderedPageBreak/>
        <w:t>tratados internacionales sobre derechos humanos y Derecho Internacional Humanitario ratificados por Colombia” y la LEEE</w:t>
      </w:r>
      <w:r w:rsidRPr="00C454A1">
        <w:rPr>
          <w:rStyle w:val="Refdenotaalpie"/>
          <w:rFonts w:cs="Times New Roman"/>
          <w:color w:val="000000" w:themeColor="text1"/>
        </w:rPr>
        <w:footnoteReference w:id="95"/>
      </w:r>
      <w:r w:rsidRPr="00C454A1">
        <w:rPr>
          <w:rFonts w:cs="Times New Roman"/>
          <w:color w:val="000000" w:themeColor="text1"/>
        </w:rPr>
        <w:t>.</w:t>
      </w:r>
    </w:p>
    <w:p w14:paraId="66824566" w14:textId="77777777" w:rsidR="000137DB" w:rsidRPr="00C454A1" w:rsidRDefault="000137DB" w:rsidP="000137DB">
      <w:pPr>
        <w:tabs>
          <w:tab w:val="left" w:pos="567"/>
        </w:tabs>
        <w:rPr>
          <w:rFonts w:cs="Times New Roman"/>
          <w:color w:val="000000" w:themeColor="text1"/>
          <w:szCs w:val="28"/>
        </w:rPr>
      </w:pPr>
    </w:p>
    <w:p w14:paraId="2EAD4CEC" w14:textId="77777777" w:rsidR="000137DB" w:rsidRPr="00C454A1" w:rsidRDefault="000137DB" w:rsidP="000137DB">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rPr>
        <w:t xml:space="preserve">En consecuencia, para cumplir el requisito de suficiencia, </w:t>
      </w:r>
      <w:r w:rsidRPr="00C454A1">
        <w:rPr>
          <w:iCs/>
          <w:color w:val="000000" w:themeColor="text1"/>
          <w:szCs w:val="28"/>
        </w:rPr>
        <w:t>en la parte motiva del decreto declaratorio, el presidente está obligado a consignar “una valoración […] sobre los poderes de policía a su disposición y la precariedad de éstos para afrontar las graves y extraordinarias circunstancias que motivaron la declaratoria”</w:t>
      </w:r>
      <w:r w:rsidRPr="00C454A1">
        <w:rPr>
          <w:rStyle w:val="Refdenotaalpie"/>
          <w:iCs/>
          <w:color w:val="000000" w:themeColor="text1"/>
          <w:szCs w:val="28"/>
        </w:rPr>
        <w:footnoteReference w:id="96"/>
      </w:r>
      <w:r w:rsidRPr="00C454A1">
        <w:rPr>
          <w:iCs/>
          <w:color w:val="000000" w:themeColor="text1"/>
          <w:szCs w:val="28"/>
        </w:rPr>
        <w:t>. La insatisfacción de esta exigencia “transforma en arbitrario el ejercicio de [los] poderes excepcionales del presidente, ante la ausencia de elementos de juicio que permitan el control judicial de la declaratoria por parte del órgano competente”</w:t>
      </w:r>
      <w:r w:rsidRPr="00C454A1">
        <w:rPr>
          <w:rStyle w:val="Refdenotaalpie"/>
          <w:iCs/>
          <w:color w:val="000000" w:themeColor="text1"/>
          <w:szCs w:val="28"/>
        </w:rPr>
        <w:footnoteReference w:id="97"/>
      </w:r>
      <w:r w:rsidRPr="00C454A1">
        <w:rPr>
          <w:iCs/>
          <w:color w:val="000000" w:themeColor="text1"/>
          <w:szCs w:val="28"/>
        </w:rPr>
        <w:t>.</w:t>
      </w:r>
    </w:p>
    <w:p w14:paraId="496CBEAB" w14:textId="77777777" w:rsidR="000137DB" w:rsidRPr="00C454A1" w:rsidRDefault="000137DB" w:rsidP="000137DB">
      <w:pPr>
        <w:tabs>
          <w:tab w:val="left" w:pos="567"/>
        </w:tabs>
        <w:rPr>
          <w:rFonts w:cs="Times New Roman"/>
          <w:color w:val="000000" w:themeColor="text1"/>
          <w:szCs w:val="28"/>
        </w:rPr>
      </w:pPr>
    </w:p>
    <w:p w14:paraId="6C39F366" w14:textId="76AF2BF6" w:rsidR="006B0866" w:rsidRPr="00C454A1" w:rsidRDefault="000137DB" w:rsidP="00CD09D1">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Alcance del control constitucional</w:t>
      </w:r>
      <w:r w:rsidRPr="00C454A1">
        <w:rPr>
          <w:rFonts w:cs="Times New Roman"/>
          <w:iCs/>
          <w:color w:val="000000" w:themeColor="text1"/>
          <w:szCs w:val="28"/>
        </w:rPr>
        <w:t xml:space="preserve">. </w:t>
      </w:r>
      <w:r w:rsidRPr="00C454A1">
        <w:rPr>
          <w:rFonts w:cs="Times New Roman"/>
          <w:color w:val="000000" w:themeColor="text1"/>
          <w:szCs w:val="28"/>
        </w:rPr>
        <w:t>El juicio constitucional del presupuesto de suficiencia que efectúa la Corte consiste en “</w:t>
      </w:r>
      <w:r w:rsidRPr="00C454A1">
        <w:rPr>
          <w:rFonts w:cs="Times New Roman"/>
          <w:color w:val="000000" w:themeColor="text1"/>
        </w:rPr>
        <w:t>un juicio objetivo de ponderación dirigido a establecer si en la apreciación realizada por el presidente acerca de la insuficiencia de las atribuciones ordinarias de policía para conjurar la crisis se incurrió en apreciación arbitraria o en error manifiesto”</w:t>
      </w:r>
      <w:r w:rsidRPr="00C454A1">
        <w:rPr>
          <w:rStyle w:val="Refdenotaalpie"/>
          <w:rFonts w:cs="Times New Roman"/>
          <w:color w:val="000000" w:themeColor="text1"/>
        </w:rPr>
        <w:footnoteReference w:id="98"/>
      </w:r>
      <w:r w:rsidRPr="00C454A1">
        <w:rPr>
          <w:rFonts w:cs="Times New Roman"/>
          <w:color w:val="000000" w:themeColor="text1"/>
        </w:rPr>
        <w:t xml:space="preserve">. </w:t>
      </w:r>
      <w:r w:rsidR="003F43CA" w:rsidRPr="00C454A1">
        <w:rPr>
          <w:color w:val="000000" w:themeColor="text1"/>
        </w:rPr>
        <w:t>En otras palabras, el análisis de la Corte Constitucional</w:t>
      </w:r>
      <w:r w:rsidR="004660E5" w:rsidRPr="00C454A1">
        <w:rPr>
          <w:color w:val="000000" w:themeColor="text1"/>
        </w:rPr>
        <w:t xml:space="preserve"> en el estudio del decreto declarativo</w:t>
      </w:r>
      <w:r w:rsidR="003F43CA" w:rsidRPr="00C454A1">
        <w:rPr>
          <w:color w:val="000000" w:themeColor="text1"/>
        </w:rPr>
        <w:t xml:space="preserve"> no se orienta a valorar </w:t>
      </w:r>
      <w:r w:rsidR="004660E5" w:rsidRPr="00C454A1">
        <w:rPr>
          <w:color w:val="000000" w:themeColor="text1"/>
        </w:rPr>
        <w:t>con exhaustividad</w:t>
      </w:r>
      <w:r w:rsidR="003F43CA" w:rsidRPr="00C454A1">
        <w:rPr>
          <w:color w:val="000000" w:themeColor="text1"/>
        </w:rPr>
        <w:t xml:space="preserve"> la suficiencia de los medios ordinarios de que dispone el Gobierno nacional, sino </w:t>
      </w:r>
      <w:r w:rsidR="004660E5" w:rsidRPr="00C454A1">
        <w:rPr>
          <w:color w:val="000000" w:themeColor="text1"/>
        </w:rPr>
        <w:t xml:space="preserve">que se limita </w:t>
      </w:r>
      <w:r w:rsidR="003F43CA" w:rsidRPr="00C454A1">
        <w:rPr>
          <w:color w:val="000000" w:themeColor="text1"/>
        </w:rPr>
        <w:t>a determinar si el juicio de suficiencia adelantado por este resulta arbitrario o manifiestamente errado.</w:t>
      </w:r>
      <w:r w:rsidR="003F43CA" w:rsidRPr="00C454A1">
        <w:rPr>
          <w:rFonts w:cs="Times New Roman"/>
          <w:color w:val="000000" w:themeColor="text1"/>
        </w:rPr>
        <w:t xml:space="preserve"> </w:t>
      </w:r>
      <w:r w:rsidRPr="00C454A1">
        <w:rPr>
          <w:rFonts w:cs="Times New Roman"/>
          <w:color w:val="000000" w:themeColor="text1"/>
        </w:rPr>
        <w:t xml:space="preserve">Este </w:t>
      </w:r>
      <w:r w:rsidR="003F43CA" w:rsidRPr="00C454A1">
        <w:rPr>
          <w:rFonts w:cs="Times New Roman"/>
          <w:color w:val="000000" w:themeColor="text1"/>
        </w:rPr>
        <w:t>examen</w:t>
      </w:r>
      <w:r w:rsidRPr="00C454A1">
        <w:rPr>
          <w:rFonts w:cs="Times New Roman"/>
          <w:color w:val="000000" w:themeColor="text1"/>
        </w:rPr>
        <w:t xml:space="preserve"> tiene tres características: </w:t>
      </w:r>
    </w:p>
    <w:p w14:paraId="063B8D0A" w14:textId="77777777" w:rsidR="006B0866" w:rsidRPr="00C454A1" w:rsidRDefault="006B0866" w:rsidP="006B0866">
      <w:pPr>
        <w:pStyle w:val="Prrafodelista"/>
        <w:rPr>
          <w:rFonts w:cs="Times New Roman"/>
          <w:color w:val="000000" w:themeColor="text1"/>
          <w:szCs w:val="28"/>
        </w:rPr>
      </w:pPr>
    </w:p>
    <w:p w14:paraId="6E4A37CC" w14:textId="579AE46C" w:rsidR="004155F3" w:rsidRPr="00C454A1" w:rsidRDefault="000137DB" w:rsidP="00CD09D1">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Primera</w:t>
      </w:r>
      <w:r w:rsidRPr="00C454A1">
        <w:rPr>
          <w:rFonts w:cs="Times New Roman"/>
          <w:color w:val="000000" w:themeColor="text1"/>
          <w:szCs w:val="28"/>
        </w:rPr>
        <w:t>, se debe llevar a cabo a partir de “</w:t>
      </w:r>
      <w:r w:rsidRPr="00C454A1">
        <w:rPr>
          <w:rFonts w:cs="Times New Roman"/>
          <w:iCs/>
          <w:color w:val="000000" w:themeColor="text1"/>
          <w:szCs w:val="28"/>
        </w:rPr>
        <w:t>un análisis global y no detallado de la suficiencia de los poderes ordinarios para conjurar la situación de crisis”</w:t>
      </w:r>
      <w:r w:rsidRPr="00C454A1">
        <w:rPr>
          <w:rStyle w:val="Refdenotaalpie"/>
          <w:rFonts w:cs="Times New Roman"/>
          <w:iCs/>
          <w:color w:val="000000" w:themeColor="text1"/>
          <w:szCs w:val="28"/>
        </w:rPr>
        <w:footnoteReference w:id="99"/>
      </w:r>
      <w:r w:rsidRPr="00C454A1">
        <w:rPr>
          <w:rFonts w:cs="Times New Roman"/>
          <w:iCs/>
          <w:color w:val="000000" w:themeColor="text1"/>
          <w:szCs w:val="28"/>
        </w:rPr>
        <w:t xml:space="preserve">. De lo contrario, “quedaría sin objeto el control que […] debe emprender </w:t>
      </w:r>
      <w:r w:rsidR="004155F3" w:rsidRPr="00C454A1">
        <w:rPr>
          <w:rFonts w:cs="Times New Roman"/>
          <w:iCs/>
          <w:color w:val="000000" w:themeColor="text1"/>
          <w:szCs w:val="28"/>
        </w:rPr>
        <w:t xml:space="preserve">[la Corte] </w:t>
      </w:r>
      <w:r w:rsidRPr="00C454A1">
        <w:rPr>
          <w:rFonts w:cs="Times New Roman"/>
          <w:iCs/>
          <w:color w:val="000000" w:themeColor="text1"/>
          <w:szCs w:val="28"/>
        </w:rPr>
        <w:t>posteriormente sobre cada uno de los decretos legislativos de desarrollo”</w:t>
      </w:r>
      <w:r w:rsidRPr="00C454A1">
        <w:rPr>
          <w:rFonts w:cs="Times New Roman"/>
          <w:iCs/>
          <w:color w:val="000000" w:themeColor="text1"/>
          <w:szCs w:val="28"/>
          <w:vertAlign w:val="superscript"/>
        </w:rPr>
        <w:footnoteReference w:id="100"/>
      </w:r>
      <w:r w:rsidRPr="00C454A1">
        <w:rPr>
          <w:rFonts w:cs="Times New Roman"/>
          <w:iCs/>
          <w:color w:val="000000" w:themeColor="text1"/>
          <w:szCs w:val="28"/>
        </w:rPr>
        <w:t xml:space="preserve">. </w:t>
      </w:r>
      <w:r w:rsidR="00B30838" w:rsidRPr="00C454A1">
        <w:rPr>
          <w:color w:val="000000" w:themeColor="text1"/>
        </w:rPr>
        <w:t>Lo anterior se explica porque el control no consiste en examinar la constitucionalidad de cada una de las medidas anunciadas en el decreto declaratorio, sino en establecer, desde el ámbito de validez de dicho decreto, si es posible inferir que la crisis no puede ser superada mediante el ejercicio de las competencias ordinarias</w:t>
      </w:r>
      <w:r w:rsidRPr="00C454A1">
        <w:rPr>
          <w:rStyle w:val="Refdenotaalpie"/>
          <w:rFonts w:cs="Times New Roman"/>
          <w:color w:val="000000" w:themeColor="text1"/>
        </w:rPr>
        <w:footnoteReference w:id="101"/>
      </w:r>
      <w:r w:rsidRPr="00C454A1">
        <w:rPr>
          <w:rFonts w:cs="Times New Roman"/>
          <w:color w:val="000000" w:themeColor="text1"/>
        </w:rPr>
        <w:t xml:space="preserve">. </w:t>
      </w:r>
      <w:r w:rsidR="00651449" w:rsidRPr="00C454A1">
        <w:rPr>
          <w:rFonts w:cs="Times New Roman"/>
          <w:color w:val="000000" w:themeColor="text1"/>
        </w:rPr>
        <w:t xml:space="preserve">En este punto </w:t>
      </w:r>
      <w:r w:rsidR="00651449" w:rsidRPr="00C454A1">
        <w:rPr>
          <w:color w:val="000000" w:themeColor="text1"/>
        </w:rPr>
        <w:t>es importante tener presente que, al declarar un estado de excepción, el Gobierno nacional generalmente cuenta con un plan de medidas iniciales respecto de las cuales puede evaluar la suficiencia de sus competencias</w:t>
      </w:r>
      <w:r w:rsidR="00EB664A" w:rsidRPr="00C454A1">
        <w:rPr>
          <w:color w:val="000000" w:themeColor="text1"/>
        </w:rPr>
        <w:t xml:space="preserve"> ordinarias</w:t>
      </w:r>
      <w:r w:rsidR="00651449" w:rsidRPr="00C454A1">
        <w:rPr>
          <w:color w:val="000000" w:themeColor="text1"/>
        </w:rPr>
        <w:t xml:space="preserve">. No obstante, la lista </w:t>
      </w:r>
      <w:r w:rsidR="00910088" w:rsidRPr="00C454A1">
        <w:rPr>
          <w:color w:val="000000" w:themeColor="text1"/>
        </w:rPr>
        <w:t xml:space="preserve">de </w:t>
      </w:r>
      <w:r w:rsidR="00651449" w:rsidRPr="00C454A1">
        <w:rPr>
          <w:color w:val="000000" w:themeColor="text1"/>
        </w:rPr>
        <w:t xml:space="preserve">medidas suele expandirse y nuevas estrategias se diseñan a medida que la crisis evoluciona y sus efectos se manifiestan. </w:t>
      </w:r>
      <w:r w:rsidR="00651449" w:rsidRPr="00C454A1">
        <w:rPr>
          <w:rFonts w:cs="Times New Roman"/>
          <w:color w:val="000000" w:themeColor="text1"/>
        </w:rPr>
        <w:t xml:space="preserve">Es por ello que </w:t>
      </w:r>
      <w:r w:rsidRPr="00C454A1">
        <w:rPr>
          <w:rFonts w:cs="Times New Roman"/>
          <w:color w:val="000000" w:themeColor="text1"/>
        </w:rPr>
        <w:t>únicamente cuando se ejerza el control automático de cada uno de los decretos legislativos de desarrollo, debe realizarse un análisis concreto y estricto sobre la insuficiencia de las atribuciones ordinarias</w:t>
      </w:r>
      <w:r w:rsidR="00910088" w:rsidRPr="00C454A1">
        <w:rPr>
          <w:rFonts w:cs="Times New Roman"/>
          <w:color w:val="000000" w:themeColor="text1"/>
        </w:rPr>
        <w:t>,</w:t>
      </w:r>
      <w:r w:rsidRPr="00C454A1">
        <w:rPr>
          <w:rFonts w:cs="Times New Roman"/>
          <w:color w:val="000000" w:themeColor="text1"/>
        </w:rPr>
        <w:t xml:space="preserve"> </w:t>
      </w:r>
      <w:r w:rsidR="00910088" w:rsidRPr="00C454A1">
        <w:rPr>
          <w:rFonts w:cs="Times New Roman"/>
          <w:color w:val="000000" w:themeColor="text1"/>
        </w:rPr>
        <w:t xml:space="preserve">así como de </w:t>
      </w:r>
      <w:r w:rsidRPr="00C454A1">
        <w:rPr>
          <w:rFonts w:cs="Times New Roman"/>
          <w:color w:val="000000" w:themeColor="text1"/>
        </w:rPr>
        <w:t xml:space="preserve">la consecuente necesidad de acudir a medidas excepcionales con miras a </w:t>
      </w:r>
      <w:r w:rsidR="00910088" w:rsidRPr="00C454A1">
        <w:rPr>
          <w:rFonts w:cs="Times New Roman"/>
          <w:color w:val="000000" w:themeColor="text1"/>
        </w:rPr>
        <w:t>conjurar</w:t>
      </w:r>
      <w:r w:rsidRPr="00C454A1">
        <w:rPr>
          <w:rFonts w:cs="Times New Roman"/>
          <w:color w:val="000000" w:themeColor="text1"/>
        </w:rPr>
        <w:t xml:space="preserve"> la</w:t>
      </w:r>
      <w:r w:rsidR="00910088" w:rsidRPr="00C454A1">
        <w:rPr>
          <w:rFonts w:cs="Times New Roman"/>
          <w:color w:val="000000" w:themeColor="text1"/>
        </w:rPr>
        <w:t xml:space="preserve"> respectiva</w:t>
      </w:r>
      <w:r w:rsidRPr="00C454A1">
        <w:rPr>
          <w:rFonts w:cs="Times New Roman"/>
          <w:color w:val="000000" w:themeColor="text1"/>
        </w:rPr>
        <w:t xml:space="preserve"> crisis</w:t>
      </w:r>
      <w:r w:rsidRPr="00C454A1">
        <w:rPr>
          <w:rStyle w:val="Refdenotaalpie"/>
          <w:rFonts w:cs="Times New Roman"/>
          <w:color w:val="000000" w:themeColor="text1"/>
        </w:rPr>
        <w:footnoteReference w:id="102"/>
      </w:r>
      <w:r w:rsidRPr="00C454A1">
        <w:rPr>
          <w:rFonts w:cs="Times New Roman"/>
          <w:color w:val="000000" w:themeColor="text1"/>
        </w:rPr>
        <w:t>.</w:t>
      </w:r>
      <w:r w:rsidR="004155F3" w:rsidRPr="00C454A1">
        <w:rPr>
          <w:rFonts w:cs="Times New Roman"/>
          <w:color w:val="000000" w:themeColor="text1"/>
        </w:rPr>
        <w:t xml:space="preserve"> </w:t>
      </w:r>
      <w:r w:rsidR="004155F3" w:rsidRPr="00C454A1">
        <w:rPr>
          <w:color w:val="000000" w:themeColor="text1"/>
        </w:rPr>
        <w:t xml:space="preserve">Realizar un </w:t>
      </w:r>
      <w:r w:rsidR="004155F3" w:rsidRPr="00C454A1">
        <w:rPr>
          <w:color w:val="000000" w:themeColor="text1"/>
        </w:rPr>
        <w:lastRenderedPageBreak/>
        <w:t xml:space="preserve">examen global significa entonces </w:t>
      </w:r>
      <w:r w:rsidR="00EB664A" w:rsidRPr="00C454A1">
        <w:rPr>
          <w:color w:val="000000" w:themeColor="text1"/>
        </w:rPr>
        <w:t xml:space="preserve">que </w:t>
      </w:r>
      <w:r w:rsidR="00942547" w:rsidRPr="00C454A1">
        <w:rPr>
          <w:color w:val="000000" w:themeColor="text1"/>
        </w:rPr>
        <w:t>esta Corporación</w:t>
      </w:r>
      <w:r w:rsidR="00EB664A" w:rsidRPr="00C454A1">
        <w:rPr>
          <w:color w:val="000000" w:themeColor="text1"/>
        </w:rPr>
        <w:t xml:space="preserve"> debe </w:t>
      </w:r>
      <w:r w:rsidR="004155F3" w:rsidRPr="00C454A1">
        <w:rPr>
          <w:color w:val="000000" w:themeColor="text1"/>
        </w:rPr>
        <w:t xml:space="preserve">examinar si, teniendo en cuenta la gravedad y el carácter extraordinario de los hechos, existen </w:t>
      </w:r>
      <w:r w:rsidR="00EB664A" w:rsidRPr="00C454A1">
        <w:rPr>
          <w:color w:val="000000" w:themeColor="text1"/>
        </w:rPr>
        <w:t xml:space="preserve">elementos de juicio preliminares </w:t>
      </w:r>
      <w:r w:rsidR="004D5F6D" w:rsidRPr="00C454A1">
        <w:rPr>
          <w:color w:val="000000" w:themeColor="text1"/>
        </w:rPr>
        <w:t xml:space="preserve">que indiquen </w:t>
      </w:r>
      <w:r w:rsidR="004155F3" w:rsidRPr="00C454A1">
        <w:rPr>
          <w:color w:val="000000" w:themeColor="text1"/>
        </w:rPr>
        <w:t xml:space="preserve">que las atribuciones ordinarias </w:t>
      </w:r>
      <w:r w:rsidR="00EB664A" w:rsidRPr="00C454A1">
        <w:rPr>
          <w:color w:val="000000" w:themeColor="text1"/>
        </w:rPr>
        <w:t xml:space="preserve">del Gobierno nacional </w:t>
      </w:r>
      <w:r w:rsidR="004155F3" w:rsidRPr="00C454A1">
        <w:rPr>
          <w:color w:val="000000" w:themeColor="text1"/>
        </w:rPr>
        <w:t>miradas en conjunto no ofrecen suficientes herramientas para enfrentar las causas y efectos de la alteración del orden público que motivó la declaración de la conmoción interior.</w:t>
      </w:r>
    </w:p>
    <w:p w14:paraId="7895CD0C" w14:textId="77777777" w:rsidR="000137DB" w:rsidRPr="00C454A1" w:rsidRDefault="000137DB" w:rsidP="000137DB">
      <w:pPr>
        <w:tabs>
          <w:tab w:val="left" w:pos="567"/>
        </w:tabs>
        <w:rPr>
          <w:rFonts w:cs="Times New Roman"/>
          <w:color w:val="000000" w:themeColor="text1"/>
          <w:szCs w:val="28"/>
        </w:rPr>
      </w:pPr>
    </w:p>
    <w:p w14:paraId="25E83681" w14:textId="3FB66424" w:rsidR="000137DB" w:rsidRPr="00C454A1" w:rsidRDefault="000137DB" w:rsidP="000137DB">
      <w:pPr>
        <w:numPr>
          <w:ilvl w:val="0"/>
          <w:numId w:val="2"/>
        </w:numPr>
        <w:tabs>
          <w:tab w:val="left" w:pos="567"/>
        </w:tabs>
        <w:ind w:left="0" w:firstLine="0"/>
        <w:rPr>
          <w:rFonts w:cs="Times New Roman"/>
          <w:color w:val="000000" w:themeColor="text1"/>
          <w:szCs w:val="28"/>
        </w:rPr>
      </w:pPr>
      <w:r w:rsidRPr="00C454A1">
        <w:rPr>
          <w:rFonts w:cs="Times New Roman"/>
          <w:i/>
          <w:color w:val="000000" w:themeColor="text1"/>
          <w:szCs w:val="28"/>
        </w:rPr>
        <w:t>Segunda</w:t>
      </w:r>
      <w:r w:rsidRPr="00C454A1">
        <w:rPr>
          <w:rFonts w:cs="Times New Roman"/>
          <w:iCs/>
          <w:color w:val="000000" w:themeColor="text1"/>
          <w:szCs w:val="28"/>
        </w:rPr>
        <w:t xml:space="preserve">, </w:t>
      </w:r>
      <w:r w:rsidRPr="00C454A1">
        <w:rPr>
          <w:rFonts w:cs="Times New Roman"/>
          <w:color w:val="000000" w:themeColor="text1"/>
          <w:szCs w:val="28"/>
        </w:rPr>
        <w:t xml:space="preserve">es </w:t>
      </w:r>
      <w:bookmarkStart w:id="135" w:name="_Hlk194760996"/>
      <w:r w:rsidRPr="00C454A1">
        <w:rPr>
          <w:rFonts w:cs="Times New Roman"/>
          <w:color w:val="000000" w:themeColor="text1"/>
          <w:szCs w:val="28"/>
        </w:rPr>
        <w:t xml:space="preserve">un juicio de mera razonabilidad. Habida cuenta del margen de discrecionalidad que la Constitución reconoce al presidente de la República, el control constitucional que efectúa la Corte se circunscribe a determinar si la apreciación del </w:t>
      </w:r>
      <w:r w:rsidR="007525E1" w:rsidRPr="00C454A1">
        <w:rPr>
          <w:rFonts w:cs="Times New Roman"/>
          <w:color w:val="000000" w:themeColor="text1"/>
          <w:szCs w:val="28"/>
        </w:rPr>
        <w:t>Gobierno nacional</w:t>
      </w:r>
      <w:r w:rsidRPr="00C454A1">
        <w:rPr>
          <w:rFonts w:cs="Times New Roman"/>
          <w:i/>
          <w:iCs/>
          <w:color w:val="000000" w:themeColor="text1"/>
          <w:szCs w:val="28"/>
        </w:rPr>
        <w:t xml:space="preserve"> </w:t>
      </w:r>
      <w:r w:rsidRPr="00C454A1">
        <w:rPr>
          <w:rFonts w:cs="Times New Roman"/>
          <w:color w:val="000000" w:themeColor="text1"/>
          <w:szCs w:val="28"/>
        </w:rPr>
        <w:t xml:space="preserve">sobre la suficiencia de </w:t>
      </w:r>
      <w:r w:rsidR="000A2516" w:rsidRPr="00C454A1">
        <w:rPr>
          <w:rFonts w:cs="Times New Roman"/>
          <w:color w:val="000000" w:themeColor="text1"/>
          <w:szCs w:val="28"/>
        </w:rPr>
        <w:t xml:space="preserve">sus </w:t>
      </w:r>
      <w:r w:rsidRPr="00C454A1">
        <w:rPr>
          <w:rFonts w:cs="Times New Roman"/>
          <w:color w:val="000000" w:themeColor="text1"/>
          <w:szCs w:val="28"/>
        </w:rPr>
        <w:t xml:space="preserve">atribuciones </w:t>
      </w:r>
      <w:r w:rsidR="000A2516" w:rsidRPr="00C454A1">
        <w:rPr>
          <w:rFonts w:cs="Times New Roman"/>
          <w:color w:val="000000" w:themeColor="text1"/>
          <w:szCs w:val="28"/>
        </w:rPr>
        <w:t>ordinarias</w:t>
      </w:r>
      <w:r w:rsidR="00EB664A" w:rsidRPr="00C454A1">
        <w:rPr>
          <w:rFonts w:cs="Times New Roman"/>
          <w:color w:val="000000" w:themeColor="text1"/>
          <w:szCs w:val="28"/>
        </w:rPr>
        <w:t xml:space="preserve"> </w:t>
      </w:r>
      <w:r w:rsidRPr="00C454A1">
        <w:rPr>
          <w:rFonts w:cs="Times New Roman"/>
          <w:color w:val="000000" w:themeColor="text1"/>
          <w:szCs w:val="28"/>
        </w:rPr>
        <w:t>“fue o no arbitraria y si en ella se incurrió o no en un error manifiesto de apreciación”</w:t>
      </w:r>
      <w:r w:rsidRPr="00C454A1">
        <w:rPr>
          <w:rFonts w:cs="Times New Roman"/>
          <w:color w:val="000000" w:themeColor="text1"/>
          <w:vertAlign w:val="superscript"/>
        </w:rPr>
        <w:footnoteReference w:id="103"/>
      </w:r>
      <w:r w:rsidRPr="00C454A1">
        <w:rPr>
          <w:rFonts w:cs="Times New Roman"/>
          <w:color w:val="000000" w:themeColor="text1"/>
          <w:szCs w:val="28"/>
        </w:rPr>
        <w:t>. En otras palabras, se trata de “una evaluación mínima</w:t>
      </w:r>
      <w:r w:rsidR="000A2516" w:rsidRPr="00C454A1">
        <w:rPr>
          <w:rFonts w:cs="Times New Roman"/>
          <w:color w:val="000000" w:themeColor="text1"/>
          <w:szCs w:val="28"/>
        </w:rPr>
        <w:t>”</w:t>
      </w:r>
      <w:r w:rsidRPr="00C454A1">
        <w:rPr>
          <w:rFonts w:cs="Times New Roman"/>
          <w:color w:val="000000" w:themeColor="text1"/>
          <w:szCs w:val="28"/>
        </w:rPr>
        <w:t xml:space="preserve"> sobre la apreciación del presidente respecto de la insuficiencia de </w:t>
      </w:r>
      <w:r w:rsidR="000A2516" w:rsidRPr="00C454A1">
        <w:rPr>
          <w:rFonts w:cs="Times New Roman"/>
          <w:color w:val="000000" w:themeColor="text1"/>
          <w:szCs w:val="28"/>
        </w:rPr>
        <w:t xml:space="preserve">sus </w:t>
      </w:r>
      <w:r w:rsidRPr="00C454A1">
        <w:rPr>
          <w:rFonts w:cs="Times New Roman"/>
          <w:color w:val="000000" w:themeColor="text1"/>
          <w:szCs w:val="28"/>
        </w:rPr>
        <w:t>atribuciones ordinarias</w:t>
      </w:r>
      <w:r w:rsidRPr="00C454A1">
        <w:rPr>
          <w:rStyle w:val="Refdenotaalpie"/>
          <w:rFonts w:cs="Times New Roman"/>
          <w:color w:val="000000" w:themeColor="text1"/>
          <w:szCs w:val="28"/>
        </w:rPr>
        <w:footnoteReference w:id="104"/>
      </w:r>
      <w:r w:rsidRPr="00C454A1">
        <w:rPr>
          <w:rFonts w:cs="Times New Roman"/>
          <w:color w:val="000000" w:themeColor="text1"/>
          <w:szCs w:val="28"/>
        </w:rPr>
        <w:t xml:space="preserve">. </w:t>
      </w:r>
      <w:bookmarkEnd w:id="135"/>
    </w:p>
    <w:p w14:paraId="587FB121" w14:textId="77777777" w:rsidR="000137DB" w:rsidRPr="00C454A1" w:rsidRDefault="000137DB" w:rsidP="000137DB">
      <w:pPr>
        <w:tabs>
          <w:tab w:val="left" w:pos="567"/>
        </w:tabs>
        <w:rPr>
          <w:rFonts w:cs="Times New Roman"/>
          <w:color w:val="000000" w:themeColor="text1"/>
          <w:szCs w:val="28"/>
        </w:rPr>
      </w:pPr>
    </w:p>
    <w:p w14:paraId="35BB16A8" w14:textId="4762CF75" w:rsidR="000137DB" w:rsidRPr="00C454A1" w:rsidRDefault="006D4503" w:rsidP="000137DB">
      <w:pPr>
        <w:numPr>
          <w:ilvl w:val="0"/>
          <w:numId w:val="2"/>
        </w:numPr>
        <w:tabs>
          <w:tab w:val="left" w:pos="567"/>
        </w:tabs>
        <w:ind w:left="0" w:firstLine="0"/>
        <w:rPr>
          <w:rFonts w:cs="Times New Roman"/>
          <w:color w:val="000000" w:themeColor="text1"/>
          <w:szCs w:val="28"/>
        </w:rPr>
      </w:pPr>
      <w:r w:rsidRPr="00C454A1">
        <w:rPr>
          <w:rFonts w:cs="Times New Roman"/>
          <w:i/>
          <w:iCs/>
          <w:color w:val="000000" w:themeColor="text1"/>
          <w:szCs w:val="28"/>
        </w:rPr>
        <w:t>T</w:t>
      </w:r>
      <w:r w:rsidR="000137DB" w:rsidRPr="00C454A1">
        <w:rPr>
          <w:rFonts w:cs="Times New Roman"/>
          <w:i/>
          <w:iCs/>
          <w:color w:val="000000" w:themeColor="text1"/>
          <w:szCs w:val="28"/>
        </w:rPr>
        <w:t>ercera</w:t>
      </w:r>
      <w:r w:rsidR="000137DB" w:rsidRPr="00C454A1">
        <w:rPr>
          <w:rFonts w:cs="Times New Roman"/>
          <w:color w:val="000000" w:themeColor="text1"/>
          <w:szCs w:val="28"/>
        </w:rPr>
        <w:t>,</w:t>
      </w:r>
      <w:r w:rsidRPr="00C454A1">
        <w:rPr>
          <w:rFonts w:cs="Times New Roman"/>
          <w:color w:val="000000" w:themeColor="text1"/>
          <w:szCs w:val="28"/>
        </w:rPr>
        <w:t xml:space="preserve"> el análisis que adelanta la Corte Constitucional parte de la valoración realizada por el presidente de la República acerca de la insuficiencia de sus facultades ordinarias para enfrentar la situación crítica</w:t>
      </w:r>
      <w:r w:rsidR="000137DB" w:rsidRPr="00C454A1">
        <w:rPr>
          <w:rStyle w:val="Refdenotaalpie"/>
          <w:iCs/>
          <w:color w:val="000000" w:themeColor="text1"/>
          <w:szCs w:val="28"/>
        </w:rPr>
        <w:footnoteReference w:id="105"/>
      </w:r>
      <w:r w:rsidR="000137DB" w:rsidRPr="00C454A1">
        <w:rPr>
          <w:iCs/>
          <w:color w:val="000000" w:themeColor="text1"/>
          <w:szCs w:val="28"/>
        </w:rPr>
        <w:t>. De este modo, la Sala debe verificar si el decreto declaratorio contiene “simple</w:t>
      </w:r>
      <w:r w:rsidRPr="00C454A1">
        <w:rPr>
          <w:iCs/>
          <w:color w:val="000000" w:themeColor="text1"/>
          <w:szCs w:val="28"/>
        </w:rPr>
        <w:t>s</w:t>
      </w:r>
      <w:r w:rsidR="000137DB" w:rsidRPr="00C454A1">
        <w:rPr>
          <w:iCs/>
          <w:color w:val="000000" w:themeColor="text1"/>
          <w:szCs w:val="28"/>
        </w:rPr>
        <w:t xml:space="preserve"> afirmaciones” sobre la insuficiencia de </w:t>
      </w:r>
      <w:r w:rsidR="000137DB" w:rsidRPr="00C454A1">
        <w:rPr>
          <w:rFonts w:cs="Times New Roman"/>
          <w:color w:val="000000" w:themeColor="text1"/>
        </w:rPr>
        <w:t xml:space="preserve">las atribuciones ordinarias de policía —evento en el cual el decreto es inexequible— o una valoración sobre tal insuficiencia, pues solo en este último caso la declaración de la conmoción interior </w:t>
      </w:r>
      <w:r w:rsidRPr="00C454A1">
        <w:rPr>
          <w:rFonts w:cs="Times New Roman"/>
          <w:color w:val="000000" w:themeColor="text1"/>
        </w:rPr>
        <w:t>se ajusta a la Constitución</w:t>
      </w:r>
      <w:r w:rsidR="000137DB" w:rsidRPr="00C454A1">
        <w:rPr>
          <w:rStyle w:val="Refdenotaalpie"/>
          <w:rFonts w:cs="Times New Roman"/>
          <w:color w:val="000000" w:themeColor="text1"/>
        </w:rPr>
        <w:footnoteReference w:id="106"/>
      </w:r>
      <w:r w:rsidR="000137DB" w:rsidRPr="00C454A1">
        <w:rPr>
          <w:rFonts w:cs="Times New Roman"/>
          <w:color w:val="000000" w:themeColor="text1"/>
        </w:rPr>
        <w:t>.</w:t>
      </w:r>
    </w:p>
    <w:p w14:paraId="6560F270" w14:textId="77777777" w:rsidR="000137DB" w:rsidRPr="00C454A1" w:rsidRDefault="000137DB" w:rsidP="000137DB">
      <w:pPr>
        <w:tabs>
          <w:tab w:val="left" w:pos="567"/>
        </w:tabs>
        <w:rPr>
          <w:rFonts w:cs="Times New Roman"/>
          <w:color w:val="000000" w:themeColor="text1"/>
          <w:szCs w:val="28"/>
        </w:rPr>
      </w:pPr>
    </w:p>
    <w:p w14:paraId="5341907F" w14:textId="41418685" w:rsidR="000137DB" w:rsidRPr="00C454A1" w:rsidRDefault="000137DB" w:rsidP="000137DB">
      <w:pPr>
        <w:numPr>
          <w:ilvl w:val="0"/>
          <w:numId w:val="2"/>
        </w:numPr>
        <w:tabs>
          <w:tab w:val="left" w:pos="567"/>
        </w:tabs>
        <w:ind w:left="0" w:firstLine="0"/>
        <w:rPr>
          <w:rFonts w:cs="Times New Roman"/>
          <w:color w:val="000000" w:themeColor="text1"/>
          <w:szCs w:val="28"/>
        </w:rPr>
      </w:pPr>
      <w:r w:rsidRPr="00C454A1">
        <w:rPr>
          <w:rFonts w:cs="Times New Roman"/>
          <w:color w:val="000000" w:themeColor="text1"/>
          <w:szCs w:val="28"/>
        </w:rPr>
        <w:t xml:space="preserve">Con todo, para adelantar el juicio sobre el cumplimiento del presupuesto de suficiencia, la Corte debe tener en cuenta no solo la existencia de las atribuciones ordinarias de las autoridades </w:t>
      </w:r>
      <w:r w:rsidR="006E02A3" w:rsidRPr="00C454A1">
        <w:rPr>
          <w:rFonts w:cs="Times New Roman"/>
          <w:color w:val="000000" w:themeColor="text1"/>
          <w:szCs w:val="28"/>
        </w:rPr>
        <w:t>gubernamentales</w:t>
      </w:r>
      <w:r w:rsidRPr="00C454A1">
        <w:rPr>
          <w:rFonts w:cs="Times New Roman"/>
          <w:color w:val="000000" w:themeColor="text1"/>
          <w:szCs w:val="28"/>
        </w:rPr>
        <w:t>, sino también su</w:t>
      </w:r>
      <w:r w:rsidR="00FB675E" w:rsidRPr="00C454A1">
        <w:rPr>
          <w:rFonts w:cs="Times New Roman"/>
          <w:color w:val="000000" w:themeColor="text1"/>
          <w:szCs w:val="28"/>
        </w:rPr>
        <w:t xml:space="preserve">s </w:t>
      </w:r>
      <w:r w:rsidR="00FB675E" w:rsidRPr="00C454A1">
        <w:rPr>
          <w:rFonts w:cs="Times New Roman"/>
          <w:i/>
          <w:iCs/>
          <w:color w:val="000000" w:themeColor="text1"/>
          <w:szCs w:val="28"/>
        </w:rPr>
        <w:t>posibilidades de implementación</w:t>
      </w:r>
      <w:r w:rsidR="00FB675E" w:rsidRPr="00C454A1">
        <w:rPr>
          <w:rFonts w:cs="Times New Roman"/>
          <w:color w:val="000000" w:themeColor="text1"/>
          <w:szCs w:val="28"/>
        </w:rPr>
        <w:t xml:space="preserve"> y</w:t>
      </w:r>
      <w:r w:rsidRPr="00C454A1">
        <w:rPr>
          <w:rFonts w:cs="Times New Roman"/>
          <w:color w:val="000000" w:themeColor="text1"/>
          <w:szCs w:val="28"/>
        </w:rPr>
        <w:t xml:space="preserve"> </w:t>
      </w:r>
      <w:r w:rsidRPr="00C454A1">
        <w:rPr>
          <w:rFonts w:cs="Times New Roman"/>
          <w:i/>
          <w:iCs/>
          <w:color w:val="000000" w:themeColor="text1"/>
          <w:szCs w:val="28"/>
        </w:rPr>
        <w:t xml:space="preserve">eficacia </w:t>
      </w:r>
      <w:r w:rsidRPr="00C454A1">
        <w:rPr>
          <w:rFonts w:cs="Times New Roman"/>
          <w:color w:val="000000" w:themeColor="text1"/>
          <w:szCs w:val="28"/>
        </w:rPr>
        <w:t>para</w:t>
      </w:r>
      <w:r w:rsidRPr="00C454A1">
        <w:rPr>
          <w:rFonts w:cs="Times New Roman"/>
          <w:color w:val="000000" w:themeColor="text1"/>
        </w:rPr>
        <w:t xml:space="preserve"> contrarrestar la intensidad de los hechos y superar la grave alteración del orden público. En particular, la Sala Plena debe considerar si, en el contexto específico que dio lugar a la declaratoria del estado de conmoción interior, “las herramientas jurídicas ordinarias con que cuenta el Estado para hacer frente a ese inusitado y desestabilizador giro cualitativo deben ser también potenciadas” mediante medidas excepcionales</w:t>
      </w:r>
      <w:r w:rsidRPr="00C454A1">
        <w:rPr>
          <w:rStyle w:val="Refdenotaalpie"/>
          <w:rFonts w:cs="Times New Roman"/>
          <w:color w:val="000000" w:themeColor="text1"/>
        </w:rPr>
        <w:footnoteReference w:id="107"/>
      </w:r>
      <w:r w:rsidRPr="00C454A1">
        <w:rPr>
          <w:rFonts w:cs="Times New Roman"/>
          <w:color w:val="000000" w:themeColor="text1"/>
        </w:rPr>
        <w:t xml:space="preserve">. Al respecto, en la Sentencia C-802 de 2002, cuyo precedente resulta especialmente relevante en el presente caso (cfr. </w:t>
      </w:r>
      <w:r w:rsidR="00533AD0" w:rsidRPr="00C454A1">
        <w:rPr>
          <w:rFonts w:cs="Times New Roman"/>
          <w:i/>
          <w:iCs/>
          <w:color w:val="000000" w:themeColor="text1"/>
        </w:rPr>
        <w:t>S</w:t>
      </w:r>
      <w:r w:rsidRPr="00C454A1">
        <w:rPr>
          <w:rFonts w:cs="Times New Roman"/>
          <w:i/>
          <w:iCs/>
          <w:color w:val="000000" w:themeColor="text1"/>
        </w:rPr>
        <w:t>upra</w:t>
      </w:r>
      <w:r w:rsidR="00FC5FDE" w:rsidRPr="00C454A1">
        <w:rPr>
          <w:rFonts w:cs="Times New Roman"/>
          <w:i/>
          <w:iCs/>
          <w:color w:val="000000" w:themeColor="text1"/>
        </w:rPr>
        <w:t xml:space="preserve"> </w:t>
      </w:r>
      <w:r w:rsidR="00FC5FDE" w:rsidRPr="00C454A1">
        <w:rPr>
          <w:rFonts w:cs="Times New Roman"/>
          <w:color w:val="000000" w:themeColor="text1"/>
        </w:rPr>
        <w:t>fundamentos</w:t>
      </w:r>
      <w:r w:rsidR="00533AD0" w:rsidRPr="00C454A1">
        <w:rPr>
          <w:rFonts w:cs="Times New Roman"/>
          <w:i/>
          <w:iCs/>
          <w:color w:val="000000" w:themeColor="text1"/>
        </w:rPr>
        <w:t xml:space="preserve"> </w:t>
      </w:r>
      <w:r w:rsidR="00533AD0" w:rsidRPr="00C454A1">
        <w:rPr>
          <w:rFonts w:cs="Times New Roman"/>
          <w:color w:val="000000" w:themeColor="text1"/>
        </w:rPr>
        <w:fldChar w:fldCharType="begin"/>
      </w:r>
      <w:r w:rsidR="00533AD0" w:rsidRPr="00C454A1">
        <w:rPr>
          <w:rFonts w:cs="Times New Roman"/>
          <w:color w:val="000000" w:themeColor="text1"/>
        </w:rPr>
        <w:instrText xml:space="preserve"> REF _Ref203391149 \r \h  \* MERGEFORMAT </w:instrText>
      </w:r>
      <w:r w:rsidR="00533AD0" w:rsidRPr="00C454A1">
        <w:rPr>
          <w:rFonts w:cs="Times New Roman"/>
          <w:color w:val="000000" w:themeColor="text1"/>
        </w:rPr>
      </w:r>
      <w:r w:rsidR="00533AD0" w:rsidRPr="00C454A1">
        <w:rPr>
          <w:rFonts w:cs="Times New Roman"/>
          <w:color w:val="000000" w:themeColor="text1"/>
        </w:rPr>
        <w:fldChar w:fldCharType="separate"/>
      </w:r>
      <w:r w:rsidR="00881E6A">
        <w:rPr>
          <w:rFonts w:cs="Times New Roman"/>
          <w:color w:val="000000" w:themeColor="text1"/>
        </w:rPr>
        <w:t>66</w:t>
      </w:r>
      <w:r w:rsidR="00533AD0" w:rsidRPr="00C454A1">
        <w:rPr>
          <w:rFonts w:cs="Times New Roman"/>
          <w:color w:val="000000" w:themeColor="text1"/>
        </w:rPr>
        <w:fldChar w:fldCharType="end"/>
      </w:r>
      <w:r w:rsidR="00533AD0" w:rsidRPr="00C454A1">
        <w:rPr>
          <w:rFonts w:cs="Times New Roman"/>
          <w:color w:val="000000" w:themeColor="text1"/>
        </w:rPr>
        <w:t xml:space="preserve"> y </w:t>
      </w:r>
      <w:r w:rsidR="00533AD0" w:rsidRPr="00C454A1">
        <w:rPr>
          <w:rFonts w:cs="Times New Roman"/>
          <w:color w:val="000000" w:themeColor="text1"/>
        </w:rPr>
        <w:fldChar w:fldCharType="begin"/>
      </w:r>
      <w:r w:rsidR="00533AD0" w:rsidRPr="00C454A1">
        <w:rPr>
          <w:rFonts w:cs="Times New Roman"/>
          <w:color w:val="000000" w:themeColor="text1"/>
        </w:rPr>
        <w:instrText xml:space="preserve"> REF _Ref219711623 \r \h  \* MERGEFORMAT </w:instrText>
      </w:r>
      <w:r w:rsidR="00533AD0" w:rsidRPr="00C454A1">
        <w:rPr>
          <w:rFonts w:cs="Times New Roman"/>
          <w:color w:val="000000" w:themeColor="text1"/>
        </w:rPr>
      </w:r>
      <w:r w:rsidR="00533AD0" w:rsidRPr="00C454A1">
        <w:rPr>
          <w:rFonts w:cs="Times New Roman"/>
          <w:color w:val="000000" w:themeColor="text1"/>
        </w:rPr>
        <w:fldChar w:fldCharType="separate"/>
      </w:r>
      <w:r w:rsidR="00881E6A">
        <w:rPr>
          <w:rFonts w:cs="Times New Roman"/>
          <w:color w:val="000000" w:themeColor="text1"/>
        </w:rPr>
        <w:t>67</w:t>
      </w:r>
      <w:r w:rsidR="00533AD0" w:rsidRPr="00C454A1">
        <w:rPr>
          <w:rFonts w:cs="Times New Roman"/>
          <w:color w:val="000000" w:themeColor="text1"/>
        </w:rPr>
        <w:fldChar w:fldCharType="end"/>
      </w:r>
      <w:r w:rsidRPr="00C454A1">
        <w:rPr>
          <w:rFonts w:cs="Times New Roman"/>
          <w:color w:val="000000" w:themeColor="text1"/>
        </w:rPr>
        <w:t xml:space="preserve">), la </w:t>
      </w:r>
      <w:r w:rsidR="00307F2C" w:rsidRPr="00C454A1">
        <w:rPr>
          <w:rFonts w:cs="Times New Roman"/>
          <w:color w:val="000000" w:themeColor="text1"/>
        </w:rPr>
        <w:t>C</w:t>
      </w:r>
      <w:r w:rsidRPr="00C454A1">
        <w:rPr>
          <w:rFonts w:cs="Times New Roman"/>
          <w:color w:val="000000" w:themeColor="text1"/>
        </w:rPr>
        <w:t xml:space="preserve">orporación explicó: </w:t>
      </w:r>
    </w:p>
    <w:p w14:paraId="155141DD" w14:textId="77777777" w:rsidR="000137DB" w:rsidRPr="00C454A1" w:rsidRDefault="000137DB" w:rsidP="000137DB">
      <w:pPr>
        <w:tabs>
          <w:tab w:val="left" w:pos="567"/>
        </w:tabs>
        <w:rPr>
          <w:rFonts w:cs="Times New Roman"/>
          <w:color w:val="000000" w:themeColor="text1"/>
        </w:rPr>
      </w:pPr>
    </w:p>
    <w:p w14:paraId="7F482926" w14:textId="77777777" w:rsidR="00C426EB" w:rsidRPr="00C454A1" w:rsidRDefault="00C426EB" w:rsidP="00C426EB">
      <w:pPr>
        <w:pStyle w:val="Textoindependiente2"/>
        <w:tabs>
          <w:tab w:val="left" w:pos="567"/>
        </w:tabs>
        <w:spacing w:after="0" w:line="240" w:lineRule="auto"/>
        <w:ind w:left="567"/>
        <w:rPr>
          <w:rFonts w:cs="Times New Roman"/>
          <w:color w:val="000000" w:themeColor="text1"/>
          <w:sz w:val="26"/>
          <w:szCs w:val="26"/>
        </w:rPr>
      </w:pPr>
      <w:r w:rsidRPr="00C454A1">
        <w:rPr>
          <w:rFonts w:cs="Times New Roman"/>
          <w:color w:val="000000" w:themeColor="text1"/>
          <w:sz w:val="26"/>
          <w:szCs w:val="26"/>
        </w:rPr>
        <w:lastRenderedPageBreak/>
        <w:t>“</w:t>
      </w:r>
      <w:r w:rsidR="000137DB" w:rsidRPr="00C454A1">
        <w:rPr>
          <w:rFonts w:cs="Times New Roman"/>
          <w:color w:val="000000" w:themeColor="text1"/>
          <w:sz w:val="26"/>
          <w:szCs w:val="26"/>
        </w:rPr>
        <w:t>Entre las atribuciones ordinarias con que cuenta el presidente de la República, como suprema autoridad administrativa y como responsable de la conservación y restablecimiento del orden público, se encuentran, entre otras, la concesión de permisos cuando un reglamento de policía ha establecido una prohibición de carácter general; la emisión de órdenes claras, precisas, motivadas, escritas y fundadas en leyes o reglamentos y dirigidas a los particulares con la finalidad de mantener o restablecer el orden público; el empleo de la fuerza cuando sea estrictamente necesario, se lo haga de manera proporcionada y por el tiempo requerido para el restablecimiento del orden público; la utilización del servicio público de policía; la realización de capturas y allanamientos con sujeción a la Constitución y a la ley y, finalmente, la asistencia de la fuerza militar cuando la alteración del orden público no pueda ser conjurada con el concurso del cuerpo armado de policía.</w:t>
      </w:r>
    </w:p>
    <w:p w14:paraId="09784454" w14:textId="77777777" w:rsidR="006E02A3" w:rsidRPr="00C454A1" w:rsidRDefault="006E02A3" w:rsidP="00C426EB">
      <w:pPr>
        <w:pStyle w:val="Textoindependiente2"/>
        <w:tabs>
          <w:tab w:val="left" w:pos="567"/>
        </w:tabs>
        <w:spacing w:after="0" w:line="240" w:lineRule="auto"/>
        <w:ind w:left="567"/>
        <w:rPr>
          <w:rFonts w:cs="Times New Roman"/>
          <w:color w:val="000000" w:themeColor="text1"/>
          <w:sz w:val="26"/>
          <w:szCs w:val="26"/>
        </w:rPr>
      </w:pPr>
    </w:p>
    <w:p w14:paraId="540EF078" w14:textId="73D2F684" w:rsidR="000137DB" w:rsidRPr="00C454A1" w:rsidRDefault="000137DB" w:rsidP="00C426EB">
      <w:pPr>
        <w:pStyle w:val="Textoindependiente2"/>
        <w:tabs>
          <w:tab w:val="left" w:pos="567"/>
        </w:tabs>
        <w:spacing w:after="0" w:line="240" w:lineRule="auto"/>
        <w:ind w:left="567"/>
        <w:rPr>
          <w:rFonts w:cs="Times New Roman"/>
          <w:color w:val="000000" w:themeColor="text1"/>
          <w:sz w:val="26"/>
          <w:szCs w:val="26"/>
        </w:rPr>
      </w:pPr>
      <w:r w:rsidRPr="00C454A1">
        <w:rPr>
          <w:rFonts w:cs="Times New Roman"/>
          <w:color w:val="000000" w:themeColor="text1"/>
          <w:sz w:val="26"/>
          <w:szCs w:val="26"/>
        </w:rPr>
        <w:t xml:space="preserve">En ese marco, es claro que, para </w:t>
      </w:r>
      <w:bookmarkStart w:id="137" w:name="_Hlk197594401"/>
      <w:r w:rsidRPr="00C454A1">
        <w:rPr>
          <w:rFonts w:cs="Times New Roman"/>
          <w:color w:val="000000" w:themeColor="text1"/>
          <w:sz w:val="26"/>
          <w:szCs w:val="26"/>
        </w:rPr>
        <w:t xml:space="preserve">la superación de la grave alteración del orden público </w:t>
      </w:r>
      <w:bookmarkEnd w:id="137"/>
      <w:r w:rsidRPr="00C454A1">
        <w:rPr>
          <w:rFonts w:cs="Times New Roman"/>
          <w:color w:val="000000" w:themeColor="text1"/>
          <w:sz w:val="26"/>
          <w:szCs w:val="26"/>
        </w:rPr>
        <w:t xml:space="preserve">que afecta al país y que ha socavado la estabilidad institucional, las atribuciones ordinarias de policía resultan limitadas pues ellas no están diseñadas para afrontar situaciones agudas de crisis institucional como las invocadas en la declaratoria del estado de conmoción interior. </w:t>
      </w:r>
      <w:r w:rsidRPr="00C454A1">
        <w:rPr>
          <w:rFonts w:cs="Times New Roman"/>
          <w:color w:val="000000" w:themeColor="text1"/>
          <w:sz w:val="26"/>
          <w:szCs w:val="26"/>
          <w:u w:val="single"/>
        </w:rPr>
        <w:t>Todas esas medidas tienen un ámbito de eficacia determinado por aquellas alteraciones del orden público que hacen parte de la dinámica social y que imponen, para su superación, el ejercicio legítimo de la facultad de restringir el ejercicio de los derechos</w:t>
      </w:r>
      <w:r w:rsidRPr="00C454A1">
        <w:rPr>
          <w:rFonts w:cs="Times New Roman"/>
          <w:color w:val="000000" w:themeColor="text1"/>
          <w:sz w:val="26"/>
          <w:szCs w:val="26"/>
        </w:rPr>
        <w:t xml:space="preserve">. </w:t>
      </w:r>
    </w:p>
    <w:p w14:paraId="5C2C0C07" w14:textId="77777777" w:rsidR="000137DB" w:rsidRPr="00C454A1" w:rsidRDefault="000137DB" w:rsidP="000137DB">
      <w:pPr>
        <w:tabs>
          <w:tab w:val="left" w:pos="567"/>
        </w:tabs>
        <w:ind w:left="567"/>
        <w:rPr>
          <w:rFonts w:cs="Times New Roman"/>
          <w:color w:val="000000" w:themeColor="text1"/>
          <w:sz w:val="26"/>
          <w:szCs w:val="26"/>
        </w:rPr>
      </w:pPr>
    </w:p>
    <w:p w14:paraId="20D6509F" w14:textId="77777777" w:rsidR="000137DB" w:rsidRPr="00C454A1" w:rsidRDefault="000137DB" w:rsidP="000137DB">
      <w:pPr>
        <w:tabs>
          <w:tab w:val="left" w:pos="567"/>
        </w:tabs>
        <w:ind w:left="567"/>
        <w:rPr>
          <w:rFonts w:cs="Times New Roman"/>
          <w:color w:val="000000" w:themeColor="text1"/>
          <w:sz w:val="26"/>
          <w:szCs w:val="26"/>
          <w:u w:val="single"/>
        </w:rPr>
      </w:pPr>
      <w:r w:rsidRPr="00C454A1">
        <w:rPr>
          <w:rFonts w:cs="Times New Roman"/>
          <w:color w:val="000000" w:themeColor="text1"/>
          <w:sz w:val="26"/>
          <w:szCs w:val="26"/>
        </w:rPr>
        <w:t xml:space="preserve">[…]. No se discute que hechos similares a los ahora invocados, desde hace mucho tiempo hacen parte de la realidad nacional y de allí por qué se afirme que en Colombia se vive una anormalidad estructural y que es necesario que hechos de esa índole se aborden con las políticas permanentes y generales del Estado y mediante el despliegue de las facultades ordinarias de policía del presidente de la República. No obstante, así como se reconoce que esos hechos, pese a la frecuencia con que se cometen, han adquirido una intensidad inusitada, esto es, se han revestido de una nueva dimensión cualitativa, </w:t>
      </w:r>
      <w:r w:rsidRPr="00C454A1">
        <w:rPr>
          <w:rFonts w:cs="Times New Roman"/>
          <w:color w:val="000000" w:themeColor="text1"/>
          <w:sz w:val="26"/>
          <w:szCs w:val="26"/>
          <w:u w:val="single"/>
        </w:rPr>
        <w:t xml:space="preserve">en ese mismo sentido debe inferirse que </w:t>
      </w:r>
      <w:bookmarkStart w:id="138" w:name="_Hlk197594600"/>
      <w:r w:rsidRPr="00C454A1">
        <w:rPr>
          <w:rFonts w:cs="Times New Roman"/>
          <w:color w:val="000000" w:themeColor="text1"/>
          <w:sz w:val="26"/>
          <w:szCs w:val="26"/>
          <w:u w:val="single"/>
        </w:rPr>
        <w:t>las herramientas jurídicas ordinarias con que cuenta el Estado para hacer frente a ese inusitado y desestabilizador giro cualitativo deben ser también potenciadas</w:t>
      </w:r>
      <w:bookmarkEnd w:id="138"/>
      <w:r w:rsidRPr="00C454A1">
        <w:rPr>
          <w:rFonts w:cs="Times New Roman"/>
          <w:color w:val="000000" w:themeColor="text1"/>
          <w:sz w:val="26"/>
          <w:szCs w:val="26"/>
          <w:u w:val="single"/>
        </w:rPr>
        <w:t xml:space="preserve">. </w:t>
      </w:r>
    </w:p>
    <w:p w14:paraId="58DFA2B3" w14:textId="77777777" w:rsidR="000137DB" w:rsidRPr="00C454A1" w:rsidRDefault="000137DB" w:rsidP="000137DB">
      <w:pPr>
        <w:tabs>
          <w:tab w:val="left" w:pos="567"/>
        </w:tabs>
        <w:ind w:left="567"/>
        <w:rPr>
          <w:rFonts w:cs="Times New Roman"/>
          <w:color w:val="000000" w:themeColor="text1"/>
          <w:sz w:val="26"/>
          <w:szCs w:val="26"/>
        </w:rPr>
      </w:pPr>
    </w:p>
    <w:p w14:paraId="16719D0C" w14:textId="2549EE36" w:rsidR="000137DB" w:rsidRPr="00C454A1" w:rsidRDefault="000137DB" w:rsidP="000137DB">
      <w:pPr>
        <w:tabs>
          <w:tab w:val="left" w:pos="567"/>
        </w:tabs>
        <w:ind w:left="567"/>
        <w:rPr>
          <w:rFonts w:cs="Times New Roman"/>
          <w:color w:val="000000" w:themeColor="text1"/>
          <w:szCs w:val="28"/>
        </w:rPr>
      </w:pPr>
      <w:r w:rsidRPr="00C454A1">
        <w:rPr>
          <w:rFonts w:cs="Times New Roman"/>
          <w:color w:val="000000" w:themeColor="text1"/>
          <w:sz w:val="26"/>
          <w:szCs w:val="26"/>
        </w:rPr>
        <w:t>Hechos como los ataques contra ciudadanos indefensos, las violaciones a los derechos humanos y al derecho internacional humanitario, los delitos de lesa humanidad, los actos de terrorismo y los actos de coacción a mandatarios regionales y nacionales, en razón del giro cualitativo que en ellos se advierte, tienen un grado tal de afección del orden público y de incidencia sobre la estabilidad institucional, la seguridad del Estado o la convivencia ciudadana, que no pueden contrarrestarse con el simple ejercicio de las facultades de policía que ordinariamente le asisten al presidente de la República [subraya fuera del texto original].</w:t>
      </w:r>
      <w:r w:rsidR="00C426EB" w:rsidRPr="00C454A1">
        <w:rPr>
          <w:rFonts w:cs="Times New Roman"/>
          <w:color w:val="000000" w:themeColor="text1"/>
          <w:sz w:val="26"/>
          <w:szCs w:val="26"/>
        </w:rPr>
        <w:t>”</w:t>
      </w:r>
    </w:p>
    <w:p w14:paraId="1FA29E0B" w14:textId="77777777" w:rsidR="000137DB" w:rsidRPr="00C454A1" w:rsidRDefault="000137DB" w:rsidP="000137DB">
      <w:pPr>
        <w:tabs>
          <w:tab w:val="left" w:pos="567"/>
        </w:tabs>
        <w:rPr>
          <w:rFonts w:cs="Times New Roman"/>
          <w:color w:val="000000" w:themeColor="text1"/>
          <w:szCs w:val="28"/>
        </w:rPr>
      </w:pPr>
    </w:p>
    <w:p w14:paraId="5DB879F1" w14:textId="38C30026" w:rsidR="006E02A3" w:rsidRPr="00C454A1" w:rsidRDefault="006E02A3" w:rsidP="006E02A3">
      <w:pPr>
        <w:numPr>
          <w:ilvl w:val="0"/>
          <w:numId w:val="2"/>
        </w:numPr>
        <w:ind w:left="0" w:firstLine="0"/>
        <w:rPr>
          <w:color w:val="000000" w:themeColor="text1"/>
          <w:lang w:val="es-ES"/>
        </w:rPr>
      </w:pPr>
      <w:r w:rsidRPr="00C454A1">
        <w:rPr>
          <w:rFonts w:cs="Times New Roman"/>
          <w:color w:val="000000" w:themeColor="text1"/>
          <w:szCs w:val="28"/>
        </w:rPr>
        <w:t>La anterior cita también sugiere una estrecha relación entre el análisis de los presupuestos valorativo</w:t>
      </w:r>
      <w:r w:rsidRPr="00C454A1">
        <w:rPr>
          <w:rFonts w:eastAsia="Times New Roman" w:cs="Times New Roman"/>
          <w:color w:val="000000" w:themeColor="text1"/>
          <w:lang w:val="es-ES"/>
        </w:rPr>
        <w:t xml:space="preserve"> y de suficiencia. </w:t>
      </w:r>
      <w:r w:rsidR="001A1335" w:rsidRPr="00C454A1">
        <w:rPr>
          <w:rFonts w:eastAsia="Times New Roman" w:cs="Times New Roman"/>
          <w:color w:val="000000" w:themeColor="text1"/>
          <w:lang w:val="es-ES"/>
        </w:rPr>
        <w:t>El nivel de</w:t>
      </w:r>
      <w:r w:rsidRPr="00C454A1">
        <w:rPr>
          <w:rFonts w:eastAsia="Times New Roman" w:cs="Times New Roman"/>
          <w:color w:val="000000" w:themeColor="text1"/>
          <w:lang w:val="es-ES"/>
        </w:rPr>
        <w:t xml:space="preserve"> gravedad y carácter </w:t>
      </w:r>
      <w:r w:rsidR="001A1335" w:rsidRPr="00C454A1">
        <w:rPr>
          <w:rFonts w:eastAsia="Times New Roman" w:cs="Times New Roman"/>
          <w:color w:val="000000" w:themeColor="text1"/>
          <w:lang w:val="es-ES"/>
        </w:rPr>
        <w:t>inusual</w:t>
      </w:r>
      <w:r w:rsidRPr="00C454A1">
        <w:rPr>
          <w:rFonts w:eastAsia="Times New Roman" w:cs="Times New Roman"/>
          <w:color w:val="000000" w:themeColor="text1"/>
          <w:lang w:val="es-ES"/>
        </w:rPr>
        <w:t xml:space="preserve"> de los hechos que motivan la declaración de un estado de conmoción interior </w:t>
      </w:r>
      <w:r w:rsidR="001A1335" w:rsidRPr="00C454A1">
        <w:rPr>
          <w:rFonts w:eastAsia="Times New Roman" w:cs="Times New Roman"/>
          <w:color w:val="000000" w:themeColor="text1"/>
          <w:lang w:val="es-ES"/>
        </w:rPr>
        <w:t>tienen incidencia directa sobre la</w:t>
      </w:r>
      <w:r w:rsidRPr="00C454A1">
        <w:rPr>
          <w:rFonts w:eastAsia="Times New Roman" w:cs="Times New Roman"/>
          <w:color w:val="000000" w:themeColor="text1"/>
          <w:lang w:val="es-ES"/>
        </w:rPr>
        <w:t xml:space="preserve"> capacidad de las medidas ordinarias </w:t>
      </w:r>
      <w:r w:rsidR="00201F0E" w:rsidRPr="00C454A1">
        <w:rPr>
          <w:rFonts w:eastAsia="Times New Roman" w:cs="Times New Roman"/>
          <w:color w:val="000000" w:themeColor="text1"/>
          <w:lang w:val="es-ES"/>
        </w:rPr>
        <w:t>de</w:t>
      </w:r>
      <w:r w:rsidRPr="00C454A1">
        <w:rPr>
          <w:rFonts w:eastAsia="Times New Roman" w:cs="Times New Roman"/>
          <w:color w:val="000000" w:themeColor="text1"/>
          <w:lang w:val="es-ES"/>
        </w:rPr>
        <w:t xml:space="preserve"> brindar una respuesta oportuna y suficiente. Esto se debe a que los </w:t>
      </w:r>
      <w:r w:rsidRPr="00C454A1">
        <w:rPr>
          <w:rFonts w:eastAsia="Times New Roman" w:cs="Times New Roman"/>
          <w:color w:val="000000" w:themeColor="text1"/>
          <w:lang w:val="es-ES"/>
        </w:rPr>
        <w:lastRenderedPageBreak/>
        <w:t>mecanismos habituales para abordar problemas de orden público están diseñados para nuestra "anormalidad" cotidiana. Si bien la normativa debe contemplar herramientas para situaciones de crisis, cuando las alteraciones del orden público exceden toda previsibilidad</w:t>
      </w:r>
      <w:r w:rsidR="00FB675E" w:rsidRPr="00C454A1">
        <w:rPr>
          <w:rFonts w:eastAsia="Times New Roman" w:cs="Times New Roman"/>
          <w:color w:val="000000" w:themeColor="text1"/>
          <w:lang w:val="es-ES"/>
        </w:rPr>
        <w:t xml:space="preserve"> y adquieren un carácter inusitado</w:t>
      </w:r>
      <w:r w:rsidRPr="00C454A1">
        <w:rPr>
          <w:rFonts w:eastAsia="Times New Roman" w:cs="Times New Roman"/>
          <w:color w:val="000000" w:themeColor="text1"/>
          <w:lang w:val="es-ES"/>
        </w:rPr>
        <w:t xml:space="preserve">, </w:t>
      </w:r>
      <w:r w:rsidR="001A1335" w:rsidRPr="00C454A1">
        <w:rPr>
          <w:rFonts w:eastAsia="Times New Roman" w:cs="Times New Roman"/>
          <w:color w:val="000000" w:themeColor="text1"/>
          <w:lang w:val="es-ES"/>
        </w:rPr>
        <w:t>se ponen a prueba incluso los mecanismos de emergencia de los arreglos institucionales ordinarios</w:t>
      </w:r>
      <w:r w:rsidRPr="00C454A1">
        <w:rPr>
          <w:rFonts w:eastAsia="Times New Roman" w:cs="Times New Roman"/>
          <w:color w:val="000000" w:themeColor="text1"/>
          <w:lang w:val="es-ES"/>
        </w:rPr>
        <w:t>.</w:t>
      </w:r>
    </w:p>
    <w:p w14:paraId="03C52716" w14:textId="092AED72" w:rsidR="006E02A3" w:rsidRPr="00C454A1" w:rsidRDefault="006E02A3" w:rsidP="009F792C">
      <w:pPr>
        <w:tabs>
          <w:tab w:val="left" w:pos="567"/>
        </w:tabs>
        <w:rPr>
          <w:rFonts w:cs="Times New Roman"/>
          <w:color w:val="000000" w:themeColor="text1"/>
          <w:szCs w:val="28"/>
        </w:rPr>
      </w:pPr>
    </w:p>
    <w:p w14:paraId="486F68FE" w14:textId="21E6B6FC" w:rsidR="00C426EB" w:rsidRPr="00C454A1" w:rsidRDefault="000137DB" w:rsidP="00C426EB">
      <w:pPr>
        <w:numPr>
          <w:ilvl w:val="0"/>
          <w:numId w:val="2"/>
        </w:numPr>
        <w:tabs>
          <w:tab w:val="left" w:pos="567"/>
        </w:tabs>
        <w:ind w:left="0" w:firstLine="0"/>
        <w:rPr>
          <w:rFonts w:cs="Times New Roman"/>
          <w:color w:val="000000" w:themeColor="text1"/>
          <w:szCs w:val="28"/>
        </w:rPr>
      </w:pPr>
      <w:bookmarkStart w:id="139" w:name="_Ref203401408"/>
      <w:r w:rsidRPr="00C454A1">
        <w:rPr>
          <w:rFonts w:cs="Times New Roman"/>
          <w:color w:val="000000" w:themeColor="text1"/>
          <w:szCs w:val="28"/>
        </w:rPr>
        <w:t xml:space="preserve">En síntesis, para que la declaratoria de conmoción interior sea válida, </w:t>
      </w:r>
      <w:bookmarkStart w:id="140" w:name="_Hlk194762908"/>
      <w:r w:rsidRPr="00C454A1">
        <w:rPr>
          <w:rFonts w:cs="Times New Roman"/>
          <w:color w:val="000000" w:themeColor="text1"/>
          <w:szCs w:val="28"/>
        </w:rPr>
        <w:t xml:space="preserve">no basta con que exista una perturbación del orden público “grave”, “extraordinaria” y que atente de forma “inminente” contra la estabilidad institucional, la seguridad del Estado o la convivencia ciudadana. El presupuesto de suficiencia exige, además, que el </w:t>
      </w:r>
      <w:r w:rsidR="00F205DC" w:rsidRPr="00C454A1">
        <w:rPr>
          <w:rFonts w:cs="Times New Roman"/>
          <w:color w:val="000000" w:themeColor="text1"/>
          <w:szCs w:val="28"/>
        </w:rPr>
        <w:t>Gobierno nacional</w:t>
      </w:r>
      <w:r w:rsidRPr="00C454A1">
        <w:rPr>
          <w:rFonts w:cs="Times New Roman"/>
          <w:color w:val="000000" w:themeColor="text1"/>
          <w:szCs w:val="28"/>
        </w:rPr>
        <w:t xml:space="preserve"> </w:t>
      </w:r>
      <w:r w:rsidR="00F205DC" w:rsidRPr="00C454A1">
        <w:rPr>
          <w:rFonts w:cs="Times New Roman"/>
          <w:color w:val="000000" w:themeColor="text1"/>
          <w:szCs w:val="28"/>
        </w:rPr>
        <w:t xml:space="preserve">justifique </w:t>
      </w:r>
      <w:r w:rsidRPr="00C454A1">
        <w:rPr>
          <w:rFonts w:cs="Times New Roman"/>
          <w:color w:val="000000" w:themeColor="text1"/>
          <w:szCs w:val="28"/>
        </w:rPr>
        <w:t xml:space="preserve">la insuficiencia global de </w:t>
      </w:r>
      <w:r w:rsidR="00F205DC" w:rsidRPr="00C454A1">
        <w:rPr>
          <w:rFonts w:cs="Times New Roman"/>
          <w:color w:val="000000" w:themeColor="text1"/>
          <w:szCs w:val="28"/>
        </w:rPr>
        <w:t xml:space="preserve">sus </w:t>
      </w:r>
      <w:r w:rsidRPr="00C454A1">
        <w:rPr>
          <w:rFonts w:cs="Times New Roman"/>
          <w:color w:val="000000" w:themeColor="text1"/>
          <w:szCs w:val="28"/>
        </w:rPr>
        <w:t>atribuciones, poderes y mecanismos ordinarios para conjurar las causas de la grave perturbación de orden público y sus efectos. La voluntad del constituyente es clara: el estado de conmoción interior debe ser el “último recurso”</w:t>
      </w:r>
      <w:r w:rsidRPr="00C454A1">
        <w:rPr>
          <w:rFonts w:cs="Times New Roman"/>
          <w:color w:val="000000" w:themeColor="text1"/>
          <w:szCs w:val="28"/>
          <w:vertAlign w:val="superscript"/>
        </w:rPr>
        <w:t xml:space="preserve"> </w:t>
      </w:r>
      <w:r w:rsidRPr="00C454A1">
        <w:rPr>
          <w:rFonts w:cs="Times New Roman"/>
          <w:color w:val="000000" w:themeColor="text1"/>
          <w:szCs w:val="28"/>
          <w:vertAlign w:val="superscript"/>
        </w:rPr>
        <w:footnoteReference w:id="108"/>
      </w:r>
      <w:r w:rsidRPr="00C454A1">
        <w:rPr>
          <w:rFonts w:cs="Times New Roman"/>
          <w:color w:val="000000" w:themeColor="text1"/>
          <w:szCs w:val="28"/>
        </w:rPr>
        <w:t xml:space="preserve"> para atender las perturbaciones del orden público, así como la última medida en la “agenda jurídica y política del Estado”</w:t>
      </w:r>
      <w:r w:rsidRPr="00C454A1">
        <w:rPr>
          <w:rStyle w:val="Refdenotaalpie"/>
          <w:rFonts w:cs="Times New Roman"/>
          <w:color w:val="000000" w:themeColor="text1"/>
          <w:szCs w:val="28"/>
        </w:rPr>
        <w:footnoteReference w:id="109"/>
      </w:r>
      <w:r w:rsidRPr="00C454A1">
        <w:rPr>
          <w:rFonts w:cs="Times New Roman"/>
          <w:color w:val="000000" w:themeColor="text1"/>
          <w:szCs w:val="28"/>
        </w:rPr>
        <w:t xml:space="preserve"> para conjurar sus efectos en las instituciones del Estado y la convivencia ciudadana.</w:t>
      </w:r>
      <w:bookmarkEnd w:id="139"/>
      <w:r w:rsidRPr="00C454A1">
        <w:rPr>
          <w:rFonts w:cs="Times New Roman"/>
          <w:color w:val="000000" w:themeColor="text1"/>
          <w:szCs w:val="28"/>
        </w:rPr>
        <w:t xml:space="preserve"> </w:t>
      </w:r>
    </w:p>
    <w:p w14:paraId="4A17BC53" w14:textId="77777777" w:rsidR="00C426EB" w:rsidRPr="00C454A1" w:rsidRDefault="00C426EB" w:rsidP="00C426EB">
      <w:pPr>
        <w:tabs>
          <w:tab w:val="left" w:pos="567"/>
        </w:tabs>
        <w:rPr>
          <w:rFonts w:cs="Times New Roman"/>
          <w:color w:val="000000" w:themeColor="text1"/>
          <w:szCs w:val="28"/>
        </w:rPr>
      </w:pPr>
    </w:p>
    <w:p w14:paraId="37F166C2" w14:textId="06212877" w:rsidR="00A80F23" w:rsidRPr="00C454A1" w:rsidRDefault="00A80F23" w:rsidP="00A80F23">
      <w:pPr>
        <w:pStyle w:val="Prrafodelista"/>
        <w:widowControl w:val="0"/>
        <w:numPr>
          <w:ilvl w:val="0"/>
          <w:numId w:val="3"/>
        </w:numPr>
        <w:ind w:left="709" w:hanging="709"/>
        <w:outlineLvl w:val="0"/>
        <w:rPr>
          <w:rFonts w:cs="Times New Roman"/>
          <w:b/>
          <w:bCs/>
          <w:color w:val="000000" w:themeColor="text1"/>
          <w:szCs w:val="28"/>
          <w:lang w:eastAsia="es-ES"/>
        </w:rPr>
      </w:pPr>
      <w:bookmarkStart w:id="141" w:name="_Toc203397117"/>
      <w:bookmarkStart w:id="142" w:name="_Toc203397181"/>
      <w:bookmarkStart w:id="143" w:name="_Toc203401465"/>
      <w:bookmarkStart w:id="144" w:name="_Toc203401776"/>
      <w:bookmarkStart w:id="145" w:name="_Toc203397118"/>
      <w:bookmarkStart w:id="146" w:name="_Toc203397182"/>
      <w:bookmarkStart w:id="147" w:name="_Toc203401466"/>
      <w:bookmarkStart w:id="148" w:name="_Toc203401777"/>
      <w:bookmarkStart w:id="149" w:name="_Toc223979937"/>
      <w:bookmarkEnd w:id="141"/>
      <w:bookmarkEnd w:id="142"/>
      <w:bookmarkEnd w:id="143"/>
      <w:bookmarkEnd w:id="144"/>
      <w:bookmarkEnd w:id="145"/>
      <w:bookmarkEnd w:id="146"/>
      <w:bookmarkEnd w:id="147"/>
      <w:bookmarkEnd w:id="148"/>
      <w:r w:rsidRPr="00C454A1">
        <w:rPr>
          <w:rFonts w:cs="Times New Roman"/>
          <w:b/>
          <w:bCs/>
          <w:color w:val="000000" w:themeColor="text1"/>
          <w:szCs w:val="28"/>
        </w:rPr>
        <w:t xml:space="preserve">La jurisprudencia constitucional en materia de estados de excepción cuyo fundamento son </w:t>
      </w:r>
      <w:r w:rsidR="00AD7847" w:rsidRPr="00C454A1">
        <w:rPr>
          <w:rFonts w:cs="Times New Roman"/>
          <w:b/>
          <w:bCs/>
          <w:color w:val="000000" w:themeColor="text1"/>
          <w:szCs w:val="28"/>
        </w:rPr>
        <w:t xml:space="preserve">problemas </w:t>
      </w:r>
      <w:r w:rsidRPr="00C454A1">
        <w:rPr>
          <w:rFonts w:cs="Times New Roman"/>
          <w:b/>
          <w:bCs/>
          <w:color w:val="000000" w:themeColor="text1"/>
          <w:szCs w:val="28"/>
        </w:rPr>
        <w:t>estructurales o crónic</w:t>
      </w:r>
      <w:r w:rsidR="00AD7847" w:rsidRPr="00C454A1">
        <w:rPr>
          <w:rFonts w:cs="Times New Roman"/>
          <w:b/>
          <w:bCs/>
          <w:color w:val="000000" w:themeColor="text1"/>
          <w:szCs w:val="28"/>
        </w:rPr>
        <w:t>o</w:t>
      </w:r>
      <w:r w:rsidRPr="00C454A1">
        <w:rPr>
          <w:rFonts w:cs="Times New Roman"/>
          <w:b/>
          <w:bCs/>
          <w:color w:val="000000" w:themeColor="text1"/>
          <w:szCs w:val="28"/>
        </w:rPr>
        <w:t>s</w:t>
      </w:r>
      <w:bookmarkEnd w:id="149"/>
    </w:p>
    <w:p w14:paraId="51E05AB0" w14:textId="77777777" w:rsidR="00A80F23" w:rsidRPr="00C454A1" w:rsidRDefault="00A80F23" w:rsidP="009F792C">
      <w:pPr>
        <w:rPr>
          <w:rFonts w:cs="Times New Roman"/>
          <w:color w:val="000000" w:themeColor="text1"/>
          <w:szCs w:val="28"/>
        </w:rPr>
      </w:pPr>
    </w:p>
    <w:p w14:paraId="4A7DAE85" w14:textId="6B3C607E" w:rsidR="00A80F23" w:rsidRPr="00C454A1" w:rsidRDefault="00A80F23" w:rsidP="000137DB">
      <w:pPr>
        <w:numPr>
          <w:ilvl w:val="0"/>
          <w:numId w:val="2"/>
        </w:numPr>
        <w:tabs>
          <w:tab w:val="left" w:pos="567"/>
        </w:tabs>
        <w:ind w:left="0" w:firstLine="0"/>
        <w:rPr>
          <w:rFonts w:cs="Times New Roman"/>
          <w:color w:val="000000" w:themeColor="text1"/>
          <w:szCs w:val="28"/>
        </w:rPr>
      </w:pPr>
      <w:bookmarkStart w:id="150" w:name="_Ref219309860"/>
      <w:r w:rsidRPr="00C454A1">
        <w:rPr>
          <w:rFonts w:cs="Times New Roman"/>
          <w:color w:val="000000" w:themeColor="text1"/>
          <w:szCs w:val="28"/>
        </w:rPr>
        <w:t xml:space="preserve">Varios intervinientes alegan que el </w:t>
      </w:r>
      <w:r w:rsidR="004A0910" w:rsidRPr="00C454A1">
        <w:rPr>
          <w:rFonts w:cs="Times New Roman"/>
          <w:color w:val="000000" w:themeColor="text1"/>
          <w:szCs w:val="28"/>
        </w:rPr>
        <w:t xml:space="preserve">Decreto </w:t>
      </w:r>
      <w:r w:rsidRPr="00C454A1">
        <w:rPr>
          <w:rFonts w:cs="Times New Roman"/>
          <w:color w:val="000000" w:themeColor="text1"/>
          <w:szCs w:val="28"/>
        </w:rPr>
        <w:t xml:space="preserve">Legislativo 62 de 2025 debe ser declarado inexequible, ya que se fundamenta en hechos que reflejan problemas crónicos y estructurales que </w:t>
      </w:r>
      <w:r w:rsidR="003A4A46" w:rsidRPr="00C454A1">
        <w:rPr>
          <w:rFonts w:cs="Times New Roman"/>
          <w:color w:val="000000" w:themeColor="text1"/>
          <w:szCs w:val="28"/>
        </w:rPr>
        <w:t xml:space="preserve">la región del Catatumbo ha enfrentado </w:t>
      </w:r>
      <w:r w:rsidRPr="00C454A1">
        <w:rPr>
          <w:rFonts w:cs="Times New Roman"/>
          <w:color w:val="000000" w:themeColor="text1"/>
          <w:szCs w:val="28"/>
        </w:rPr>
        <w:t xml:space="preserve">por décadas. Por </w:t>
      </w:r>
      <w:r w:rsidR="003A4A46" w:rsidRPr="00C454A1">
        <w:rPr>
          <w:rFonts w:cs="Times New Roman"/>
          <w:color w:val="000000" w:themeColor="text1"/>
          <w:szCs w:val="28"/>
        </w:rPr>
        <w:t>ello</w:t>
      </w:r>
      <w:r w:rsidRPr="00C454A1">
        <w:rPr>
          <w:rFonts w:cs="Times New Roman"/>
          <w:color w:val="000000" w:themeColor="text1"/>
          <w:szCs w:val="28"/>
        </w:rPr>
        <w:t xml:space="preserve">, esta sección </w:t>
      </w:r>
      <w:r w:rsidR="003A4A46" w:rsidRPr="00C454A1">
        <w:rPr>
          <w:rFonts w:cs="Times New Roman"/>
          <w:color w:val="000000" w:themeColor="text1"/>
          <w:szCs w:val="28"/>
        </w:rPr>
        <w:t>estudia</w:t>
      </w:r>
      <w:r w:rsidR="00A035B6" w:rsidRPr="00C454A1">
        <w:rPr>
          <w:rFonts w:cs="Times New Roman"/>
          <w:color w:val="000000" w:themeColor="text1"/>
          <w:szCs w:val="28"/>
        </w:rPr>
        <w:t xml:space="preserve"> la jurisprudencia </w:t>
      </w:r>
      <w:r w:rsidR="004D06AE" w:rsidRPr="00C454A1">
        <w:rPr>
          <w:rFonts w:cs="Times New Roman"/>
          <w:color w:val="000000" w:themeColor="text1"/>
          <w:szCs w:val="28"/>
        </w:rPr>
        <w:t xml:space="preserve">constitucional </w:t>
      </w:r>
      <w:r w:rsidR="00A035B6" w:rsidRPr="00C454A1">
        <w:rPr>
          <w:rFonts w:cs="Times New Roman"/>
          <w:color w:val="000000" w:themeColor="text1"/>
          <w:szCs w:val="28"/>
        </w:rPr>
        <w:t>sobre esta cuestión</w:t>
      </w:r>
      <w:r w:rsidR="003A4A46" w:rsidRPr="00C454A1">
        <w:rPr>
          <w:rFonts w:cs="Times New Roman"/>
          <w:color w:val="000000" w:themeColor="text1"/>
          <w:szCs w:val="28"/>
        </w:rPr>
        <w:t>,</w:t>
      </w:r>
      <w:r w:rsidR="0073002A" w:rsidRPr="00C454A1">
        <w:rPr>
          <w:rFonts w:cs="Times New Roman"/>
          <w:color w:val="000000" w:themeColor="text1"/>
          <w:szCs w:val="28"/>
        </w:rPr>
        <w:t xml:space="preserve"> a la luz de la cual, en secciones posteriores, la Sala Plena </w:t>
      </w:r>
      <w:r w:rsidR="003A4A46" w:rsidRPr="00C454A1">
        <w:rPr>
          <w:rFonts w:cs="Times New Roman"/>
          <w:color w:val="000000" w:themeColor="text1"/>
          <w:szCs w:val="28"/>
        </w:rPr>
        <w:t>examinará</w:t>
      </w:r>
      <w:r w:rsidR="0073002A" w:rsidRPr="00C454A1">
        <w:rPr>
          <w:rFonts w:cs="Times New Roman"/>
          <w:color w:val="000000" w:themeColor="text1"/>
          <w:szCs w:val="28"/>
        </w:rPr>
        <w:t xml:space="preserve"> los </w:t>
      </w:r>
      <w:r w:rsidR="00AD7847" w:rsidRPr="00C454A1">
        <w:rPr>
          <w:rFonts w:cs="Times New Roman"/>
          <w:color w:val="000000" w:themeColor="text1"/>
          <w:szCs w:val="28"/>
        </w:rPr>
        <w:t>cuestionamientos</w:t>
      </w:r>
      <w:r w:rsidR="0073002A" w:rsidRPr="00C454A1">
        <w:rPr>
          <w:rFonts w:cs="Times New Roman"/>
          <w:color w:val="000000" w:themeColor="text1"/>
          <w:szCs w:val="28"/>
        </w:rPr>
        <w:t xml:space="preserve"> de los intervinientes</w:t>
      </w:r>
      <w:r w:rsidR="00A035B6" w:rsidRPr="00C454A1">
        <w:rPr>
          <w:rFonts w:cs="Times New Roman"/>
          <w:color w:val="000000" w:themeColor="text1"/>
          <w:szCs w:val="28"/>
        </w:rPr>
        <w:t xml:space="preserve">. Como se anunció en </w:t>
      </w:r>
      <w:r w:rsidR="004D06AE" w:rsidRPr="00C454A1">
        <w:rPr>
          <w:rFonts w:cs="Times New Roman"/>
          <w:color w:val="000000" w:themeColor="text1"/>
          <w:szCs w:val="28"/>
        </w:rPr>
        <w:t>los fundamentos</w:t>
      </w:r>
      <w:r w:rsidR="00774297" w:rsidRPr="00C454A1">
        <w:rPr>
          <w:rFonts w:cs="Times New Roman"/>
          <w:color w:val="000000" w:themeColor="text1"/>
          <w:szCs w:val="28"/>
        </w:rPr>
        <w:t xml:space="preserve"> </w:t>
      </w:r>
      <w:r w:rsidR="00774297" w:rsidRPr="00C454A1">
        <w:rPr>
          <w:rFonts w:cs="Times New Roman"/>
          <w:color w:val="000000" w:themeColor="text1"/>
          <w:szCs w:val="28"/>
        </w:rPr>
        <w:fldChar w:fldCharType="begin"/>
      </w:r>
      <w:r w:rsidR="00774297" w:rsidRPr="00C454A1">
        <w:rPr>
          <w:rFonts w:cs="Times New Roman"/>
          <w:color w:val="000000" w:themeColor="text1"/>
          <w:szCs w:val="28"/>
        </w:rPr>
        <w:instrText xml:space="preserve"> REF _Ref219309233 \r \h </w:instrText>
      </w:r>
      <w:r w:rsidR="00DD0E75" w:rsidRPr="00C454A1">
        <w:rPr>
          <w:rFonts w:cs="Times New Roman"/>
          <w:color w:val="000000" w:themeColor="text1"/>
          <w:szCs w:val="28"/>
        </w:rPr>
        <w:instrText xml:space="preserve"> \* MERGEFORMAT </w:instrText>
      </w:r>
      <w:r w:rsidR="00774297" w:rsidRPr="00C454A1">
        <w:rPr>
          <w:rFonts w:cs="Times New Roman"/>
          <w:color w:val="000000" w:themeColor="text1"/>
          <w:szCs w:val="28"/>
        </w:rPr>
      </w:r>
      <w:r w:rsidR="00774297" w:rsidRPr="00C454A1">
        <w:rPr>
          <w:rFonts w:cs="Times New Roman"/>
          <w:color w:val="000000" w:themeColor="text1"/>
          <w:szCs w:val="28"/>
        </w:rPr>
        <w:fldChar w:fldCharType="separate"/>
      </w:r>
      <w:r w:rsidR="00881E6A">
        <w:rPr>
          <w:rFonts w:cs="Times New Roman"/>
          <w:color w:val="000000" w:themeColor="text1"/>
          <w:szCs w:val="28"/>
        </w:rPr>
        <w:t>76</w:t>
      </w:r>
      <w:r w:rsidR="00774297" w:rsidRPr="00C454A1">
        <w:rPr>
          <w:rFonts w:cs="Times New Roman"/>
          <w:color w:val="000000" w:themeColor="text1"/>
          <w:szCs w:val="28"/>
        </w:rPr>
        <w:fldChar w:fldCharType="end"/>
      </w:r>
      <w:r w:rsidR="00774297" w:rsidRPr="00C454A1">
        <w:rPr>
          <w:rFonts w:cs="Times New Roman"/>
          <w:color w:val="000000" w:themeColor="text1"/>
          <w:szCs w:val="28"/>
        </w:rPr>
        <w:t xml:space="preserve"> y siguientes</w:t>
      </w:r>
      <w:r w:rsidR="004D06AE" w:rsidRPr="00C454A1">
        <w:rPr>
          <w:rFonts w:cs="Times New Roman"/>
          <w:color w:val="000000" w:themeColor="text1"/>
          <w:szCs w:val="28"/>
        </w:rPr>
        <w:t>, la pregunta sobre si un problema estructural</w:t>
      </w:r>
      <w:r w:rsidR="004A0291" w:rsidRPr="00C454A1">
        <w:rPr>
          <w:rFonts w:cs="Times New Roman"/>
          <w:color w:val="000000" w:themeColor="text1"/>
          <w:szCs w:val="28"/>
        </w:rPr>
        <w:t>, endémico</w:t>
      </w:r>
      <w:r w:rsidR="004D06AE" w:rsidRPr="00C454A1">
        <w:rPr>
          <w:rFonts w:cs="Times New Roman"/>
          <w:color w:val="000000" w:themeColor="text1"/>
          <w:szCs w:val="28"/>
        </w:rPr>
        <w:t xml:space="preserve"> o crónico puede justificar la declaración de un estado de conmoción interior hace parte del escrutinio del presupuesto valorativo, espec</w:t>
      </w:r>
      <w:r w:rsidR="000D47DE" w:rsidRPr="00C454A1">
        <w:rPr>
          <w:rFonts w:cs="Times New Roman"/>
          <w:color w:val="000000" w:themeColor="text1"/>
          <w:szCs w:val="28"/>
        </w:rPr>
        <w:t>íficamente</w:t>
      </w:r>
      <w:r w:rsidR="004A0910" w:rsidRPr="00C454A1">
        <w:rPr>
          <w:rFonts w:cs="Times New Roman"/>
          <w:color w:val="000000" w:themeColor="text1"/>
          <w:szCs w:val="28"/>
        </w:rPr>
        <w:t>,</w:t>
      </w:r>
      <w:r w:rsidR="004D06AE" w:rsidRPr="00C454A1">
        <w:rPr>
          <w:rFonts w:cs="Times New Roman"/>
          <w:color w:val="000000" w:themeColor="text1"/>
          <w:szCs w:val="28"/>
        </w:rPr>
        <w:t xml:space="preserve"> </w:t>
      </w:r>
      <w:r w:rsidR="000D47DE" w:rsidRPr="00C454A1">
        <w:rPr>
          <w:rFonts w:cs="Times New Roman"/>
          <w:color w:val="000000" w:themeColor="text1"/>
          <w:szCs w:val="28"/>
        </w:rPr>
        <w:t>se relaciona</w:t>
      </w:r>
      <w:r w:rsidR="004D06AE" w:rsidRPr="00C454A1">
        <w:rPr>
          <w:rFonts w:cs="Times New Roman"/>
          <w:color w:val="000000" w:themeColor="text1"/>
          <w:szCs w:val="28"/>
        </w:rPr>
        <w:t xml:space="preserve"> con la exigencia de que las perturbaciones al orden público sean extraordinarias. </w:t>
      </w:r>
      <w:r w:rsidR="002D51CE" w:rsidRPr="00C454A1">
        <w:rPr>
          <w:rFonts w:cs="Times New Roman"/>
          <w:color w:val="000000" w:themeColor="text1"/>
          <w:szCs w:val="28"/>
        </w:rPr>
        <w:t>Esta cuestión se ha abordado</w:t>
      </w:r>
      <w:r w:rsidR="003A4A46" w:rsidRPr="00C454A1">
        <w:rPr>
          <w:rFonts w:cs="Times New Roman"/>
          <w:color w:val="000000" w:themeColor="text1"/>
          <w:szCs w:val="28"/>
        </w:rPr>
        <w:t xml:space="preserve"> </w:t>
      </w:r>
      <w:r w:rsidR="004A1047" w:rsidRPr="00C454A1">
        <w:rPr>
          <w:rFonts w:cs="Times New Roman"/>
          <w:color w:val="000000" w:themeColor="text1"/>
          <w:szCs w:val="28"/>
        </w:rPr>
        <w:t>en algunas sentencias</w:t>
      </w:r>
      <w:r w:rsidR="002D51CE" w:rsidRPr="00C454A1">
        <w:rPr>
          <w:rFonts w:cs="Times New Roman"/>
          <w:color w:val="000000" w:themeColor="text1"/>
          <w:szCs w:val="28"/>
        </w:rPr>
        <w:t xml:space="preserve"> sobre el estado de conmoción</w:t>
      </w:r>
      <w:r w:rsidR="000D47DE" w:rsidRPr="00C454A1">
        <w:rPr>
          <w:rFonts w:cs="Times New Roman"/>
          <w:color w:val="000000" w:themeColor="text1"/>
          <w:szCs w:val="28"/>
        </w:rPr>
        <w:t xml:space="preserve"> interior</w:t>
      </w:r>
      <w:r w:rsidR="003A4A46" w:rsidRPr="00C454A1">
        <w:rPr>
          <w:rFonts w:cs="Times New Roman"/>
          <w:color w:val="000000" w:themeColor="text1"/>
          <w:szCs w:val="28"/>
        </w:rPr>
        <w:t>; sin embargo,</w:t>
      </w:r>
      <w:r w:rsidR="002D51CE" w:rsidRPr="00C454A1">
        <w:rPr>
          <w:rFonts w:cs="Times New Roman"/>
          <w:color w:val="000000" w:themeColor="text1"/>
          <w:szCs w:val="28"/>
        </w:rPr>
        <w:t xml:space="preserve"> ha sido examinada </w:t>
      </w:r>
      <w:r w:rsidR="004A0291" w:rsidRPr="00C454A1">
        <w:rPr>
          <w:rFonts w:cs="Times New Roman"/>
          <w:color w:val="000000" w:themeColor="text1"/>
          <w:szCs w:val="28"/>
        </w:rPr>
        <w:t>con mayor</w:t>
      </w:r>
      <w:r w:rsidR="002D51CE" w:rsidRPr="00C454A1">
        <w:rPr>
          <w:rFonts w:cs="Times New Roman"/>
          <w:color w:val="000000" w:themeColor="text1"/>
          <w:szCs w:val="28"/>
        </w:rPr>
        <w:t xml:space="preserve"> detalle en los fallos sobre el estado de emergencia social, económica y ecológica. Teniendo en cuenta que esta exigencia se desprende de</w:t>
      </w:r>
      <w:r w:rsidR="00C25BF7" w:rsidRPr="00C454A1">
        <w:rPr>
          <w:rFonts w:cs="Times New Roman"/>
          <w:color w:val="000000" w:themeColor="text1"/>
          <w:szCs w:val="28"/>
        </w:rPr>
        <w:t xml:space="preserve">l artículo 2 de la LEEE, </w:t>
      </w:r>
      <w:r w:rsidR="003A4A46" w:rsidRPr="00C454A1">
        <w:rPr>
          <w:rFonts w:cs="Times New Roman"/>
          <w:color w:val="000000" w:themeColor="text1"/>
          <w:szCs w:val="28"/>
        </w:rPr>
        <w:t xml:space="preserve">una </w:t>
      </w:r>
      <w:r w:rsidR="00C25BF7" w:rsidRPr="00C454A1">
        <w:rPr>
          <w:rFonts w:cs="Times New Roman"/>
          <w:color w:val="000000" w:themeColor="text1"/>
          <w:szCs w:val="28"/>
        </w:rPr>
        <w:t>regulación común a todos los estados de excepción previstos en la Constitución,</w:t>
      </w:r>
      <w:r w:rsidR="003A4A46" w:rsidRPr="00C454A1">
        <w:rPr>
          <w:rFonts w:cs="Times New Roman"/>
          <w:color w:val="000000" w:themeColor="text1"/>
          <w:szCs w:val="28"/>
        </w:rPr>
        <w:t xml:space="preserve"> esta última jurisprudencia debe informar también la interpretación de las exigencias del estado de conmoción interior. A continuación, la Sala </w:t>
      </w:r>
      <w:r w:rsidR="004A1047" w:rsidRPr="00C454A1">
        <w:rPr>
          <w:rFonts w:cs="Times New Roman"/>
          <w:color w:val="000000" w:themeColor="text1"/>
          <w:szCs w:val="28"/>
        </w:rPr>
        <w:t xml:space="preserve">analizará las sentencias sobre conmoción interior que han abordado esta cuestión. Luego, se ocupará de la </w:t>
      </w:r>
      <w:r w:rsidR="003A4A46" w:rsidRPr="00C454A1">
        <w:rPr>
          <w:rFonts w:cs="Times New Roman"/>
          <w:color w:val="000000" w:themeColor="text1"/>
          <w:szCs w:val="28"/>
        </w:rPr>
        <w:t>línea jurisprudencia</w:t>
      </w:r>
      <w:r w:rsidR="004A1047" w:rsidRPr="00C454A1">
        <w:rPr>
          <w:rFonts w:cs="Times New Roman"/>
          <w:color w:val="000000" w:themeColor="text1"/>
          <w:szCs w:val="28"/>
        </w:rPr>
        <w:t xml:space="preserve">l sobre problemas estructurales y crónicos en los estados de emergencia económica, social y ecológica, </w:t>
      </w:r>
      <w:r w:rsidR="00CC54E5" w:rsidRPr="00C454A1">
        <w:rPr>
          <w:rFonts w:cs="Times New Roman"/>
          <w:color w:val="000000" w:themeColor="text1"/>
          <w:szCs w:val="28"/>
        </w:rPr>
        <w:t>y destacará</w:t>
      </w:r>
      <w:r w:rsidR="003A4A46" w:rsidRPr="00C454A1">
        <w:rPr>
          <w:rFonts w:cs="Times New Roman"/>
          <w:color w:val="000000" w:themeColor="text1"/>
          <w:szCs w:val="28"/>
        </w:rPr>
        <w:t xml:space="preserve"> los elementos aplicables a la conmoción interior.</w:t>
      </w:r>
      <w:bookmarkEnd w:id="150"/>
    </w:p>
    <w:p w14:paraId="716D55A6" w14:textId="77777777" w:rsidR="00E03530" w:rsidRPr="00C454A1" w:rsidRDefault="00E03530" w:rsidP="00E03530">
      <w:pPr>
        <w:tabs>
          <w:tab w:val="left" w:pos="567"/>
        </w:tabs>
        <w:rPr>
          <w:rFonts w:cs="Times New Roman"/>
          <w:color w:val="000000" w:themeColor="text1"/>
          <w:szCs w:val="28"/>
        </w:rPr>
      </w:pPr>
    </w:p>
    <w:p w14:paraId="6EFE3F38" w14:textId="67F94AF6" w:rsidR="00E03530" w:rsidRPr="00C454A1" w:rsidRDefault="004E6887" w:rsidP="004E6887">
      <w:pPr>
        <w:pStyle w:val="Prrafodelista"/>
        <w:widowControl w:val="0"/>
        <w:numPr>
          <w:ilvl w:val="1"/>
          <w:numId w:val="3"/>
        </w:numPr>
        <w:tabs>
          <w:tab w:val="left" w:pos="567"/>
        </w:tabs>
        <w:outlineLvl w:val="0"/>
        <w:rPr>
          <w:rFonts w:cs="Times New Roman"/>
          <w:color w:val="000000" w:themeColor="text1"/>
          <w:lang w:eastAsia="es-ES"/>
        </w:rPr>
      </w:pPr>
      <w:r w:rsidRPr="00C454A1">
        <w:rPr>
          <w:rFonts w:cs="Times New Roman"/>
          <w:b/>
          <w:bCs/>
          <w:color w:val="000000" w:themeColor="text1"/>
          <w:szCs w:val="28"/>
        </w:rPr>
        <w:t xml:space="preserve"> </w:t>
      </w:r>
      <w:bookmarkStart w:id="151" w:name="_Toc223979938"/>
      <w:r w:rsidRPr="00C454A1">
        <w:rPr>
          <w:rFonts w:cs="Times New Roman"/>
          <w:b/>
          <w:bCs/>
          <w:color w:val="000000" w:themeColor="text1"/>
          <w:szCs w:val="28"/>
        </w:rPr>
        <w:t xml:space="preserve">Pronunciamientos </w:t>
      </w:r>
      <w:r w:rsidR="00E03530" w:rsidRPr="00C454A1">
        <w:rPr>
          <w:rFonts w:cs="Times New Roman"/>
          <w:b/>
          <w:bCs/>
          <w:color w:val="000000" w:themeColor="text1"/>
          <w:szCs w:val="28"/>
        </w:rPr>
        <w:t xml:space="preserve">de la Corte Constitucional respecto del carácter </w:t>
      </w:r>
      <w:r w:rsidR="00E03530" w:rsidRPr="00C454A1">
        <w:rPr>
          <w:rFonts w:cs="Times New Roman"/>
          <w:b/>
          <w:bCs/>
          <w:color w:val="000000" w:themeColor="text1"/>
          <w:szCs w:val="28"/>
        </w:rPr>
        <w:lastRenderedPageBreak/>
        <w:t>extraordinario de la perturbación al orden público como elemento del juicio valorativo</w:t>
      </w:r>
      <w:bookmarkEnd w:id="151"/>
      <w:r w:rsidR="00E03530" w:rsidRPr="00C454A1">
        <w:rPr>
          <w:rFonts w:cs="Times New Roman"/>
          <w:b/>
          <w:bCs/>
          <w:color w:val="000000" w:themeColor="text1"/>
          <w:szCs w:val="28"/>
        </w:rPr>
        <w:t xml:space="preserve"> </w:t>
      </w:r>
    </w:p>
    <w:p w14:paraId="7791723F" w14:textId="77777777" w:rsidR="00E03530" w:rsidRPr="00C454A1" w:rsidRDefault="00E03530" w:rsidP="009F792C">
      <w:pPr>
        <w:tabs>
          <w:tab w:val="left" w:pos="567"/>
        </w:tabs>
        <w:rPr>
          <w:rFonts w:cs="Times New Roman"/>
          <w:color w:val="000000" w:themeColor="text1"/>
          <w:szCs w:val="28"/>
        </w:rPr>
      </w:pPr>
    </w:p>
    <w:p w14:paraId="6CF5DCCA" w14:textId="13DA5E91" w:rsidR="001918B6" w:rsidRPr="00C454A1" w:rsidRDefault="001918B6" w:rsidP="008859FE">
      <w:pPr>
        <w:numPr>
          <w:ilvl w:val="0"/>
          <w:numId w:val="2"/>
        </w:numPr>
        <w:ind w:left="0" w:firstLine="0"/>
        <w:rPr>
          <w:rFonts w:cs="Times New Roman"/>
          <w:color w:val="000000" w:themeColor="text1"/>
          <w:lang w:eastAsia="es-ES"/>
        </w:rPr>
      </w:pPr>
      <w:bookmarkStart w:id="152" w:name="_Ref203394997"/>
      <w:r w:rsidRPr="00C454A1">
        <w:rPr>
          <w:rFonts w:cs="Times New Roman"/>
          <w:color w:val="000000" w:themeColor="text1"/>
          <w:szCs w:val="28"/>
        </w:rPr>
        <w:t xml:space="preserve">La jurisprudencia constitucional ha consolidado algunos criterios </w:t>
      </w:r>
      <w:r w:rsidR="008859FE" w:rsidRPr="00C454A1">
        <w:rPr>
          <w:rFonts w:cs="Times New Roman"/>
          <w:color w:val="000000" w:themeColor="text1"/>
          <w:szCs w:val="28"/>
        </w:rPr>
        <w:t>para la</w:t>
      </w:r>
      <w:r w:rsidRPr="00C454A1">
        <w:rPr>
          <w:rFonts w:cs="Times New Roman"/>
          <w:color w:val="000000" w:themeColor="text1"/>
          <w:szCs w:val="28"/>
        </w:rPr>
        <w:t xml:space="preserve"> procedencia </w:t>
      </w:r>
      <w:r w:rsidR="008859FE" w:rsidRPr="00C454A1">
        <w:rPr>
          <w:rFonts w:cs="Times New Roman"/>
          <w:color w:val="000000" w:themeColor="text1"/>
          <w:szCs w:val="28"/>
        </w:rPr>
        <w:t xml:space="preserve">del estado de conmoción interior </w:t>
      </w:r>
      <w:r w:rsidR="004A0291" w:rsidRPr="00C454A1">
        <w:rPr>
          <w:rFonts w:cs="Times New Roman"/>
          <w:color w:val="000000" w:themeColor="text1"/>
          <w:szCs w:val="28"/>
        </w:rPr>
        <w:t>ante perturbaciones del orden público</w:t>
      </w:r>
      <w:r w:rsidRPr="00C454A1">
        <w:rPr>
          <w:rFonts w:cs="Times New Roman"/>
          <w:color w:val="000000" w:themeColor="text1"/>
          <w:szCs w:val="28"/>
        </w:rPr>
        <w:t xml:space="preserve"> estructurales</w:t>
      </w:r>
      <w:r w:rsidR="005E1E77" w:rsidRPr="00C454A1">
        <w:rPr>
          <w:rFonts w:cs="Times New Roman"/>
          <w:color w:val="000000" w:themeColor="text1"/>
          <w:szCs w:val="28"/>
        </w:rPr>
        <w:t>, endémicas</w:t>
      </w:r>
      <w:r w:rsidR="004A0291" w:rsidRPr="00C454A1">
        <w:rPr>
          <w:rFonts w:cs="Times New Roman"/>
          <w:color w:val="000000" w:themeColor="text1"/>
          <w:szCs w:val="28"/>
        </w:rPr>
        <w:t xml:space="preserve"> o crónicas</w:t>
      </w:r>
      <w:r w:rsidRPr="00C454A1">
        <w:rPr>
          <w:rFonts w:cs="Times New Roman"/>
          <w:color w:val="000000" w:themeColor="text1"/>
          <w:szCs w:val="28"/>
        </w:rPr>
        <w:t xml:space="preserve">. </w:t>
      </w:r>
      <w:r w:rsidR="004A0291" w:rsidRPr="00C454A1">
        <w:rPr>
          <w:rFonts w:cs="Times New Roman"/>
          <w:color w:val="000000" w:themeColor="text1"/>
          <w:szCs w:val="28"/>
        </w:rPr>
        <w:t>E</w:t>
      </w:r>
      <w:r w:rsidRPr="00C454A1">
        <w:rPr>
          <w:rFonts w:cs="Times New Roman"/>
          <w:color w:val="000000" w:themeColor="text1"/>
          <w:szCs w:val="28"/>
        </w:rPr>
        <w:t xml:space="preserve">n términos generales, </w:t>
      </w:r>
      <w:r w:rsidR="009346EB" w:rsidRPr="00C454A1">
        <w:rPr>
          <w:rFonts w:cs="Times New Roman"/>
          <w:color w:val="000000" w:themeColor="text1"/>
          <w:szCs w:val="28"/>
        </w:rPr>
        <w:t xml:space="preserve">ha sostenido que este estado puede declararse excepcionalmente cuando: </w:t>
      </w:r>
      <w:r w:rsidR="005E1E77" w:rsidRPr="00C454A1">
        <w:rPr>
          <w:rFonts w:cs="Times New Roman"/>
          <w:color w:val="000000" w:themeColor="text1"/>
          <w:szCs w:val="28"/>
        </w:rPr>
        <w:t>(i) se ha</w:t>
      </w:r>
      <w:r w:rsidR="009346EB" w:rsidRPr="00C454A1">
        <w:rPr>
          <w:rFonts w:cs="Times New Roman"/>
          <w:color w:val="000000" w:themeColor="text1"/>
          <w:szCs w:val="28"/>
        </w:rPr>
        <w:t>n</w:t>
      </w:r>
      <w:r w:rsidR="005E1E77" w:rsidRPr="00C454A1">
        <w:rPr>
          <w:rFonts w:cs="Times New Roman"/>
          <w:color w:val="000000" w:themeColor="text1"/>
          <w:szCs w:val="28"/>
        </w:rPr>
        <w:t xml:space="preserve"> </w:t>
      </w:r>
      <w:r w:rsidR="009346EB" w:rsidRPr="00C454A1">
        <w:rPr>
          <w:rFonts w:cs="Times New Roman"/>
          <w:color w:val="000000" w:themeColor="text1"/>
          <w:szCs w:val="28"/>
        </w:rPr>
        <w:t>agravado</w:t>
      </w:r>
      <w:r w:rsidR="008859FE" w:rsidRPr="00C454A1">
        <w:rPr>
          <w:rFonts w:cs="Times New Roman"/>
          <w:color w:val="000000" w:themeColor="text1"/>
          <w:szCs w:val="28"/>
        </w:rPr>
        <w:t xml:space="preserve"> los problemas de orden público </w:t>
      </w:r>
      <w:r w:rsidR="005E1E77" w:rsidRPr="00C454A1">
        <w:rPr>
          <w:rFonts w:cs="Times New Roman"/>
          <w:color w:val="000000" w:themeColor="text1"/>
          <w:szCs w:val="28"/>
        </w:rPr>
        <w:t>en un tiempo cerca</w:t>
      </w:r>
      <w:r w:rsidR="008859FE" w:rsidRPr="00C454A1">
        <w:rPr>
          <w:rFonts w:cs="Times New Roman"/>
          <w:color w:val="000000" w:themeColor="text1"/>
          <w:szCs w:val="28"/>
        </w:rPr>
        <w:t>n</w:t>
      </w:r>
      <w:r w:rsidR="005E1E77" w:rsidRPr="00C454A1">
        <w:rPr>
          <w:rFonts w:cs="Times New Roman"/>
          <w:color w:val="000000" w:themeColor="text1"/>
          <w:szCs w:val="28"/>
        </w:rPr>
        <w:t>o a la declaración de la conmoción interior</w:t>
      </w:r>
      <w:r w:rsidRPr="00C454A1">
        <w:rPr>
          <w:rFonts w:cs="Times New Roman"/>
          <w:color w:val="000000" w:themeColor="text1"/>
          <w:szCs w:val="28"/>
        </w:rPr>
        <w:t xml:space="preserve">, </w:t>
      </w:r>
      <w:r w:rsidR="0005561A" w:rsidRPr="00C454A1">
        <w:rPr>
          <w:rFonts w:cs="Times New Roman"/>
          <w:color w:val="000000" w:themeColor="text1"/>
          <w:szCs w:val="28"/>
        </w:rPr>
        <w:t xml:space="preserve">(ii) </w:t>
      </w:r>
      <w:r w:rsidR="009346EB" w:rsidRPr="00C454A1">
        <w:rPr>
          <w:rFonts w:cs="Times New Roman"/>
          <w:color w:val="000000" w:themeColor="text1"/>
          <w:szCs w:val="28"/>
        </w:rPr>
        <w:t>dicho agravamiento ocurre por hechos excepcionales o extraordinarios</w:t>
      </w:r>
      <w:r w:rsidR="008859FE" w:rsidRPr="00C454A1">
        <w:rPr>
          <w:rFonts w:cs="Times New Roman"/>
          <w:color w:val="000000" w:themeColor="text1"/>
          <w:szCs w:val="28"/>
        </w:rPr>
        <w:t xml:space="preserve"> y (iii) </w:t>
      </w:r>
      <w:r w:rsidR="009346EB" w:rsidRPr="00C454A1">
        <w:rPr>
          <w:rFonts w:cs="Times New Roman"/>
          <w:color w:val="000000" w:themeColor="text1"/>
          <w:szCs w:val="28"/>
        </w:rPr>
        <w:t>la intensificación cualitativa o cuantitativa de los problemas de orden público</w:t>
      </w:r>
      <w:r w:rsidR="008859FE" w:rsidRPr="00C454A1">
        <w:rPr>
          <w:rFonts w:cs="Times New Roman"/>
          <w:color w:val="000000" w:themeColor="text1"/>
          <w:szCs w:val="28"/>
        </w:rPr>
        <w:t xml:space="preserve"> es</w:t>
      </w:r>
      <w:r w:rsidR="0005561A" w:rsidRPr="00C454A1">
        <w:rPr>
          <w:rFonts w:cs="Times New Roman"/>
          <w:color w:val="000000" w:themeColor="text1"/>
          <w:szCs w:val="28"/>
        </w:rPr>
        <w:t xml:space="preserve"> notoriamente significativ</w:t>
      </w:r>
      <w:r w:rsidR="009346EB" w:rsidRPr="00C454A1">
        <w:rPr>
          <w:rFonts w:cs="Times New Roman"/>
          <w:color w:val="000000" w:themeColor="text1"/>
          <w:szCs w:val="28"/>
        </w:rPr>
        <w:t>a</w:t>
      </w:r>
      <w:r w:rsidR="008859FE" w:rsidRPr="00C454A1">
        <w:rPr>
          <w:rFonts w:cs="Times New Roman"/>
          <w:color w:val="000000" w:themeColor="text1"/>
          <w:szCs w:val="28"/>
        </w:rPr>
        <w:t xml:space="preserve"> y verificable. </w:t>
      </w:r>
      <w:r w:rsidR="009346EB" w:rsidRPr="00C454A1">
        <w:rPr>
          <w:rFonts w:cs="Times New Roman"/>
          <w:color w:val="000000" w:themeColor="text1"/>
          <w:szCs w:val="28"/>
        </w:rPr>
        <w:t>La exacerbación de la perturbación del orden público puede originarse, por ejemplo, en un recrudecimiento inusitado de la violencia, un incremento significativo de los ataques contra la población civil o una intensificación en la brutalidad de los métodos de ataque y combate.</w:t>
      </w:r>
      <w:r w:rsidR="008859FE" w:rsidRPr="00C454A1">
        <w:rPr>
          <w:rFonts w:cs="Times New Roman"/>
          <w:color w:val="000000" w:themeColor="text1"/>
          <w:szCs w:val="28"/>
        </w:rPr>
        <w:t xml:space="preserve"> </w:t>
      </w:r>
      <w:r w:rsidR="0005561A" w:rsidRPr="00C454A1">
        <w:rPr>
          <w:rFonts w:cs="Times New Roman"/>
          <w:color w:val="000000" w:themeColor="text1"/>
          <w:szCs w:val="28"/>
        </w:rPr>
        <w:t xml:space="preserve"> </w:t>
      </w:r>
      <w:r w:rsidR="008859FE" w:rsidRPr="00C454A1">
        <w:rPr>
          <w:rFonts w:cs="Times New Roman"/>
          <w:color w:val="000000" w:themeColor="text1"/>
          <w:szCs w:val="28"/>
        </w:rPr>
        <w:t>De acuerdo con la jurisprudencia constitucional, cuando se presentan estas situaciones</w:t>
      </w:r>
      <w:r w:rsidR="008859FE" w:rsidRPr="00C454A1">
        <w:rPr>
          <w:rFonts w:eastAsia="Times New Roman" w:cs="Times New Roman"/>
          <w:color w:val="000000" w:themeColor="text1"/>
          <w:szCs w:val="28"/>
        </w:rPr>
        <w:t xml:space="preserve"> es constitucionalmente admisible acudir a este régimen de excepción, como pasa a examinarse:</w:t>
      </w:r>
      <w:bookmarkEnd w:id="152"/>
    </w:p>
    <w:p w14:paraId="2F242633" w14:textId="77777777" w:rsidR="001918B6" w:rsidRPr="00C454A1" w:rsidRDefault="001918B6" w:rsidP="001918B6">
      <w:pPr>
        <w:rPr>
          <w:rFonts w:cs="Times New Roman"/>
          <w:color w:val="000000" w:themeColor="text1"/>
          <w:lang w:eastAsia="es-ES"/>
        </w:rPr>
      </w:pPr>
    </w:p>
    <w:p w14:paraId="18DA2CE6" w14:textId="1429FFF4"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 xml:space="preserve">En la </w:t>
      </w:r>
      <w:r w:rsidR="00E93C0D" w:rsidRPr="00C454A1">
        <w:rPr>
          <w:rFonts w:cs="Times New Roman"/>
          <w:color w:val="000000" w:themeColor="text1"/>
          <w:szCs w:val="28"/>
        </w:rPr>
        <w:t xml:space="preserve">ya citada </w:t>
      </w:r>
      <w:r w:rsidRPr="00C454A1">
        <w:rPr>
          <w:rFonts w:cs="Times New Roman"/>
          <w:color w:val="000000" w:themeColor="text1"/>
          <w:szCs w:val="28"/>
        </w:rPr>
        <w:t>Sentencia C-031 de 1993</w:t>
      </w:r>
      <w:r w:rsidRPr="00C454A1">
        <w:rPr>
          <w:rFonts w:cs="Times New Roman"/>
          <w:b/>
          <w:bCs/>
          <w:color w:val="000000" w:themeColor="text1"/>
          <w:szCs w:val="28"/>
        </w:rPr>
        <w:t xml:space="preserve"> </w:t>
      </w:r>
      <w:r w:rsidRPr="00C454A1">
        <w:rPr>
          <w:rFonts w:cs="Times New Roman"/>
          <w:bCs/>
          <w:color w:val="000000" w:themeColor="text1"/>
          <w:szCs w:val="28"/>
        </w:rPr>
        <w:t>(</w:t>
      </w:r>
      <w:r w:rsidR="00E93C0D" w:rsidRPr="00C454A1">
        <w:rPr>
          <w:rFonts w:cs="Times New Roman"/>
          <w:color w:val="000000" w:themeColor="text1"/>
          <w:szCs w:val="28"/>
        </w:rPr>
        <w:t xml:space="preserve">ver </w:t>
      </w:r>
      <w:r w:rsidR="00E93C0D" w:rsidRPr="00C454A1">
        <w:rPr>
          <w:rFonts w:cs="Times New Roman"/>
          <w:i/>
          <w:iCs/>
          <w:color w:val="000000" w:themeColor="text1"/>
          <w:szCs w:val="28"/>
        </w:rPr>
        <w:t xml:space="preserve">supra </w:t>
      </w:r>
      <w:r w:rsidR="00E93C0D" w:rsidRPr="00C454A1">
        <w:rPr>
          <w:rFonts w:cs="Times New Roman"/>
          <w:color w:val="000000" w:themeColor="text1"/>
          <w:szCs w:val="28"/>
        </w:rPr>
        <w:t>fundamento</w:t>
      </w:r>
      <w:r w:rsidR="00FC5FDE" w:rsidRPr="00C454A1">
        <w:rPr>
          <w:rFonts w:cs="Times New Roman"/>
          <w:color w:val="000000" w:themeColor="text1"/>
          <w:szCs w:val="28"/>
        </w:rPr>
        <w:t xml:space="preserve"> </w:t>
      </w:r>
      <w:r w:rsidR="00FC5FDE" w:rsidRPr="00C454A1">
        <w:rPr>
          <w:rFonts w:cs="Times New Roman"/>
          <w:color w:val="000000" w:themeColor="text1"/>
          <w:szCs w:val="28"/>
        </w:rPr>
        <w:fldChar w:fldCharType="begin"/>
      </w:r>
      <w:r w:rsidR="00FC5FDE" w:rsidRPr="00C454A1">
        <w:rPr>
          <w:rFonts w:cs="Times New Roman"/>
          <w:color w:val="000000" w:themeColor="text1"/>
          <w:szCs w:val="28"/>
        </w:rPr>
        <w:instrText xml:space="preserve"> REF _Ref219711740 \r \h </w:instrText>
      </w:r>
      <w:r w:rsidR="00DD0E75" w:rsidRPr="00C454A1">
        <w:rPr>
          <w:rFonts w:cs="Times New Roman"/>
          <w:color w:val="000000" w:themeColor="text1"/>
          <w:szCs w:val="28"/>
        </w:rPr>
        <w:instrText xml:space="preserve"> \* MERGEFORMAT </w:instrText>
      </w:r>
      <w:r w:rsidR="00FC5FDE" w:rsidRPr="00C454A1">
        <w:rPr>
          <w:rFonts w:cs="Times New Roman"/>
          <w:color w:val="000000" w:themeColor="text1"/>
          <w:szCs w:val="28"/>
        </w:rPr>
      </w:r>
      <w:r w:rsidR="00FC5FDE" w:rsidRPr="00C454A1">
        <w:rPr>
          <w:rFonts w:cs="Times New Roman"/>
          <w:color w:val="000000" w:themeColor="text1"/>
          <w:szCs w:val="28"/>
        </w:rPr>
        <w:fldChar w:fldCharType="separate"/>
      </w:r>
      <w:r w:rsidR="00881E6A">
        <w:rPr>
          <w:rFonts w:cs="Times New Roman"/>
          <w:color w:val="000000" w:themeColor="text1"/>
          <w:szCs w:val="28"/>
        </w:rPr>
        <w:t>53</w:t>
      </w:r>
      <w:r w:rsidR="00FC5FDE" w:rsidRPr="00C454A1">
        <w:rPr>
          <w:rFonts w:cs="Times New Roman"/>
          <w:color w:val="000000" w:themeColor="text1"/>
          <w:szCs w:val="28"/>
        </w:rPr>
        <w:fldChar w:fldCharType="end"/>
      </w:r>
      <w:r w:rsidRPr="00C454A1">
        <w:rPr>
          <w:rFonts w:cs="Times New Roman"/>
          <w:color w:val="000000" w:themeColor="text1"/>
          <w:szCs w:val="28"/>
        </w:rPr>
        <w:t xml:space="preserve">), </w:t>
      </w:r>
      <w:r w:rsidR="00E93C0D" w:rsidRPr="00C454A1">
        <w:rPr>
          <w:rFonts w:cs="Times New Roman"/>
          <w:color w:val="000000" w:themeColor="text1"/>
          <w:szCs w:val="28"/>
        </w:rPr>
        <w:t>al examinar la constitucionalidad</w:t>
      </w:r>
      <w:r w:rsidRPr="00C454A1">
        <w:rPr>
          <w:rFonts w:cs="Times New Roman"/>
          <w:color w:val="000000" w:themeColor="text1"/>
          <w:szCs w:val="28"/>
        </w:rPr>
        <w:t xml:space="preserve"> </w:t>
      </w:r>
      <w:r w:rsidR="00E93C0D" w:rsidRPr="00C454A1">
        <w:rPr>
          <w:rFonts w:cs="Times New Roman"/>
          <w:color w:val="000000" w:themeColor="text1"/>
          <w:szCs w:val="28"/>
        </w:rPr>
        <w:t>d</w:t>
      </w:r>
      <w:r w:rsidRPr="00C454A1">
        <w:rPr>
          <w:rFonts w:cs="Times New Roman"/>
          <w:color w:val="000000" w:themeColor="text1"/>
          <w:szCs w:val="28"/>
        </w:rPr>
        <w:t>el Decreto 1793 de 1992</w:t>
      </w:r>
      <w:r w:rsidR="00E93C0D" w:rsidRPr="00C454A1">
        <w:rPr>
          <w:rFonts w:cs="Times New Roman"/>
          <w:color w:val="000000" w:themeColor="text1"/>
          <w:szCs w:val="28"/>
        </w:rPr>
        <w:t>, l</w:t>
      </w:r>
      <w:r w:rsidRPr="00C454A1">
        <w:rPr>
          <w:rFonts w:cs="Times New Roman"/>
          <w:color w:val="000000" w:themeColor="text1"/>
          <w:szCs w:val="28"/>
        </w:rPr>
        <w:t xml:space="preserve">a Sala Plena estimó que la violencia ejercida por </w:t>
      </w:r>
      <w:r w:rsidR="00E93C0D" w:rsidRPr="00C454A1">
        <w:rPr>
          <w:rFonts w:cs="Times New Roman"/>
          <w:color w:val="000000" w:themeColor="text1"/>
          <w:szCs w:val="28"/>
        </w:rPr>
        <w:t>los grupos guerrilleros y narcotraficantes</w:t>
      </w:r>
      <w:r w:rsidRPr="00C454A1">
        <w:rPr>
          <w:rFonts w:cs="Times New Roman"/>
          <w:color w:val="000000" w:themeColor="text1"/>
          <w:szCs w:val="28"/>
        </w:rPr>
        <w:t xml:space="preserve"> no era un problema originado en el pasado reciente. Sin embargo, sostuvo que tal </w:t>
      </w:r>
      <w:r w:rsidR="00E93C0D" w:rsidRPr="00C454A1">
        <w:rPr>
          <w:rFonts w:cs="Times New Roman"/>
          <w:color w:val="000000" w:themeColor="text1"/>
          <w:szCs w:val="28"/>
        </w:rPr>
        <w:t>particularidad</w:t>
      </w:r>
      <w:r w:rsidRPr="00C454A1">
        <w:rPr>
          <w:rFonts w:cs="Times New Roman"/>
          <w:color w:val="000000" w:themeColor="text1"/>
          <w:szCs w:val="28"/>
        </w:rPr>
        <w:t xml:space="preserve"> no </w:t>
      </w:r>
      <w:r w:rsidR="005E1E77" w:rsidRPr="00C454A1">
        <w:rPr>
          <w:rFonts w:cs="Times New Roman"/>
          <w:color w:val="000000" w:themeColor="text1"/>
          <w:szCs w:val="28"/>
        </w:rPr>
        <w:t>le restaba</w:t>
      </w:r>
      <w:r w:rsidR="00E93C0D" w:rsidRPr="00C454A1">
        <w:rPr>
          <w:rFonts w:cs="Times New Roman"/>
          <w:color w:val="000000" w:themeColor="text1"/>
          <w:szCs w:val="28"/>
        </w:rPr>
        <w:t xml:space="preserve"> su carácter de</w:t>
      </w:r>
      <w:r w:rsidRPr="00C454A1">
        <w:rPr>
          <w:rFonts w:cs="Times New Roman"/>
          <w:color w:val="000000" w:themeColor="text1"/>
          <w:szCs w:val="28"/>
        </w:rPr>
        <w:t xml:space="preserve"> causa de perturbación del orden público</w:t>
      </w:r>
      <w:r w:rsidRPr="00C454A1">
        <w:rPr>
          <w:rStyle w:val="Refdenotaalpie"/>
          <w:rFonts w:cs="Times New Roman"/>
          <w:color w:val="000000" w:themeColor="text1"/>
          <w:szCs w:val="28"/>
        </w:rPr>
        <w:footnoteReference w:id="110"/>
      </w:r>
      <w:r w:rsidR="00E93C0D" w:rsidRPr="00C454A1">
        <w:rPr>
          <w:rFonts w:cs="Times New Roman"/>
          <w:color w:val="000000" w:themeColor="text1"/>
          <w:szCs w:val="28"/>
        </w:rPr>
        <w:t>. Además,</w:t>
      </w:r>
      <w:r w:rsidRPr="00C454A1">
        <w:rPr>
          <w:rFonts w:cs="Times New Roman"/>
          <w:color w:val="000000" w:themeColor="text1"/>
          <w:szCs w:val="28"/>
        </w:rPr>
        <w:t xml:space="preserve"> </w:t>
      </w:r>
      <w:r w:rsidR="00E93C0D" w:rsidRPr="00C454A1">
        <w:rPr>
          <w:rFonts w:cs="Times New Roman"/>
          <w:color w:val="000000" w:themeColor="text1"/>
          <w:szCs w:val="28"/>
        </w:rPr>
        <w:t xml:space="preserve">la situación se </w:t>
      </w:r>
      <w:r w:rsidR="005E1E77" w:rsidRPr="00C454A1">
        <w:rPr>
          <w:rFonts w:cs="Times New Roman"/>
          <w:color w:val="000000" w:themeColor="text1"/>
          <w:szCs w:val="28"/>
        </w:rPr>
        <w:t>había agravado</w:t>
      </w:r>
      <w:r w:rsidR="00E93C0D" w:rsidRPr="00C454A1">
        <w:rPr>
          <w:rFonts w:cs="Times New Roman"/>
          <w:color w:val="000000" w:themeColor="text1"/>
          <w:szCs w:val="28"/>
        </w:rPr>
        <w:t xml:space="preserve"> por el escalamiento de las acciones delictivas de estos grupos, </w:t>
      </w:r>
      <w:r w:rsidR="005E1E77" w:rsidRPr="00C454A1">
        <w:rPr>
          <w:rFonts w:cs="Times New Roman"/>
          <w:color w:val="000000" w:themeColor="text1"/>
          <w:szCs w:val="28"/>
        </w:rPr>
        <w:t>el</w:t>
      </w:r>
      <w:r w:rsidR="00E93C0D" w:rsidRPr="00C454A1">
        <w:rPr>
          <w:rFonts w:cs="Times New Roman"/>
          <w:color w:val="000000" w:themeColor="text1"/>
          <w:szCs w:val="28"/>
        </w:rPr>
        <w:t xml:space="preserve"> aumento significativo en el número de víctimas y </w:t>
      </w:r>
      <w:r w:rsidR="005E1E77" w:rsidRPr="00C454A1">
        <w:rPr>
          <w:rFonts w:cs="Times New Roman"/>
          <w:color w:val="000000" w:themeColor="text1"/>
          <w:szCs w:val="28"/>
        </w:rPr>
        <w:t>l</w:t>
      </w:r>
      <w:r w:rsidR="00E93C0D" w:rsidRPr="00C454A1">
        <w:rPr>
          <w:rFonts w:cs="Times New Roman"/>
          <w:color w:val="000000" w:themeColor="text1"/>
          <w:szCs w:val="28"/>
        </w:rPr>
        <w:t>a mayor brutalidad en sus métodos de combate</w:t>
      </w:r>
      <w:r w:rsidRPr="00C454A1">
        <w:rPr>
          <w:rFonts w:cs="Times New Roman"/>
          <w:color w:val="000000" w:themeColor="text1"/>
          <w:szCs w:val="28"/>
        </w:rPr>
        <w:t xml:space="preserve">. En consecuencia, este tribunal </w:t>
      </w:r>
      <w:r w:rsidR="005E1E77" w:rsidRPr="00C454A1">
        <w:rPr>
          <w:rFonts w:cs="Times New Roman"/>
          <w:color w:val="000000" w:themeColor="text1"/>
          <w:szCs w:val="28"/>
        </w:rPr>
        <w:t>halló exequible la</w:t>
      </w:r>
      <w:r w:rsidRPr="00C454A1">
        <w:rPr>
          <w:rFonts w:cs="Times New Roman"/>
          <w:color w:val="000000" w:themeColor="text1"/>
          <w:szCs w:val="28"/>
        </w:rPr>
        <w:t xml:space="preserve"> declaratoria de conmoción interior.</w:t>
      </w:r>
    </w:p>
    <w:p w14:paraId="04F93A24" w14:textId="77777777" w:rsidR="001918B6" w:rsidRPr="00C454A1" w:rsidRDefault="001918B6" w:rsidP="001918B6">
      <w:pPr>
        <w:rPr>
          <w:rFonts w:cs="Times New Roman"/>
          <w:color w:val="000000" w:themeColor="text1"/>
          <w:lang w:eastAsia="es-ES"/>
        </w:rPr>
      </w:pPr>
    </w:p>
    <w:p w14:paraId="68382E99" w14:textId="63C6D602" w:rsidR="001918B6" w:rsidRPr="00C454A1" w:rsidRDefault="0005561A" w:rsidP="009707FD">
      <w:pPr>
        <w:numPr>
          <w:ilvl w:val="0"/>
          <w:numId w:val="2"/>
        </w:numPr>
        <w:ind w:left="0" w:firstLine="0"/>
        <w:rPr>
          <w:rFonts w:cs="Times New Roman"/>
          <w:color w:val="000000" w:themeColor="text1"/>
          <w:lang w:eastAsia="es-ES"/>
        </w:rPr>
      </w:pPr>
      <w:r w:rsidRPr="00C454A1">
        <w:rPr>
          <w:rFonts w:cs="Times New Roman"/>
          <w:color w:val="000000" w:themeColor="text1"/>
          <w:szCs w:val="28"/>
        </w:rPr>
        <w:t>Se destaca también</w:t>
      </w:r>
      <w:r w:rsidR="001918B6" w:rsidRPr="00C454A1">
        <w:rPr>
          <w:rFonts w:cs="Times New Roman"/>
          <w:color w:val="000000" w:themeColor="text1"/>
          <w:szCs w:val="28"/>
        </w:rPr>
        <w:t xml:space="preserve"> la Sentencia C-466 de 1995 </w:t>
      </w:r>
      <w:r w:rsidRPr="00C454A1">
        <w:rPr>
          <w:rFonts w:cs="Times New Roman"/>
          <w:color w:val="000000" w:themeColor="text1"/>
          <w:szCs w:val="28"/>
        </w:rPr>
        <w:t xml:space="preserve">(ver </w:t>
      </w:r>
      <w:r w:rsidRPr="00C454A1">
        <w:rPr>
          <w:rFonts w:cs="Times New Roman"/>
          <w:i/>
          <w:iCs/>
          <w:color w:val="000000" w:themeColor="text1"/>
          <w:szCs w:val="28"/>
        </w:rPr>
        <w:t xml:space="preserve">supra </w:t>
      </w:r>
      <w:r w:rsidRPr="00C454A1">
        <w:rPr>
          <w:rFonts w:cs="Times New Roman"/>
          <w:color w:val="000000" w:themeColor="text1"/>
          <w:szCs w:val="28"/>
        </w:rPr>
        <w:t>fundamento</w:t>
      </w:r>
      <w:r w:rsidR="003E0FFE" w:rsidRPr="00C454A1">
        <w:rPr>
          <w:rFonts w:cs="Times New Roman"/>
          <w:color w:val="000000" w:themeColor="text1"/>
          <w:szCs w:val="28"/>
        </w:rPr>
        <w:t xml:space="preserve"> </w:t>
      </w:r>
      <w:r w:rsidR="006328FA" w:rsidRPr="00C454A1">
        <w:rPr>
          <w:rFonts w:cs="Times New Roman"/>
          <w:color w:val="000000" w:themeColor="text1"/>
          <w:szCs w:val="28"/>
        </w:rPr>
        <w:fldChar w:fldCharType="begin"/>
      </w:r>
      <w:r w:rsidR="006328FA" w:rsidRPr="00C454A1">
        <w:rPr>
          <w:rFonts w:cs="Times New Roman"/>
          <w:color w:val="000000" w:themeColor="text1"/>
          <w:szCs w:val="28"/>
        </w:rPr>
        <w:instrText xml:space="preserve"> REF _Ref203391106 \r \h </w:instrText>
      </w:r>
      <w:r w:rsidR="00DD0E75" w:rsidRPr="00C454A1">
        <w:rPr>
          <w:rFonts w:cs="Times New Roman"/>
          <w:color w:val="000000" w:themeColor="text1"/>
          <w:szCs w:val="28"/>
        </w:rPr>
        <w:instrText xml:space="preserve"> \* MERGEFORMAT </w:instrText>
      </w:r>
      <w:r w:rsidR="006328FA" w:rsidRPr="00C454A1">
        <w:rPr>
          <w:rFonts w:cs="Times New Roman"/>
          <w:color w:val="000000" w:themeColor="text1"/>
          <w:szCs w:val="28"/>
        </w:rPr>
      </w:r>
      <w:r w:rsidR="006328FA" w:rsidRPr="00C454A1">
        <w:rPr>
          <w:rFonts w:cs="Times New Roman"/>
          <w:color w:val="000000" w:themeColor="text1"/>
          <w:szCs w:val="28"/>
        </w:rPr>
        <w:fldChar w:fldCharType="separate"/>
      </w:r>
      <w:r w:rsidR="00881E6A">
        <w:rPr>
          <w:rFonts w:cs="Times New Roman"/>
          <w:color w:val="000000" w:themeColor="text1"/>
          <w:szCs w:val="28"/>
        </w:rPr>
        <w:t>59</w:t>
      </w:r>
      <w:r w:rsidR="006328FA" w:rsidRPr="00C454A1">
        <w:rPr>
          <w:rFonts w:cs="Times New Roman"/>
          <w:color w:val="000000" w:themeColor="text1"/>
          <w:szCs w:val="28"/>
        </w:rPr>
        <w:fldChar w:fldCharType="end"/>
      </w:r>
      <w:r w:rsidRPr="00C454A1">
        <w:rPr>
          <w:rFonts w:cs="Times New Roman"/>
          <w:color w:val="000000" w:themeColor="text1"/>
          <w:szCs w:val="28"/>
        </w:rPr>
        <w:t xml:space="preserve">), que </w:t>
      </w:r>
      <w:r w:rsidR="001918B6" w:rsidRPr="00C454A1">
        <w:rPr>
          <w:rFonts w:cs="Times New Roman"/>
          <w:color w:val="000000" w:themeColor="text1"/>
          <w:szCs w:val="28"/>
        </w:rPr>
        <w:t>evaluó la constitucionalidad del Decreto 1370 de 1995</w:t>
      </w:r>
      <w:r w:rsidRPr="00C454A1">
        <w:rPr>
          <w:rFonts w:cs="Times New Roman"/>
          <w:color w:val="000000" w:themeColor="text1"/>
          <w:szCs w:val="28"/>
        </w:rPr>
        <w:t xml:space="preserve"> en el que</w:t>
      </w:r>
      <w:r w:rsidR="001918B6" w:rsidRPr="00C454A1">
        <w:rPr>
          <w:rFonts w:cs="Times New Roman"/>
          <w:color w:val="000000" w:themeColor="text1"/>
          <w:szCs w:val="28"/>
        </w:rPr>
        <w:t xml:space="preserve"> se declaró el estado de conmoción interior con fundamento en el agravamiento de la situación de orden público derivado de “</w:t>
      </w:r>
      <w:r w:rsidR="001918B6" w:rsidRPr="00C454A1">
        <w:rPr>
          <w:rFonts w:cs="Times New Roman"/>
          <w:color w:val="000000" w:themeColor="text1"/>
          <w:szCs w:val="28"/>
          <w:lang w:val="es-ES_tradnl"/>
        </w:rPr>
        <w:t>la acción de la delincuencia común, la delincuencia organizada y la subversión”</w:t>
      </w:r>
      <w:r w:rsidR="001918B6" w:rsidRPr="00C454A1">
        <w:rPr>
          <w:rStyle w:val="Refdenotaalpie"/>
          <w:rFonts w:cs="Times New Roman"/>
          <w:color w:val="000000" w:themeColor="text1"/>
          <w:szCs w:val="28"/>
          <w:lang w:val="es-ES_tradnl"/>
        </w:rPr>
        <w:footnoteReference w:id="111"/>
      </w:r>
      <w:r w:rsidR="001918B6" w:rsidRPr="00C454A1">
        <w:rPr>
          <w:rFonts w:cs="Times New Roman"/>
          <w:color w:val="000000" w:themeColor="text1"/>
          <w:szCs w:val="28"/>
          <w:lang w:val="es-ES_tradnl"/>
        </w:rPr>
        <w:t xml:space="preserve">. </w:t>
      </w:r>
      <w:r w:rsidR="0068345B" w:rsidRPr="00C454A1">
        <w:rPr>
          <w:rFonts w:cs="Times New Roman"/>
          <w:color w:val="000000" w:themeColor="text1"/>
          <w:szCs w:val="28"/>
          <w:lang w:val="es-ES_tradnl"/>
        </w:rPr>
        <w:t>L</w:t>
      </w:r>
      <w:r w:rsidR="001918B6" w:rsidRPr="00C454A1">
        <w:rPr>
          <w:rFonts w:cs="Times New Roman"/>
          <w:color w:val="000000" w:themeColor="text1"/>
          <w:szCs w:val="28"/>
          <w:lang w:val="es-ES_tradnl"/>
        </w:rPr>
        <w:t xml:space="preserve">a Sala Plena declaró </w:t>
      </w:r>
      <w:r w:rsidR="00DD471B" w:rsidRPr="00C454A1">
        <w:rPr>
          <w:rFonts w:cs="Times New Roman"/>
          <w:color w:val="000000" w:themeColor="text1"/>
          <w:szCs w:val="28"/>
          <w:lang w:val="es-ES_tradnl"/>
        </w:rPr>
        <w:t xml:space="preserve">inexequible </w:t>
      </w:r>
      <w:r w:rsidR="001918B6" w:rsidRPr="00C454A1">
        <w:rPr>
          <w:rFonts w:cs="Times New Roman"/>
          <w:color w:val="000000" w:themeColor="text1"/>
          <w:szCs w:val="28"/>
          <w:lang w:val="es-ES_tradnl"/>
        </w:rPr>
        <w:t>el mencionado decreto, por considerar que los hechos invocados por el Gobierno nacional</w:t>
      </w:r>
      <w:r w:rsidRPr="00C454A1">
        <w:rPr>
          <w:rFonts w:cs="Times New Roman"/>
          <w:color w:val="000000" w:themeColor="text1"/>
          <w:szCs w:val="28"/>
          <w:lang w:val="es-ES_tradnl"/>
        </w:rPr>
        <w:t>,</w:t>
      </w:r>
      <w:r w:rsidR="001918B6" w:rsidRPr="00C454A1">
        <w:rPr>
          <w:rFonts w:cs="Times New Roman"/>
          <w:color w:val="000000" w:themeColor="text1"/>
          <w:szCs w:val="28"/>
          <w:lang w:val="es-ES_tradnl"/>
        </w:rPr>
        <w:t xml:space="preserve"> </w:t>
      </w:r>
      <w:r w:rsidRPr="00C454A1">
        <w:rPr>
          <w:rFonts w:cs="Times New Roman"/>
          <w:color w:val="000000" w:themeColor="text1"/>
          <w:szCs w:val="28"/>
          <w:lang w:val="es-ES_tradnl"/>
        </w:rPr>
        <w:t>aunque</w:t>
      </w:r>
      <w:r w:rsidR="001918B6" w:rsidRPr="00C454A1">
        <w:rPr>
          <w:rFonts w:cs="Times New Roman"/>
          <w:color w:val="000000" w:themeColor="text1"/>
          <w:szCs w:val="28"/>
          <w:lang w:val="es-ES_tradnl"/>
        </w:rPr>
        <w:t xml:space="preserve"> graves, </w:t>
      </w:r>
      <w:r w:rsidRPr="00C454A1">
        <w:rPr>
          <w:rFonts w:cs="Times New Roman"/>
          <w:color w:val="000000" w:themeColor="text1"/>
          <w:szCs w:val="28"/>
          <w:lang w:val="es-ES_tradnl"/>
        </w:rPr>
        <w:t>correspondían a</w:t>
      </w:r>
      <w:r w:rsidR="001918B6" w:rsidRPr="00C454A1">
        <w:rPr>
          <w:rFonts w:cs="Times New Roman"/>
          <w:color w:val="000000" w:themeColor="text1"/>
          <w:szCs w:val="28"/>
          <w:lang w:val="es-ES_tradnl"/>
        </w:rPr>
        <w:t xml:space="preserve"> problemáticas </w:t>
      </w:r>
      <w:r w:rsidRPr="00C454A1">
        <w:rPr>
          <w:rFonts w:cs="Times New Roman"/>
          <w:color w:val="000000" w:themeColor="text1"/>
          <w:szCs w:val="28"/>
          <w:lang w:val="es-ES_tradnl"/>
        </w:rPr>
        <w:t xml:space="preserve">que </w:t>
      </w:r>
      <w:r w:rsidR="001918B6" w:rsidRPr="00C454A1">
        <w:rPr>
          <w:rFonts w:cs="Times New Roman"/>
          <w:color w:val="000000" w:themeColor="text1"/>
          <w:szCs w:val="28"/>
          <w:lang w:val="es-ES_tradnl"/>
        </w:rPr>
        <w:t xml:space="preserve">no resultaban extraordinarias </w:t>
      </w:r>
      <w:r w:rsidR="00DD471B" w:rsidRPr="00C454A1">
        <w:rPr>
          <w:rFonts w:cs="Times New Roman"/>
          <w:color w:val="000000" w:themeColor="text1"/>
          <w:szCs w:val="28"/>
          <w:lang w:val="es-ES_tradnl"/>
        </w:rPr>
        <w:t>ni</w:t>
      </w:r>
      <w:r w:rsidR="001918B6" w:rsidRPr="00C454A1">
        <w:rPr>
          <w:rFonts w:cs="Times New Roman"/>
          <w:color w:val="000000" w:themeColor="text1"/>
          <w:szCs w:val="28"/>
          <w:lang w:val="es-ES_tradnl"/>
        </w:rPr>
        <w:t xml:space="preserve"> excepcionales. </w:t>
      </w:r>
      <w:r w:rsidR="0068345B" w:rsidRPr="00C454A1">
        <w:rPr>
          <w:rFonts w:cs="Times New Roman"/>
          <w:color w:val="000000" w:themeColor="text1"/>
          <w:szCs w:val="28"/>
          <w:lang w:val="es-ES_tradnl"/>
        </w:rPr>
        <w:t xml:space="preserve">Por una parte, la Corte observó </w:t>
      </w:r>
      <w:r w:rsidR="00DD471B" w:rsidRPr="00C454A1">
        <w:rPr>
          <w:rFonts w:cs="Times New Roman"/>
          <w:color w:val="000000" w:themeColor="text1"/>
          <w:szCs w:val="28"/>
        </w:rPr>
        <w:t xml:space="preserve">la ausencia de hechos sobrevinientes que indicaran un agravamiento </w:t>
      </w:r>
      <w:r w:rsidR="0068345B" w:rsidRPr="00C454A1">
        <w:rPr>
          <w:rFonts w:cs="Times New Roman"/>
          <w:color w:val="000000" w:themeColor="text1"/>
          <w:szCs w:val="28"/>
          <w:lang w:val="es-ES_tradnl"/>
        </w:rPr>
        <w:t xml:space="preserve">de los problemas de orden público en el país. Por ejemplo, en el semestre </w:t>
      </w:r>
      <w:r w:rsidR="00DD471B" w:rsidRPr="00C454A1">
        <w:rPr>
          <w:rFonts w:cs="Times New Roman"/>
          <w:color w:val="000000" w:themeColor="text1"/>
          <w:szCs w:val="28"/>
          <w:lang w:val="es-ES_tradnl"/>
        </w:rPr>
        <w:t>previo</w:t>
      </w:r>
      <w:r w:rsidR="0068345B" w:rsidRPr="00C454A1">
        <w:rPr>
          <w:rFonts w:cs="Times New Roman"/>
          <w:color w:val="000000" w:themeColor="text1"/>
          <w:szCs w:val="28"/>
          <w:lang w:val="es-ES_tradnl"/>
        </w:rPr>
        <w:t xml:space="preserve"> a la declaración de la conmoción interior, los índices de criminalidad habían </w:t>
      </w:r>
      <w:r w:rsidR="00DD471B" w:rsidRPr="00C454A1">
        <w:rPr>
          <w:rFonts w:cs="Times New Roman"/>
          <w:color w:val="000000" w:themeColor="text1"/>
          <w:szCs w:val="28"/>
          <w:lang w:val="es-ES_tradnl"/>
        </w:rPr>
        <w:t>mostrado</w:t>
      </w:r>
      <w:r w:rsidR="0068345B" w:rsidRPr="00C454A1">
        <w:rPr>
          <w:rFonts w:cs="Times New Roman"/>
          <w:color w:val="000000" w:themeColor="text1"/>
          <w:szCs w:val="28"/>
          <w:lang w:val="es-ES_tradnl"/>
        </w:rPr>
        <w:t xml:space="preserve"> pocas variaciones. </w:t>
      </w:r>
      <w:r w:rsidR="0068345B" w:rsidRPr="00C454A1">
        <w:rPr>
          <w:rFonts w:cs="Times New Roman"/>
          <w:color w:val="000000" w:themeColor="text1"/>
          <w:szCs w:val="28"/>
        </w:rPr>
        <w:t xml:space="preserve">De la misma forma, la congestión en los juzgados </w:t>
      </w:r>
      <w:r w:rsidR="0068345B" w:rsidRPr="00C454A1">
        <w:rPr>
          <w:rFonts w:cs="Times New Roman"/>
          <w:color w:val="000000" w:themeColor="text1"/>
          <w:szCs w:val="28"/>
        </w:rPr>
        <w:lastRenderedPageBreak/>
        <w:t xml:space="preserve">penales – uno de los </w:t>
      </w:r>
      <w:r w:rsidR="00DD471B" w:rsidRPr="00C454A1">
        <w:rPr>
          <w:rFonts w:cs="Times New Roman"/>
          <w:color w:val="000000" w:themeColor="text1"/>
          <w:szCs w:val="28"/>
        </w:rPr>
        <w:t>argumentos del Gobierno nacional</w:t>
      </w:r>
      <w:r w:rsidR="0068345B" w:rsidRPr="00C454A1">
        <w:rPr>
          <w:rFonts w:cs="Times New Roman"/>
          <w:color w:val="000000" w:themeColor="text1"/>
          <w:szCs w:val="28"/>
        </w:rPr>
        <w:t xml:space="preserve"> para justificar el estado de excepción- </w:t>
      </w:r>
      <w:r w:rsidR="00DD471B" w:rsidRPr="00C454A1">
        <w:rPr>
          <w:rFonts w:cs="Times New Roman"/>
          <w:color w:val="000000" w:themeColor="text1"/>
          <w:szCs w:val="28"/>
        </w:rPr>
        <w:t>era un problema de larga data</w:t>
      </w:r>
      <w:r w:rsidR="0068345B" w:rsidRPr="00C454A1">
        <w:rPr>
          <w:rFonts w:cs="Times New Roman"/>
          <w:color w:val="000000" w:themeColor="text1"/>
          <w:szCs w:val="28"/>
        </w:rPr>
        <w:t>. Por otra parte, el tribunal constató que los problemas de criminalidad eran endémicos, crónicos y permanentes.</w:t>
      </w:r>
      <w:r w:rsidR="0068345B" w:rsidRPr="00C454A1">
        <w:rPr>
          <w:rFonts w:cs="Times New Roman"/>
          <w:color w:val="000000" w:themeColor="text1"/>
          <w:lang w:eastAsia="es-ES"/>
        </w:rPr>
        <w:t xml:space="preserve"> </w:t>
      </w:r>
      <w:r w:rsidR="0068345B" w:rsidRPr="00C454A1">
        <w:rPr>
          <w:rFonts w:cs="Times New Roman"/>
          <w:color w:val="000000" w:themeColor="text1"/>
          <w:szCs w:val="28"/>
          <w:lang w:val="es-ES_tradnl"/>
        </w:rPr>
        <w:t>Por esta razón</w:t>
      </w:r>
      <w:r w:rsidR="00DD471B" w:rsidRPr="00C454A1">
        <w:rPr>
          <w:rFonts w:cs="Times New Roman"/>
          <w:color w:val="000000" w:themeColor="text1"/>
          <w:szCs w:val="28"/>
          <w:lang w:val="es-ES_tradnl"/>
        </w:rPr>
        <w:t>,</w:t>
      </w:r>
      <w:r w:rsidR="0068345B" w:rsidRPr="00C454A1">
        <w:rPr>
          <w:rFonts w:cs="Times New Roman"/>
          <w:color w:val="000000" w:themeColor="text1"/>
          <w:szCs w:val="28"/>
          <w:lang w:val="es-ES_tradnl"/>
        </w:rPr>
        <w:t xml:space="preserve"> </w:t>
      </w:r>
      <w:r w:rsidR="00DD471B" w:rsidRPr="00C454A1">
        <w:rPr>
          <w:rFonts w:cs="Times New Roman"/>
          <w:color w:val="000000" w:themeColor="text1"/>
          <w:szCs w:val="28"/>
          <w:lang w:val="es-ES_tradnl"/>
        </w:rPr>
        <w:t>sostuvo</w:t>
      </w:r>
      <w:r w:rsidR="0068345B" w:rsidRPr="00C454A1">
        <w:rPr>
          <w:rFonts w:cs="Times New Roman"/>
          <w:color w:val="000000" w:themeColor="text1"/>
          <w:szCs w:val="28"/>
          <w:lang w:val="es-ES_tradnl"/>
        </w:rPr>
        <w:t xml:space="preserve"> que</w:t>
      </w:r>
      <w:r w:rsidR="00DD471B" w:rsidRPr="00C454A1">
        <w:rPr>
          <w:rFonts w:cs="Times New Roman"/>
          <w:color w:val="000000" w:themeColor="text1"/>
          <w:szCs w:val="28"/>
          <w:lang w:val="es-ES_tradnl"/>
        </w:rPr>
        <w:t xml:space="preserve"> los hechos invocados por el decreto constituían</w:t>
      </w:r>
      <w:r w:rsidR="001918B6" w:rsidRPr="00C454A1">
        <w:rPr>
          <w:rFonts w:cs="Times New Roman"/>
          <w:color w:val="000000" w:themeColor="text1"/>
          <w:szCs w:val="28"/>
          <w:lang w:val="es-ES_tradnl"/>
        </w:rPr>
        <w:t xml:space="preserve"> “manifestaciones endémicas” de la criminalidad, en las que no se advertía un incremento “notoriamente significativo” de </w:t>
      </w:r>
      <w:r w:rsidR="00DD471B" w:rsidRPr="00C454A1">
        <w:rPr>
          <w:rFonts w:cs="Times New Roman"/>
          <w:color w:val="000000" w:themeColor="text1"/>
          <w:szCs w:val="28"/>
          <w:lang w:val="es-ES_tradnl"/>
        </w:rPr>
        <w:t>las problemáticas</w:t>
      </w:r>
      <w:r w:rsidRPr="00C454A1">
        <w:rPr>
          <w:rFonts w:cs="Times New Roman"/>
          <w:color w:val="000000" w:themeColor="text1"/>
          <w:szCs w:val="28"/>
          <w:lang w:val="es-ES_tradnl"/>
        </w:rPr>
        <w:t>.</w:t>
      </w:r>
      <w:r w:rsidR="001918B6" w:rsidRPr="00C454A1">
        <w:rPr>
          <w:rFonts w:cs="Times New Roman"/>
          <w:color w:val="000000" w:themeColor="text1"/>
          <w:szCs w:val="28"/>
          <w:lang w:val="es-ES_tradnl"/>
        </w:rPr>
        <w:t xml:space="preserve"> </w:t>
      </w:r>
      <w:r w:rsidR="00DD471B" w:rsidRPr="00C454A1">
        <w:rPr>
          <w:rFonts w:cs="Times New Roman"/>
          <w:color w:val="000000" w:themeColor="text1"/>
          <w:szCs w:val="28"/>
          <w:lang w:val="es-ES_tradnl"/>
        </w:rPr>
        <w:t>Concluyó entonces que</w:t>
      </w:r>
      <w:r w:rsidR="001918B6" w:rsidRPr="00C454A1">
        <w:rPr>
          <w:rFonts w:cs="Times New Roman"/>
          <w:color w:val="000000" w:themeColor="text1"/>
          <w:szCs w:val="28"/>
          <w:lang w:val="es-ES_tradnl"/>
        </w:rPr>
        <w:t xml:space="preserve"> “la situación en materia criminal </w:t>
      </w:r>
      <w:r w:rsidR="00DB3C0C" w:rsidRPr="00C454A1">
        <w:rPr>
          <w:rFonts w:cs="Times New Roman"/>
          <w:color w:val="000000" w:themeColor="text1"/>
          <w:szCs w:val="28"/>
          <w:lang w:val="es-ES_tradnl"/>
        </w:rPr>
        <w:t>[era]</w:t>
      </w:r>
      <w:r w:rsidR="001918B6" w:rsidRPr="00C454A1">
        <w:rPr>
          <w:rFonts w:cs="Times New Roman"/>
          <w:color w:val="000000" w:themeColor="text1"/>
          <w:szCs w:val="28"/>
          <w:lang w:val="es-ES_tradnl"/>
        </w:rPr>
        <w:t xml:space="preserve"> (...) crónica, permanente y estable”</w:t>
      </w:r>
      <w:r w:rsidR="001918B6" w:rsidRPr="00C454A1">
        <w:rPr>
          <w:rStyle w:val="Refdenotaalpie"/>
          <w:rFonts w:cs="Times New Roman"/>
          <w:color w:val="000000" w:themeColor="text1"/>
          <w:szCs w:val="28"/>
          <w:lang w:val="es-ES_tradnl"/>
        </w:rPr>
        <w:footnoteReference w:id="112"/>
      </w:r>
      <w:r w:rsidR="001918B6" w:rsidRPr="00C454A1">
        <w:rPr>
          <w:rFonts w:cs="Times New Roman"/>
          <w:color w:val="000000" w:themeColor="text1"/>
          <w:szCs w:val="28"/>
          <w:lang w:val="es-ES_tradnl"/>
        </w:rPr>
        <w:t xml:space="preserve">. </w:t>
      </w:r>
    </w:p>
    <w:p w14:paraId="4E609446" w14:textId="77777777" w:rsidR="001918B6" w:rsidRPr="00C454A1" w:rsidRDefault="001918B6" w:rsidP="001918B6">
      <w:pPr>
        <w:rPr>
          <w:rFonts w:cs="Times New Roman"/>
          <w:color w:val="000000" w:themeColor="text1"/>
          <w:lang w:eastAsia="es-ES"/>
        </w:rPr>
      </w:pPr>
    </w:p>
    <w:p w14:paraId="6A252276" w14:textId="5F55602E" w:rsidR="001918B6" w:rsidRPr="00C454A1" w:rsidRDefault="001918B6" w:rsidP="009707FD">
      <w:pPr>
        <w:numPr>
          <w:ilvl w:val="0"/>
          <w:numId w:val="2"/>
        </w:numPr>
        <w:ind w:left="0" w:firstLine="0"/>
        <w:rPr>
          <w:rFonts w:cs="Times New Roman"/>
          <w:color w:val="000000" w:themeColor="text1"/>
          <w:lang w:eastAsia="es-ES"/>
        </w:rPr>
      </w:pPr>
      <w:r w:rsidRPr="00C454A1">
        <w:rPr>
          <w:rFonts w:cs="Times New Roman"/>
          <w:color w:val="000000" w:themeColor="text1"/>
          <w:szCs w:val="28"/>
        </w:rPr>
        <w:t xml:space="preserve">Así, la providencia </w:t>
      </w:r>
      <w:r w:rsidR="009707FD" w:rsidRPr="00C454A1">
        <w:rPr>
          <w:rFonts w:cs="Times New Roman"/>
          <w:color w:val="000000" w:themeColor="text1"/>
          <w:szCs w:val="28"/>
        </w:rPr>
        <w:t>resaltó</w:t>
      </w:r>
      <w:r w:rsidRPr="00C454A1">
        <w:rPr>
          <w:rFonts w:cs="Times New Roman"/>
          <w:color w:val="000000" w:themeColor="text1"/>
          <w:szCs w:val="28"/>
        </w:rPr>
        <w:t xml:space="preserve"> </w:t>
      </w:r>
      <w:r w:rsidR="009707FD" w:rsidRPr="00C454A1">
        <w:rPr>
          <w:rFonts w:cs="Times New Roman"/>
          <w:color w:val="000000" w:themeColor="text1"/>
          <w:szCs w:val="28"/>
        </w:rPr>
        <w:t xml:space="preserve">que una situación de “anormalidad permanente” no equivale a la grave perturbación del orden público exigida por la Constitución para la declaración del estado de conmoción interior, pues los estados de excepción </w:t>
      </w:r>
      <w:r w:rsidR="009F64FC" w:rsidRPr="00C454A1">
        <w:rPr>
          <w:rFonts w:cs="Times New Roman"/>
          <w:color w:val="000000" w:themeColor="text1"/>
          <w:szCs w:val="28"/>
        </w:rPr>
        <w:t xml:space="preserve">exigen enfrentar hechos extraordinarios y, en consecuencia, </w:t>
      </w:r>
      <w:r w:rsidR="009707FD" w:rsidRPr="00C454A1">
        <w:rPr>
          <w:rFonts w:cs="Times New Roman"/>
          <w:color w:val="000000" w:themeColor="text1"/>
          <w:szCs w:val="28"/>
        </w:rPr>
        <w:t xml:space="preserve">no están previstos para conjurar patologías sociales arraigadas. Por el contrario, </w:t>
      </w:r>
      <w:r w:rsidRPr="00C454A1">
        <w:rPr>
          <w:rFonts w:cs="Times New Roman"/>
          <w:color w:val="000000" w:themeColor="text1"/>
          <w:szCs w:val="28"/>
        </w:rPr>
        <w:t xml:space="preserve">el constituyente reservó la declaratoria de conmoción </w:t>
      </w:r>
      <w:r w:rsidR="009707FD" w:rsidRPr="00C454A1">
        <w:rPr>
          <w:rFonts w:cs="Times New Roman"/>
          <w:color w:val="000000" w:themeColor="text1"/>
          <w:szCs w:val="28"/>
        </w:rPr>
        <w:t>para</w:t>
      </w:r>
      <w:r w:rsidRPr="00C454A1">
        <w:rPr>
          <w:rFonts w:cs="Times New Roman"/>
          <w:color w:val="000000" w:themeColor="text1"/>
          <w:szCs w:val="28"/>
        </w:rPr>
        <w:t xml:space="preserve"> las situaciones en las que, como resultado de hechos “sobrevinientes”, “coyunturales”, “transitorios” y “excepcionales”, la perturbación del orden público alcanzara una intensidad –cualitativa o cuantitativa– inusitada. Explicó que “[n]o son esos hechos endémicos –como el propio Gobierno reconoce que lo son– los que exige la Constitución para que el estado de conmoción proceda. A éstos –se reitera– hay que atender de manera permanente, usando los mecanismos ordinarios de que el Gobierno dispone. Los que justifican el estado de conmoción deben ser de otra clase: </w:t>
      </w:r>
      <w:r w:rsidRPr="00C454A1">
        <w:rPr>
          <w:rFonts w:cs="Times New Roman"/>
          <w:i/>
          <w:iCs/>
          <w:color w:val="000000" w:themeColor="text1"/>
          <w:szCs w:val="28"/>
        </w:rPr>
        <w:t>coyunturales</w:t>
      </w:r>
      <w:r w:rsidRPr="00C454A1">
        <w:rPr>
          <w:rFonts w:cs="Times New Roman"/>
          <w:color w:val="000000" w:themeColor="text1"/>
          <w:szCs w:val="28"/>
        </w:rPr>
        <w:t xml:space="preserve">, </w:t>
      </w:r>
      <w:r w:rsidRPr="00C454A1">
        <w:rPr>
          <w:rFonts w:cs="Times New Roman"/>
          <w:i/>
          <w:iCs/>
          <w:color w:val="000000" w:themeColor="text1"/>
          <w:szCs w:val="28"/>
        </w:rPr>
        <w:t>transitorios</w:t>
      </w:r>
      <w:r w:rsidRPr="00C454A1">
        <w:rPr>
          <w:rFonts w:cs="Times New Roman"/>
          <w:color w:val="000000" w:themeColor="text1"/>
          <w:szCs w:val="28"/>
        </w:rPr>
        <w:t>”</w:t>
      </w:r>
      <w:r w:rsidRPr="00C454A1">
        <w:rPr>
          <w:rStyle w:val="Refdenotaalpie"/>
          <w:rFonts w:cs="Times New Roman"/>
          <w:color w:val="000000" w:themeColor="text1"/>
          <w:szCs w:val="28"/>
        </w:rPr>
        <w:footnoteReference w:id="113"/>
      </w:r>
      <w:r w:rsidRPr="00C454A1">
        <w:rPr>
          <w:rFonts w:cs="Times New Roman"/>
          <w:color w:val="000000" w:themeColor="text1"/>
          <w:szCs w:val="28"/>
        </w:rPr>
        <w:t>.</w:t>
      </w:r>
    </w:p>
    <w:p w14:paraId="2DA7EB53" w14:textId="77777777" w:rsidR="001918B6" w:rsidRPr="00C454A1" w:rsidRDefault="001918B6" w:rsidP="001918B6">
      <w:pPr>
        <w:rPr>
          <w:rFonts w:cs="Times New Roman"/>
          <w:color w:val="000000" w:themeColor="text1"/>
          <w:lang w:eastAsia="es-ES"/>
        </w:rPr>
      </w:pPr>
    </w:p>
    <w:p w14:paraId="1DFB9C8E" w14:textId="31C8A7E8" w:rsidR="001918B6" w:rsidRPr="00C454A1" w:rsidRDefault="0068345B" w:rsidP="00F53DFF">
      <w:pPr>
        <w:numPr>
          <w:ilvl w:val="0"/>
          <w:numId w:val="2"/>
        </w:numPr>
        <w:ind w:left="0" w:firstLine="0"/>
        <w:rPr>
          <w:rFonts w:cs="Times New Roman"/>
          <w:color w:val="000000" w:themeColor="text1"/>
          <w:lang w:eastAsia="es-ES"/>
        </w:rPr>
      </w:pPr>
      <w:r w:rsidRPr="00C454A1">
        <w:rPr>
          <w:rFonts w:cs="Times New Roman"/>
          <w:color w:val="000000" w:themeColor="text1"/>
          <w:szCs w:val="28"/>
        </w:rPr>
        <w:t>En la misma dirección</w:t>
      </w:r>
      <w:r w:rsidR="001918B6" w:rsidRPr="00C454A1">
        <w:rPr>
          <w:rFonts w:cs="Times New Roman"/>
          <w:color w:val="000000" w:themeColor="text1"/>
          <w:szCs w:val="28"/>
        </w:rPr>
        <w:t>, en la Sentencia C-027 de 1996</w:t>
      </w:r>
      <w:r w:rsidR="00DD471B" w:rsidRPr="00C454A1">
        <w:rPr>
          <w:rFonts w:cs="Times New Roman"/>
          <w:b/>
          <w:bCs/>
          <w:color w:val="000000" w:themeColor="text1"/>
          <w:szCs w:val="28"/>
        </w:rPr>
        <w:t xml:space="preserve"> </w:t>
      </w:r>
      <w:r w:rsidR="00DD471B" w:rsidRPr="00C454A1">
        <w:rPr>
          <w:rFonts w:cs="Times New Roman"/>
          <w:color w:val="000000" w:themeColor="text1"/>
          <w:szCs w:val="28"/>
        </w:rPr>
        <w:t xml:space="preserve">(ver </w:t>
      </w:r>
      <w:r w:rsidR="00DD471B" w:rsidRPr="00C454A1">
        <w:rPr>
          <w:rFonts w:cs="Times New Roman"/>
          <w:i/>
          <w:iCs/>
          <w:color w:val="000000" w:themeColor="text1"/>
          <w:szCs w:val="28"/>
        </w:rPr>
        <w:t>supra</w:t>
      </w:r>
      <w:r w:rsidR="00DD471B" w:rsidRPr="00C454A1">
        <w:rPr>
          <w:rFonts w:cs="Times New Roman"/>
          <w:color w:val="000000" w:themeColor="text1"/>
          <w:szCs w:val="28"/>
        </w:rPr>
        <w:t xml:space="preserve"> fundamento </w:t>
      </w:r>
      <w:r w:rsidR="006328FA" w:rsidRPr="00C454A1">
        <w:rPr>
          <w:rFonts w:cs="Times New Roman"/>
          <w:color w:val="000000" w:themeColor="text1"/>
          <w:szCs w:val="28"/>
        </w:rPr>
        <w:fldChar w:fldCharType="begin"/>
      </w:r>
      <w:r w:rsidR="006328FA" w:rsidRPr="00C454A1">
        <w:rPr>
          <w:rFonts w:cs="Times New Roman"/>
          <w:color w:val="000000" w:themeColor="text1"/>
          <w:szCs w:val="28"/>
        </w:rPr>
        <w:instrText xml:space="preserve"> REF _Ref203391136 \r \h </w:instrText>
      </w:r>
      <w:r w:rsidR="00DD0E75" w:rsidRPr="00C454A1">
        <w:rPr>
          <w:rFonts w:cs="Times New Roman"/>
          <w:color w:val="000000" w:themeColor="text1"/>
          <w:szCs w:val="28"/>
        </w:rPr>
        <w:instrText xml:space="preserve"> \* MERGEFORMAT </w:instrText>
      </w:r>
      <w:r w:rsidR="006328FA" w:rsidRPr="00C454A1">
        <w:rPr>
          <w:rFonts w:cs="Times New Roman"/>
          <w:color w:val="000000" w:themeColor="text1"/>
          <w:szCs w:val="28"/>
        </w:rPr>
      </w:r>
      <w:r w:rsidR="006328FA" w:rsidRPr="00C454A1">
        <w:rPr>
          <w:rFonts w:cs="Times New Roman"/>
          <w:color w:val="000000" w:themeColor="text1"/>
          <w:szCs w:val="28"/>
        </w:rPr>
        <w:fldChar w:fldCharType="separate"/>
      </w:r>
      <w:r w:rsidR="00881E6A">
        <w:rPr>
          <w:rFonts w:cs="Times New Roman"/>
          <w:color w:val="000000" w:themeColor="text1"/>
          <w:szCs w:val="28"/>
        </w:rPr>
        <w:t>62</w:t>
      </w:r>
      <w:r w:rsidR="006328FA" w:rsidRPr="00C454A1">
        <w:rPr>
          <w:rFonts w:cs="Times New Roman"/>
          <w:color w:val="000000" w:themeColor="text1"/>
          <w:szCs w:val="28"/>
        </w:rPr>
        <w:fldChar w:fldCharType="end"/>
      </w:r>
      <w:r w:rsidR="00DD471B" w:rsidRPr="00C454A1">
        <w:rPr>
          <w:rFonts w:cs="Times New Roman"/>
          <w:color w:val="000000" w:themeColor="text1"/>
          <w:szCs w:val="28"/>
        </w:rPr>
        <w:t>)</w:t>
      </w:r>
      <w:r w:rsidR="001918B6" w:rsidRPr="00C454A1">
        <w:rPr>
          <w:rFonts w:cs="Times New Roman"/>
          <w:color w:val="000000" w:themeColor="text1"/>
          <w:szCs w:val="28"/>
        </w:rPr>
        <w:t xml:space="preserve">, </w:t>
      </w:r>
      <w:r w:rsidR="00DD471B" w:rsidRPr="00C454A1">
        <w:rPr>
          <w:rFonts w:cs="Times New Roman"/>
          <w:color w:val="000000" w:themeColor="text1"/>
          <w:szCs w:val="28"/>
        </w:rPr>
        <w:t>al estudiar la constitucionalidad</w:t>
      </w:r>
      <w:r w:rsidR="001918B6" w:rsidRPr="00C454A1">
        <w:rPr>
          <w:rFonts w:cs="Times New Roman"/>
          <w:color w:val="000000" w:themeColor="text1"/>
          <w:szCs w:val="28"/>
        </w:rPr>
        <w:t xml:space="preserve"> </w:t>
      </w:r>
      <w:r w:rsidR="00DD471B" w:rsidRPr="00C454A1">
        <w:rPr>
          <w:rFonts w:cs="Times New Roman"/>
          <w:color w:val="000000" w:themeColor="text1"/>
          <w:szCs w:val="28"/>
        </w:rPr>
        <w:t>d</w:t>
      </w:r>
      <w:r w:rsidR="001918B6" w:rsidRPr="00C454A1">
        <w:rPr>
          <w:rFonts w:cs="Times New Roman"/>
          <w:color w:val="000000" w:themeColor="text1"/>
          <w:szCs w:val="28"/>
        </w:rPr>
        <w:t>el Decreto 1900 de 1995,</w:t>
      </w:r>
      <w:r w:rsidR="005E25BF" w:rsidRPr="00C454A1">
        <w:rPr>
          <w:rFonts w:cs="Times New Roman"/>
          <w:color w:val="000000" w:themeColor="text1"/>
          <w:szCs w:val="28"/>
        </w:rPr>
        <w:t xml:space="preserve"> la Corte </w:t>
      </w:r>
      <w:r w:rsidR="00F870E0" w:rsidRPr="00C454A1">
        <w:rPr>
          <w:rFonts w:cs="Times New Roman"/>
          <w:color w:val="000000" w:themeColor="text1"/>
          <w:szCs w:val="28"/>
        </w:rPr>
        <w:t>consideró que no resultaba procedente la declara</w:t>
      </w:r>
      <w:r w:rsidR="009707FD" w:rsidRPr="00C454A1">
        <w:rPr>
          <w:rFonts w:cs="Times New Roman"/>
          <w:color w:val="000000" w:themeColor="text1"/>
          <w:szCs w:val="28"/>
        </w:rPr>
        <w:t>ción</w:t>
      </w:r>
      <w:r w:rsidR="00F870E0" w:rsidRPr="00C454A1">
        <w:rPr>
          <w:rFonts w:cs="Times New Roman"/>
          <w:color w:val="000000" w:themeColor="text1"/>
          <w:szCs w:val="28"/>
        </w:rPr>
        <w:t xml:space="preserve"> de conmoción interior </w:t>
      </w:r>
      <w:r w:rsidR="0073465B" w:rsidRPr="00C454A1">
        <w:rPr>
          <w:rFonts w:cs="Times New Roman"/>
          <w:color w:val="000000" w:themeColor="text1"/>
          <w:szCs w:val="28"/>
        </w:rPr>
        <w:t>respecto de un grupo de problemáticas consistentes en la proliferación de actos violentos atribuidos a organizaciones criminales y terroristas</w:t>
      </w:r>
      <w:r w:rsidR="009707FD" w:rsidRPr="00C454A1">
        <w:rPr>
          <w:rFonts w:cs="Times New Roman"/>
          <w:color w:val="000000" w:themeColor="text1"/>
          <w:szCs w:val="28"/>
        </w:rPr>
        <w:t xml:space="preserve"> a partir del 16 de agosto de 1995</w:t>
      </w:r>
      <w:r w:rsidR="0073465B" w:rsidRPr="00C454A1">
        <w:rPr>
          <w:rFonts w:cs="Times New Roman"/>
          <w:color w:val="000000" w:themeColor="text1"/>
          <w:szCs w:val="28"/>
        </w:rPr>
        <w:t>. Para la Sala Plena</w:t>
      </w:r>
      <w:r w:rsidR="009707FD" w:rsidRPr="00C454A1">
        <w:rPr>
          <w:rFonts w:cs="Times New Roman"/>
          <w:color w:val="000000" w:themeColor="text1"/>
          <w:szCs w:val="28"/>
        </w:rPr>
        <w:t>,</w:t>
      </w:r>
      <w:r w:rsidR="0073465B" w:rsidRPr="00C454A1">
        <w:rPr>
          <w:rFonts w:cs="Times New Roman"/>
          <w:color w:val="000000" w:themeColor="text1"/>
          <w:szCs w:val="28"/>
        </w:rPr>
        <w:t xml:space="preserve"> </w:t>
      </w:r>
      <w:r w:rsidR="00F53DFF" w:rsidRPr="00C454A1">
        <w:rPr>
          <w:rFonts w:cs="Times New Roman"/>
          <w:color w:val="000000" w:themeColor="text1"/>
          <w:szCs w:val="28"/>
        </w:rPr>
        <w:t xml:space="preserve">siguiendo la argumentación de la Sentencia C466 de 1995, </w:t>
      </w:r>
      <w:r w:rsidR="0073465B" w:rsidRPr="00C454A1">
        <w:rPr>
          <w:rFonts w:cs="Times New Roman"/>
          <w:color w:val="000000" w:themeColor="text1"/>
          <w:szCs w:val="28"/>
        </w:rPr>
        <w:t xml:space="preserve">estas problemáticas no tenían el carácter de </w:t>
      </w:r>
      <w:r w:rsidR="0073465B" w:rsidRPr="00C454A1">
        <w:rPr>
          <w:rFonts w:cs="Times New Roman"/>
          <w:color w:val="000000" w:themeColor="text1"/>
          <w:szCs w:val="28"/>
          <w:lang w:val="es-ES_tradnl"/>
        </w:rPr>
        <w:t>coyunturales, transitorias ni excepcionales</w:t>
      </w:r>
      <w:r w:rsidR="009707FD" w:rsidRPr="00C454A1">
        <w:rPr>
          <w:rFonts w:cs="Times New Roman"/>
          <w:color w:val="000000" w:themeColor="text1"/>
          <w:szCs w:val="28"/>
        </w:rPr>
        <w:t>, sino que constituían situaciones que venían presentándose desde hacía varios años</w:t>
      </w:r>
      <w:r w:rsidR="001918B6" w:rsidRPr="00C454A1">
        <w:rPr>
          <w:rFonts w:cs="Times New Roman"/>
          <w:color w:val="000000" w:themeColor="text1"/>
          <w:szCs w:val="28"/>
        </w:rPr>
        <w:t>.</w:t>
      </w:r>
    </w:p>
    <w:p w14:paraId="58B1BF6A" w14:textId="77777777" w:rsidR="001918B6" w:rsidRPr="00C454A1" w:rsidRDefault="001918B6" w:rsidP="001918B6">
      <w:pPr>
        <w:rPr>
          <w:rFonts w:cs="Times New Roman"/>
          <w:color w:val="000000" w:themeColor="text1"/>
          <w:lang w:eastAsia="es-ES"/>
        </w:rPr>
      </w:pPr>
    </w:p>
    <w:p w14:paraId="36091874" w14:textId="484000C8"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 xml:space="preserve">En contraste, estimó que </w:t>
      </w:r>
      <w:r w:rsidR="00F53DFF" w:rsidRPr="00C454A1">
        <w:rPr>
          <w:rFonts w:cs="Times New Roman"/>
          <w:color w:val="000000" w:themeColor="text1"/>
          <w:szCs w:val="28"/>
        </w:rPr>
        <w:t>un</w:t>
      </w:r>
      <w:r w:rsidRPr="00C454A1">
        <w:rPr>
          <w:rFonts w:cs="Times New Roman"/>
          <w:color w:val="000000" w:themeColor="text1"/>
          <w:szCs w:val="28"/>
        </w:rPr>
        <w:t xml:space="preserve"> segundo conjunto de circunstancias fácticas</w:t>
      </w:r>
      <w:r w:rsidR="00F53DFF" w:rsidRPr="00C454A1">
        <w:rPr>
          <w:rFonts w:cs="Times New Roman"/>
          <w:color w:val="000000" w:themeColor="text1"/>
          <w:szCs w:val="28"/>
        </w:rPr>
        <w:t xml:space="preserve"> consistente en el asesinato sistemático de figuras políticas relevantes</w:t>
      </w:r>
      <w:r w:rsidR="00F53DFF" w:rsidRPr="00C454A1">
        <w:rPr>
          <w:rStyle w:val="Refdenotaalpie"/>
          <w:rFonts w:cs="Times New Roman"/>
          <w:color w:val="000000" w:themeColor="text1"/>
          <w:szCs w:val="28"/>
        </w:rPr>
        <w:footnoteReference w:id="114"/>
      </w:r>
      <w:r w:rsidRPr="00C454A1">
        <w:rPr>
          <w:rFonts w:cs="Times New Roman"/>
          <w:color w:val="000000" w:themeColor="text1"/>
          <w:szCs w:val="28"/>
        </w:rPr>
        <w:t xml:space="preserve"> sí ameritaba que se declarara el aludido estado de excepción. Lo anterior, por cuanto dicha situación “no resulta[ba] de los hechos de violencia arraigada desde hace varios años bajo la perspectiva de hechos endémicos y permanentes”</w:t>
      </w:r>
      <w:r w:rsidRPr="00C454A1">
        <w:rPr>
          <w:rStyle w:val="Refdenotaalpie"/>
          <w:rFonts w:cs="Times New Roman"/>
          <w:color w:val="000000" w:themeColor="text1"/>
          <w:szCs w:val="28"/>
        </w:rPr>
        <w:footnoteReference w:id="115"/>
      </w:r>
      <w:r w:rsidRPr="00C454A1">
        <w:rPr>
          <w:rFonts w:cs="Times New Roman"/>
          <w:color w:val="000000" w:themeColor="text1"/>
          <w:szCs w:val="28"/>
        </w:rPr>
        <w:t xml:space="preserve">, sino que se originaban en una “irrupción repentina” de la </w:t>
      </w:r>
      <w:r w:rsidRPr="00C454A1">
        <w:rPr>
          <w:rFonts w:cs="Times New Roman"/>
          <w:color w:val="000000" w:themeColor="text1"/>
          <w:szCs w:val="28"/>
        </w:rPr>
        <w:lastRenderedPageBreak/>
        <w:t xml:space="preserve">actividad terrorista desplegada contra la estabilidad institucional y la convivencia ciudadana. De este modo, destacó que, </w:t>
      </w:r>
      <w:r w:rsidRPr="00C454A1">
        <w:rPr>
          <w:rFonts w:cs="Times New Roman"/>
          <w:color w:val="000000" w:themeColor="text1"/>
          <w:szCs w:val="28"/>
          <w:lang w:val="es-ES_tradnl"/>
        </w:rPr>
        <w:t>además de los hechos de violencia crónica, se presentaba una situación singularmente crítica, derivada de los hechos sobrevinientes descritos</w:t>
      </w:r>
      <w:r w:rsidRPr="00C454A1">
        <w:rPr>
          <w:rFonts w:cs="Times New Roman"/>
          <w:color w:val="000000" w:themeColor="text1"/>
          <w:szCs w:val="28"/>
        </w:rPr>
        <w:t>. De conformidad con lo anterior, este tribunal declaró la exequibilidad parcial del decreto referido.</w:t>
      </w:r>
    </w:p>
    <w:p w14:paraId="15FBF6E8" w14:textId="77777777" w:rsidR="001918B6" w:rsidRPr="00C454A1" w:rsidRDefault="001918B6" w:rsidP="001918B6">
      <w:pPr>
        <w:rPr>
          <w:rFonts w:cs="Times New Roman"/>
          <w:color w:val="000000" w:themeColor="text1"/>
          <w:lang w:eastAsia="es-ES"/>
        </w:rPr>
      </w:pPr>
    </w:p>
    <w:p w14:paraId="77364F68" w14:textId="5DD930C1" w:rsidR="001918B6" w:rsidRPr="00C454A1" w:rsidRDefault="001918B6" w:rsidP="000C093E">
      <w:pPr>
        <w:numPr>
          <w:ilvl w:val="0"/>
          <w:numId w:val="2"/>
        </w:numPr>
        <w:ind w:left="0" w:firstLine="0"/>
        <w:rPr>
          <w:rFonts w:cs="Times New Roman"/>
          <w:color w:val="000000" w:themeColor="text1"/>
          <w:lang w:eastAsia="es-ES"/>
        </w:rPr>
      </w:pPr>
      <w:r w:rsidRPr="00C454A1">
        <w:rPr>
          <w:rFonts w:eastAsia="Times New Roman" w:cs="Times New Roman"/>
          <w:color w:val="000000" w:themeColor="text1"/>
          <w:szCs w:val="28"/>
        </w:rPr>
        <w:t>Por último, en la Sentencia C-802 de 2002</w:t>
      </w:r>
      <w:r w:rsidR="00104F18" w:rsidRPr="00C454A1">
        <w:rPr>
          <w:rFonts w:eastAsia="Times New Roman" w:cs="Times New Roman"/>
          <w:b/>
          <w:bCs/>
          <w:color w:val="000000" w:themeColor="text1"/>
          <w:szCs w:val="28"/>
        </w:rPr>
        <w:t xml:space="preserve"> </w:t>
      </w:r>
      <w:r w:rsidR="00104F18" w:rsidRPr="00C454A1">
        <w:rPr>
          <w:rFonts w:eastAsia="Times New Roman" w:cs="Times New Roman"/>
          <w:color w:val="000000" w:themeColor="text1"/>
          <w:szCs w:val="28"/>
        </w:rPr>
        <w:t xml:space="preserve">(ver </w:t>
      </w:r>
      <w:r w:rsidR="00104F18" w:rsidRPr="00C454A1">
        <w:rPr>
          <w:rFonts w:eastAsia="Times New Roman" w:cs="Times New Roman"/>
          <w:i/>
          <w:iCs/>
          <w:color w:val="000000" w:themeColor="text1"/>
          <w:szCs w:val="28"/>
        </w:rPr>
        <w:t>supra</w:t>
      </w:r>
      <w:r w:rsidR="00104F18" w:rsidRPr="00C454A1">
        <w:rPr>
          <w:rFonts w:eastAsia="Times New Roman" w:cs="Times New Roman"/>
          <w:color w:val="000000" w:themeColor="text1"/>
          <w:szCs w:val="28"/>
        </w:rPr>
        <w:t xml:space="preserve"> fundamento</w:t>
      </w:r>
      <w:r w:rsidR="006328FA" w:rsidRPr="00C454A1">
        <w:rPr>
          <w:rFonts w:eastAsia="Times New Roman" w:cs="Times New Roman"/>
          <w:color w:val="000000" w:themeColor="text1"/>
          <w:szCs w:val="28"/>
        </w:rPr>
        <w:t xml:space="preserve"> </w:t>
      </w:r>
      <w:r w:rsidR="006328FA" w:rsidRPr="00C454A1">
        <w:rPr>
          <w:rFonts w:eastAsia="Times New Roman" w:cs="Times New Roman"/>
          <w:color w:val="000000" w:themeColor="text1"/>
          <w:szCs w:val="28"/>
        </w:rPr>
        <w:fldChar w:fldCharType="begin"/>
      </w:r>
      <w:r w:rsidR="006328FA" w:rsidRPr="00C454A1">
        <w:rPr>
          <w:rFonts w:eastAsia="Times New Roman" w:cs="Times New Roman"/>
          <w:color w:val="000000" w:themeColor="text1"/>
          <w:szCs w:val="28"/>
        </w:rPr>
        <w:instrText xml:space="preserve"> REF _Ref203391149 \r \h </w:instrText>
      </w:r>
      <w:r w:rsidR="00DD0E75" w:rsidRPr="00C454A1">
        <w:rPr>
          <w:rFonts w:eastAsia="Times New Roman" w:cs="Times New Roman"/>
          <w:color w:val="000000" w:themeColor="text1"/>
          <w:szCs w:val="28"/>
        </w:rPr>
        <w:instrText xml:space="preserve"> \* MERGEFORMAT </w:instrText>
      </w:r>
      <w:r w:rsidR="006328FA" w:rsidRPr="00C454A1">
        <w:rPr>
          <w:rFonts w:eastAsia="Times New Roman" w:cs="Times New Roman"/>
          <w:color w:val="000000" w:themeColor="text1"/>
          <w:szCs w:val="28"/>
        </w:rPr>
      </w:r>
      <w:r w:rsidR="006328FA" w:rsidRPr="00C454A1">
        <w:rPr>
          <w:rFonts w:eastAsia="Times New Roman" w:cs="Times New Roman"/>
          <w:color w:val="000000" w:themeColor="text1"/>
          <w:szCs w:val="28"/>
        </w:rPr>
        <w:fldChar w:fldCharType="separate"/>
      </w:r>
      <w:r w:rsidR="00881E6A">
        <w:rPr>
          <w:rFonts w:eastAsia="Times New Roman" w:cs="Times New Roman"/>
          <w:color w:val="000000" w:themeColor="text1"/>
          <w:szCs w:val="28"/>
        </w:rPr>
        <w:t>66</w:t>
      </w:r>
      <w:r w:rsidR="006328FA" w:rsidRPr="00C454A1">
        <w:rPr>
          <w:rFonts w:eastAsia="Times New Roman" w:cs="Times New Roman"/>
          <w:color w:val="000000" w:themeColor="text1"/>
          <w:szCs w:val="28"/>
        </w:rPr>
        <w:fldChar w:fldCharType="end"/>
      </w:r>
      <w:r w:rsidR="00104F18" w:rsidRPr="00C454A1">
        <w:rPr>
          <w:rFonts w:eastAsia="Times New Roman" w:cs="Times New Roman"/>
          <w:color w:val="000000" w:themeColor="text1"/>
          <w:szCs w:val="28"/>
        </w:rPr>
        <w:t>)</w:t>
      </w:r>
      <w:r w:rsidR="000C093E" w:rsidRPr="00C454A1">
        <w:rPr>
          <w:rStyle w:val="Refdenotaalpie"/>
          <w:rFonts w:eastAsia="Times New Roman" w:cs="Times New Roman"/>
          <w:color w:val="000000" w:themeColor="text1"/>
          <w:szCs w:val="28"/>
        </w:rPr>
        <w:footnoteReference w:id="116"/>
      </w:r>
      <w:r w:rsidRPr="00C454A1">
        <w:rPr>
          <w:rFonts w:eastAsia="Times New Roman" w:cs="Times New Roman"/>
          <w:color w:val="000000" w:themeColor="text1"/>
          <w:szCs w:val="28"/>
        </w:rPr>
        <w:t xml:space="preserve">, </w:t>
      </w:r>
      <w:r w:rsidR="008859FE" w:rsidRPr="00C454A1">
        <w:rPr>
          <w:rFonts w:eastAsia="Times New Roman" w:cs="Times New Roman"/>
          <w:color w:val="000000" w:themeColor="text1"/>
          <w:szCs w:val="28"/>
        </w:rPr>
        <w:t>cuando</w:t>
      </w:r>
      <w:r w:rsidR="00104F18" w:rsidRPr="00C454A1">
        <w:rPr>
          <w:rFonts w:eastAsia="Times New Roman" w:cs="Times New Roman"/>
          <w:color w:val="000000" w:themeColor="text1"/>
          <w:szCs w:val="28"/>
        </w:rPr>
        <w:t xml:space="preserve"> </w:t>
      </w:r>
      <w:r w:rsidR="008859FE" w:rsidRPr="00C454A1">
        <w:rPr>
          <w:rFonts w:eastAsia="Times New Roman" w:cs="Times New Roman"/>
          <w:color w:val="000000" w:themeColor="text1"/>
          <w:szCs w:val="28"/>
        </w:rPr>
        <w:t xml:space="preserve">efectuó </w:t>
      </w:r>
      <w:r w:rsidRPr="00C454A1">
        <w:rPr>
          <w:rFonts w:eastAsia="Times New Roman" w:cs="Times New Roman"/>
          <w:color w:val="000000" w:themeColor="text1"/>
          <w:szCs w:val="28"/>
        </w:rPr>
        <w:t>el control de constitucionalidad del Decreto 1837 de 2002</w:t>
      </w:r>
      <w:r w:rsidR="00104F18" w:rsidRPr="00C454A1">
        <w:rPr>
          <w:rFonts w:eastAsia="Times New Roman" w:cs="Times New Roman"/>
          <w:color w:val="000000" w:themeColor="text1"/>
          <w:szCs w:val="28"/>
        </w:rPr>
        <w:t xml:space="preserve">, la Sala Plena </w:t>
      </w:r>
      <w:r w:rsidRPr="00C454A1">
        <w:rPr>
          <w:rFonts w:eastAsia="Times New Roman" w:cs="Times New Roman"/>
          <w:color w:val="000000" w:themeColor="text1"/>
          <w:szCs w:val="28"/>
        </w:rPr>
        <w:t xml:space="preserve">estimó que, a pesar de </w:t>
      </w:r>
      <w:r w:rsidR="000C093E" w:rsidRPr="00C454A1">
        <w:rPr>
          <w:rFonts w:eastAsia="Times New Roman" w:cs="Times New Roman"/>
          <w:color w:val="000000" w:themeColor="text1"/>
          <w:szCs w:val="28"/>
        </w:rPr>
        <w:t>que el decreto invocaba</w:t>
      </w:r>
      <w:r w:rsidRPr="00C454A1">
        <w:rPr>
          <w:rFonts w:eastAsia="Times New Roman" w:cs="Times New Roman"/>
          <w:color w:val="000000" w:themeColor="text1"/>
          <w:szCs w:val="28"/>
        </w:rPr>
        <w:t xml:space="preserve"> hechos de violencia arraigados, </w:t>
      </w:r>
      <w:r w:rsidR="000C093E" w:rsidRPr="00C454A1">
        <w:rPr>
          <w:rFonts w:eastAsia="Times New Roman" w:cs="Times New Roman"/>
          <w:color w:val="000000" w:themeColor="text1"/>
          <w:szCs w:val="28"/>
        </w:rPr>
        <w:t>estos</w:t>
      </w:r>
      <w:r w:rsidRPr="00C454A1">
        <w:rPr>
          <w:rFonts w:eastAsia="Times New Roman" w:cs="Times New Roman"/>
          <w:color w:val="000000" w:themeColor="text1"/>
          <w:szCs w:val="28"/>
        </w:rPr>
        <w:t xml:space="preserve"> se </w:t>
      </w:r>
      <w:r w:rsidR="000C093E" w:rsidRPr="00C454A1">
        <w:rPr>
          <w:rFonts w:eastAsia="Times New Roman" w:cs="Times New Roman"/>
          <w:color w:val="000000" w:themeColor="text1"/>
          <w:szCs w:val="28"/>
        </w:rPr>
        <w:t>habían agravado</w:t>
      </w:r>
      <w:r w:rsidRPr="00C454A1">
        <w:rPr>
          <w:rFonts w:eastAsia="Times New Roman" w:cs="Times New Roman"/>
          <w:color w:val="000000" w:themeColor="text1"/>
          <w:szCs w:val="28"/>
        </w:rPr>
        <w:t xml:space="preserve"> tras la ruptura de las negociaciones de paz con las FARC-EP. En esta medida, constató que se había registrado un escalamiento cualitativo y cuantitativo en la capacidad de acción de los grupos armados al margen de la ley. Asimismo, concluyó que los hechos invocados por el Gobierno nacional daban cuenta de una “nueva dimensión a la alteración del orden público”</w:t>
      </w:r>
      <w:r w:rsidRPr="00C454A1">
        <w:rPr>
          <w:rStyle w:val="Refdenotaalpie"/>
          <w:rFonts w:eastAsia="Times New Roman" w:cs="Times New Roman"/>
          <w:color w:val="000000" w:themeColor="text1"/>
          <w:szCs w:val="28"/>
        </w:rPr>
        <w:footnoteReference w:id="117"/>
      </w:r>
      <w:r w:rsidRPr="00C454A1">
        <w:rPr>
          <w:rFonts w:eastAsia="Times New Roman" w:cs="Times New Roman"/>
          <w:color w:val="000000" w:themeColor="text1"/>
          <w:szCs w:val="28"/>
        </w:rPr>
        <w:t>, que hacía procedente la declaratoria del estado de conmoción interior. Por consiguiente, la Sala Plena declaró la exequibilidad del Decreto 1837 de 2002.</w:t>
      </w:r>
    </w:p>
    <w:p w14:paraId="79914B01" w14:textId="77777777" w:rsidR="001918B6" w:rsidRPr="00C454A1" w:rsidRDefault="001918B6" w:rsidP="001918B6">
      <w:pPr>
        <w:rPr>
          <w:rFonts w:cs="Times New Roman"/>
          <w:color w:val="000000" w:themeColor="text1"/>
          <w:lang w:eastAsia="es-ES"/>
        </w:rPr>
      </w:pPr>
    </w:p>
    <w:p w14:paraId="55F759BA" w14:textId="77777777" w:rsidR="001918B6" w:rsidRPr="00C454A1" w:rsidRDefault="001918B6" w:rsidP="001918B6">
      <w:pPr>
        <w:numPr>
          <w:ilvl w:val="0"/>
          <w:numId w:val="2"/>
        </w:numPr>
        <w:ind w:left="0" w:firstLine="0"/>
        <w:rPr>
          <w:rFonts w:cs="Times New Roman"/>
          <w:color w:val="000000" w:themeColor="text1"/>
          <w:lang w:eastAsia="es-ES"/>
        </w:rPr>
      </w:pPr>
      <w:r w:rsidRPr="00C454A1">
        <w:rPr>
          <w:rFonts w:eastAsia="Times New Roman" w:cs="Times New Roman"/>
          <w:i/>
          <w:iCs/>
          <w:color w:val="000000" w:themeColor="text1"/>
          <w:szCs w:val="28"/>
        </w:rPr>
        <w:t xml:space="preserve">Conclusión. </w:t>
      </w:r>
      <w:r w:rsidRPr="00C454A1">
        <w:rPr>
          <w:rFonts w:eastAsia="Times New Roman" w:cs="Times New Roman"/>
          <w:color w:val="000000" w:themeColor="text1"/>
          <w:szCs w:val="28"/>
        </w:rPr>
        <w:t>En suma, en relación con el carácter extraordinario de los hechos y consideraciones que suscitan la declaratoria de un estado de conmoción interior, la Corte ha considerado que las circunstancias invocadas por el Gobierno nacional no pueden ser manifestaciones crónicas, permanentes o estructurales de un problema arraigado en el tiempo, sino situaciones sobrevinientes que representen una amenaza extraordinaria al orden constitucional. Esta distinción salvaguarda el principio de separación de poderes y evita la normalización de facultades excepcionales frente a problemáticas endémicas que deben ser atendidas mediante los mecanismos ordinarios del Estado. Así, únicamente cuando se verifica un agravamiento inusitado de la situación de orden público, caracterizado por un escalamiento cualitativo o cuantitativo excepcional y verificable, es constitucionalmente admisible acudir a este régimen de excepción.</w:t>
      </w:r>
    </w:p>
    <w:p w14:paraId="5CE5AC22" w14:textId="77777777" w:rsidR="001C693F" w:rsidRPr="00C454A1" w:rsidRDefault="001C693F" w:rsidP="001C693F">
      <w:pPr>
        <w:widowControl w:val="0"/>
        <w:outlineLvl w:val="0"/>
        <w:rPr>
          <w:rFonts w:cs="Times New Roman"/>
          <w:b/>
          <w:bCs/>
          <w:color w:val="000000" w:themeColor="text1"/>
          <w:szCs w:val="28"/>
        </w:rPr>
      </w:pPr>
    </w:p>
    <w:p w14:paraId="0975C61B" w14:textId="524401EE" w:rsidR="001C693F" w:rsidRPr="00C454A1" w:rsidRDefault="001C693F" w:rsidP="001C693F">
      <w:pPr>
        <w:pStyle w:val="Prrafodelista"/>
        <w:widowControl w:val="0"/>
        <w:numPr>
          <w:ilvl w:val="1"/>
          <w:numId w:val="3"/>
        </w:numPr>
        <w:tabs>
          <w:tab w:val="left" w:pos="567"/>
        </w:tabs>
        <w:outlineLvl w:val="0"/>
        <w:rPr>
          <w:rFonts w:cs="Times New Roman"/>
          <w:color w:val="000000" w:themeColor="text1"/>
          <w:lang w:eastAsia="es-ES"/>
        </w:rPr>
      </w:pPr>
      <w:bookmarkStart w:id="153" w:name="_Toc223979939"/>
      <w:r w:rsidRPr="00C454A1">
        <w:rPr>
          <w:rFonts w:cs="Times New Roman"/>
          <w:b/>
          <w:bCs/>
          <w:color w:val="000000" w:themeColor="text1"/>
          <w:szCs w:val="28"/>
        </w:rPr>
        <w:t>Pronunciamientos de la Corte Constitucional acerca del carácter extraordinario o sobreviniente de los hechos invocados para declarar un estado de emergencia económica, social y ecológica</w:t>
      </w:r>
      <w:bookmarkEnd w:id="153"/>
    </w:p>
    <w:p w14:paraId="330B6949" w14:textId="77777777" w:rsidR="001918B6" w:rsidRPr="00C454A1" w:rsidRDefault="001918B6" w:rsidP="001918B6">
      <w:pPr>
        <w:rPr>
          <w:rFonts w:cs="Times New Roman"/>
          <w:color w:val="000000" w:themeColor="text1"/>
          <w:lang w:eastAsia="es-ES"/>
        </w:rPr>
      </w:pPr>
    </w:p>
    <w:p w14:paraId="530D0465" w14:textId="30628405" w:rsidR="001918B6" w:rsidRPr="00C454A1" w:rsidRDefault="00515101" w:rsidP="001918B6">
      <w:pPr>
        <w:pStyle w:val="Prrafodelista"/>
        <w:numPr>
          <w:ilvl w:val="0"/>
          <w:numId w:val="2"/>
        </w:numPr>
        <w:ind w:left="0" w:firstLine="0"/>
        <w:rPr>
          <w:color w:val="000000" w:themeColor="text1"/>
        </w:rPr>
      </w:pPr>
      <w:bookmarkStart w:id="154" w:name="_Ref219315288"/>
      <w:r w:rsidRPr="00C454A1">
        <w:rPr>
          <w:rFonts w:cs="Times New Roman"/>
          <w:color w:val="000000" w:themeColor="text1"/>
          <w:lang w:eastAsia="es-ES"/>
        </w:rPr>
        <w:t xml:space="preserve">La jurisprudencia constitucional sobre el estado de emergencia económica, social y ecológica aporta algunos criterios adicionales que informan la interpretación del artículo 2 de la LEEE cuando dispone que las facultades que otorgan los estados de excepción “podrán ser utilizadas cuando circunstancias extraordinarias hagan imposible el mantenimiento de la normalidad mediante los poderes ordinarios del Estado”. En términos generales, </w:t>
      </w:r>
      <w:r w:rsidRPr="00C454A1">
        <w:rPr>
          <w:rFonts w:cs="Times New Roman"/>
          <w:color w:val="000000" w:themeColor="text1"/>
          <w:lang w:eastAsia="es-ES"/>
        </w:rPr>
        <w:lastRenderedPageBreak/>
        <w:t xml:space="preserve">estos fallos han indicado que </w:t>
      </w:r>
      <w:r w:rsidR="007B2CA8" w:rsidRPr="00C454A1">
        <w:rPr>
          <w:rFonts w:cs="Times New Roman"/>
          <w:color w:val="000000" w:themeColor="text1"/>
          <w:lang w:eastAsia="es-ES"/>
        </w:rPr>
        <w:t xml:space="preserve">tales circunstancias extraordinarias pueden ser resultado de uno o varios hechos nuevos o del agravamiento de problemas </w:t>
      </w:r>
      <w:r w:rsidR="00DC4C14" w:rsidRPr="00C454A1">
        <w:rPr>
          <w:rFonts w:cs="Times New Roman"/>
          <w:color w:val="000000" w:themeColor="text1"/>
          <w:lang w:eastAsia="es-ES"/>
        </w:rPr>
        <w:t>preexistentes</w:t>
      </w:r>
      <w:r w:rsidR="007B2CA8" w:rsidRPr="00C454A1">
        <w:rPr>
          <w:rFonts w:cs="Times New Roman"/>
          <w:color w:val="000000" w:themeColor="text1"/>
          <w:lang w:eastAsia="es-ES"/>
        </w:rPr>
        <w:t xml:space="preserve">. En relación con la segunda hipótesis, </w:t>
      </w:r>
      <w:r w:rsidR="00DC4C14" w:rsidRPr="00C454A1">
        <w:rPr>
          <w:color w:val="000000" w:themeColor="text1"/>
        </w:rPr>
        <w:t>la Corte ha identificado como indicativas de que un problema ya existente ha adquirido un carácter extraordinario —en el contexto de la perturbación de los órdenes económico, social o ecológico— las siguientes circunstancias</w:t>
      </w:r>
      <w:r w:rsidR="009963D9" w:rsidRPr="00C454A1">
        <w:rPr>
          <w:rFonts w:cs="Times New Roman"/>
          <w:color w:val="000000" w:themeColor="text1"/>
          <w:lang w:eastAsia="es-ES"/>
        </w:rPr>
        <w:t xml:space="preserve">: </w:t>
      </w:r>
      <w:r w:rsidR="003D03FA" w:rsidRPr="00C454A1">
        <w:rPr>
          <w:rFonts w:cs="Times New Roman"/>
          <w:color w:val="000000" w:themeColor="text1"/>
          <w:lang w:eastAsia="es-ES"/>
        </w:rPr>
        <w:t>(i) agravación rápida de</w:t>
      </w:r>
      <w:r w:rsidR="00DC4C14" w:rsidRPr="00C454A1">
        <w:rPr>
          <w:rFonts w:cs="Times New Roman"/>
          <w:color w:val="000000" w:themeColor="text1"/>
          <w:lang w:eastAsia="es-ES"/>
        </w:rPr>
        <w:t>l</w:t>
      </w:r>
      <w:r w:rsidR="003D03FA" w:rsidRPr="00C454A1">
        <w:rPr>
          <w:rFonts w:cs="Times New Roman"/>
          <w:color w:val="000000" w:themeColor="text1"/>
          <w:lang w:eastAsia="es-ES"/>
        </w:rPr>
        <w:t xml:space="preserve"> fenómeno </w:t>
      </w:r>
      <w:r w:rsidR="00DC4C14" w:rsidRPr="00C454A1">
        <w:rPr>
          <w:rFonts w:cs="Times New Roman"/>
          <w:color w:val="000000" w:themeColor="text1"/>
          <w:lang w:eastAsia="es-ES"/>
        </w:rPr>
        <w:t>preexistente</w:t>
      </w:r>
      <w:r w:rsidR="003D03FA" w:rsidRPr="00C454A1">
        <w:rPr>
          <w:rFonts w:cs="Times New Roman"/>
          <w:color w:val="000000" w:themeColor="text1"/>
          <w:lang w:eastAsia="es-ES"/>
        </w:rPr>
        <w:t>, (ii</w:t>
      </w:r>
      <w:r w:rsidR="007B2CA8" w:rsidRPr="00C454A1">
        <w:rPr>
          <w:rFonts w:cs="Times New Roman"/>
          <w:color w:val="000000" w:themeColor="text1"/>
          <w:lang w:eastAsia="es-ES"/>
        </w:rPr>
        <w:t>i</w:t>
      </w:r>
      <w:r w:rsidR="003D03FA" w:rsidRPr="00C454A1">
        <w:rPr>
          <w:rFonts w:cs="Times New Roman"/>
          <w:color w:val="000000" w:themeColor="text1"/>
          <w:lang w:eastAsia="es-ES"/>
        </w:rPr>
        <w:t xml:space="preserve">) </w:t>
      </w:r>
      <w:r w:rsidR="00D44797" w:rsidRPr="00C454A1">
        <w:rPr>
          <w:rFonts w:cs="Times New Roman"/>
          <w:color w:val="000000" w:themeColor="text1"/>
          <w:lang w:eastAsia="es-ES"/>
        </w:rPr>
        <w:t>imprevisibilidad</w:t>
      </w:r>
      <w:r w:rsidR="003D03FA" w:rsidRPr="00C454A1">
        <w:rPr>
          <w:rFonts w:cs="Times New Roman"/>
          <w:color w:val="000000" w:themeColor="text1"/>
          <w:lang w:eastAsia="es-ES"/>
        </w:rPr>
        <w:t xml:space="preserve"> de ese agravamiento </w:t>
      </w:r>
      <w:r w:rsidR="00D44797" w:rsidRPr="00C454A1">
        <w:rPr>
          <w:rFonts w:cs="Times New Roman"/>
          <w:color w:val="000000" w:themeColor="text1"/>
          <w:lang w:eastAsia="es-ES"/>
        </w:rPr>
        <w:t xml:space="preserve">y </w:t>
      </w:r>
      <w:r w:rsidR="003D03FA" w:rsidRPr="00C454A1">
        <w:rPr>
          <w:rFonts w:cs="Times New Roman"/>
          <w:color w:val="000000" w:themeColor="text1"/>
          <w:lang w:eastAsia="es-ES"/>
        </w:rPr>
        <w:t>(ii</w:t>
      </w:r>
      <w:r w:rsidR="00D44797" w:rsidRPr="00C454A1">
        <w:rPr>
          <w:rFonts w:cs="Times New Roman"/>
          <w:color w:val="000000" w:themeColor="text1"/>
          <w:lang w:eastAsia="es-ES"/>
        </w:rPr>
        <w:t>i</w:t>
      </w:r>
      <w:r w:rsidR="003D03FA" w:rsidRPr="00C454A1">
        <w:rPr>
          <w:rFonts w:cs="Times New Roman"/>
          <w:color w:val="000000" w:themeColor="text1"/>
          <w:lang w:eastAsia="es-ES"/>
        </w:rPr>
        <w:t>) agudización inusitada y más allá de la progresión esperada del fenómeno</w:t>
      </w:r>
      <w:r w:rsidR="00D44797" w:rsidRPr="00C454A1">
        <w:rPr>
          <w:rFonts w:cs="Times New Roman"/>
          <w:color w:val="000000" w:themeColor="text1"/>
          <w:lang w:eastAsia="es-ES"/>
        </w:rPr>
        <w:t xml:space="preserve">. </w:t>
      </w:r>
      <w:r w:rsidR="00DC4C14" w:rsidRPr="00C454A1">
        <w:rPr>
          <w:rFonts w:cs="Times New Roman"/>
          <w:color w:val="000000" w:themeColor="text1"/>
          <w:lang w:eastAsia="es-ES"/>
        </w:rPr>
        <w:t>Dado que, en este caso, algunos intervinientes alegan los problemas que se han registrado en la región del Catatumbo a inicios de 2025 son nuevas manifestaciones de problemas de larga data</w:t>
      </w:r>
      <w:r w:rsidR="00774297" w:rsidRPr="00C454A1">
        <w:rPr>
          <w:rFonts w:cs="Times New Roman"/>
          <w:color w:val="000000" w:themeColor="text1"/>
          <w:lang w:eastAsia="es-ES"/>
        </w:rPr>
        <w:t xml:space="preserve"> o estructurales</w:t>
      </w:r>
      <w:r w:rsidR="00DC4C14" w:rsidRPr="00C454A1">
        <w:rPr>
          <w:rFonts w:cs="Times New Roman"/>
          <w:color w:val="000000" w:themeColor="text1"/>
          <w:lang w:eastAsia="es-ES"/>
        </w:rPr>
        <w:t xml:space="preserve">, </w:t>
      </w:r>
      <w:r w:rsidR="00D44797" w:rsidRPr="00C454A1">
        <w:rPr>
          <w:rFonts w:cs="Times New Roman"/>
          <w:color w:val="000000" w:themeColor="text1"/>
          <w:lang w:eastAsia="es-ES"/>
        </w:rPr>
        <w:t xml:space="preserve">la Sala </w:t>
      </w:r>
      <w:r w:rsidR="00DC4C14" w:rsidRPr="00C454A1">
        <w:rPr>
          <w:rFonts w:cs="Times New Roman"/>
          <w:color w:val="000000" w:themeColor="text1"/>
          <w:lang w:eastAsia="es-ES"/>
        </w:rPr>
        <w:t>considera relevante analizar</w:t>
      </w:r>
      <w:r w:rsidR="00D44797" w:rsidRPr="00C454A1">
        <w:rPr>
          <w:rFonts w:cs="Times New Roman"/>
          <w:color w:val="000000" w:themeColor="text1"/>
          <w:lang w:eastAsia="es-ES"/>
        </w:rPr>
        <w:t xml:space="preserve"> en detalle línea jurisprudencial</w:t>
      </w:r>
      <w:r w:rsidR="00DC4C14" w:rsidRPr="00C454A1">
        <w:rPr>
          <w:rFonts w:cs="Times New Roman"/>
          <w:color w:val="000000" w:themeColor="text1"/>
          <w:lang w:eastAsia="es-ES"/>
        </w:rPr>
        <w:t xml:space="preserve"> sobre la segunda hipótesis con el fin de identificar elementos que </w:t>
      </w:r>
      <w:r w:rsidR="00774297" w:rsidRPr="00C454A1">
        <w:rPr>
          <w:rFonts w:cs="Times New Roman"/>
          <w:color w:val="000000" w:themeColor="text1"/>
          <w:lang w:eastAsia="es-ES"/>
        </w:rPr>
        <w:t xml:space="preserve">también </w:t>
      </w:r>
      <w:r w:rsidR="00DC4C14" w:rsidRPr="00C454A1">
        <w:rPr>
          <w:rFonts w:cs="Times New Roman"/>
          <w:color w:val="000000" w:themeColor="text1"/>
          <w:lang w:eastAsia="es-ES"/>
        </w:rPr>
        <w:t>puedan orientar la presente decisión sobre el estado de conmoción interior</w:t>
      </w:r>
      <w:r w:rsidR="00774297" w:rsidRPr="00C454A1">
        <w:rPr>
          <w:rFonts w:cs="Times New Roman"/>
          <w:color w:val="000000" w:themeColor="text1"/>
          <w:lang w:eastAsia="es-ES"/>
        </w:rPr>
        <w:t>.</w:t>
      </w:r>
      <w:bookmarkEnd w:id="154"/>
    </w:p>
    <w:p w14:paraId="0036F082" w14:textId="77777777" w:rsidR="00774297" w:rsidRPr="00C454A1" w:rsidRDefault="00774297" w:rsidP="00774297">
      <w:pPr>
        <w:pStyle w:val="Prrafodelista"/>
        <w:ind w:left="0"/>
        <w:rPr>
          <w:color w:val="000000" w:themeColor="text1"/>
        </w:rPr>
      </w:pPr>
    </w:p>
    <w:p w14:paraId="356E6DE9" w14:textId="22E068AB"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En la Sentencia C-122 de 1997</w:t>
      </w:r>
      <w:r w:rsidRPr="00C454A1">
        <w:rPr>
          <w:rFonts w:cs="Times New Roman"/>
          <w:bCs/>
          <w:color w:val="000000" w:themeColor="text1"/>
          <w:szCs w:val="28"/>
        </w:rPr>
        <w:t>, esta Corporación</w:t>
      </w:r>
      <w:r w:rsidRPr="00C454A1">
        <w:rPr>
          <w:rFonts w:cs="Times New Roman"/>
          <w:color w:val="000000" w:themeColor="text1"/>
          <w:szCs w:val="28"/>
        </w:rPr>
        <w:t xml:space="preserve"> </w:t>
      </w:r>
      <w:r w:rsidR="009F64FC" w:rsidRPr="00C454A1">
        <w:rPr>
          <w:rFonts w:cs="Times New Roman"/>
          <w:color w:val="000000" w:themeColor="text1"/>
          <w:szCs w:val="28"/>
        </w:rPr>
        <w:t xml:space="preserve">estudió </w:t>
      </w:r>
      <w:r w:rsidRPr="00C454A1">
        <w:rPr>
          <w:rFonts w:cs="Times New Roman"/>
          <w:color w:val="000000" w:themeColor="text1"/>
          <w:szCs w:val="28"/>
        </w:rPr>
        <w:t xml:space="preserve">la constitucionalidad del Decreto 080 de 1997 por el cual se declaró el estado de emergencia económica y social con fundamento en el deterioro de la situación fiscal del país. En esa oportunidad, la Sala Plena reiteró la regla de subsidiariedad de los estados de excepción que, </w:t>
      </w:r>
      <w:r w:rsidRPr="00C454A1">
        <w:rPr>
          <w:rFonts w:cs="Times New Roman"/>
          <w:iCs/>
          <w:color w:val="000000" w:themeColor="text1"/>
          <w:szCs w:val="28"/>
        </w:rPr>
        <w:t>“aplicada al estado de emergencia, prescribe que su utilización se supedita a la imposibilidad o insuperable insuficiencia de las instituciones de la normalidad para resolver los problemas y crisis que afecten o amenacen el sistema económico, social o el ambiente”</w:t>
      </w:r>
      <w:r w:rsidRPr="00C454A1">
        <w:rPr>
          <w:rStyle w:val="Refdenotaalpie"/>
          <w:rFonts w:cs="Times New Roman"/>
          <w:color w:val="000000" w:themeColor="text1"/>
          <w:szCs w:val="28"/>
        </w:rPr>
        <w:footnoteReference w:id="118"/>
      </w:r>
      <w:r w:rsidRPr="00C454A1">
        <w:rPr>
          <w:rFonts w:cs="Times New Roman"/>
          <w:iCs/>
          <w:color w:val="000000" w:themeColor="text1"/>
          <w:szCs w:val="28"/>
        </w:rPr>
        <w:t>.</w:t>
      </w:r>
      <w:r w:rsidRPr="00C454A1">
        <w:rPr>
          <w:rFonts w:cs="Times New Roman"/>
          <w:color w:val="000000" w:themeColor="text1"/>
          <w:szCs w:val="28"/>
        </w:rPr>
        <w:t xml:space="preserve"> De este modo, estableció que, si no existiera dicha restricción, se le concedería al Ejecutivo una facultad indiscriminada en detrimento del Estado de Derecho. Por ende, este tribunal recordó que, en su momento –esto es, cuando le correspondía el ejercicio del control abstracto de constitucionalidad– la Corte Suprema de Justicia sostuvo que no procedía la declaratoria de estados de excepción ante la configuración de problemas estructurales o crónicos</w:t>
      </w:r>
      <w:r w:rsidRPr="00C454A1">
        <w:rPr>
          <w:rStyle w:val="Refdenotaalpie"/>
          <w:rFonts w:cs="Times New Roman"/>
          <w:color w:val="000000" w:themeColor="text1"/>
          <w:szCs w:val="28"/>
        </w:rPr>
        <w:footnoteReference w:id="119"/>
      </w:r>
      <w:r w:rsidRPr="00C454A1">
        <w:rPr>
          <w:rFonts w:cs="Times New Roman"/>
          <w:color w:val="000000" w:themeColor="text1"/>
          <w:szCs w:val="28"/>
        </w:rPr>
        <w:t>.</w:t>
      </w:r>
    </w:p>
    <w:p w14:paraId="687B479A" w14:textId="77777777" w:rsidR="001918B6" w:rsidRPr="00C454A1" w:rsidRDefault="001918B6" w:rsidP="001918B6">
      <w:pPr>
        <w:rPr>
          <w:rFonts w:cs="Times New Roman"/>
          <w:color w:val="000000" w:themeColor="text1"/>
          <w:lang w:eastAsia="es-ES"/>
        </w:rPr>
      </w:pPr>
    </w:p>
    <w:p w14:paraId="5C76D57B" w14:textId="77777777"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De igual manera, la Sentencia C-122 de 1997 señaló que, por regla general, la Constitución “prohíbe la utilización expansiva de los poderes excepcionales de la emergencia para resolver problemas crónicos o estructurales sin que ello quiera decir en modo alguno que éstos deban quedar huérfanos de consideración por parte de las autoridades”</w:t>
      </w:r>
      <w:r w:rsidRPr="00C454A1">
        <w:rPr>
          <w:rStyle w:val="Refdenotaalpie"/>
          <w:rFonts w:cs="Times New Roman"/>
          <w:color w:val="000000" w:themeColor="text1"/>
          <w:szCs w:val="28"/>
        </w:rPr>
        <w:footnoteReference w:id="120"/>
      </w:r>
      <w:r w:rsidRPr="00C454A1">
        <w:rPr>
          <w:rFonts w:cs="Times New Roman"/>
          <w:color w:val="000000" w:themeColor="text1"/>
          <w:szCs w:val="28"/>
        </w:rPr>
        <w:t>. No obstante, a modo de excepción, destacó que es posible declarar el estado de emergencia cuando se evidencie una agudización de los problemas estructurales susceptibles de perturbar el orden económico y social</w:t>
      </w:r>
      <w:r w:rsidRPr="00C454A1">
        <w:rPr>
          <w:rStyle w:val="Refdenotaalpie"/>
          <w:rFonts w:cs="Times New Roman"/>
          <w:color w:val="000000" w:themeColor="text1"/>
          <w:szCs w:val="28"/>
        </w:rPr>
        <w:footnoteReference w:id="121"/>
      </w:r>
      <w:r w:rsidRPr="00C454A1">
        <w:rPr>
          <w:rFonts w:cs="Times New Roman"/>
          <w:color w:val="000000" w:themeColor="text1"/>
          <w:szCs w:val="28"/>
        </w:rPr>
        <w:t>.</w:t>
      </w:r>
    </w:p>
    <w:p w14:paraId="55E8B729" w14:textId="77777777" w:rsidR="001918B6" w:rsidRPr="00C454A1" w:rsidRDefault="001918B6" w:rsidP="001918B6">
      <w:pPr>
        <w:rPr>
          <w:rFonts w:cs="Times New Roman"/>
          <w:color w:val="000000" w:themeColor="text1"/>
          <w:lang w:eastAsia="es-ES"/>
        </w:rPr>
      </w:pPr>
    </w:p>
    <w:p w14:paraId="5BC773D0" w14:textId="4E6F82DD"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lastRenderedPageBreak/>
        <w:t>En la providencia en mención, la Corte consideró que los hechos que motivaron la expedición del decreto de estado de emergencia y en los que se apreciaba una falla estructural, podían ser abordados a través de las competencias ordinarias de las autoridades e instituciones estatales. Por lo tanto, la Sala Plena declaró la inexequibilidad del Decreto 080 de 1997.</w:t>
      </w:r>
    </w:p>
    <w:p w14:paraId="0DB2DD30" w14:textId="77777777" w:rsidR="001918B6" w:rsidRPr="00C454A1" w:rsidRDefault="001918B6" w:rsidP="001918B6">
      <w:pPr>
        <w:rPr>
          <w:rFonts w:cs="Times New Roman"/>
          <w:color w:val="000000" w:themeColor="text1"/>
          <w:lang w:eastAsia="es-ES"/>
        </w:rPr>
      </w:pPr>
    </w:p>
    <w:p w14:paraId="21DC401F" w14:textId="3812C02B" w:rsidR="001918B6" w:rsidRPr="00C454A1" w:rsidRDefault="001918B6" w:rsidP="001918B6">
      <w:pPr>
        <w:numPr>
          <w:ilvl w:val="0"/>
          <w:numId w:val="2"/>
        </w:numPr>
        <w:ind w:left="0" w:firstLine="0"/>
        <w:rPr>
          <w:rFonts w:cs="Times New Roman"/>
          <w:color w:val="000000" w:themeColor="text1"/>
          <w:lang w:eastAsia="es-ES"/>
        </w:rPr>
      </w:pPr>
      <w:r w:rsidRPr="00C454A1">
        <w:rPr>
          <w:rFonts w:eastAsia="Times New Roman" w:cs="Times New Roman"/>
          <w:color w:val="000000" w:themeColor="text1"/>
          <w:szCs w:val="28"/>
        </w:rPr>
        <w:t xml:space="preserve">A su turno, en la </w:t>
      </w:r>
      <w:r w:rsidRPr="00C454A1">
        <w:rPr>
          <w:rFonts w:cs="Times New Roman"/>
          <w:color w:val="000000" w:themeColor="text1"/>
          <w:szCs w:val="28"/>
        </w:rPr>
        <w:t xml:space="preserve">Sentencia C-135 de 2009, esta Corporación se pronunció sobre el Decreto 4333 de 2008 por el cual se declaró un estado de emergencia social derivado de la proliferación de esquemas no autorizados de captación o recaudo masivo de dineros del público. Al </w:t>
      </w:r>
      <w:r w:rsidR="00CC54E5" w:rsidRPr="00C454A1">
        <w:rPr>
          <w:rFonts w:cs="Times New Roman"/>
          <w:color w:val="000000" w:themeColor="text1"/>
          <w:szCs w:val="28"/>
        </w:rPr>
        <w:t>estudiar</w:t>
      </w:r>
      <w:r w:rsidRPr="00C454A1">
        <w:rPr>
          <w:rFonts w:cs="Times New Roman"/>
          <w:color w:val="000000" w:themeColor="text1"/>
          <w:szCs w:val="28"/>
        </w:rPr>
        <w:t xml:space="preserve"> la norma, la Sala resaltó que </w:t>
      </w:r>
      <w:r w:rsidR="00CC54E5" w:rsidRPr="00C454A1">
        <w:rPr>
          <w:rFonts w:cs="Times New Roman"/>
          <w:color w:val="000000" w:themeColor="text1"/>
          <w:szCs w:val="28"/>
        </w:rPr>
        <w:t>la exigencia d</w:t>
      </w:r>
      <w:r w:rsidRPr="00C454A1">
        <w:rPr>
          <w:rFonts w:cs="Times New Roman"/>
          <w:color w:val="000000" w:themeColor="text1"/>
          <w:szCs w:val="28"/>
        </w:rPr>
        <w:t xml:space="preserve">el carácter extraordinario de las circunstancias que sirven de sustento al estado de emergencia no implica que estas </w:t>
      </w:r>
      <w:r w:rsidR="00CC54E5" w:rsidRPr="00C454A1">
        <w:rPr>
          <w:rFonts w:cs="Times New Roman"/>
          <w:color w:val="000000" w:themeColor="text1"/>
          <w:szCs w:val="28"/>
        </w:rPr>
        <w:t>deban tener</w:t>
      </w:r>
      <w:r w:rsidRPr="00C454A1">
        <w:rPr>
          <w:rFonts w:cs="Times New Roman"/>
          <w:color w:val="000000" w:themeColor="text1"/>
          <w:szCs w:val="28"/>
        </w:rPr>
        <w:t xml:space="preserve"> un carácter novedoso o imprevisible. En cambio, señaló que “</w:t>
      </w:r>
      <w:r w:rsidRPr="00C454A1">
        <w:rPr>
          <w:rFonts w:cs="Times New Roman"/>
          <w:color w:val="000000" w:themeColor="text1"/>
          <w:szCs w:val="28"/>
          <w:lang w:val="es-ES_tradnl"/>
        </w:rPr>
        <w:t>la agravación rápida e inusitada de un fenómeno ya existente puede tener el carácter de sobreviniente y extraordinario, por ocurrir de manera inopinada y anormal”</w:t>
      </w:r>
      <w:r w:rsidRPr="00C454A1">
        <w:rPr>
          <w:rStyle w:val="Refdenotaalpie"/>
          <w:rFonts w:cs="Times New Roman"/>
          <w:color w:val="000000" w:themeColor="text1"/>
          <w:szCs w:val="28"/>
          <w:lang w:val="es-ES_tradnl"/>
        </w:rPr>
        <w:footnoteReference w:id="122"/>
      </w:r>
      <w:r w:rsidRPr="00C454A1">
        <w:rPr>
          <w:rFonts w:cs="Times New Roman"/>
          <w:color w:val="000000" w:themeColor="text1"/>
          <w:szCs w:val="28"/>
          <w:lang w:val="es-ES_tradnl"/>
        </w:rPr>
        <w:t>. En tales condiciones, adujo, tanto la proliferación de modalidades de captación o recaudo masivo de dinero del público no autorizado como la afectación de un número cada vez mayor de personas y de ahorros constituían una situación excepcional y anormal. En consecuencia, declaró la exequibilidad del decreto analizado en dicha ocasión.</w:t>
      </w:r>
    </w:p>
    <w:p w14:paraId="1994BC42" w14:textId="77777777" w:rsidR="001918B6" w:rsidRPr="00C454A1" w:rsidRDefault="001918B6" w:rsidP="001918B6">
      <w:pPr>
        <w:rPr>
          <w:rFonts w:cs="Times New Roman"/>
          <w:color w:val="000000" w:themeColor="text1"/>
          <w:lang w:eastAsia="es-ES"/>
        </w:rPr>
      </w:pPr>
    </w:p>
    <w:p w14:paraId="7A06DF07" w14:textId="6DDDD27A"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 xml:space="preserve">Posteriormente, en la Sentencia C-252 de 2010, la Corte Constitucional examinó la constitucionalidad del Decreto Legislativo 4975 de 2009, mediante el cual se declaró el estado de emergencia social </w:t>
      </w:r>
      <w:r w:rsidR="003D03FA" w:rsidRPr="00C454A1">
        <w:rPr>
          <w:rFonts w:cs="Times New Roman"/>
          <w:color w:val="000000" w:themeColor="text1"/>
          <w:szCs w:val="28"/>
        </w:rPr>
        <w:t>ante numerosos problemas que presentaba el sistema de</w:t>
      </w:r>
      <w:r w:rsidRPr="00C454A1">
        <w:rPr>
          <w:rFonts w:cs="Times New Roman"/>
          <w:color w:val="000000" w:themeColor="text1"/>
          <w:szCs w:val="28"/>
        </w:rPr>
        <w:t xml:space="preserve"> salud. </w:t>
      </w:r>
      <w:r w:rsidR="00DA62B6" w:rsidRPr="00C454A1">
        <w:rPr>
          <w:rFonts w:cs="Times New Roman"/>
          <w:color w:val="000000" w:themeColor="text1"/>
          <w:szCs w:val="28"/>
        </w:rPr>
        <w:t>E</w:t>
      </w:r>
      <w:r w:rsidRPr="00C454A1">
        <w:rPr>
          <w:rFonts w:cs="Times New Roman"/>
          <w:color w:val="000000" w:themeColor="text1"/>
          <w:szCs w:val="28"/>
        </w:rPr>
        <w:t xml:space="preserve">ste tribunal concluyó que no se configuraban hechos sobrevinientes ni extraordinarios que justificaran la adopción de esta medida excepcional. Por el contrario, determinó que las dificultades evidenciadas en el sistema de salud correspondían a problemas estructurales, previsibles y de larga data, cuya existencia no podía invocarse como fundamento para la declaratoria del estado de emergencia. </w:t>
      </w:r>
    </w:p>
    <w:p w14:paraId="74A71271" w14:textId="77777777" w:rsidR="001918B6" w:rsidRPr="00C454A1" w:rsidRDefault="001918B6" w:rsidP="001918B6">
      <w:pPr>
        <w:rPr>
          <w:rFonts w:cs="Times New Roman"/>
          <w:color w:val="000000" w:themeColor="text1"/>
          <w:lang w:eastAsia="es-ES"/>
        </w:rPr>
      </w:pPr>
    </w:p>
    <w:p w14:paraId="487B5F7A" w14:textId="77777777"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En este sentido, la Corte enfatizó que tampoco se acreditaba que dicha problemática hubiera adquirido recientemente una magnitud tal que la convirtiera en un fenómeno de ocurrencia inusitada, susceptible de ser catalogado como sobreviniente y extraordinario. De este modo, señaló que, debido a la recurrencia y persistencia de los problemas que afectan al Sistema General de Seguridad Social en Salud, le correspondía al Gobierno impulsar iniciativas ante el Congreso de la República, que constituye el foro democrático por excelencia para la adopción de medidas normativas de alcance estructural. Sobre esta base, la Corte declaró la inexequibilidad del Decreto 4975 de 2009.</w:t>
      </w:r>
    </w:p>
    <w:p w14:paraId="400AB0D9" w14:textId="77777777" w:rsidR="001918B6" w:rsidRPr="00C454A1" w:rsidRDefault="001918B6" w:rsidP="001918B6">
      <w:pPr>
        <w:rPr>
          <w:rFonts w:cs="Times New Roman"/>
          <w:color w:val="000000" w:themeColor="text1"/>
          <w:lang w:eastAsia="es-ES"/>
        </w:rPr>
      </w:pPr>
    </w:p>
    <w:p w14:paraId="752F5363" w14:textId="71E0717A"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 xml:space="preserve">En la Sentencia C-156 de 2011, este tribunal evaluó la constitucionalidad del Decreto 4580 de 2010, mediante el cual se declaró el estado de emergencia económica, social y ecológica por la grave calamidad pública originada en la </w:t>
      </w:r>
      <w:r w:rsidRPr="00C454A1">
        <w:rPr>
          <w:rFonts w:cs="Times New Roman"/>
          <w:color w:val="000000" w:themeColor="text1"/>
          <w:szCs w:val="28"/>
        </w:rPr>
        <w:lastRenderedPageBreak/>
        <w:t>emergencia invernal derivada del fenómeno de La Niña. La Corte reiteró la regla jurisprudencial conforme a la cual las situaciones crónicas y estructurales no constituyen hechos sobrevinientes que justifiquen un estado de excepción</w:t>
      </w:r>
      <w:r w:rsidRPr="00C454A1">
        <w:rPr>
          <w:rStyle w:val="Refdenotaalpie"/>
          <w:rFonts w:cs="Times New Roman"/>
          <w:color w:val="000000" w:themeColor="text1"/>
          <w:szCs w:val="28"/>
        </w:rPr>
        <w:footnoteReference w:id="123"/>
      </w:r>
      <w:r w:rsidRPr="00C454A1">
        <w:rPr>
          <w:rFonts w:cs="Times New Roman"/>
          <w:color w:val="000000" w:themeColor="text1"/>
          <w:szCs w:val="28"/>
        </w:rPr>
        <w:t xml:space="preserve">. No obstante, precisó que un hecho estructural puede adquirir la naturaleza de sobreviniente cuando </w:t>
      </w:r>
      <w:r w:rsidRPr="00C454A1">
        <w:rPr>
          <w:rFonts w:cs="Times New Roman"/>
          <w:iCs/>
          <w:color w:val="000000" w:themeColor="text1"/>
          <w:szCs w:val="28"/>
        </w:rPr>
        <w:t>“por alguna circunstancia súbita y repentina dichas situaciones se agudizan más allá de la progresión esperada del fenómeno”</w:t>
      </w:r>
      <w:r w:rsidRPr="00C454A1">
        <w:rPr>
          <w:rStyle w:val="Refdenotaalpie"/>
          <w:rFonts w:cs="Times New Roman"/>
          <w:color w:val="000000" w:themeColor="text1"/>
          <w:szCs w:val="28"/>
        </w:rPr>
        <w:footnoteReference w:id="124"/>
      </w:r>
      <w:r w:rsidRPr="00C454A1">
        <w:rPr>
          <w:rFonts w:cs="Times New Roman"/>
          <w:iCs/>
          <w:color w:val="000000" w:themeColor="text1"/>
          <w:szCs w:val="28"/>
        </w:rPr>
        <w:t>.</w:t>
      </w:r>
      <w:r w:rsidRPr="00C454A1">
        <w:rPr>
          <w:rFonts w:eastAsia="Times New Roman" w:cs="Times New Roman"/>
          <w:iCs/>
          <w:color w:val="000000" w:themeColor="text1"/>
          <w:szCs w:val="28"/>
        </w:rPr>
        <w:t xml:space="preserve"> </w:t>
      </w:r>
      <w:r w:rsidRPr="00C454A1">
        <w:rPr>
          <w:rFonts w:cs="Times New Roman"/>
          <w:color w:val="000000" w:themeColor="text1"/>
          <w:szCs w:val="28"/>
        </w:rPr>
        <w:t>Con fundamento en lo anterior, la Corte consideró acreditado el carácter extraordinario de los hechos invocados en el Decreto 4580 de 2010</w:t>
      </w:r>
      <w:r w:rsidRPr="00C454A1">
        <w:rPr>
          <w:rStyle w:val="Refdenotaalpie"/>
          <w:rFonts w:cs="Times New Roman"/>
          <w:color w:val="000000" w:themeColor="text1"/>
          <w:szCs w:val="28"/>
        </w:rPr>
        <w:footnoteReference w:id="125"/>
      </w:r>
      <w:r w:rsidRPr="00C454A1">
        <w:rPr>
          <w:rFonts w:cs="Times New Roman"/>
          <w:color w:val="000000" w:themeColor="text1"/>
          <w:szCs w:val="28"/>
        </w:rPr>
        <w:t>.</w:t>
      </w:r>
    </w:p>
    <w:p w14:paraId="339F0603" w14:textId="77777777" w:rsidR="001918B6" w:rsidRPr="00C454A1" w:rsidRDefault="001918B6" w:rsidP="001918B6">
      <w:pPr>
        <w:rPr>
          <w:rFonts w:cs="Times New Roman"/>
          <w:color w:val="000000" w:themeColor="text1"/>
          <w:lang w:eastAsia="es-ES"/>
        </w:rPr>
      </w:pPr>
    </w:p>
    <w:p w14:paraId="76B65D1B" w14:textId="04021C62" w:rsidR="001918B6" w:rsidRPr="00C454A1" w:rsidRDefault="001918B6" w:rsidP="001918B6">
      <w:pPr>
        <w:numPr>
          <w:ilvl w:val="0"/>
          <w:numId w:val="2"/>
        </w:numPr>
        <w:ind w:left="0" w:firstLine="0"/>
        <w:rPr>
          <w:rFonts w:cs="Times New Roman"/>
          <w:color w:val="000000" w:themeColor="text1"/>
          <w:lang w:eastAsia="es-ES"/>
        </w:rPr>
      </w:pPr>
      <w:r w:rsidRPr="00C454A1">
        <w:rPr>
          <w:rFonts w:eastAsia="Times New Roman" w:cs="Times New Roman"/>
          <w:iCs/>
          <w:color w:val="000000" w:themeColor="text1"/>
          <w:szCs w:val="28"/>
          <w:lang w:val="es-ES"/>
        </w:rPr>
        <w:t xml:space="preserve">A su turno, la Sentencia C-386 de 2017 analizó la declaratoria del estado de emergencia </w:t>
      </w:r>
      <w:r w:rsidRPr="00C454A1">
        <w:rPr>
          <w:rFonts w:cs="Times New Roman"/>
          <w:color w:val="000000" w:themeColor="text1"/>
          <w:szCs w:val="28"/>
        </w:rPr>
        <w:t>económica, social y ecológica derivad</w:t>
      </w:r>
      <w:r w:rsidR="00DA62B6" w:rsidRPr="00C454A1">
        <w:rPr>
          <w:rFonts w:cs="Times New Roman"/>
          <w:color w:val="000000" w:themeColor="text1"/>
          <w:szCs w:val="28"/>
        </w:rPr>
        <w:t>a</w:t>
      </w:r>
      <w:r w:rsidRPr="00C454A1">
        <w:rPr>
          <w:rFonts w:cs="Times New Roman"/>
          <w:color w:val="000000" w:themeColor="text1"/>
          <w:szCs w:val="28"/>
        </w:rPr>
        <w:t xml:space="preserve"> de una avenida torrencial que afectó a la ciudad de Mocoa. En aquella oportunidad, expuso que el requisito de sobreviniencia de los hechos implica que no se trate de “situaciones ordinarias, crónicas o estructurales, de ocurrencia normal y previsible en la vida de la sociedad”</w:t>
      </w:r>
      <w:r w:rsidRPr="00C454A1">
        <w:rPr>
          <w:rStyle w:val="Refdenotaalpie"/>
          <w:rFonts w:cs="Times New Roman"/>
          <w:color w:val="000000" w:themeColor="text1"/>
          <w:szCs w:val="28"/>
        </w:rPr>
        <w:footnoteReference w:id="126"/>
      </w:r>
      <w:r w:rsidRPr="00C454A1">
        <w:rPr>
          <w:rFonts w:cs="Times New Roman"/>
          <w:color w:val="000000" w:themeColor="text1"/>
          <w:szCs w:val="28"/>
        </w:rPr>
        <w:t>. Adicionalmente, reconoció que algunas de las causas que explican una calamidad o sus efectos podrían vincularse a acciones humanas y, por ello, ser explicadas o incluso previstas. Con todo, precisó que ello no descarta que se trate de situaciones sobrevinientes desde el punto de vista del análisis del juez constitucional y, por lo tanto, no impide la declaratoria de emergencia económica, ecológica y social. Así, cuando el evento es extraordinario y sus efectos no pueden ser mitigados con los medios ordinarios, la imposibilidad de atender adecuadamente sus consecuencias justifica el estado de excepción. De conformidad con lo anterior, la Corte declaró la exequibilidad del decreto analizado.</w:t>
      </w:r>
    </w:p>
    <w:p w14:paraId="4D1EC19B" w14:textId="77777777" w:rsidR="001918B6" w:rsidRPr="00C454A1" w:rsidRDefault="001918B6" w:rsidP="001918B6">
      <w:pPr>
        <w:rPr>
          <w:rFonts w:cs="Times New Roman"/>
          <w:color w:val="000000" w:themeColor="text1"/>
          <w:lang w:eastAsia="es-ES"/>
        </w:rPr>
      </w:pPr>
    </w:p>
    <w:p w14:paraId="2FF62742" w14:textId="4F9BD645" w:rsidR="001918B6" w:rsidRPr="00C454A1" w:rsidRDefault="00BA7F3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E</w:t>
      </w:r>
      <w:r w:rsidR="001918B6" w:rsidRPr="00C454A1">
        <w:rPr>
          <w:rFonts w:cs="Times New Roman"/>
          <w:color w:val="000000" w:themeColor="text1"/>
          <w:szCs w:val="28"/>
        </w:rPr>
        <w:t>n la Sentencia C-145 de 2020, la Corte se pronunció respecto de la constitucionalidad del Decreto 417 de 2020, a través del cual se declaró un estado de emergencia económica, social y ecológica con ocasión de la pandemia originada por el virus Covid-19. En dicho fallo, la Sala Plena ratificó que, por regla general, las circunstancias que sustentan el estado de excepción deben fundarse en hechos sobrevinientes, lo cual se contrapone a “situaciones ordinarias, crónicas o estructurales, de ocurrencia común y previsible en la vida de la sociedad”</w:t>
      </w:r>
      <w:r w:rsidR="001918B6" w:rsidRPr="00C454A1">
        <w:rPr>
          <w:rStyle w:val="Refdenotaalpie"/>
          <w:rFonts w:cs="Times New Roman"/>
          <w:color w:val="000000" w:themeColor="text1"/>
          <w:szCs w:val="28"/>
        </w:rPr>
        <w:footnoteReference w:id="127"/>
      </w:r>
      <w:r w:rsidR="001918B6" w:rsidRPr="00C454A1">
        <w:rPr>
          <w:rFonts w:cs="Times New Roman"/>
          <w:color w:val="000000" w:themeColor="text1"/>
          <w:szCs w:val="28"/>
        </w:rPr>
        <w:t>. Pese a ello, destacó que existen excepciones a dicha premisa, como cuando “por alguna circunstancia súbita y repentina dichas situaciones se agudizan más allá de la progresión esperada del fenómeno”</w:t>
      </w:r>
      <w:r w:rsidR="001918B6" w:rsidRPr="00C454A1">
        <w:rPr>
          <w:rStyle w:val="Refdenotaalpie"/>
          <w:rFonts w:cs="Times New Roman"/>
          <w:color w:val="000000" w:themeColor="text1"/>
          <w:szCs w:val="28"/>
        </w:rPr>
        <w:footnoteReference w:id="128"/>
      </w:r>
      <w:r w:rsidR="001918B6" w:rsidRPr="00C454A1">
        <w:rPr>
          <w:rFonts w:cs="Times New Roman"/>
          <w:color w:val="000000" w:themeColor="text1"/>
          <w:szCs w:val="28"/>
        </w:rPr>
        <w:t xml:space="preserve">. En tales casos, la declaratoria del estado de excepción podría fundarse en hechos derivados de tales situaciones estructurales. En el caso concreto, la Sala consideró que, si </w:t>
      </w:r>
      <w:r w:rsidR="001918B6" w:rsidRPr="00C454A1">
        <w:rPr>
          <w:rFonts w:cs="Times New Roman"/>
          <w:color w:val="000000" w:themeColor="text1"/>
          <w:szCs w:val="28"/>
        </w:rPr>
        <w:lastRenderedPageBreak/>
        <w:t xml:space="preserve">bien la crisis del sistema de salud no constituía, en sí misma, un hecho sobreviniente, aclaró que: (i) aquella problemática no era una causa directa de la declaratoria de emergencia y (ii) constituía una condición necesaria que debía atenderse para generar una respuesta inmediata a la crisis de </w:t>
      </w:r>
      <w:r w:rsidR="00DA62B6" w:rsidRPr="00C454A1">
        <w:rPr>
          <w:rFonts w:cs="Times New Roman"/>
          <w:color w:val="000000" w:themeColor="text1"/>
          <w:szCs w:val="28"/>
        </w:rPr>
        <w:t>salud pública</w:t>
      </w:r>
      <w:r w:rsidR="001918B6" w:rsidRPr="00C454A1">
        <w:rPr>
          <w:rFonts w:cs="Times New Roman"/>
          <w:color w:val="000000" w:themeColor="text1"/>
          <w:szCs w:val="28"/>
        </w:rPr>
        <w:t>, de modo que podría evaluarse como una situación concomitante.</w:t>
      </w:r>
    </w:p>
    <w:p w14:paraId="556D3764" w14:textId="77777777" w:rsidR="00EF1AE6" w:rsidRPr="00C454A1" w:rsidRDefault="00EF1AE6" w:rsidP="00EF1AE6">
      <w:pPr>
        <w:rPr>
          <w:rFonts w:cs="Times New Roman"/>
          <w:color w:val="000000" w:themeColor="text1"/>
          <w:lang w:eastAsia="es-ES"/>
        </w:rPr>
      </w:pPr>
    </w:p>
    <w:p w14:paraId="3DB3B995" w14:textId="6E196A5C" w:rsidR="00EF1AE6" w:rsidRPr="00C454A1" w:rsidRDefault="001D1B20" w:rsidP="001918B6">
      <w:pPr>
        <w:numPr>
          <w:ilvl w:val="0"/>
          <w:numId w:val="2"/>
        </w:numPr>
        <w:ind w:left="0" w:firstLine="0"/>
        <w:rPr>
          <w:rFonts w:cs="Times New Roman"/>
          <w:color w:val="000000" w:themeColor="text1"/>
          <w:lang w:eastAsia="es-ES"/>
        </w:rPr>
      </w:pPr>
      <w:r w:rsidRPr="00C454A1">
        <w:rPr>
          <w:rFonts w:cs="Times New Roman"/>
          <w:color w:val="000000" w:themeColor="text1"/>
          <w:lang w:eastAsia="es-ES"/>
        </w:rPr>
        <w:t>De forma similar, en l</w:t>
      </w:r>
      <w:r w:rsidR="00EF1AE6" w:rsidRPr="00C454A1">
        <w:rPr>
          <w:rFonts w:cs="Times New Roman"/>
          <w:color w:val="000000" w:themeColor="text1"/>
          <w:lang w:eastAsia="es-ES"/>
        </w:rPr>
        <w:t>a Sentencia C-307 de 2020</w:t>
      </w:r>
      <w:r w:rsidRPr="00C454A1">
        <w:rPr>
          <w:rFonts w:cs="Times New Roman"/>
          <w:color w:val="000000" w:themeColor="text1"/>
          <w:lang w:eastAsia="es-ES"/>
        </w:rPr>
        <w:t xml:space="preserve">, al estudiar la constitucionalidad del Decreto Legislativo 637 de 2020, mediante el cual se declaró un </w:t>
      </w:r>
      <w:r w:rsidR="00D61A7B" w:rsidRPr="00C454A1">
        <w:rPr>
          <w:rFonts w:cs="Times New Roman"/>
          <w:color w:val="000000" w:themeColor="text1"/>
          <w:lang w:eastAsia="es-ES"/>
        </w:rPr>
        <w:t>segundo</w:t>
      </w:r>
      <w:r w:rsidRPr="00C454A1">
        <w:rPr>
          <w:rFonts w:cs="Times New Roman"/>
          <w:color w:val="000000" w:themeColor="text1"/>
          <w:lang w:eastAsia="es-ES"/>
        </w:rPr>
        <w:t xml:space="preserve"> estado de emergencia económica, social y ecológica en todo el territorio nacional debido a la crisis económica, social y de salud derivada de la pandemia del Covid-19, la Corte sostuvo que </w:t>
      </w:r>
      <w:r w:rsidR="00D61A7B" w:rsidRPr="00C454A1">
        <w:rPr>
          <w:rFonts w:cs="Times New Roman"/>
          <w:color w:val="000000" w:themeColor="text1"/>
          <w:lang w:eastAsia="es-ES"/>
        </w:rPr>
        <w:t>una</w:t>
      </w:r>
      <w:r w:rsidRPr="00C454A1">
        <w:rPr>
          <w:rFonts w:cs="Times New Roman"/>
          <w:color w:val="000000" w:themeColor="text1"/>
          <w:lang w:eastAsia="es-ES"/>
        </w:rPr>
        <w:t xml:space="preserve"> </w:t>
      </w:r>
      <w:r w:rsidRPr="00C454A1">
        <w:rPr>
          <w:color w:val="000000" w:themeColor="text1"/>
          <w:szCs w:val="28"/>
          <w:lang w:val="es-ES"/>
        </w:rPr>
        <w:t>agravación rápida</w:t>
      </w:r>
      <w:r w:rsidR="00D61A7B" w:rsidRPr="00C454A1">
        <w:rPr>
          <w:color w:val="000000" w:themeColor="text1"/>
          <w:szCs w:val="28"/>
          <w:lang w:val="es-ES"/>
        </w:rPr>
        <w:t>, significativa</w:t>
      </w:r>
      <w:r w:rsidRPr="00C454A1">
        <w:rPr>
          <w:color w:val="000000" w:themeColor="text1"/>
          <w:szCs w:val="28"/>
          <w:lang w:val="es-ES"/>
        </w:rPr>
        <w:t xml:space="preserve"> e inusitada de </w:t>
      </w:r>
      <w:r w:rsidR="00D61A7B" w:rsidRPr="00C454A1">
        <w:rPr>
          <w:color w:val="000000" w:themeColor="text1"/>
          <w:szCs w:val="28"/>
          <w:lang w:val="es-ES"/>
        </w:rPr>
        <w:t xml:space="preserve">los efectos de </w:t>
      </w:r>
      <w:r w:rsidRPr="00C454A1">
        <w:rPr>
          <w:color w:val="000000" w:themeColor="text1"/>
          <w:szCs w:val="28"/>
          <w:lang w:val="es-ES"/>
        </w:rPr>
        <w:t xml:space="preserve">una problemática </w:t>
      </w:r>
      <w:r w:rsidR="00D61A7B" w:rsidRPr="00C454A1">
        <w:rPr>
          <w:color w:val="000000" w:themeColor="text1"/>
          <w:szCs w:val="28"/>
          <w:lang w:val="es-ES"/>
        </w:rPr>
        <w:t xml:space="preserve">previamente identificada -como la emergencia sanitaria asociada al Covid 19- podía justificar la declaración de un nuevo estado de excepción. Para la Corporación, al momento de la expedición de este segundo decreto, </w:t>
      </w:r>
      <w:r w:rsidR="00666341" w:rsidRPr="00C454A1">
        <w:rPr>
          <w:color w:val="000000" w:themeColor="text1"/>
          <w:szCs w:val="28"/>
          <w:lang w:val="es-ES"/>
        </w:rPr>
        <w:t>existía</w:t>
      </w:r>
      <w:r w:rsidR="00D61A7B" w:rsidRPr="00C454A1">
        <w:rPr>
          <w:color w:val="000000" w:themeColor="text1"/>
          <w:szCs w:val="28"/>
          <w:lang w:val="es-ES"/>
        </w:rPr>
        <w:t xml:space="preserve"> evidencia de que los efectos de la pandemia </w:t>
      </w:r>
      <w:r w:rsidR="00666341" w:rsidRPr="00C454A1">
        <w:rPr>
          <w:color w:val="000000" w:themeColor="text1"/>
          <w:szCs w:val="28"/>
          <w:lang w:val="es-ES"/>
        </w:rPr>
        <w:t xml:space="preserve">continuaban intensificándose y habían </w:t>
      </w:r>
      <w:r w:rsidR="00D61A7B" w:rsidRPr="00C454A1">
        <w:rPr>
          <w:color w:val="000000" w:themeColor="text1"/>
          <w:szCs w:val="28"/>
          <w:lang w:val="es-ES"/>
        </w:rPr>
        <w:t xml:space="preserve">alcanzado niveles </w:t>
      </w:r>
      <w:r w:rsidR="00666341" w:rsidRPr="00C454A1">
        <w:rPr>
          <w:color w:val="000000" w:themeColor="text1"/>
          <w:szCs w:val="28"/>
          <w:lang w:val="es-ES"/>
        </w:rPr>
        <w:t>extraordinarios</w:t>
      </w:r>
      <w:r w:rsidR="00D61A7B" w:rsidRPr="00C454A1">
        <w:rPr>
          <w:color w:val="000000" w:themeColor="text1"/>
          <w:szCs w:val="28"/>
          <w:lang w:val="es-ES"/>
        </w:rPr>
        <w:t xml:space="preserve">, </w:t>
      </w:r>
      <w:r w:rsidR="00666341" w:rsidRPr="00C454A1">
        <w:rPr>
          <w:color w:val="000000" w:themeColor="text1"/>
          <w:szCs w:val="28"/>
          <w:lang w:val="es-ES"/>
        </w:rPr>
        <w:t>así como de que</w:t>
      </w:r>
      <w:r w:rsidR="00D61A7B" w:rsidRPr="00C454A1">
        <w:rPr>
          <w:color w:val="000000" w:themeColor="text1"/>
          <w:szCs w:val="28"/>
          <w:lang w:val="es-ES"/>
        </w:rPr>
        <w:t xml:space="preserve"> </w:t>
      </w:r>
      <w:r w:rsidR="00666341" w:rsidRPr="00C454A1">
        <w:rPr>
          <w:color w:val="000000" w:themeColor="text1"/>
          <w:szCs w:val="28"/>
          <w:lang w:val="es-ES"/>
        </w:rPr>
        <w:t>sus impactos adversos se proyectarían</w:t>
      </w:r>
      <w:r w:rsidR="00D61A7B" w:rsidRPr="00C454A1">
        <w:rPr>
          <w:color w:val="000000" w:themeColor="text1"/>
          <w:szCs w:val="28"/>
          <w:lang w:val="es-ES"/>
        </w:rPr>
        <w:t xml:space="preserve"> más allá de lo inicialmente</w:t>
      </w:r>
      <w:r w:rsidR="00666341" w:rsidRPr="00C454A1">
        <w:rPr>
          <w:color w:val="000000" w:themeColor="text1"/>
          <w:szCs w:val="28"/>
          <w:lang w:val="es-ES"/>
        </w:rPr>
        <w:t xml:space="preserve"> previsto</w:t>
      </w:r>
      <w:r w:rsidR="00D61A7B" w:rsidRPr="00C454A1">
        <w:rPr>
          <w:color w:val="000000" w:themeColor="text1"/>
          <w:szCs w:val="28"/>
          <w:lang w:val="es-ES"/>
        </w:rPr>
        <w:t xml:space="preserve">, lo que </w:t>
      </w:r>
      <w:r w:rsidR="00666341" w:rsidRPr="00C454A1">
        <w:rPr>
          <w:color w:val="000000" w:themeColor="text1"/>
          <w:szCs w:val="28"/>
          <w:lang w:val="es-ES"/>
        </w:rPr>
        <w:t>permitía tener por</w:t>
      </w:r>
      <w:r w:rsidR="00D61A7B" w:rsidRPr="00C454A1">
        <w:rPr>
          <w:color w:val="000000" w:themeColor="text1"/>
          <w:szCs w:val="28"/>
          <w:lang w:val="es-ES"/>
        </w:rPr>
        <w:t xml:space="preserve"> superado el juicio del presupuesto valorativo. </w:t>
      </w:r>
    </w:p>
    <w:p w14:paraId="114CE18D" w14:textId="77777777" w:rsidR="001918B6" w:rsidRPr="00C454A1" w:rsidRDefault="001918B6" w:rsidP="001918B6">
      <w:pPr>
        <w:rPr>
          <w:rFonts w:cs="Times New Roman"/>
          <w:color w:val="000000" w:themeColor="text1"/>
          <w:lang w:eastAsia="es-ES"/>
        </w:rPr>
      </w:pPr>
    </w:p>
    <w:p w14:paraId="4D759824" w14:textId="27ADF643"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Finalmente, en la Sentencia C-383 de 2023, la Sala Plena estudió la constitucionalidad del Decreto Legislativo 1085 de 2023. A través de dicha norma se declaró el estado de emergencia económica, social y ecológica en el departamento de La Guajira. La Corte explicó que el carácter sobreviniente de los hechos que suscita</w:t>
      </w:r>
      <w:r w:rsidR="00E82CFB" w:rsidRPr="00C454A1">
        <w:rPr>
          <w:rFonts w:cs="Times New Roman"/>
          <w:color w:val="000000" w:themeColor="text1"/>
          <w:szCs w:val="28"/>
        </w:rPr>
        <w:t>ro</w:t>
      </w:r>
      <w:r w:rsidRPr="00C454A1">
        <w:rPr>
          <w:rFonts w:cs="Times New Roman"/>
          <w:color w:val="000000" w:themeColor="text1"/>
          <w:szCs w:val="28"/>
        </w:rPr>
        <w:t>n la declaratoria del estado de excepción descarta</w:t>
      </w:r>
      <w:r w:rsidR="00E82CFB" w:rsidRPr="00C454A1">
        <w:rPr>
          <w:rFonts w:cs="Times New Roman"/>
          <w:color w:val="000000" w:themeColor="text1"/>
          <w:szCs w:val="28"/>
        </w:rPr>
        <w:t>ba</w:t>
      </w:r>
      <w:r w:rsidRPr="00C454A1">
        <w:rPr>
          <w:rFonts w:cs="Times New Roman"/>
          <w:color w:val="000000" w:themeColor="text1"/>
          <w:szCs w:val="28"/>
        </w:rPr>
        <w:t xml:space="preserve"> que aquellos </w:t>
      </w:r>
      <w:r w:rsidR="00E82CFB" w:rsidRPr="00C454A1">
        <w:rPr>
          <w:rFonts w:cs="Times New Roman"/>
          <w:color w:val="000000" w:themeColor="text1"/>
          <w:szCs w:val="28"/>
        </w:rPr>
        <w:t>fueran</w:t>
      </w:r>
      <w:r w:rsidRPr="00C454A1">
        <w:rPr>
          <w:rFonts w:cs="Times New Roman"/>
          <w:color w:val="000000" w:themeColor="text1"/>
          <w:szCs w:val="28"/>
        </w:rPr>
        <w:t xml:space="preserve"> “problemáticas de carácter crónico o estructural o fenómenos cíclicos o recurrentes”. Con todo, precisó que, si bien por regla general se ha limitado la utilización expansiva de la declaratoria de emergencia para problemáticas estructurales, la jurisprudencia constitucional ha admitido excepciones. En este sentido, el agravamiento de problemáticas estructurales puede, eventualmente, satisfacer el presupuesto fáctico que habilita la declaratoria del estado de emergencia.</w:t>
      </w:r>
    </w:p>
    <w:p w14:paraId="335A8694" w14:textId="77777777" w:rsidR="001918B6" w:rsidRPr="00C454A1" w:rsidRDefault="001918B6" w:rsidP="001918B6">
      <w:pPr>
        <w:rPr>
          <w:rFonts w:cs="Times New Roman"/>
          <w:color w:val="000000" w:themeColor="text1"/>
          <w:lang w:eastAsia="es-ES"/>
        </w:rPr>
      </w:pPr>
    </w:p>
    <w:p w14:paraId="32E9AC04" w14:textId="3396A592" w:rsidR="001918B6" w:rsidRPr="00C454A1" w:rsidRDefault="001918B6" w:rsidP="001918B6">
      <w:pPr>
        <w:numPr>
          <w:ilvl w:val="0"/>
          <w:numId w:val="2"/>
        </w:numPr>
        <w:ind w:left="0" w:firstLine="0"/>
        <w:rPr>
          <w:rFonts w:cs="Times New Roman"/>
          <w:color w:val="000000" w:themeColor="text1"/>
          <w:lang w:eastAsia="es-ES"/>
        </w:rPr>
      </w:pPr>
      <w:r w:rsidRPr="00C454A1">
        <w:rPr>
          <w:rFonts w:cs="Times New Roman"/>
          <w:color w:val="000000" w:themeColor="text1"/>
          <w:szCs w:val="28"/>
        </w:rPr>
        <w:t xml:space="preserve">En línea con lo anterior, dicha providencia resaltó que la Corte Constitucional ha evaluado si es legítimo declarar estados de emergencia para atender crisis estructurales en las que el Estado tiene cierto grado de responsabilidad, diferenciando dos escenarios o hipótesis. El primero ocurre cuando se recurre a medidas extraordinarias para abordar problemas estructurales de larga data sin que exista un hecho nuevo e imprevisto que los haya agravado. Un ejemplo fue el Decreto 4975 de 2009, donde la Corte determinó que la crisis del sistema de salud no había surgido de manera repentina y, por lo tanto, su solución debía buscarse a través de mecanismos ordinarios. El segundo escenario se presenta cuando una crisis estructural empeora debido a eventos extraordinarios y sobrevinientes. En esos casos, el </w:t>
      </w:r>
      <w:r w:rsidR="00617EB9" w:rsidRPr="00C454A1">
        <w:rPr>
          <w:rFonts w:cs="Times New Roman"/>
          <w:color w:val="000000" w:themeColor="text1"/>
          <w:szCs w:val="28"/>
        </w:rPr>
        <w:t>presidente</w:t>
      </w:r>
      <w:r w:rsidRPr="00C454A1">
        <w:rPr>
          <w:rFonts w:cs="Times New Roman"/>
          <w:color w:val="000000" w:themeColor="text1"/>
          <w:szCs w:val="28"/>
        </w:rPr>
        <w:t xml:space="preserve"> puede ejercer facultades excepcionales conforme al artículo 215 de la Constitución. No obstante, advirtió que cada caso debe ser analizado detalladamente para determinar si los hechos sobrevinientes realmente han intensificado la crisis estructural.</w:t>
      </w:r>
    </w:p>
    <w:p w14:paraId="4978DD89" w14:textId="77777777" w:rsidR="001918B6" w:rsidRPr="00C454A1" w:rsidRDefault="001918B6" w:rsidP="001918B6">
      <w:pPr>
        <w:rPr>
          <w:rFonts w:cs="Times New Roman"/>
          <w:color w:val="000000" w:themeColor="text1"/>
          <w:lang w:eastAsia="es-ES"/>
        </w:rPr>
      </w:pPr>
    </w:p>
    <w:p w14:paraId="3CD7A092" w14:textId="77777777" w:rsidR="001918B6" w:rsidRPr="00C454A1" w:rsidRDefault="001918B6" w:rsidP="001918B6">
      <w:pPr>
        <w:numPr>
          <w:ilvl w:val="0"/>
          <w:numId w:val="2"/>
        </w:numPr>
        <w:ind w:left="0" w:firstLine="0"/>
        <w:rPr>
          <w:rFonts w:cs="Times New Roman"/>
          <w:color w:val="000000" w:themeColor="text1"/>
          <w:lang w:eastAsia="es-ES"/>
        </w:rPr>
      </w:pPr>
      <w:r w:rsidRPr="00C454A1">
        <w:rPr>
          <w:rFonts w:eastAsia="Times New Roman" w:cs="Times New Roman"/>
          <w:iCs/>
          <w:color w:val="000000" w:themeColor="text1"/>
          <w:szCs w:val="28"/>
        </w:rPr>
        <w:t>Ahora bien</w:t>
      </w:r>
      <w:r w:rsidRPr="00C454A1">
        <w:rPr>
          <w:rFonts w:cs="Times New Roman"/>
          <w:color w:val="000000" w:themeColor="text1"/>
          <w:szCs w:val="28"/>
        </w:rPr>
        <w:t>, en la Sentencia C-383 de 2023 la Corte encontró acreditado el presupuesto fáctico y, en particular, el juicio de sobreviniencia. Frente a este último, explicó que, aunque el cambio climático y la crisis humanitaria en La Guajira no eran, por sí solos, eventos sobrevinientes, el Decreto 1085 de 2023 no se limitó a mencionarlos como razones para declarar el estado de emergencia. En cambio, argumentó que la crisis humanitaria se había agravado debido a la combinación de estos fenómenos climáticos. Así, la Corte consideró demostrado que esta confluencia de eventos extremos había intensificado de manera extraordinaria la crisis, particularmente en lo relacionado con la disminución del acceso al agua y sus efectos sobre otros derechos fundamentales.</w:t>
      </w:r>
    </w:p>
    <w:p w14:paraId="3737C5AD" w14:textId="77777777" w:rsidR="001918B6" w:rsidRPr="00C454A1" w:rsidRDefault="001918B6" w:rsidP="001918B6">
      <w:pPr>
        <w:rPr>
          <w:rFonts w:cs="Times New Roman"/>
          <w:color w:val="000000" w:themeColor="text1"/>
          <w:lang w:eastAsia="es-ES"/>
        </w:rPr>
      </w:pPr>
    </w:p>
    <w:p w14:paraId="71A74002" w14:textId="37BC3D87" w:rsidR="001918B6" w:rsidRPr="00C454A1" w:rsidRDefault="001918B6" w:rsidP="001918B6">
      <w:pPr>
        <w:numPr>
          <w:ilvl w:val="0"/>
          <w:numId w:val="2"/>
        </w:numPr>
        <w:ind w:left="0" w:firstLine="0"/>
        <w:rPr>
          <w:rFonts w:cs="Times New Roman"/>
          <w:color w:val="000000" w:themeColor="text1"/>
          <w:lang w:eastAsia="es-ES"/>
        </w:rPr>
      </w:pPr>
      <w:r w:rsidRPr="00C454A1">
        <w:rPr>
          <w:rFonts w:eastAsia="Times New Roman" w:cs="Times New Roman"/>
          <w:iCs/>
          <w:color w:val="000000" w:themeColor="text1"/>
          <w:szCs w:val="28"/>
        </w:rPr>
        <w:t>Pese</w:t>
      </w:r>
      <w:r w:rsidRPr="00C454A1">
        <w:rPr>
          <w:rFonts w:cs="Times New Roman"/>
          <w:color w:val="000000" w:themeColor="text1"/>
          <w:szCs w:val="28"/>
        </w:rPr>
        <w:t xml:space="preserve"> a lo anterior, el Decreto 1085 de 2023 fue declarado inexequible por cuanto no superó el juicio de suficiencia</w:t>
      </w:r>
      <w:r w:rsidR="00E82CFB" w:rsidRPr="00C454A1">
        <w:rPr>
          <w:rFonts w:cs="Times New Roman"/>
          <w:color w:val="000000" w:themeColor="text1"/>
          <w:szCs w:val="28"/>
        </w:rPr>
        <w:t xml:space="preserve">, ya que </w:t>
      </w:r>
      <w:r w:rsidRPr="00C454A1">
        <w:rPr>
          <w:rFonts w:cs="Times New Roman"/>
          <w:iCs/>
          <w:color w:val="000000" w:themeColor="text1"/>
          <w:szCs w:val="28"/>
        </w:rPr>
        <w:t>“la respuesta a los desafíos que plantea el agravamiento de la crisis climática que se pone de manifiesto con especial intensidad en el departamento de La Guajira debe convocar la acción decidida y la colaboración armónica de todas las instituciones del Estado, y llevarse a cabo, en primer lugar, a través de los instrumentos ordinarios que prevé la Constitución</w:t>
      </w:r>
      <w:r w:rsidR="00F80C97" w:rsidRPr="00C454A1">
        <w:rPr>
          <w:rStyle w:val="Refdenotaalpie"/>
          <w:rFonts w:cs="Times New Roman"/>
          <w:iCs/>
          <w:color w:val="000000" w:themeColor="text1"/>
          <w:szCs w:val="28"/>
        </w:rPr>
        <w:footnoteReference w:id="129"/>
      </w:r>
      <w:r w:rsidRPr="00C454A1">
        <w:rPr>
          <w:rFonts w:cs="Times New Roman"/>
          <w:iCs/>
          <w:color w:val="000000" w:themeColor="text1"/>
          <w:szCs w:val="28"/>
        </w:rPr>
        <w:t>. La gravedad de la crisis climática, y la necesidad de actuar de manera decidida para afrontarla,</w:t>
      </w:r>
      <w:r w:rsidR="009F64FC" w:rsidRPr="00C454A1">
        <w:rPr>
          <w:rFonts w:cs="Times New Roman"/>
          <w:iCs/>
          <w:color w:val="000000" w:themeColor="text1"/>
          <w:szCs w:val="28"/>
        </w:rPr>
        <w:t xml:space="preserve"> consideró la Corte,</w:t>
      </w:r>
      <w:r w:rsidRPr="00C454A1">
        <w:rPr>
          <w:rFonts w:cs="Times New Roman"/>
          <w:iCs/>
          <w:color w:val="000000" w:themeColor="text1"/>
          <w:szCs w:val="28"/>
        </w:rPr>
        <w:t xml:space="preserve"> no puede allanar el camino al estado de excepción, que debe seguir siendo el último recurso al cual acudir, cuando no existan mecanismos ordinarios o los existentes sean inidóneos o insuficientes para conjurar la crisis e impedir la extensión de sus efectos”</w:t>
      </w:r>
      <w:r w:rsidR="00E322DE" w:rsidRPr="00C454A1">
        <w:rPr>
          <w:rStyle w:val="Refdenotaalpie"/>
          <w:rFonts w:cs="Times New Roman"/>
          <w:iCs/>
          <w:color w:val="000000" w:themeColor="text1"/>
          <w:szCs w:val="28"/>
        </w:rPr>
        <w:footnoteReference w:id="130"/>
      </w:r>
      <w:r w:rsidRPr="00C454A1">
        <w:rPr>
          <w:rFonts w:cs="Times New Roman"/>
          <w:iCs/>
          <w:color w:val="000000" w:themeColor="text1"/>
          <w:szCs w:val="28"/>
        </w:rPr>
        <w:t>.</w:t>
      </w:r>
    </w:p>
    <w:p w14:paraId="384F757A" w14:textId="77777777" w:rsidR="001918B6" w:rsidRPr="00C454A1" w:rsidRDefault="001918B6" w:rsidP="001918B6">
      <w:pPr>
        <w:rPr>
          <w:rFonts w:cs="Times New Roman"/>
          <w:color w:val="000000" w:themeColor="text1"/>
          <w:lang w:eastAsia="es-ES"/>
        </w:rPr>
      </w:pPr>
    </w:p>
    <w:p w14:paraId="5B5AA09C" w14:textId="15BAAC88" w:rsidR="001918B6" w:rsidRPr="00C454A1" w:rsidRDefault="00ED2943" w:rsidP="001918B6">
      <w:pPr>
        <w:numPr>
          <w:ilvl w:val="0"/>
          <w:numId w:val="2"/>
        </w:numPr>
        <w:ind w:left="0" w:firstLine="0"/>
        <w:rPr>
          <w:rFonts w:cs="Times New Roman"/>
          <w:color w:val="000000" w:themeColor="text1"/>
          <w:lang w:eastAsia="es-ES"/>
        </w:rPr>
      </w:pPr>
      <w:r w:rsidRPr="00C454A1">
        <w:rPr>
          <w:rFonts w:eastAsia="Times New Roman" w:cs="Times New Roman"/>
          <w:i/>
          <w:color w:val="000000" w:themeColor="text1"/>
          <w:szCs w:val="28"/>
        </w:rPr>
        <w:t xml:space="preserve">Conclusión. </w:t>
      </w:r>
      <w:r w:rsidR="001918B6" w:rsidRPr="00C454A1">
        <w:rPr>
          <w:rFonts w:eastAsia="Times New Roman" w:cs="Times New Roman"/>
          <w:iCs/>
          <w:color w:val="000000" w:themeColor="text1"/>
          <w:szCs w:val="28"/>
        </w:rPr>
        <w:t xml:space="preserve">En síntesis, </w:t>
      </w:r>
      <w:r w:rsidR="001918B6" w:rsidRPr="00C454A1">
        <w:rPr>
          <w:rFonts w:cs="Times New Roman"/>
          <w:color w:val="000000" w:themeColor="text1"/>
          <w:szCs w:val="28"/>
        </w:rPr>
        <w:t xml:space="preserve">la jurisprudencia constitucional ha establecido que los poderes de excepción no deben utilizarse para abordar problemas crónicos o estructurales. Sin embargo, esta Corte ha reconocido que, en circunstancias excepcionales, el agravamiento </w:t>
      </w:r>
      <w:r w:rsidRPr="00C454A1">
        <w:rPr>
          <w:rFonts w:cs="Times New Roman"/>
          <w:color w:val="000000" w:themeColor="text1"/>
          <w:szCs w:val="28"/>
        </w:rPr>
        <w:t xml:space="preserve">inusitado </w:t>
      </w:r>
      <w:r w:rsidR="001918B6" w:rsidRPr="00C454A1">
        <w:rPr>
          <w:rFonts w:cs="Times New Roman"/>
          <w:color w:val="000000" w:themeColor="text1"/>
          <w:szCs w:val="28"/>
        </w:rPr>
        <w:t>de problemáticas estructurales debido a fenómenos sobrev</w:t>
      </w:r>
      <w:r w:rsidRPr="00C454A1">
        <w:rPr>
          <w:rFonts w:cs="Times New Roman"/>
          <w:color w:val="000000" w:themeColor="text1"/>
          <w:szCs w:val="28"/>
        </w:rPr>
        <w:t>inientes</w:t>
      </w:r>
      <w:r w:rsidR="001918B6" w:rsidRPr="00C454A1">
        <w:rPr>
          <w:rFonts w:cs="Times New Roman"/>
          <w:color w:val="000000" w:themeColor="text1"/>
          <w:szCs w:val="28"/>
        </w:rPr>
        <w:t xml:space="preserve"> puede justificar la declaración del estado de emergencia</w:t>
      </w:r>
      <w:r w:rsidR="001918B6" w:rsidRPr="00C454A1">
        <w:rPr>
          <w:rStyle w:val="Refdenotaalpie"/>
          <w:rFonts w:cs="Times New Roman"/>
          <w:color w:val="000000" w:themeColor="text1"/>
          <w:szCs w:val="28"/>
        </w:rPr>
        <w:footnoteReference w:id="131"/>
      </w:r>
      <w:r w:rsidR="001918B6" w:rsidRPr="00C454A1">
        <w:rPr>
          <w:rFonts w:cs="Times New Roman"/>
          <w:color w:val="000000" w:themeColor="text1"/>
          <w:szCs w:val="28"/>
        </w:rPr>
        <w:t xml:space="preserve">. En tales casos, el Gobierno nacional debe acreditar el agravamiento o la intensificación de dicha situación previa para </w:t>
      </w:r>
      <w:r w:rsidRPr="00C454A1">
        <w:rPr>
          <w:rFonts w:cs="Times New Roman"/>
          <w:color w:val="000000" w:themeColor="text1"/>
          <w:szCs w:val="28"/>
        </w:rPr>
        <w:t xml:space="preserve">demostrar </w:t>
      </w:r>
      <w:r w:rsidR="001918B6" w:rsidRPr="00C454A1">
        <w:rPr>
          <w:rFonts w:cs="Times New Roman"/>
          <w:color w:val="000000" w:themeColor="text1"/>
          <w:szCs w:val="28"/>
        </w:rPr>
        <w:t>el carácter extraordinario de los hechos.</w:t>
      </w:r>
    </w:p>
    <w:p w14:paraId="3ED071F7" w14:textId="77777777" w:rsidR="001918B6" w:rsidRPr="00C454A1" w:rsidRDefault="001918B6" w:rsidP="001918B6">
      <w:pPr>
        <w:rPr>
          <w:rFonts w:cs="Times New Roman"/>
          <w:color w:val="000000" w:themeColor="text1"/>
          <w:lang w:eastAsia="es-ES"/>
        </w:rPr>
      </w:pPr>
    </w:p>
    <w:p w14:paraId="5DB0DCC8" w14:textId="6CF241D4" w:rsidR="001918B6" w:rsidRPr="00C454A1" w:rsidRDefault="00ED2943" w:rsidP="001918B6">
      <w:pPr>
        <w:numPr>
          <w:ilvl w:val="0"/>
          <w:numId w:val="2"/>
        </w:numPr>
        <w:ind w:left="0" w:firstLine="0"/>
        <w:rPr>
          <w:rFonts w:cs="Times New Roman"/>
          <w:color w:val="000000" w:themeColor="text1"/>
          <w:lang w:eastAsia="es-ES"/>
        </w:rPr>
      </w:pPr>
      <w:bookmarkStart w:id="155" w:name="_Ref203395013"/>
      <w:r w:rsidRPr="00C454A1">
        <w:rPr>
          <w:rFonts w:cs="Times New Roman"/>
          <w:color w:val="000000" w:themeColor="text1"/>
          <w:szCs w:val="28"/>
        </w:rPr>
        <w:t>E</w:t>
      </w:r>
      <w:r w:rsidR="001918B6" w:rsidRPr="00C454A1">
        <w:rPr>
          <w:rFonts w:cs="Times New Roman"/>
          <w:color w:val="000000" w:themeColor="text1"/>
          <w:szCs w:val="28"/>
        </w:rPr>
        <w:t xml:space="preserve">n el estado de conmoción interior, al igual que en los </w:t>
      </w:r>
      <w:r w:rsidRPr="00C454A1">
        <w:rPr>
          <w:rFonts w:cs="Times New Roman"/>
          <w:color w:val="000000" w:themeColor="text1"/>
          <w:szCs w:val="28"/>
        </w:rPr>
        <w:t xml:space="preserve">estados </w:t>
      </w:r>
      <w:r w:rsidR="001918B6" w:rsidRPr="00C454A1">
        <w:rPr>
          <w:rFonts w:cs="Times New Roman"/>
          <w:color w:val="000000" w:themeColor="text1"/>
          <w:szCs w:val="28"/>
        </w:rPr>
        <w:t xml:space="preserve">de emergencia económica, ecológica y social, </w:t>
      </w:r>
      <w:r w:rsidRPr="00C454A1">
        <w:rPr>
          <w:rFonts w:cs="Times New Roman"/>
          <w:color w:val="000000" w:themeColor="text1"/>
          <w:szCs w:val="28"/>
        </w:rPr>
        <w:t xml:space="preserve">la Sala resalta que </w:t>
      </w:r>
      <w:r w:rsidR="001918B6" w:rsidRPr="00C454A1">
        <w:rPr>
          <w:rFonts w:cs="Times New Roman"/>
          <w:color w:val="000000" w:themeColor="text1"/>
          <w:szCs w:val="28"/>
        </w:rPr>
        <w:t>no está permitida la utilización expansiva de los poderes excepcionales para resolver problemas crónicos o estructurales. Tales problemas deben ser solucionados por las autoridades mediante los mecanismos ordinarios, y no mediante los estados de excepción.</w:t>
      </w:r>
      <w:bookmarkEnd w:id="155"/>
    </w:p>
    <w:bookmarkEnd w:id="140"/>
    <w:p w14:paraId="6B9B5A6D" w14:textId="77777777" w:rsidR="006126F0" w:rsidRPr="00C454A1" w:rsidRDefault="006126F0" w:rsidP="009F792C">
      <w:pPr>
        <w:widowControl w:val="0"/>
        <w:outlineLvl w:val="0"/>
        <w:rPr>
          <w:rFonts w:cs="Times New Roman"/>
          <w:b/>
          <w:bCs/>
          <w:color w:val="000000" w:themeColor="text1"/>
          <w:szCs w:val="28"/>
          <w:lang w:eastAsia="es-ES"/>
        </w:rPr>
      </w:pPr>
    </w:p>
    <w:p w14:paraId="6D901655" w14:textId="7EEC5819" w:rsidR="002C7166" w:rsidRPr="00C454A1" w:rsidRDefault="002C7166" w:rsidP="001C693F">
      <w:pPr>
        <w:pStyle w:val="Prrafodelista"/>
        <w:widowControl w:val="0"/>
        <w:numPr>
          <w:ilvl w:val="0"/>
          <w:numId w:val="3"/>
        </w:numPr>
        <w:ind w:left="709" w:hanging="709"/>
        <w:outlineLvl w:val="0"/>
        <w:rPr>
          <w:rFonts w:cs="Times New Roman"/>
          <w:b/>
          <w:bCs/>
          <w:color w:val="000000" w:themeColor="text1"/>
          <w:szCs w:val="28"/>
          <w:lang w:eastAsia="es-ES"/>
        </w:rPr>
      </w:pPr>
      <w:bookmarkStart w:id="156" w:name="_Toc223979940"/>
      <w:r w:rsidRPr="00C454A1">
        <w:rPr>
          <w:rFonts w:cs="Times New Roman"/>
          <w:b/>
          <w:bCs/>
          <w:color w:val="000000" w:themeColor="text1"/>
          <w:szCs w:val="28"/>
          <w:lang w:eastAsia="es-ES"/>
        </w:rPr>
        <w:t xml:space="preserve">Examen de los requisitos formales </w:t>
      </w:r>
      <w:r w:rsidR="003170DD" w:rsidRPr="00C454A1">
        <w:rPr>
          <w:rFonts w:cs="Times New Roman"/>
          <w:b/>
          <w:bCs/>
          <w:color w:val="000000" w:themeColor="text1"/>
          <w:szCs w:val="28"/>
          <w:lang w:eastAsia="es-ES"/>
        </w:rPr>
        <w:t>del Decreto 62 de 2025</w:t>
      </w:r>
      <w:bookmarkEnd w:id="156"/>
    </w:p>
    <w:p w14:paraId="6DA1AB8A" w14:textId="77777777" w:rsidR="000137DB" w:rsidRPr="00C454A1" w:rsidRDefault="000137DB" w:rsidP="000137DB">
      <w:pPr>
        <w:rPr>
          <w:color w:val="000000" w:themeColor="text1"/>
          <w:szCs w:val="28"/>
          <w:lang w:eastAsia="es-ES"/>
        </w:rPr>
      </w:pPr>
    </w:p>
    <w:p w14:paraId="1ADBA7A6" w14:textId="645F78A4" w:rsidR="003170DD" w:rsidRPr="00C454A1" w:rsidRDefault="003170DD" w:rsidP="00ED5D0D">
      <w:pPr>
        <w:numPr>
          <w:ilvl w:val="0"/>
          <w:numId w:val="2"/>
        </w:numPr>
        <w:ind w:left="0" w:firstLine="0"/>
        <w:rPr>
          <w:rFonts w:cs="Times New Roman"/>
          <w:color w:val="000000" w:themeColor="text1"/>
        </w:rPr>
      </w:pPr>
      <w:r w:rsidRPr="00C454A1">
        <w:rPr>
          <w:color w:val="000000" w:themeColor="text1"/>
          <w:szCs w:val="28"/>
          <w:lang w:eastAsia="es-ES"/>
        </w:rPr>
        <w:t xml:space="preserve">La Sala Plena constata que el Decreto Legislativo </w:t>
      </w:r>
      <w:bookmarkStart w:id="157" w:name="_Hlk194931578"/>
      <w:r w:rsidRPr="00C454A1">
        <w:rPr>
          <w:rFonts w:eastAsiaTheme="majorEastAsia"/>
          <w:color w:val="000000" w:themeColor="text1"/>
          <w:szCs w:val="28"/>
        </w:rPr>
        <w:t xml:space="preserve">62 de 2025 </w:t>
      </w:r>
      <w:bookmarkEnd w:id="157"/>
      <w:r w:rsidRPr="00C454A1">
        <w:rPr>
          <w:color w:val="000000" w:themeColor="text1"/>
          <w:szCs w:val="28"/>
          <w:lang w:eastAsia="es-ES"/>
        </w:rPr>
        <w:t>satisface los</w:t>
      </w:r>
      <w:r w:rsidR="000137DB" w:rsidRPr="00C454A1">
        <w:rPr>
          <w:color w:val="000000" w:themeColor="text1"/>
          <w:szCs w:val="28"/>
          <w:lang w:eastAsia="es-ES"/>
        </w:rPr>
        <w:t xml:space="preserve"> </w:t>
      </w:r>
      <w:r w:rsidRPr="00C454A1">
        <w:rPr>
          <w:color w:val="000000" w:themeColor="text1"/>
          <w:szCs w:val="28"/>
          <w:lang w:eastAsia="es-ES"/>
        </w:rPr>
        <w:t xml:space="preserve">requisitos </w:t>
      </w:r>
      <w:r w:rsidRPr="00C454A1">
        <w:rPr>
          <w:rFonts w:cs="Times New Roman"/>
          <w:color w:val="000000" w:themeColor="text1"/>
          <w:szCs w:val="28"/>
        </w:rPr>
        <w:t>formales</w:t>
      </w:r>
      <w:r w:rsidRPr="00C454A1">
        <w:rPr>
          <w:color w:val="000000" w:themeColor="text1"/>
          <w:szCs w:val="28"/>
          <w:lang w:eastAsia="es-ES"/>
        </w:rPr>
        <w:t xml:space="preserve"> de constitucionalidad. </w:t>
      </w:r>
    </w:p>
    <w:p w14:paraId="2D394555" w14:textId="77777777" w:rsidR="00C426EB" w:rsidRPr="00C454A1" w:rsidRDefault="00C426EB" w:rsidP="00C426EB">
      <w:pPr>
        <w:widowControl w:val="0"/>
        <w:tabs>
          <w:tab w:val="left" w:pos="567"/>
        </w:tabs>
        <w:outlineLvl w:val="0"/>
        <w:rPr>
          <w:rFonts w:cs="Times New Roman"/>
          <w:color w:val="000000" w:themeColor="text1"/>
        </w:rPr>
      </w:pPr>
    </w:p>
    <w:p w14:paraId="77BB4645" w14:textId="53D26EF5" w:rsidR="003170DD" w:rsidRPr="00C454A1" w:rsidRDefault="003170DD" w:rsidP="001C693F">
      <w:pPr>
        <w:pStyle w:val="Prrafodelista"/>
        <w:widowControl w:val="0"/>
        <w:numPr>
          <w:ilvl w:val="1"/>
          <w:numId w:val="3"/>
        </w:numPr>
        <w:ind w:left="0" w:firstLine="0"/>
        <w:outlineLvl w:val="0"/>
        <w:rPr>
          <w:b/>
          <w:bCs/>
          <w:iCs/>
          <w:color w:val="000000" w:themeColor="text1"/>
          <w:szCs w:val="28"/>
        </w:rPr>
      </w:pPr>
      <w:bookmarkStart w:id="158" w:name="_Toc223979941"/>
      <w:r w:rsidRPr="00C454A1">
        <w:rPr>
          <w:b/>
          <w:bCs/>
          <w:iCs/>
          <w:color w:val="000000" w:themeColor="text1"/>
          <w:szCs w:val="28"/>
        </w:rPr>
        <w:t xml:space="preserve">Firma del </w:t>
      </w:r>
      <w:r w:rsidR="00FE28D2" w:rsidRPr="00C454A1">
        <w:rPr>
          <w:b/>
          <w:bCs/>
          <w:iCs/>
          <w:color w:val="000000" w:themeColor="text1"/>
          <w:szCs w:val="28"/>
        </w:rPr>
        <w:t>p</w:t>
      </w:r>
      <w:r w:rsidRPr="00C454A1">
        <w:rPr>
          <w:b/>
          <w:bCs/>
          <w:iCs/>
          <w:color w:val="000000" w:themeColor="text1"/>
          <w:szCs w:val="28"/>
        </w:rPr>
        <w:t>residente de la República y de todos los ministros</w:t>
      </w:r>
      <w:bookmarkEnd w:id="158"/>
    </w:p>
    <w:p w14:paraId="6683C365" w14:textId="77777777" w:rsidR="003170DD" w:rsidRPr="00C454A1" w:rsidRDefault="003170DD" w:rsidP="00631C27">
      <w:pPr>
        <w:rPr>
          <w:color w:val="000000" w:themeColor="text1"/>
          <w:szCs w:val="28"/>
        </w:rPr>
      </w:pPr>
    </w:p>
    <w:p w14:paraId="67EBDD1E" w14:textId="17D13D8E"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 xml:space="preserve">El Decreto Legislativo 62 de 2025 fue firmado por el </w:t>
      </w:r>
      <w:r w:rsidR="00FE28D2" w:rsidRPr="00C454A1">
        <w:rPr>
          <w:color w:val="000000" w:themeColor="text1"/>
          <w:szCs w:val="28"/>
        </w:rPr>
        <w:t>p</w:t>
      </w:r>
      <w:r w:rsidRPr="00C454A1">
        <w:rPr>
          <w:color w:val="000000" w:themeColor="text1"/>
          <w:szCs w:val="28"/>
        </w:rPr>
        <w:t>residente de la República, Gustavo Petro Urrego, y los ministros que integraban el gabinete al momento de su expedición</w:t>
      </w:r>
      <w:r w:rsidRPr="00C454A1">
        <w:rPr>
          <w:color w:val="000000" w:themeColor="text1"/>
          <w:szCs w:val="28"/>
          <w:vertAlign w:val="superscript"/>
        </w:rPr>
        <w:footnoteReference w:id="132"/>
      </w:r>
      <w:r w:rsidRPr="00C454A1">
        <w:rPr>
          <w:color w:val="000000" w:themeColor="text1"/>
          <w:szCs w:val="28"/>
        </w:rPr>
        <w:t xml:space="preserve">. </w:t>
      </w:r>
    </w:p>
    <w:p w14:paraId="5E8EC986" w14:textId="77777777" w:rsidR="003170DD" w:rsidRPr="00C454A1" w:rsidRDefault="003170DD" w:rsidP="00631C27">
      <w:pPr>
        <w:rPr>
          <w:color w:val="000000" w:themeColor="text1"/>
          <w:szCs w:val="28"/>
        </w:rPr>
      </w:pPr>
    </w:p>
    <w:p w14:paraId="26D5FCA9" w14:textId="10C30F55"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La Corte advierte que los ministros de Relaciones Exteriores, Hacienda y Crédito Público y Transporte se encontraban en encargo al momento de la expedición del Decreto 62, el 24 de enero de 2025</w:t>
      </w:r>
      <w:r w:rsidR="001A7FC1" w:rsidRPr="00C454A1">
        <w:rPr>
          <w:color w:val="000000" w:themeColor="text1"/>
          <w:szCs w:val="28"/>
        </w:rPr>
        <w:t>.</w:t>
      </w:r>
      <w:r w:rsidRPr="00C454A1">
        <w:rPr>
          <w:color w:val="000000" w:themeColor="text1"/>
          <w:szCs w:val="28"/>
        </w:rPr>
        <w:t xml:space="preserve"> </w:t>
      </w:r>
      <w:r w:rsidR="001A7FC1" w:rsidRPr="00C454A1">
        <w:rPr>
          <w:color w:val="000000" w:themeColor="text1"/>
          <w:szCs w:val="28"/>
        </w:rPr>
        <w:t>No obstante,</w:t>
      </w:r>
      <w:r w:rsidRPr="00C454A1">
        <w:rPr>
          <w:color w:val="000000" w:themeColor="text1"/>
          <w:szCs w:val="28"/>
        </w:rPr>
        <w:t xml:space="preserve"> esta situación no afecta la validez formal del decreto</w:t>
      </w:r>
      <w:r w:rsidR="001A7FC1" w:rsidRPr="00C454A1">
        <w:rPr>
          <w:color w:val="000000" w:themeColor="text1"/>
          <w:szCs w:val="28"/>
        </w:rPr>
        <w:t>, pues la</w:t>
      </w:r>
      <w:r w:rsidRPr="00C454A1">
        <w:rPr>
          <w:color w:val="000000" w:themeColor="text1"/>
          <w:szCs w:val="28"/>
        </w:rPr>
        <w:t xml:space="preserve"> Corte Constitucional ha señalado que es válido que el decreto declaratorio, así como los decretos legislativos de desarrollo, sean suscritos por un ministro encargado, siempre que se adjunte prueba del encargo. Lo anterior, debido a que no existe una prohibición constitucional o legal frente a la figura del encargo ministerial</w:t>
      </w:r>
      <w:r w:rsidR="001A7FC1" w:rsidRPr="00C454A1">
        <w:rPr>
          <w:rStyle w:val="Refdenotaalpie"/>
          <w:color w:val="000000" w:themeColor="text1"/>
          <w:szCs w:val="28"/>
        </w:rPr>
        <w:footnoteReference w:id="133"/>
      </w:r>
      <w:r w:rsidRPr="00C454A1">
        <w:rPr>
          <w:color w:val="000000" w:themeColor="text1"/>
          <w:szCs w:val="28"/>
        </w:rPr>
        <w:t xml:space="preserve">.  </w:t>
      </w:r>
    </w:p>
    <w:p w14:paraId="7A4AB735" w14:textId="77777777" w:rsidR="003170DD" w:rsidRPr="00C454A1" w:rsidRDefault="003170DD" w:rsidP="00631C27">
      <w:pPr>
        <w:rPr>
          <w:color w:val="000000" w:themeColor="text1"/>
          <w:szCs w:val="28"/>
        </w:rPr>
      </w:pPr>
    </w:p>
    <w:p w14:paraId="1F6367F6" w14:textId="3E180A9B"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 xml:space="preserve">La Corte constata que: (i) mediante el Decreto 19 del 17 de enero de 2025, se encargó a </w:t>
      </w:r>
      <w:r w:rsidRPr="00C454A1">
        <w:rPr>
          <w:rFonts w:cs="Times New Roman"/>
          <w:color w:val="000000" w:themeColor="text1"/>
          <w:szCs w:val="28"/>
        </w:rPr>
        <w:t>Paola</w:t>
      </w:r>
      <w:r w:rsidRPr="00C454A1">
        <w:rPr>
          <w:color w:val="000000" w:themeColor="text1"/>
          <w:szCs w:val="28"/>
        </w:rPr>
        <w:t xml:space="preserve"> Andrea Vásquez Restrepo como ministra de Relaciones Exteriores hasta el 24 de enero de 2025; (ii) a través del Decreto 1469 del 9 de diciembre de 2024, se encargó a Diego Alejandro Guevara Castañeda como ministro de Hacienda y Crédito Público, quien se mantuvo en el cargo hasta el mes de marzo; y (iii) por medio del Decreto 59 del 23 de enero de 2025, se encargó a María Fernanda Rojas Mantilla como ministra de Transporte, quien luego fue nombrada en propiedad el 18 de febrero siguiente. </w:t>
      </w:r>
    </w:p>
    <w:p w14:paraId="43981E03" w14:textId="77777777" w:rsidR="003170DD" w:rsidRPr="00C454A1" w:rsidRDefault="003170DD" w:rsidP="00631C27">
      <w:pPr>
        <w:pStyle w:val="Prrafodelista"/>
        <w:rPr>
          <w:color w:val="000000" w:themeColor="text1"/>
          <w:szCs w:val="28"/>
        </w:rPr>
      </w:pPr>
    </w:p>
    <w:p w14:paraId="3DC4242B" w14:textId="77777777" w:rsidR="003170DD" w:rsidRPr="00C454A1" w:rsidRDefault="003170DD" w:rsidP="001C693F">
      <w:pPr>
        <w:pStyle w:val="Prrafodelista"/>
        <w:widowControl w:val="0"/>
        <w:numPr>
          <w:ilvl w:val="1"/>
          <w:numId w:val="3"/>
        </w:numPr>
        <w:ind w:left="0" w:firstLine="0"/>
        <w:outlineLvl w:val="0"/>
        <w:rPr>
          <w:b/>
          <w:bCs/>
          <w:color w:val="000000" w:themeColor="text1"/>
          <w:szCs w:val="28"/>
        </w:rPr>
      </w:pPr>
      <w:bookmarkStart w:id="159" w:name="_Toc223979942"/>
      <w:r w:rsidRPr="00C454A1">
        <w:rPr>
          <w:b/>
          <w:bCs/>
          <w:color w:val="000000" w:themeColor="text1"/>
          <w:szCs w:val="28"/>
        </w:rPr>
        <w:t>Motivación expresa y suficiente</w:t>
      </w:r>
      <w:bookmarkEnd w:id="159"/>
      <w:r w:rsidRPr="00C454A1">
        <w:rPr>
          <w:b/>
          <w:bCs/>
          <w:color w:val="000000" w:themeColor="text1"/>
          <w:szCs w:val="28"/>
        </w:rPr>
        <w:t xml:space="preserve"> </w:t>
      </w:r>
    </w:p>
    <w:p w14:paraId="28AC5F9D" w14:textId="77777777" w:rsidR="003170DD" w:rsidRPr="00C454A1" w:rsidRDefault="003170DD" w:rsidP="00631C27">
      <w:pPr>
        <w:pStyle w:val="Prrafodelista"/>
        <w:rPr>
          <w:color w:val="000000" w:themeColor="text1"/>
          <w:szCs w:val="28"/>
        </w:rPr>
      </w:pPr>
    </w:p>
    <w:p w14:paraId="77DCC347" w14:textId="402C2CC0"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 xml:space="preserve">El Decreto Legislativo </w:t>
      </w:r>
      <w:r w:rsidRPr="00C454A1">
        <w:rPr>
          <w:rFonts w:eastAsiaTheme="majorEastAsia"/>
          <w:color w:val="000000" w:themeColor="text1"/>
          <w:szCs w:val="28"/>
        </w:rPr>
        <w:t xml:space="preserve">62 </w:t>
      </w:r>
      <w:r w:rsidRPr="00C454A1">
        <w:rPr>
          <w:color w:val="000000" w:themeColor="text1"/>
          <w:szCs w:val="28"/>
        </w:rPr>
        <w:t xml:space="preserve">de 2025 satisface el requisito de motivación expresa y suficiente. El </w:t>
      </w:r>
      <w:r w:rsidR="007525E1" w:rsidRPr="00C454A1">
        <w:rPr>
          <w:color w:val="000000" w:themeColor="text1"/>
          <w:szCs w:val="28"/>
        </w:rPr>
        <w:t>Gobierno nacional</w:t>
      </w:r>
      <w:r w:rsidRPr="00C454A1">
        <w:rPr>
          <w:color w:val="000000" w:themeColor="text1"/>
          <w:szCs w:val="28"/>
        </w:rPr>
        <w:t xml:space="preserve"> describió los hechos que, a su juicio, configuran el </w:t>
      </w:r>
      <w:r w:rsidRPr="00C454A1">
        <w:rPr>
          <w:rFonts w:cs="Times New Roman"/>
          <w:color w:val="000000" w:themeColor="text1"/>
          <w:szCs w:val="28"/>
        </w:rPr>
        <w:t>estado</w:t>
      </w:r>
      <w:r w:rsidRPr="00C454A1">
        <w:rPr>
          <w:color w:val="000000" w:themeColor="text1"/>
          <w:szCs w:val="28"/>
        </w:rPr>
        <w:t xml:space="preserve"> de excepción previsto en el artículo 213 de la Carta Política. A dichos efectos, dividió la motivación en dos secciones. En la primera sección introductoria, cita el artículo 213 de la Constitución Política, enlista los presupuestos formales y materiales de la declaratoria de conmoción interior, y </w:t>
      </w:r>
      <w:r w:rsidRPr="00C454A1">
        <w:rPr>
          <w:color w:val="000000" w:themeColor="text1"/>
          <w:szCs w:val="28"/>
        </w:rPr>
        <w:lastRenderedPageBreak/>
        <w:t>refiere la jurisprudencia constitucional en la materia. La segunda sección, por su parte, está dividida en tres acápites, (i)</w:t>
      </w:r>
      <w:r w:rsidRPr="00C454A1">
        <w:rPr>
          <w:i/>
          <w:iCs/>
          <w:color w:val="000000" w:themeColor="text1"/>
          <w:szCs w:val="28"/>
        </w:rPr>
        <w:t xml:space="preserve"> </w:t>
      </w:r>
      <w:r w:rsidRPr="00C454A1">
        <w:rPr>
          <w:color w:val="000000" w:themeColor="text1"/>
          <w:szCs w:val="28"/>
        </w:rPr>
        <w:t xml:space="preserve">presupuesto fáctico, (ii) presupuesto valorativo y (iii) presupuesto de suficiencia. En estos acápites el </w:t>
      </w:r>
      <w:r w:rsidR="007525E1" w:rsidRPr="00C454A1">
        <w:rPr>
          <w:color w:val="000000" w:themeColor="text1"/>
          <w:szCs w:val="28"/>
        </w:rPr>
        <w:t>Gobierno nacional</w:t>
      </w:r>
      <w:r w:rsidRPr="00C454A1">
        <w:rPr>
          <w:color w:val="000000" w:themeColor="text1"/>
          <w:szCs w:val="28"/>
        </w:rPr>
        <w:t xml:space="preserve"> expone las razones por las cuales considera que la declaratoria de conmoción interior satisface los presupuestos materiales:</w:t>
      </w:r>
    </w:p>
    <w:p w14:paraId="6B3C724D" w14:textId="77777777" w:rsidR="003170DD" w:rsidRPr="00C454A1" w:rsidRDefault="003170DD" w:rsidP="00631C27">
      <w:pPr>
        <w:pStyle w:val="Prrafodelista"/>
        <w:ind w:left="0"/>
        <w:rPr>
          <w:color w:val="000000" w:themeColor="text1"/>
          <w:szCs w:val="28"/>
        </w:rPr>
      </w:pPr>
    </w:p>
    <w:p w14:paraId="08F9E964" w14:textId="79BD8C27" w:rsidR="003170DD" w:rsidRPr="00C454A1" w:rsidRDefault="003170DD" w:rsidP="00307F2C">
      <w:pPr>
        <w:pStyle w:val="Prrafodelista"/>
        <w:numPr>
          <w:ilvl w:val="0"/>
          <w:numId w:val="8"/>
        </w:numPr>
        <w:rPr>
          <w:color w:val="000000" w:themeColor="text1"/>
          <w:szCs w:val="28"/>
        </w:rPr>
      </w:pPr>
      <w:r w:rsidRPr="00C454A1">
        <w:rPr>
          <w:color w:val="000000" w:themeColor="text1"/>
          <w:szCs w:val="28"/>
          <w:u w:val="single"/>
        </w:rPr>
        <w:t>Acápite I “Presupuesto fáctico”</w:t>
      </w:r>
      <w:r w:rsidRPr="00C454A1">
        <w:rPr>
          <w:color w:val="000000" w:themeColor="text1"/>
          <w:szCs w:val="28"/>
        </w:rPr>
        <w:t xml:space="preserve">. El </w:t>
      </w:r>
      <w:r w:rsidR="007525E1" w:rsidRPr="00C454A1">
        <w:rPr>
          <w:color w:val="000000" w:themeColor="text1"/>
          <w:szCs w:val="28"/>
        </w:rPr>
        <w:t>Gobierno nacional</w:t>
      </w:r>
      <w:r w:rsidRPr="00C454A1">
        <w:rPr>
          <w:color w:val="000000" w:themeColor="text1"/>
          <w:szCs w:val="28"/>
        </w:rPr>
        <w:t xml:space="preserve"> </w:t>
      </w:r>
      <w:r w:rsidR="00BE72D8" w:rsidRPr="00C454A1">
        <w:rPr>
          <w:color w:val="000000" w:themeColor="text1"/>
          <w:szCs w:val="28"/>
        </w:rPr>
        <w:t xml:space="preserve">describió </w:t>
      </w:r>
      <w:r w:rsidRPr="00C454A1">
        <w:rPr>
          <w:color w:val="000000" w:themeColor="text1"/>
          <w:szCs w:val="28"/>
        </w:rPr>
        <w:t xml:space="preserve">los hechos que, en su criterio, evidencian la existencia de una perturbación del orden público en la región del Catatumbo, el área metropolitana de Cúcuta y los municipios de Río de Oro y González. </w:t>
      </w:r>
    </w:p>
    <w:p w14:paraId="767B46B7" w14:textId="01270242" w:rsidR="003170DD" w:rsidRPr="00C454A1" w:rsidRDefault="003170DD" w:rsidP="00307F2C">
      <w:pPr>
        <w:pStyle w:val="Prrafodelista"/>
        <w:numPr>
          <w:ilvl w:val="0"/>
          <w:numId w:val="8"/>
        </w:numPr>
        <w:rPr>
          <w:color w:val="000000" w:themeColor="text1"/>
          <w:szCs w:val="28"/>
        </w:rPr>
      </w:pPr>
      <w:r w:rsidRPr="00C454A1">
        <w:rPr>
          <w:color w:val="000000" w:themeColor="text1"/>
          <w:szCs w:val="28"/>
          <w:u w:val="single"/>
        </w:rPr>
        <w:t>Acápite II “Presupuesto valorativo”.</w:t>
      </w:r>
      <w:r w:rsidRPr="00C454A1">
        <w:rPr>
          <w:color w:val="000000" w:themeColor="text1"/>
          <w:szCs w:val="28"/>
        </w:rPr>
        <w:t xml:space="preserve"> El </w:t>
      </w:r>
      <w:r w:rsidR="007525E1" w:rsidRPr="00C454A1">
        <w:rPr>
          <w:color w:val="000000" w:themeColor="text1"/>
          <w:szCs w:val="28"/>
        </w:rPr>
        <w:t>Gobierno nacional</w:t>
      </w:r>
      <w:r w:rsidRPr="00C454A1">
        <w:rPr>
          <w:color w:val="000000" w:themeColor="text1"/>
          <w:szCs w:val="28"/>
        </w:rPr>
        <w:t xml:space="preserve"> explicó los motivos por los que, a su juicio, la perturbación del orden público es grave, extraordinaria y atenta de forma inminente contra las instituciones del Estado, la seguridad y la convivencia ciudadana. </w:t>
      </w:r>
    </w:p>
    <w:p w14:paraId="7254CCD1" w14:textId="77B69C2A" w:rsidR="003170DD" w:rsidRPr="00C454A1" w:rsidRDefault="003170DD" w:rsidP="00307F2C">
      <w:pPr>
        <w:pStyle w:val="Prrafodelista"/>
        <w:numPr>
          <w:ilvl w:val="0"/>
          <w:numId w:val="8"/>
        </w:numPr>
        <w:rPr>
          <w:color w:val="000000" w:themeColor="text1"/>
          <w:szCs w:val="28"/>
        </w:rPr>
      </w:pPr>
      <w:r w:rsidRPr="00C454A1">
        <w:rPr>
          <w:color w:val="000000" w:themeColor="text1"/>
          <w:szCs w:val="28"/>
          <w:u w:val="single"/>
        </w:rPr>
        <w:t>Acápite III “Presupuesto de necesidad e insuficiencia de las medidas ordinarias”</w:t>
      </w:r>
      <w:r w:rsidRPr="00C454A1">
        <w:rPr>
          <w:color w:val="000000" w:themeColor="text1"/>
          <w:szCs w:val="28"/>
        </w:rPr>
        <w:t xml:space="preserve">. El </w:t>
      </w:r>
      <w:r w:rsidR="007525E1" w:rsidRPr="00C454A1">
        <w:rPr>
          <w:color w:val="000000" w:themeColor="text1"/>
          <w:szCs w:val="28"/>
        </w:rPr>
        <w:t>Gobierno nacional</w:t>
      </w:r>
      <w:r w:rsidRPr="00C454A1">
        <w:rPr>
          <w:color w:val="000000" w:themeColor="text1"/>
          <w:szCs w:val="28"/>
        </w:rPr>
        <w:t xml:space="preserve"> afirmó que las medidas ordinarias eran insuficientes para atender la crisis de orden público y la emergencia humanitaria. En este sentido, anunció que requería </w:t>
      </w:r>
      <w:r w:rsidR="00E60D4C" w:rsidRPr="00C454A1">
        <w:rPr>
          <w:color w:val="000000" w:themeColor="text1"/>
          <w:szCs w:val="28"/>
        </w:rPr>
        <w:t xml:space="preserve">adoptar </w:t>
      </w:r>
      <w:r w:rsidRPr="00C454A1">
        <w:rPr>
          <w:color w:val="000000" w:themeColor="text1"/>
          <w:szCs w:val="28"/>
        </w:rPr>
        <w:t xml:space="preserve">medidas excepcionales y extraordinarias para restablecer el orden público y conjurar sus efectos. </w:t>
      </w:r>
    </w:p>
    <w:p w14:paraId="3A427552" w14:textId="77777777" w:rsidR="003170DD" w:rsidRPr="00C454A1" w:rsidRDefault="003170DD" w:rsidP="00631C27">
      <w:pPr>
        <w:pStyle w:val="Prrafodelista"/>
        <w:rPr>
          <w:color w:val="000000" w:themeColor="text1"/>
          <w:szCs w:val="28"/>
        </w:rPr>
      </w:pPr>
    </w:p>
    <w:p w14:paraId="229BAD52" w14:textId="77777777"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 xml:space="preserve"> En tales términos, la Corte concluye que el Decreto 62 de 2025 está motivado de </w:t>
      </w:r>
      <w:r w:rsidRPr="00C454A1">
        <w:rPr>
          <w:rFonts w:cs="Times New Roman"/>
          <w:color w:val="000000" w:themeColor="text1"/>
          <w:szCs w:val="28"/>
        </w:rPr>
        <w:t>forma</w:t>
      </w:r>
      <w:r w:rsidRPr="00C454A1">
        <w:rPr>
          <w:color w:val="000000" w:themeColor="text1"/>
          <w:szCs w:val="28"/>
        </w:rPr>
        <w:t xml:space="preserve"> expresa y suficiente. </w:t>
      </w:r>
    </w:p>
    <w:p w14:paraId="4954F728" w14:textId="77777777" w:rsidR="003170DD" w:rsidRPr="00C454A1" w:rsidRDefault="003170DD" w:rsidP="00631C27">
      <w:pPr>
        <w:rPr>
          <w:color w:val="000000" w:themeColor="text1"/>
          <w:szCs w:val="28"/>
        </w:rPr>
      </w:pPr>
    </w:p>
    <w:p w14:paraId="5B9AA799" w14:textId="77777777" w:rsidR="003170DD" w:rsidRPr="00C454A1" w:rsidRDefault="003170DD" w:rsidP="001C693F">
      <w:pPr>
        <w:pStyle w:val="Prrafodelista"/>
        <w:widowControl w:val="0"/>
        <w:numPr>
          <w:ilvl w:val="1"/>
          <w:numId w:val="3"/>
        </w:numPr>
        <w:ind w:left="0" w:firstLine="0"/>
        <w:outlineLvl w:val="0"/>
        <w:rPr>
          <w:b/>
          <w:bCs/>
          <w:iCs/>
          <w:color w:val="000000" w:themeColor="text1"/>
          <w:szCs w:val="28"/>
        </w:rPr>
      </w:pPr>
      <w:bookmarkStart w:id="160" w:name="_Toc223979943"/>
      <w:r w:rsidRPr="00C454A1">
        <w:rPr>
          <w:b/>
          <w:bCs/>
          <w:iCs/>
          <w:color w:val="000000" w:themeColor="text1"/>
          <w:szCs w:val="28"/>
        </w:rPr>
        <w:t>Delimitación temporal</w:t>
      </w:r>
      <w:bookmarkEnd w:id="160"/>
    </w:p>
    <w:p w14:paraId="571C9244" w14:textId="77777777" w:rsidR="003170DD" w:rsidRPr="00C454A1" w:rsidRDefault="003170DD" w:rsidP="00631C27">
      <w:pPr>
        <w:pStyle w:val="Prrafodelista"/>
        <w:ind w:left="0"/>
        <w:rPr>
          <w:color w:val="000000" w:themeColor="text1"/>
          <w:szCs w:val="28"/>
        </w:rPr>
      </w:pPr>
    </w:p>
    <w:p w14:paraId="7E2413F0" w14:textId="7483B3C7"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 xml:space="preserve">El inciso primero del artículo 213 de la Constitución, así como el inciso final del artículo 34 y el artículo 35 de la LEEE, establecen que el </w:t>
      </w:r>
      <w:r w:rsidR="00E60D4C" w:rsidRPr="00C454A1">
        <w:rPr>
          <w:color w:val="000000" w:themeColor="text1"/>
          <w:szCs w:val="28"/>
        </w:rPr>
        <w:t>p</w:t>
      </w:r>
      <w:r w:rsidRPr="00C454A1">
        <w:rPr>
          <w:color w:val="000000" w:themeColor="text1"/>
          <w:szCs w:val="28"/>
        </w:rPr>
        <w:t xml:space="preserve">residente de la República </w:t>
      </w:r>
      <w:r w:rsidRPr="00C454A1">
        <w:rPr>
          <w:rFonts w:cs="Times New Roman"/>
          <w:color w:val="000000" w:themeColor="text1"/>
          <w:szCs w:val="28"/>
        </w:rPr>
        <w:t>podrá</w:t>
      </w:r>
      <w:r w:rsidRPr="00C454A1">
        <w:rPr>
          <w:color w:val="000000" w:themeColor="text1"/>
          <w:szCs w:val="28"/>
        </w:rPr>
        <w:t xml:space="preserve"> declarar la conmoción “por un término no mayor de 90 días, prorrogable hasta por dos períodos iguales, el segundo de los cuales requiere concepto previo y favorable del Senado de la República”. El Decreto 62 de 2025 cumple </w:t>
      </w:r>
      <w:r w:rsidR="00915B01" w:rsidRPr="00C454A1">
        <w:rPr>
          <w:color w:val="000000" w:themeColor="text1"/>
          <w:szCs w:val="28"/>
        </w:rPr>
        <w:t xml:space="preserve">con </w:t>
      </w:r>
      <w:r w:rsidRPr="00C454A1">
        <w:rPr>
          <w:color w:val="000000" w:themeColor="text1"/>
          <w:szCs w:val="28"/>
        </w:rPr>
        <w:t xml:space="preserve">esta exigencia. Esto es así, porque el artículo 1º dispone que se declara la conmoción interior “por el término de noventa (90) días, contados a partir de la vigencia del presente decreto”. </w:t>
      </w:r>
    </w:p>
    <w:p w14:paraId="491DEB34" w14:textId="77777777" w:rsidR="003170DD" w:rsidRPr="00C454A1" w:rsidRDefault="003170DD" w:rsidP="00631C27">
      <w:pPr>
        <w:rPr>
          <w:color w:val="000000" w:themeColor="text1"/>
          <w:szCs w:val="28"/>
        </w:rPr>
      </w:pPr>
    </w:p>
    <w:p w14:paraId="1BD4FE0A" w14:textId="77777777" w:rsidR="003170DD" w:rsidRPr="00C454A1" w:rsidRDefault="003170DD" w:rsidP="001C693F">
      <w:pPr>
        <w:pStyle w:val="Prrafodelista"/>
        <w:widowControl w:val="0"/>
        <w:numPr>
          <w:ilvl w:val="1"/>
          <w:numId w:val="3"/>
        </w:numPr>
        <w:ind w:left="0" w:firstLine="0"/>
        <w:outlineLvl w:val="0"/>
        <w:rPr>
          <w:b/>
          <w:bCs/>
          <w:iCs/>
          <w:color w:val="000000" w:themeColor="text1"/>
          <w:szCs w:val="28"/>
        </w:rPr>
      </w:pPr>
      <w:bookmarkStart w:id="161" w:name="_Toc223979944"/>
      <w:r w:rsidRPr="00C454A1">
        <w:rPr>
          <w:b/>
          <w:bCs/>
          <w:iCs/>
          <w:color w:val="000000" w:themeColor="text1"/>
          <w:szCs w:val="28"/>
        </w:rPr>
        <w:t>Delimitación territorial</w:t>
      </w:r>
      <w:bookmarkEnd w:id="161"/>
    </w:p>
    <w:p w14:paraId="5522786F" w14:textId="77777777" w:rsidR="003170DD" w:rsidRPr="00C454A1" w:rsidRDefault="003170DD" w:rsidP="00631C27">
      <w:pPr>
        <w:pStyle w:val="Prrafodelista"/>
        <w:rPr>
          <w:color w:val="000000" w:themeColor="text1"/>
          <w:szCs w:val="28"/>
        </w:rPr>
      </w:pPr>
    </w:p>
    <w:p w14:paraId="26731A02" w14:textId="04F7F367"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El artículo 1º del Decreto 62 de 2025 delimita el ámbito de aplicación territorial de la declaratoria</w:t>
      </w:r>
      <w:r w:rsidR="00BC63C7" w:rsidRPr="00C454A1">
        <w:rPr>
          <w:color w:val="000000" w:themeColor="text1"/>
          <w:szCs w:val="28"/>
        </w:rPr>
        <w:t>, de manera que cumple también con este requisito.</w:t>
      </w:r>
      <w:r w:rsidRPr="00C454A1">
        <w:rPr>
          <w:color w:val="000000" w:themeColor="text1"/>
          <w:szCs w:val="28"/>
        </w:rPr>
        <w:t xml:space="preserve"> Al respecto, dispone que la conmoción interior cobija la “región del Catatumbo, ubicada en el nororiente del departamento de Norte de Santander, la cual está conformada por los municipios de Ocaña, Ábrego, El Carmen, Convención, Teorama, San Calixto, Hacarí, La Playa, El Tarra, Tibú y </w:t>
      </w:r>
      <w:r w:rsidRPr="00C454A1">
        <w:rPr>
          <w:rFonts w:cs="Times New Roman"/>
          <w:color w:val="000000" w:themeColor="text1"/>
          <w:szCs w:val="28"/>
        </w:rPr>
        <w:t>Sardinata</w:t>
      </w:r>
      <w:r w:rsidRPr="00C454A1">
        <w:rPr>
          <w:color w:val="000000" w:themeColor="text1"/>
          <w:szCs w:val="28"/>
        </w:rPr>
        <w:t xml:space="preserve">, y los territorios indígenas de los resguardos Motilón Barí y Catalaura La Gabarra, así como en el área metropolitana de Cúcuta, que incluye al municipio de Cúcuta, capital departamental y núcleo del área, y a los municipios de Villa del Rosario, Los Patios, El Zulia, San Cayetano y Puerto Santander; y los municipios de Río de Oro y González del departamento de Cesar”. </w:t>
      </w:r>
    </w:p>
    <w:p w14:paraId="28B996D8" w14:textId="77777777" w:rsidR="003170DD" w:rsidRPr="00C454A1" w:rsidRDefault="003170DD" w:rsidP="00631C27">
      <w:pPr>
        <w:pStyle w:val="Prrafodelista"/>
        <w:ind w:left="0"/>
        <w:rPr>
          <w:color w:val="000000" w:themeColor="text1"/>
          <w:szCs w:val="28"/>
        </w:rPr>
      </w:pPr>
    </w:p>
    <w:p w14:paraId="72DCA752" w14:textId="5EAFA7D5"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La región del Catatumbo colombiano está ubicada principalmente en el nororiente del departamento de Norte de Santander, limita con Venezuela y “comprende el 50% del territorio del Departamento”</w:t>
      </w:r>
      <w:r w:rsidRPr="00C454A1">
        <w:rPr>
          <w:rStyle w:val="Refdenotaalpie"/>
          <w:rFonts w:eastAsiaTheme="majorEastAsia"/>
          <w:color w:val="000000" w:themeColor="text1"/>
          <w:szCs w:val="28"/>
        </w:rPr>
        <w:footnoteReference w:id="134"/>
      </w:r>
      <w:r w:rsidRPr="00C454A1">
        <w:rPr>
          <w:color w:val="000000" w:themeColor="text1"/>
          <w:szCs w:val="28"/>
        </w:rPr>
        <w:t xml:space="preserve">. Esta región abarca </w:t>
      </w:r>
      <w:r w:rsidR="00E60D4C" w:rsidRPr="00C454A1">
        <w:rPr>
          <w:color w:val="000000" w:themeColor="text1"/>
          <w:szCs w:val="28"/>
        </w:rPr>
        <w:t xml:space="preserve">once </w:t>
      </w:r>
      <w:r w:rsidRPr="00C454A1">
        <w:rPr>
          <w:color w:val="000000" w:themeColor="text1"/>
          <w:szCs w:val="28"/>
        </w:rPr>
        <w:t>municipios en Norte de Santander: Abrego, Convención, El Carmen, El Tarra, Hacarí, La Playa, Ocaña, San Calixto, Sardinata, Teorama y Tibú. Además, cubre dos resguardos del pueblo Motilón Barí: “Catalaura – La Gabarra el cual se encuentra en el municipio del El Tarra y Motilón – Barí que se encuentra en El Carmen, Convención y Teorama”</w:t>
      </w:r>
      <w:r w:rsidRPr="00C454A1">
        <w:rPr>
          <w:rStyle w:val="Refdenotaalpie"/>
          <w:rFonts w:eastAsiaTheme="majorEastAsia"/>
          <w:color w:val="000000" w:themeColor="text1"/>
          <w:szCs w:val="28"/>
        </w:rPr>
        <w:footnoteReference w:id="135"/>
      </w:r>
      <w:r w:rsidRPr="00C454A1">
        <w:rPr>
          <w:color w:val="000000" w:themeColor="text1"/>
          <w:szCs w:val="28"/>
        </w:rPr>
        <w:t>. Hacia el sur, el Catatumbo colinda con Cúcuta y su área metropolitana</w:t>
      </w:r>
      <w:r w:rsidRPr="00C454A1">
        <w:rPr>
          <w:rStyle w:val="Refdenotaalpie"/>
          <w:rFonts w:eastAsiaTheme="majorEastAsia"/>
          <w:color w:val="000000" w:themeColor="text1"/>
          <w:szCs w:val="28"/>
        </w:rPr>
        <w:footnoteReference w:id="136"/>
      </w:r>
      <w:r w:rsidRPr="00C454A1">
        <w:rPr>
          <w:color w:val="000000" w:themeColor="text1"/>
          <w:szCs w:val="28"/>
        </w:rPr>
        <w:t>. La mayoría de su población vive en zonas rurales. En 2024, en Norte de Santander esta ascendía a 195.702 personas, con 238 personas negras, mulatas, y afrodescendientes y 3460 indígenas</w:t>
      </w:r>
      <w:r w:rsidRPr="00C454A1">
        <w:rPr>
          <w:rStyle w:val="Refdenotaalpie"/>
          <w:rFonts w:eastAsiaTheme="majorEastAsia"/>
          <w:color w:val="000000" w:themeColor="text1"/>
          <w:szCs w:val="28"/>
        </w:rPr>
        <w:footnoteReference w:id="137"/>
      </w:r>
      <w:r w:rsidRPr="00C454A1">
        <w:rPr>
          <w:color w:val="000000" w:themeColor="text1"/>
          <w:szCs w:val="28"/>
        </w:rPr>
        <w:t>. Para 2024, la mayoría del uso del suelo se enfocaba en la crianza de cerdos de granja (48%), seguido de la siembra de palmas de aceite (23%), cacao (17%), pimentón (14%), cebolla de bulbo (14%) y ají tabasco (12%)</w:t>
      </w:r>
      <w:r w:rsidRPr="00C454A1">
        <w:rPr>
          <w:rStyle w:val="Refdenotaalpie"/>
          <w:rFonts w:eastAsiaTheme="majorEastAsia"/>
          <w:color w:val="000000" w:themeColor="text1"/>
          <w:szCs w:val="28"/>
        </w:rPr>
        <w:footnoteReference w:id="138"/>
      </w:r>
      <w:r w:rsidRPr="00C454A1">
        <w:rPr>
          <w:color w:val="000000" w:themeColor="text1"/>
          <w:szCs w:val="28"/>
        </w:rPr>
        <w:t>. En los siguientes mapas es posible identificar la ubicación de esta región</w:t>
      </w:r>
      <w:r w:rsidRPr="00C454A1">
        <w:rPr>
          <w:rStyle w:val="Refdenotaalpie"/>
          <w:rFonts w:eastAsiaTheme="majorEastAsia"/>
          <w:color w:val="000000" w:themeColor="text1"/>
          <w:szCs w:val="28"/>
        </w:rPr>
        <w:footnoteReference w:id="139"/>
      </w:r>
      <w:r w:rsidRPr="00C454A1">
        <w:rPr>
          <w:color w:val="000000" w:themeColor="text1"/>
          <w:szCs w:val="28"/>
        </w:rPr>
        <w:t>:</w:t>
      </w:r>
    </w:p>
    <w:p w14:paraId="46E5719D" w14:textId="77777777" w:rsidR="00915B01" w:rsidRPr="00C454A1" w:rsidRDefault="00915B01" w:rsidP="00631C27">
      <w:pPr>
        <w:widowControl w:val="0"/>
        <w:shd w:val="clear" w:color="auto" w:fill="FFFFFF" w:themeFill="background1"/>
        <w:tabs>
          <w:tab w:val="left" w:pos="284"/>
        </w:tabs>
        <w:autoSpaceDE w:val="0"/>
        <w:autoSpaceDN w:val="0"/>
        <w:rPr>
          <w:color w:val="000000" w:themeColor="text1"/>
        </w:rPr>
      </w:pPr>
    </w:p>
    <w:p w14:paraId="60A649EB" w14:textId="302CDA77" w:rsidR="003170DD" w:rsidRPr="00C454A1" w:rsidRDefault="00A92FFF" w:rsidP="00A92FFF">
      <w:pPr>
        <w:widowControl w:val="0"/>
        <w:shd w:val="clear" w:color="auto" w:fill="FFFFFF" w:themeFill="background1"/>
        <w:tabs>
          <w:tab w:val="left" w:pos="284"/>
        </w:tabs>
        <w:autoSpaceDE w:val="0"/>
        <w:autoSpaceDN w:val="0"/>
        <w:jc w:val="center"/>
        <w:rPr>
          <w:i/>
          <w:iCs/>
          <w:color w:val="000000" w:themeColor="text1"/>
          <w:sz w:val="22"/>
          <w:szCs w:val="22"/>
        </w:rPr>
      </w:pPr>
      <w:r w:rsidRPr="00C454A1">
        <w:rPr>
          <w:i/>
          <w:iCs/>
          <w:color w:val="000000" w:themeColor="text1"/>
          <w:sz w:val="22"/>
          <w:szCs w:val="22"/>
        </w:rPr>
        <w:t>Gráfica 1: Mapas de ubicación de la región del Catatumbo.</w:t>
      </w:r>
    </w:p>
    <w:p w14:paraId="666E9A54" w14:textId="77777777" w:rsidR="003170DD" w:rsidRPr="00C454A1" w:rsidRDefault="003170DD" w:rsidP="00631C27">
      <w:pPr>
        <w:widowControl w:val="0"/>
        <w:shd w:val="clear" w:color="auto" w:fill="FFFFFF" w:themeFill="background1"/>
        <w:tabs>
          <w:tab w:val="left" w:pos="284"/>
        </w:tabs>
        <w:autoSpaceDE w:val="0"/>
        <w:autoSpaceDN w:val="0"/>
        <w:jc w:val="center"/>
        <w:rPr>
          <w:color w:val="000000" w:themeColor="text1"/>
        </w:rPr>
      </w:pPr>
      <w:r w:rsidRPr="00C454A1">
        <w:rPr>
          <w:noProof/>
          <w:color w:val="000000" w:themeColor="text1"/>
          <w:lang w:val="en-US"/>
        </w:rPr>
        <w:drawing>
          <wp:inline distT="0" distB="0" distL="0" distR="0" wp14:anchorId="27F40489" wp14:editId="575ECE7D">
            <wp:extent cx="4441371" cy="2431749"/>
            <wp:effectExtent l="0" t="0" r="0" b="698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50773" cy="2436897"/>
                    </a:xfrm>
                    <a:prstGeom prst="rect">
                      <a:avLst/>
                    </a:prstGeom>
                  </pic:spPr>
                </pic:pic>
              </a:graphicData>
            </a:graphic>
          </wp:inline>
        </w:drawing>
      </w:r>
    </w:p>
    <w:p w14:paraId="38F91B42" w14:textId="77777777" w:rsidR="003170DD" w:rsidRPr="00C454A1" w:rsidRDefault="003170DD" w:rsidP="00631C27">
      <w:pPr>
        <w:pStyle w:val="Prrafodelista"/>
        <w:widowControl w:val="0"/>
        <w:shd w:val="clear" w:color="auto" w:fill="FFFFFF" w:themeFill="background1"/>
        <w:tabs>
          <w:tab w:val="left" w:pos="284"/>
        </w:tabs>
        <w:autoSpaceDE w:val="0"/>
        <w:autoSpaceDN w:val="0"/>
        <w:ind w:left="0"/>
        <w:rPr>
          <w:color w:val="000000" w:themeColor="text1"/>
          <w:szCs w:val="28"/>
        </w:rPr>
      </w:pPr>
    </w:p>
    <w:p w14:paraId="479795CF" w14:textId="2F07ED0E" w:rsidR="003170DD" w:rsidRPr="00C454A1" w:rsidRDefault="003170DD" w:rsidP="000137DB">
      <w:pPr>
        <w:numPr>
          <w:ilvl w:val="0"/>
          <w:numId w:val="2"/>
        </w:numPr>
        <w:ind w:left="0" w:firstLine="0"/>
        <w:rPr>
          <w:color w:val="000000" w:themeColor="text1"/>
          <w:szCs w:val="28"/>
        </w:rPr>
      </w:pPr>
      <w:r w:rsidRPr="00C454A1">
        <w:rPr>
          <w:color w:val="000000" w:themeColor="text1"/>
          <w:szCs w:val="28"/>
        </w:rPr>
        <w:t xml:space="preserve">La región del Catatumbo incluye la cuenca del río Catatumbo, la cual goza de dos </w:t>
      </w:r>
      <w:r w:rsidRPr="00C454A1">
        <w:rPr>
          <w:rFonts w:cs="Times New Roman"/>
          <w:color w:val="000000" w:themeColor="text1"/>
          <w:szCs w:val="28"/>
        </w:rPr>
        <w:t>categorías</w:t>
      </w:r>
      <w:r w:rsidRPr="00C454A1">
        <w:rPr>
          <w:color w:val="000000" w:themeColor="text1"/>
          <w:szCs w:val="28"/>
        </w:rPr>
        <w:t xml:space="preserve"> de conservación de orden nacional: (i)</w:t>
      </w:r>
      <w:r w:rsidRPr="00C454A1">
        <w:rPr>
          <w:i/>
          <w:iCs/>
          <w:color w:val="000000" w:themeColor="text1"/>
          <w:szCs w:val="28"/>
        </w:rPr>
        <w:t xml:space="preserve"> </w:t>
      </w:r>
      <w:r w:rsidRPr="00C454A1">
        <w:rPr>
          <w:color w:val="000000" w:themeColor="text1"/>
          <w:szCs w:val="28"/>
        </w:rPr>
        <w:t>“el Área Natural Única Los Estoraques ubicada en el municipio de La Playa de Belén con una extensión de 640 hectáreas” y (ii)</w:t>
      </w:r>
      <w:r w:rsidRPr="00C454A1">
        <w:rPr>
          <w:i/>
          <w:iCs/>
          <w:color w:val="000000" w:themeColor="text1"/>
          <w:szCs w:val="28"/>
        </w:rPr>
        <w:t xml:space="preserve"> </w:t>
      </w:r>
      <w:r w:rsidRPr="00C454A1">
        <w:rPr>
          <w:color w:val="000000" w:themeColor="text1"/>
          <w:szCs w:val="28"/>
        </w:rPr>
        <w:t xml:space="preserve">“el Parque Nacional Natural Catatumbo - Barí, que </w:t>
      </w:r>
      <w:r w:rsidR="00026C28" w:rsidRPr="00C454A1">
        <w:rPr>
          <w:color w:val="000000" w:themeColor="text1"/>
          <w:szCs w:val="28"/>
        </w:rPr>
        <w:t xml:space="preserve">colinda </w:t>
      </w:r>
      <w:r w:rsidRPr="00C454A1">
        <w:rPr>
          <w:color w:val="000000" w:themeColor="text1"/>
          <w:szCs w:val="28"/>
        </w:rPr>
        <w:t>hacia el norte con el Parque Nacional Serranía de Perijá en la República de Venezuela y tiene un área aproximada de 158.125 hectáreas”</w:t>
      </w:r>
      <w:r w:rsidRPr="00C454A1">
        <w:rPr>
          <w:rStyle w:val="Refdenotaalpie"/>
          <w:rFonts w:eastAsiaTheme="majorEastAsia"/>
          <w:color w:val="000000" w:themeColor="text1"/>
          <w:szCs w:val="28"/>
        </w:rPr>
        <w:footnoteReference w:id="140"/>
      </w:r>
      <w:r w:rsidRPr="00C454A1">
        <w:rPr>
          <w:color w:val="000000" w:themeColor="text1"/>
          <w:szCs w:val="28"/>
        </w:rPr>
        <w:t xml:space="preserve">. Por otro lado, el Catatumbo también incorpora parte de la Zona de Reserva Forestal de la Serranía de Los Motilones, con 539.215 hectáreas entre los </w:t>
      </w:r>
      <w:r w:rsidRPr="00C454A1">
        <w:rPr>
          <w:color w:val="000000" w:themeColor="text1"/>
          <w:szCs w:val="28"/>
        </w:rPr>
        <w:lastRenderedPageBreak/>
        <w:t>departamentos de Cesar y Norte de Santander. De los 18 municipios que componen esta zona, 6 están en el Catatumbo</w:t>
      </w:r>
      <w:r w:rsidRPr="00C454A1">
        <w:rPr>
          <w:rStyle w:val="Refdenotaalpie"/>
          <w:rFonts w:eastAsiaTheme="majorEastAsia"/>
          <w:color w:val="000000" w:themeColor="text1"/>
          <w:szCs w:val="28"/>
        </w:rPr>
        <w:footnoteReference w:id="141"/>
      </w:r>
      <w:r w:rsidRPr="00C454A1">
        <w:rPr>
          <w:color w:val="000000" w:themeColor="text1"/>
          <w:szCs w:val="28"/>
        </w:rPr>
        <w:t>.</w:t>
      </w:r>
    </w:p>
    <w:p w14:paraId="1D5AF015" w14:textId="77777777" w:rsidR="003170DD" w:rsidRPr="00C454A1" w:rsidRDefault="003170DD" w:rsidP="00631C27">
      <w:pPr>
        <w:pStyle w:val="Prrafodelista"/>
        <w:ind w:left="0"/>
        <w:rPr>
          <w:color w:val="000000" w:themeColor="text1"/>
          <w:szCs w:val="28"/>
        </w:rPr>
      </w:pPr>
    </w:p>
    <w:p w14:paraId="796327D1" w14:textId="332ECA5D" w:rsidR="00915B01" w:rsidRPr="00C454A1" w:rsidRDefault="003170DD" w:rsidP="00631C27">
      <w:pPr>
        <w:numPr>
          <w:ilvl w:val="0"/>
          <w:numId w:val="2"/>
        </w:numPr>
        <w:ind w:left="0" w:firstLine="0"/>
        <w:rPr>
          <w:color w:val="000000" w:themeColor="text1"/>
          <w:szCs w:val="28"/>
        </w:rPr>
      </w:pPr>
      <w:r w:rsidRPr="00C454A1">
        <w:rPr>
          <w:color w:val="000000" w:themeColor="text1"/>
          <w:szCs w:val="28"/>
        </w:rPr>
        <w:t>Los municipios de Río de Oro y González están ubicados al sur del departamento del Cesar y colindan con la región del Catatumbo de Norte de Santander. El siguiente mapa muestra su ubicación, tanto en relación con el territorio colombiano, como frente al área que ocupa en el Cesar</w:t>
      </w:r>
      <w:r w:rsidRPr="00C454A1">
        <w:rPr>
          <w:rStyle w:val="Refdenotaalpie"/>
          <w:rFonts w:eastAsiaTheme="majorEastAsia"/>
          <w:color w:val="000000" w:themeColor="text1"/>
          <w:szCs w:val="28"/>
        </w:rPr>
        <w:footnoteReference w:id="142"/>
      </w:r>
      <w:r w:rsidRPr="00C454A1">
        <w:rPr>
          <w:color w:val="000000" w:themeColor="text1"/>
          <w:szCs w:val="28"/>
        </w:rPr>
        <w:t>:</w:t>
      </w:r>
    </w:p>
    <w:p w14:paraId="30273823" w14:textId="77777777" w:rsidR="00915B01" w:rsidRPr="00C454A1" w:rsidRDefault="00915B01" w:rsidP="00631C27">
      <w:pPr>
        <w:pStyle w:val="Prrafodelista"/>
        <w:ind w:left="0"/>
        <w:rPr>
          <w:color w:val="000000" w:themeColor="text1"/>
          <w:szCs w:val="28"/>
        </w:rPr>
      </w:pPr>
    </w:p>
    <w:p w14:paraId="15E1723F" w14:textId="77777777" w:rsidR="00EC09FE" w:rsidRPr="00C454A1" w:rsidRDefault="00EC09FE" w:rsidP="00631C27">
      <w:pPr>
        <w:pStyle w:val="Prrafodelista"/>
        <w:ind w:left="0"/>
        <w:rPr>
          <w:color w:val="000000" w:themeColor="text1"/>
          <w:szCs w:val="28"/>
        </w:rPr>
      </w:pPr>
    </w:p>
    <w:p w14:paraId="6C7BAB7C" w14:textId="77777777" w:rsidR="00EC09FE" w:rsidRPr="00C454A1" w:rsidRDefault="00EC09FE" w:rsidP="00631C27">
      <w:pPr>
        <w:pStyle w:val="Prrafodelista"/>
        <w:ind w:left="0"/>
        <w:rPr>
          <w:color w:val="000000" w:themeColor="text1"/>
          <w:szCs w:val="28"/>
        </w:rPr>
      </w:pPr>
    </w:p>
    <w:p w14:paraId="31F2306F" w14:textId="77777777" w:rsidR="00EC09FE" w:rsidRPr="00C454A1" w:rsidRDefault="00EC09FE" w:rsidP="00631C27">
      <w:pPr>
        <w:pStyle w:val="Prrafodelista"/>
        <w:ind w:left="0"/>
        <w:rPr>
          <w:color w:val="000000" w:themeColor="text1"/>
          <w:szCs w:val="28"/>
        </w:rPr>
      </w:pPr>
    </w:p>
    <w:p w14:paraId="2781532F" w14:textId="77777777" w:rsidR="00EC09FE" w:rsidRPr="00C454A1" w:rsidRDefault="00EC09FE" w:rsidP="00631C27">
      <w:pPr>
        <w:pStyle w:val="Prrafodelista"/>
        <w:ind w:left="0"/>
        <w:rPr>
          <w:color w:val="000000" w:themeColor="text1"/>
          <w:szCs w:val="28"/>
        </w:rPr>
      </w:pPr>
    </w:p>
    <w:p w14:paraId="4FE50F42" w14:textId="77777777" w:rsidR="00EC09FE" w:rsidRPr="00C454A1" w:rsidRDefault="00EC09FE" w:rsidP="00631C27">
      <w:pPr>
        <w:pStyle w:val="Prrafodelista"/>
        <w:ind w:left="0"/>
        <w:rPr>
          <w:color w:val="000000" w:themeColor="text1"/>
          <w:szCs w:val="28"/>
        </w:rPr>
      </w:pPr>
    </w:p>
    <w:p w14:paraId="5BF261E1" w14:textId="77777777" w:rsidR="00EC09FE" w:rsidRPr="00C454A1" w:rsidRDefault="00EC09FE" w:rsidP="00631C27">
      <w:pPr>
        <w:pStyle w:val="Prrafodelista"/>
        <w:ind w:left="0"/>
        <w:rPr>
          <w:color w:val="000000" w:themeColor="text1"/>
          <w:szCs w:val="28"/>
        </w:rPr>
      </w:pPr>
    </w:p>
    <w:p w14:paraId="680E6376" w14:textId="77777777" w:rsidR="00EC09FE" w:rsidRPr="00C454A1" w:rsidRDefault="00EC09FE" w:rsidP="00631C27">
      <w:pPr>
        <w:pStyle w:val="Prrafodelista"/>
        <w:ind w:left="0"/>
        <w:rPr>
          <w:color w:val="000000" w:themeColor="text1"/>
          <w:szCs w:val="28"/>
        </w:rPr>
      </w:pPr>
    </w:p>
    <w:p w14:paraId="2D28508C" w14:textId="77777777" w:rsidR="00EC09FE" w:rsidRPr="00C454A1" w:rsidRDefault="00EC09FE" w:rsidP="00631C27">
      <w:pPr>
        <w:pStyle w:val="Prrafodelista"/>
        <w:ind w:left="0"/>
        <w:rPr>
          <w:color w:val="000000" w:themeColor="text1"/>
          <w:szCs w:val="28"/>
        </w:rPr>
      </w:pPr>
    </w:p>
    <w:p w14:paraId="10E1DC28" w14:textId="77777777" w:rsidR="00EC09FE" w:rsidRPr="00C454A1" w:rsidRDefault="00EC09FE" w:rsidP="00631C27">
      <w:pPr>
        <w:pStyle w:val="Prrafodelista"/>
        <w:ind w:left="0"/>
        <w:rPr>
          <w:color w:val="000000" w:themeColor="text1"/>
          <w:szCs w:val="28"/>
        </w:rPr>
      </w:pPr>
    </w:p>
    <w:p w14:paraId="2471D7D7" w14:textId="095A2A62" w:rsidR="00A92FFF" w:rsidRPr="00C454A1" w:rsidRDefault="00A92FFF" w:rsidP="00A92FFF">
      <w:pPr>
        <w:pStyle w:val="Prrafodelista"/>
        <w:ind w:left="0"/>
        <w:jc w:val="center"/>
        <w:rPr>
          <w:i/>
          <w:iCs/>
          <w:color w:val="000000" w:themeColor="text1"/>
          <w:sz w:val="22"/>
          <w:szCs w:val="22"/>
        </w:rPr>
      </w:pPr>
      <w:r w:rsidRPr="00C454A1">
        <w:rPr>
          <w:i/>
          <w:iCs/>
          <w:color w:val="000000" w:themeColor="text1"/>
          <w:sz w:val="22"/>
          <w:szCs w:val="22"/>
        </w:rPr>
        <w:t>Gráfica 2: mapa de la región del Catatumbo</w:t>
      </w:r>
    </w:p>
    <w:p w14:paraId="4B346BCC" w14:textId="77777777" w:rsidR="00A92FFF" w:rsidRPr="00C454A1" w:rsidRDefault="00A92FFF" w:rsidP="00A92FFF">
      <w:pPr>
        <w:pStyle w:val="Prrafodelista"/>
        <w:ind w:left="0"/>
        <w:jc w:val="center"/>
        <w:rPr>
          <w:i/>
          <w:iCs/>
          <w:color w:val="000000" w:themeColor="text1"/>
          <w:sz w:val="22"/>
          <w:szCs w:val="22"/>
        </w:rPr>
      </w:pPr>
    </w:p>
    <w:p w14:paraId="35E7F36E" w14:textId="49FB9E3A" w:rsidR="00230EB4" w:rsidRPr="00C454A1" w:rsidRDefault="004165E3" w:rsidP="00FE32E1">
      <w:pPr>
        <w:jc w:val="center"/>
        <w:rPr>
          <w:color w:val="000000" w:themeColor="text1"/>
          <w:szCs w:val="28"/>
        </w:rPr>
      </w:pPr>
      <w:r w:rsidRPr="004165E3">
        <w:rPr>
          <w:noProof/>
          <w:color w:val="000000" w:themeColor="text1"/>
          <w:szCs w:val="28"/>
          <w:lang w:val="en-US"/>
        </w:rPr>
        <w:drawing>
          <wp:inline distT="0" distB="0" distL="0" distR="0" wp14:anchorId="54F1F9E6" wp14:editId="2E7C78AE">
            <wp:extent cx="3808454" cy="3235032"/>
            <wp:effectExtent l="0" t="0" r="1905"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18198" cy="3243309"/>
                    </a:xfrm>
                    <a:prstGeom prst="rect">
                      <a:avLst/>
                    </a:prstGeom>
                  </pic:spPr>
                </pic:pic>
              </a:graphicData>
            </a:graphic>
          </wp:inline>
        </w:drawing>
      </w:r>
    </w:p>
    <w:p w14:paraId="14260513" w14:textId="77777777" w:rsidR="00FE32E1" w:rsidRPr="00C454A1" w:rsidRDefault="00FE32E1" w:rsidP="00FE32E1">
      <w:pPr>
        <w:jc w:val="center"/>
        <w:rPr>
          <w:color w:val="000000" w:themeColor="text1"/>
          <w:szCs w:val="28"/>
        </w:rPr>
      </w:pPr>
    </w:p>
    <w:p w14:paraId="0EC54323" w14:textId="4A55AE10" w:rsidR="00674C67" w:rsidRPr="00C454A1" w:rsidRDefault="00A92FFF" w:rsidP="00FE32E1">
      <w:pPr>
        <w:jc w:val="center"/>
        <w:rPr>
          <w:i/>
          <w:iCs/>
          <w:color w:val="000000" w:themeColor="text1"/>
          <w:sz w:val="22"/>
          <w:szCs w:val="22"/>
        </w:rPr>
      </w:pPr>
      <w:r w:rsidRPr="00C454A1">
        <w:rPr>
          <w:i/>
          <w:iCs/>
          <w:color w:val="000000" w:themeColor="text1"/>
          <w:sz w:val="22"/>
          <w:szCs w:val="22"/>
        </w:rPr>
        <w:t>Fuente: Centro Nacional de Memoria Histórica.</w:t>
      </w:r>
    </w:p>
    <w:p w14:paraId="5B6094D5" w14:textId="77777777" w:rsidR="00674C67" w:rsidRPr="00C454A1" w:rsidRDefault="00674C67" w:rsidP="00FE32E1">
      <w:pPr>
        <w:jc w:val="center"/>
        <w:rPr>
          <w:color w:val="000000" w:themeColor="text1"/>
          <w:szCs w:val="28"/>
        </w:rPr>
      </w:pPr>
    </w:p>
    <w:p w14:paraId="3E9FCD3F" w14:textId="51540A2F" w:rsidR="003D6CBA" w:rsidRPr="00C454A1" w:rsidRDefault="003D6CBA" w:rsidP="003D6CBA">
      <w:pPr>
        <w:pStyle w:val="Prrafodelista"/>
        <w:widowControl w:val="0"/>
        <w:numPr>
          <w:ilvl w:val="1"/>
          <w:numId w:val="3"/>
        </w:numPr>
        <w:outlineLvl w:val="0"/>
        <w:rPr>
          <w:rFonts w:cs="Times New Roman"/>
          <w:b/>
          <w:bCs/>
          <w:color w:val="000000" w:themeColor="text1"/>
          <w:szCs w:val="28"/>
          <w:lang w:eastAsia="es-ES"/>
        </w:rPr>
      </w:pPr>
      <w:bookmarkStart w:id="162" w:name="_Toc223979945"/>
      <w:r w:rsidRPr="00C454A1">
        <w:rPr>
          <w:rFonts w:cs="Times New Roman"/>
          <w:b/>
          <w:bCs/>
          <w:color w:val="000000" w:themeColor="text1"/>
          <w:szCs w:val="28"/>
          <w:lang w:eastAsia="es-ES"/>
        </w:rPr>
        <w:t>Verificación de la comunicación a los secretarios generales de la Organización de Estados Americanos y la Organización de las Naciones Unidas</w:t>
      </w:r>
      <w:bookmarkEnd w:id="162"/>
    </w:p>
    <w:p w14:paraId="7939292A" w14:textId="77777777" w:rsidR="00F51821" w:rsidRPr="00C454A1" w:rsidRDefault="00F51821" w:rsidP="00C5057F">
      <w:pPr>
        <w:rPr>
          <w:color w:val="000000" w:themeColor="text1"/>
          <w:lang w:eastAsia="es-ES"/>
        </w:rPr>
      </w:pPr>
    </w:p>
    <w:p w14:paraId="230599D0" w14:textId="4CA04DDE" w:rsidR="000D2DB0" w:rsidRPr="00C454A1" w:rsidRDefault="001A126E" w:rsidP="000D2DB0">
      <w:pPr>
        <w:pStyle w:val="Prrafodelista"/>
        <w:numPr>
          <w:ilvl w:val="0"/>
          <w:numId w:val="2"/>
        </w:numPr>
        <w:ind w:left="0" w:firstLine="0"/>
        <w:rPr>
          <w:color w:val="000000" w:themeColor="text1"/>
          <w:lang w:val="es-ES_tradnl" w:eastAsia="es-ES"/>
        </w:rPr>
      </w:pPr>
      <w:r w:rsidRPr="00C454A1">
        <w:rPr>
          <w:color w:val="000000" w:themeColor="text1"/>
          <w:lang w:val="es-ES_tradnl" w:eastAsia="es-ES"/>
        </w:rPr>
        <w:lastRenderedPageBreak/>
        <w:t xml:space="preserve">El Decreto Legislativo </w:t>
      </w:r>
      <w:r w:rsidRPr="00C454A1">
        <w:rPr>
          <w:color w:val="000000" w:themeColor="text1"/>
          <w:lang w:val="es-ES_tradnl"/>
        </w:rPr>
        <w:t xml:space="preserve">62 </w:t>
      </w:r>
      <w:r w:rsidRPr="00C454A1">
        <w:rPr>
          <w:color w:val="000000" w:themeColor="text1"/>
          <w:lang w:val="es-ES_tradnl" w:eastAsia="es-ES"/>
        </w:rPr>
        <w:t xml:space="preserve">fue expedido el 24 de enero de 2025. El mismo día, la Misión </w:t>
      </w:r>
      <w:r w:rsidRPr="00C454A1">
        <w:rPr>
          <w:color w:val="000000" w:themeColor="text1"/>
          <w:lang w:val="es-ES_tradnl"/>
        </w:rPr>
        <w:t>Permanente</w:t>
      </w:r>
      <w:r w:rsidRPr="00C454A1">
        <w:rPr>
          <w:color w:val="000000" w:themeColor="text1"/>
          <w:lang w:val="es-ES_tradnl" w:eastAsia="es-ES"/>
        </w:rPr>
        <w:t xml:space="preserve"> de Colombia ante la OEA </w:t>
      </w:r>
      <w:r w:rsidRPr="00C454A1">
        <w:rPr>
          <w:rFonts w:cs="Times New Roman"/>
          <w:color w:val="000000" w:themeColor="text1"/>
        </w:rPr>
        <w:t>dirigió</w:t>
      </w:r>
      <w:r w:rsidRPr="00C454A1">
        <w:rPr>
          <w:color w:val="000000" w:themeColor="text1"/>
          <w:lang w:val="es-ES_tradnl" w:eastAsia="es-ES"/>
        </w:rPr>
        <w:t xml:space="preserve"> una comunicación a la Secretaría General de dicha organización,</w:t>
      </w:r>
      <w:r w:rsidRPr="00C454A1">
        <w:rPr>
          <w:color w:val="000000" w:themeColor="text1"/>
          <w:lang w:eastAsia="es-ES"/>
        </w:rPr>
        <w:t xml:space="preserve"> mediante la cual informó sobre la declaratoria del estado de conmoción interior</w:t>
      </w:r>
      <w:r w:rsidRPr="00C454A1">
        <w:rPr>
          <w:rStyle w:val="Refdenotaalpie"/>
          <w:color w:val="000000" w:themeColor="text1"/>
          <w:szCs w:val="28"/>
          <w:lang w:eastAsia="es-ES"/>
        </w:rPr>
        <w:footnoteReference w:id="143"/>
      </w:r>
      <w:r w:rsidRPr="00C454A1">
        <w:rPr>
          <w:color w:val="000000" w:themeColor="text1"/>
          <w:lang w:eastAsia="es-ES"/>
        </w:rPr>
        <w:t xml:space="preserve">. Asimismo, </w:t>
      </w:r>
      <w:r w:rsidRPr="00C454A1">
        <w:rPr>
          <w:color w:val="000000" w:themeColor="text1"/>
        </w:rPr>
        <w:t xml:space="preserve">el 24 de enero de 2025, la </w:t>
      </w:r>
      <w:bookmarkStart w:id="164" w:name="_Hlk194911302"/>
      <w:r w:rsidRPr="00C454A1">
        <w:rPr>
          <w:color w:val="000000" w:themeColor="text1"/>
        </w:rPr>
        <w:t xml:space="preserve">Misión Permanente de la República de Colombia ante la ONU </w:t>
      </w:r>
      <w:bookmarkEnd w:id="164"/>
      <w:r w:rsidRPr="00C454A1">
        <w:rPr>
          <w:color w:val="000000" w:themeColor="text1"/>
        </w:rPr>
        <w:t>informó a la Sección de Tratados de la Oficina de Asuntos Legales de ese organismo multilateral la declaratoria del estado de conmoción interior por parte del Gobierno colombiano</w:t>
      </w:r>
      <w:r w:rsidRPr="00C454A1">
        <w:rPr>
          <w:rStyle w:val="Refdenotaalpie"/>
          <w:color w:val="000000" w:themeColor="text1"/>
          <w:szCs w:val="28"/>
        </w:rPr>
        <w:footnoteReference w:id="144"/>
      </w:r>
      <w:r w:rsidRPr="00C454A1">
        <w:rPr>
          <w:color w:val="000000" w:themeColor="text1"/>
          <w:lang w:val="es-ES_tradnl" w:eastAsia="es-ES"/>
        </w:rPr>
        <w:t>. Por tanto, la Sala constata el cumplimiento de este requisito.</w:t>
      </w:r>
    </w:p>
    <w:p w14:paraId="735DD7EA" w14:textId="77777777" w:rsidR="001A126E" w:rsidRPr="00C454A1" w:rsidRDefault="001A126E" w:rsidP="00C5057F">
      <w:pPr>
        <w:rPr>
          <w:color w:val="000000" w:themeColor="text1"/>
          <w:lang w:eastAsia="es-ES"/>
        </w:rPr>
      </w:pPr>
    </w:p>
    <w:p w14:paraId="63A724F4" w14:textId="77777777" w:rsidR="001A126E" w:rsidRPr="00C454A1" w:rsidRDefault="001A126E" w:rsidP="001A126E">
      <w:pPr>
        <w:pStyle w:val="Prrafodelista"/>
        <w:widowControl w:val="0"/>
        <w:numPr>
          <w:ilvl w:val="0"/>
          <w:numId w:val="3"/>
        </w:numPr>
        <w:outlineLvl w:val="0"/>
        <w:rPr>
          <w:rFonts w:cs="Times New Roman"/>
          <w:b/>
          <w:bCs/>
          <w:color w:val="000000" w:themeColor="text1"/>
          <w:szCs w:val="28"/>
          <w:lang w:eastAsia="es-ES"/>
        </w:rPr>
      </w:pPr>
      <w:bookmarkStart w:id="165" w:name="_Toc223979946"/>
      <w:r w:rsidRPr="00C454A1">
        <w:rPr>
          <w:rFonts w:cs="Times New Roman"/>
          <w:b/>
          <w:bCs/>
          <w:color w:val="000000" w:themeColor="text1"/>
          <w:szCs w:val="28"/>
          <w:lang w:eastAsia="es-ES"/>
        </w:rPr>
        <w:t>Examen de los presupuestos materiales</w:t>
      </w:r>
      <w:bookmarkEnd w:id="165"/>
      <w:r w:rsidRPr="00C454A1">
        <w:rPr>
          <w:rFonts w:cs="Times New Roman"/>
          <w:b/>
          <w:bCs/>
          <w:color w:val="000000" w:themeColor="text1"/>
          <w:szCs w:val="28"/>
          <w:lang w:eastAsia="es-ES"/>
        </w:rPr>
        <w:t xml:space="preserve"> </w:t>
      </w:r>
    </w:p>
    <w:p w14:paraId="57474176" w14:textId="77777777" w:rsidR="001A126E" w:rsidRPr="00C454A1" w:rsidRDefault="001A126E" w:rsidP="001A126E">
      <w:pPr>
        <w:rPr>
          <w:rFonts w:cs="Times New Roman"/>
          <w:color w:val="000000" w:themeColor="text1"/>
          <w:szCs w:val="28"/>
          <w:lang w:eastAsia="es-ES"/>
        </w:rPr>
      </w:pPr>
    </w:p>
    <w:p w14:paraId="1B1EB13D" w14:textId="2CF94F24" w:rsidR="00930399" w:rsidRPr="00C454A1" w:rsidRDefault="00930399" w:rsidP="000137DB">
      <w:pPr>
        <w:numPr>
          <w:ilvl w:val="0"/>
          <w:numId w:val="2"/>
        </w:numPr>
        <w:ind w:left="0" w:firstLine="0"/>
        <w:rPr>
          <w:rFonts w:cs="Times New Roman"/>
          <w:color w:val="000000" w:themeColor="text1"/>
          <w:szCs w:val="28"/>
          <w:lang w:eastAsia="es-ES"/>
        </w:rPr>
      </w:pPr>
      <w:r w:rsidRPr="00C454A1">
        <w:rPr>
          <w:rFonts w:cs="Times New Roman"/>
          <w:color w:val="000000" w:themeColor="text1"/>
          <w:szCs w:val="28"/>
          <w:lang w:eastAsia="es-ES"/>
        </w:rPr>
        <w:t xml:space="preserve">En esta sección, la Corte Constitucional examinará si el decreto declaratorio satisface los presupuestos materiales previstos en la Constitución Política y en la LEEE: (i) presupuesto fáctico, (ii) presupuesto valorativo y (iii) presupuesto de suficiencia. </w:t>
      </w:r>
    </w:p>
    <w:p w14:paraId="469C8C56" w14:textId="77777777" w:rsidR="00230EB4" w:rsidRPr="00C454A1" w:rsidRDefault="00230EB4" w:rsidP="00631C27">
      <w:pPr>
        <w:rPr>
          <w:rFonts w:cs="Times New Roman"/>
          <w:color w:val="000000" w:themeColor="text1"/>
          <w:szCs w:val="28"/>
          <w:lang w:eastAsia="es-ES"/>
        </w:rPr>
      </w:pPr>
    </w:p>
    <w:p w14:paraId="20940D03" w14:textId="1B37CE16" w:rsidR="00006522" w:rsidRPr="00C454A1" w:rsidRDefault="00006522" w:rsidP="001C693F">
      <w:pPr>
        <w:pStyle w:val="Prrafodelista"/>
        <w:widowControl w:val="0"/>
        <w:numPr>
          <w:ilvl w:val="1"/>
          <w:numId w:val="3"/>
        </w:numPr>
        <w:ind w:left="0" w:firstLine="0"/>
        <w:outlineLvl w:val="0"/>
        <w:rPr>
          <w:rFonts w:cs="Times New Roman"/>
          <w:b/>
          <w:bCs/>
          <w:color w:val="000000" w:themeColor="text1"/>
          <w:szCs w:val="28"/>
          <w:lang w:eastAsia="es-ES"/>
        </w:rPr>
      </w:pPr>
      <w:bookmarkStart w:id="166" w:name="_Toc223979947"/>
      <w:r w:rsidRPr="00C454A1">
        <w:rPr>
          <w:rFonts w:cs="Times New Roman"/>
          <w:b/>
          <w:bCs/>
          <w:color w:val="000000" w:themeColor="text1"/>
          <w:szCs w:val="28"/>
          <w:lang w:eastAsia="es-ES"/>
        </w:rPr>
        <w:t>Presupuesto fáctico</w:t>
      </w:r>
      <w:bookmarkEnd w:id="166"/>
      <w:r w:rsidRPr="00C454A1">
        <w:rPr>
          <w:rFonts w:cs="Times New Roman"/>
          <w:b/>
          <w:bCs/>
          <w:color w:val="000000" w:themeColor="text1"/>
          <w:szCs w:val="28"/>
          <w:lang w:eastAsia="es-ES"/>
        </w:rPr>
        <w:t xml:space="preserve"> </w:t>
      </w:r>
    </w:p>
    <w:p w14:paraId="66CDC6A2" w14:textId="77777777" w:rsidR="00BE56FB" w:rsidRPr="00C454A1" w:rsidRDefault="00BE56FB" w:rsidP="00BE56FB">
      <w:pPr>
        <w:pStyle w:val="Prrafodelista"/>
        <w:tabs>
          <w:tab w:val="left" w:pos="284"/>
        </w:tabs>
        <w:ind w:left="0"/>
        <w:rPr>
          <w:rFonts w:eastAsia="Times New Roman" w:cs="Times New Roman"/>
          <w:color w:val="000000" w:themeColor="text1"/>
          <w:szCs w:val="28"/>
        </w:rPr>
      </w:pPr>
    </w:p>
    <w:p w14:paraId="59D9229B" w14:textId="4F513600" w:rsidR="00E60D4C" w:rsidRPr="00C454A1" w:rsidRDefault="00E60D4C"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A la luz del contenido del presupuesto fáctico analizado en los fundamentos </w:t>
      </w:r>
      <w:r w:rsidR="00F50136" w:rsidRPr="00C454A1">
        <w:rPr>
          <w:rFonts w:eastAsia="Times New Roman" w:cs="Times New Roman"/>
          <w:color w:val="000000" w:themeColor="text1"/>
          <w:szCs w:val="28"/>
        </w:rPr>
        <w:fldChar w:fldCharType="begin"/>
      </w:r>
      <w:r w:rsidR="00F50136" w:rsidRPr="00C454A1">
        <w:rPr>
          <w:rFonts w:eastAsia="Times New Roman" w:cs="Times New Roman"/>
          <w:color w:val="000000" w:themeColor="text1"/>
          <w:szCs w:val="28"/>
        </w:rPr>
        <w:instrText xml:space="preserve"> REF _Ref219308153 \r \h </w:instrText>
      </w:r>
      <w:r w:rsidR="00DD0E75" w:rsidRPr="00C454A1">
        <w:rPr>
          <w:rFonts w:eastAsia="Times New Roman" w:cs="Times New Roman"/>
          <w:color w:val="000000" w:themeColor="text1"/>
          <w:szCs w:val="28"/>
        </w:rPr>
        <w:instrText xml:space="preserve"> \* MERGEFORMAT </w:instrText>
      </w:r>
      <w:r w:rsidR="00F50136" w:rsidRPr="00C454A1">
        <w:rPr>
          <w:rFonts w:eastAsia="Times New Roman" w:cs="Times New Roman"/>
          <w:color w:val="000000" w:themeColor="text1"/>
          <w:szCs w:val="28"/>
        </w:rPr>
      </w:r>
      <w:r w:rsidR="00F50136" w:rsidRPr="00C454A1">
        <w:rPr>
          <w:rFonts w:eastAsia="Times New Roman" w:cs="Times New Roman"/>
          <w:color w:val="000000" w:themeColor="text1"/>
          <w:szCs w:val="28"/>
        </w:rPr>
        <w:fldChar w:fldCharType="separate"/>
      </w:r>
      <w:r w:rsidR="00881E6A">
        <w:rPr>
          <w:rFonts w:eastAsia="Times New Roman" w:cs="Times New Roman"/>
          <w:color w:val="000000" w:themeColor="text1"/>
          <w:szCs w:val="28"/>
        </w:rPr>
        <w:t>71</w:t>
      </w:r>
      <w:r w:rsidR="00F50136" w:rsidRPr="00C454A1">
        <w:rPr>
          <w:rFonts w:eastAsia="Times New Roman" w:cs="Times New Roman"/>
          <w:color w:val="000000" w:themeColor="text1"/>
          <w:szCs w:val="28"/>
        </w:rPr>
        <w:fldChar w:fldCharType="end"/>
      </w:r>
      <w:r w:rsidR="00F50136" w:rsidRPr="00C454A1">
        <w:rPr>
          <w:rFonts w:eastAsia="Times New Roman" w:cs="Times New Roman"/>
          <w:color w:val="000000" w:themeColor="text1"/>
          <w:szCs w:val="28"/>
        </w:rPr>
        <w:t xml:space="preserve"> a 68</w:t>
      </w:r>
      <w:r w:rsidRPr="00C454A1">
        <w:rPr>
          <w:rFonts w:eastAsia="Times New Roman" w:cs="Times New Roman"/>
          <w:color w:val="000000" w:themeColor="text1"/>
          <w:szCs w:val="28"/>
        </w:rPr>
        <w:t xml:space="preserve">, </w:t>
      </w:r>
      <w:r w:rsidR="00942547" w:rsidRPr="00C454A1">
        <w:rPr>
          <w:rFonts w:eastAsia="Times New Roman" w:cs="Times New Roman"/>
          <w:color w:val="000000" w:themeColor="text1"/>
          <w:szCs w:val="28"/>
        </w:rPr>
        <w:t>esta Corporación</w:t>
      </w:r>
      <w:r w:rsidRPr="00C454A1">
        <w:rPr>
          <w:rFonts w:eastAsia="Times New Roman" w:cs="Times New Roman"/>
          <w:color w:val="000000" w:themeColor="text1"/>
          <w:szCs w:val="28"/>
        </w:rPr>
        <w:t xml:space="preserve"> observa que el Decreto Legislativo 62 de 2025 satisface sus exigencia</w:t>
      </w:r>
      <w:r w:rsidR="004703C4" w:rsidRPr="00C454A1">
        <w:rPr>
          <w:rFonts w:eastAsia="Times New Roman" w:cs="Times New Roman"/>
          <w:color w:val="000000" w:themeColor="text1"/>
          <w:szCs w:val="28"/>
        </w:rPr>
        <w:t>s</w:t>
      </w:r>
      <w:r w:rsidRPr="00C454A1">
        <w:rPr>
          <w:rFonts w:eastAsia="Times New Roman" w:cs="Times New Roman"/>
          <w:color w:val="000000" w:themeColor="text1"/>
          <w:szCs w:val="28"/>
        </w:rPr>
        <w:t xml:space="preserve">. Como se expone a continuación, </w:t>
      </w:r>
      <w:r w:rsidR="002E37A6" w:rsidRPr="00C454A1">
        <w:rPr>
          <w:rFonts w:eastAsia="Times New Roman" w:cs="Times New Roman"/>
          <w:color w:val="000000" w:themeColor="text1"/>
          <w:szCs w:val="28"/>
        </w:rPr>
        <w:t xml:space="preserve">(i) </w:t>
      </w:r>
      <w:r w:rsidR="00082647" w:rsidRPr="00C454A1">
        <w:rPr>
          <w:rFonts w:eastAsia="Times New Roman" w:cs="Times New Roman"/>
          <w:color w:val="000000" w:themeColor="text1"/>
          <w:szCs w:val="28"/>
        </w:rPr>
        <w:t xml:space="preserve">el decreto </w:t>
      </w:r>
      <w:r w:rsidR="002E37A6" w:rsidRPr="00C454A1">
        <w:rPr>
          <w:rFonts w:eastAsia="Times New Roman" w:cs="Times New Roman"/>
          <w:color w:val="000000" w:themeColor="text1"/>
          <w:szCs w:val="28"/>
        </w:rPr>
        <w:t>describe</w:t>
      </w:r>
      <w:r w:rsidR="00082647" w:rsidRPr="00C454A1">
        <w:rPr>
          <w:rFonts w:eastAsia="Times New Roman" w:cs="Times New Roman"/>
          <w:color w:val="000000" w:themeColor="text1"/>
          <w:szCs w:val="28"/>
        </w:rPr>
        <w:t xml:space="preserve"> una serie de hechos constitutivos de una alteración del orden público en la región cobijada p</w:t>
      </w:r>
      <w:r w:rsidR="00955F93" w:rsidRPr="00C454A1">
        <w:rPr>
          <w:rFonts w:eastAsia="Times New Roman" w:cs="Times New Roman"/>
          <w:color w:val="000000" w:themeColor="text1"/>
          <w:szCs w:val="28"/>
        </w:rPr>
        <w:t>or</w:t>
      </w:r>
      <w:r w:rsidR="00082647" w:rsidRPr="00C454A1">
        <w:rPr>
          <w:rFonts w:eastAsia="Times New Roman" w:cs="Times New Roman"/>
          <w:color w:val="000000" w:themeColor="text1"/>
          <w:szCs w:val="28"/>
        </w:rPr>
        <w:t xml:space="preserve"> la declaración </w:t>
      </w:r>
      <w:r w:rsidR="00955F93" w:rsidRPr="00C454A1">
        <w:rPr>
          <w:rFonts w:eastAsia="Times New Roman" w:cs="Times New Roman"/>
          <w:color w:val="000000" w:themeColor="text1"/>
          <w:szCs w:val="28"/>
        </w:rPr>
        <w:t>d</w:t>
      </w:r>
      <w:r w:rsidR="00082647" w:rsidRPr="00C454A1">
        <w:rPr>
          <w:rFonts w:eastAsia="Times New Roman" w:cs="Times New Roman"/>
          <w:color w:val="000000" w:themeColor="text1"/>
          <w:szCs w:val="28"/>
        </w:rPr>
        <w:t>e conmoción</w:t>
      </w:r>
      <w:r w:rsidR="002E37A6" w:rsidRPr="00C454A1">
        <w:rPr>
          <w:rFonts w:eastAsia="Times New Roman" w:cs="Times New Roman"/>
          <w:color w:val="000000" w:themeColor="text1"/>
          <w:szCs w:val="28"/>
        </w:rPr>
        <w:t>, y (ii) el Gobierno nacional aportó pruebas que demuestran su ocurrencia.</w:t>
      </w:r>
    </w:p>
    <w:p w14:paraId="4624586C" w14:textId="77777777" w:rsidR="00E60D4C" w:rsidRPr="00C454A1" w:rsidRDefault="00E60D4C" w:rsidP="009F792C">
      <w:pPr>
        <w:rPr>
          <w:rFonts w:eastAsia="Times New Roman" w:cs="Times New Roman"/>
          <w:color w:val="000000" w:themeColor="text1"/>
          <w:szCs w:val="28"/>
        </w:rPr>
      </w:pPr>
    </w:p>
    <w:p w14:paraId="7F4A2C35" w14:textId="2555BB0C" w:rsidR="00BE56FB" w:rsidRPr="00C454A1" w:rsidRDefault="002E37A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En efecto, en </w:t>
      </w:r>
      <w:r w:rsidR="00BE56FB" w:rsidRPr="00C454A1">
        <w:rPr>
          <w:rFonts w:eastAsia="Times New Roman" w:cs="Times New Roman"/>
          <w:color w:val="000000" w:themeColor="text1"/>
          <w:szCs w:val="28"/>
        </w:rPr>
        <w:t>el acápite I</w:t>
      </w:r>
      <w:r w:rsidR="00BE56FB" w:rsidRPr="00C454A1">
        <w:rPr>
          <w:rFonts w:cs="Times New Roman"/>
          <w:color w:val="000000" w:themeColor="text1"/>
          <w:sz w:val="25"/>
          <w:szCs w:val="25"/>
          <w:shd w:val="clear" w:color="auto" w:fill="FFFFFF"/>
        </w:rPr>
        <w:t xml:space="preserve"> </w:t>
      </w:r>
      <w:r w:rsidR="00BE56FB" w:rsidRPr="00C454A1">
        <w:rPr>
          <w:rFonts w:eastAsia="Times New Roman" w:cs="Times New Roman"/>
          <w:color w:val="000000" w:themeColor="text1"/>
          <w:szCs w:val="28"/>
        </w:rPr>
        <w:t xml:space="preserve">de la parte motiva del Decreto 62 de 2025 “Presupuesto fáctico”, el </w:t>
      </w:r>
      <w:r w:rsidR="007525E1" w:rsidRPr="00C454A1">
        <w:rPr>
          <w:rFonts w:eastAsia="Times New Roman" w:cs="Times New Roman"/>
          <w:color w:val="000000" w:themeColor="text1"/>
          <w:szCs w:val="28"/>
        </w:rPr>
        <w:t>Gobierno nacional</w:t>
      </w:r>
      <w:r w:rsidR="00BE56FB" w:rsidRPr="00C454A1">
        <w:rPr>
          <w:rFonts w:eastAsia="Times New Roman" w:cs="Times New Roman"/>
          <w:color w:val="000000" w:themeColor="text1"/>
          <w:szCs w:val="28"/>
        </w:rPr>
        <w:t xml:space="preserve"> describe los hechos que, en su criterio, causan una perturbación del orden público en la región del Catatumbo y justifican la declaratoria de </w:t>
      </w:r>
      <w:r w:rsidR="009C33DE" w:rsidRPr="00C454A1">
        <w:rPr>
          <w:rFonts w:eastAsia="Times New Roman" w:cs="Times New Roman"/>
          <w:color w:val="000000" w:themeColor="text1"/>
          <w:szCs w:val="28"/>
        </w:rPr>
        <w:t>c</w:t>
      </w:r>
      <w:r w:rsidR="00BE56FB" w:rsidRPr="00C454A1">
        <w:rPr>
          <w:rFonts w:eastAsia="Times New Roman" w:cs="Times New Roman"/>
          <w:color w:val="000000" w:themeColor="text1"/>
          <w:szCs w:val="28"/>
        </w:rPr>
        <w:t xml:space="preserve">onmoción </w:t>
      </w:r>
      <w:r w:rsidR="009C33DE" w:rsidRPr="00C454A1">
        <w:rPr>
          <w:rFonts w:eastAsia="Times New Roman" w:cs="Times New Roman"/>
          <w:color w:val="000000" w:themeColor="text1"/>
          <w:szCs w:val="28"/>
        </w:rPr>
        <w:t>i</w:t>
      </w:r>
      <w:r w:rsidR="00BE56FB" w:rsidRPr="00C454A1">
        <w:rPr>
          <w:rFonts w:eastAsia="Times New Roman" w:cs="Times New Roman"/>
          <w:color w:val="000000" w:themeColor="text1"/>
          <w:szCs w:val="28"/>
        </w:rPr>
        <w:t xml:space="preserve">nterior. </w:t>
      </w:r>
      <w:r w:rsidRPr="00C454A1">
        <w:rPr>
          <w:rFonts w:eastAsia="Times New Roman" w:cs="Times New Roman"/>
          <w:color w:val="000000" w:themeColor="text1"/>
          <w:szCs w:val="28"/>
        </w:rPr>
        <w:t>C</w:t>
      </w:r>
      <w:r w:rsidR="00BE56FB" w:rsidRPr="00C454A1">
        <w:rPr>
          <w:rFonts w:eastAsia="Times New Roman" w:cs="Times New Roman"/>
          <w:color w:val="000000" w:themeColor="text1"/>
          <w:szCs w:val="28"/>
        </w:rPr>
        <w:t xml:space="preserve">onforme a una interpretación conjunta de la parte motiva y de las intervenciones del </w:t>
      </w:r>
      <w:r w:rsidR="007525E1" w:rsidRPr="00C454A1">
        <w:rPr>
          <w:rFonts w:eastAsia="Times New Roman" w:cs="Times New Roman"/>
          <w:color w:val="000000" w:themeColor="text1"/>
          <w:szCs w:val="28"/>
        </w:rPr>
        <w:t>Gobierno nacional</w:t>
      </w:r>
      <w:r w:rsidR="00BE56FB" w:rsidRPr="00C454A1">
        <w:rPr>
          <w:rFonts w:eastAsia="Times New Roman" w:cs="Times New Roman"/>
          <w:color w:val="000000" w:themeColor="text1"/>
          <w:szCs w:val="28"/>
        </w:rPr>
        <w:t xml:space="preserve"> en el presente trámite constitucional, estos hechos pueden ser clasificados en dos grupos:</w:t>
      </w:r>
    </w:p>
    <w:p w14:paraId="5B8EFB04" w14:textId="77777777" w:rsidR="00BE56FB" w:rsidRPr="00C454A1" w:rsidRDefault="00BE56FB" w:rsidP="00BE56FB">
      <w:pPr>
        <w:pStyle w:val="Prrafodelista"/>
        <w:ind w:left="0"/>
        <w:rPr>
          <w:rFonts w:eastAsia="Times New Roman" w:cs="Times New Roman"/>
          <w:color w:val="000000" w:themeColor="text1"/>
          <w:szCs w:val="28"/>
        </w:rPr>
      </w:pPr>
    </w:p>
    <w:p w14:paraId="5EEEAEE7" w14:textId="6D4163BB" w:rsidR="00A92FFF" w:rsidRPr="00C454A1" w:rsidRDefault="00A92FFF" w:rsidP="00E70D14">
      <w:pPr>
        <w:pStyle w:val="Prrafodelista"/>
        <w:ind w:left="0"/>
        <w:jc w:val="center"/>
        <w:rPr>
          <w:rFonts w:eastAsia="Times New Roman" w:cs="Times New Roman"/>
          <w:i/>
          <w:iCs/>
          <w:color w:val="000000" w:themeColor="text1"/>
          <w:sz w:val="22"/>
          <w:szCs w:val="22"/>
        </w:rPr>
      </w:pPr>
      <w:r w:rsidRPr="00C454A1">
        <w:rPr>
          <w:rFonts w:eastAsia="Times New Roman" w:cs="Times New Roman"/>
          <w:i/>
          <w:iCs/>
          <w:color w:val="000000" w:themeColor="text1"/>
          <w:sz w:val="22"/>
          <w:szCs w:val="22"/>
        </w:rPr>
        <w:t xml:space="preserve">Tabla 3: </w:t>
      </w:r>
      <w:r w:rsidR="00E70D14" w:rsidRPr="00C454A1">
        <w:rPr>
          <w:rFonts w:eastAsia="Times New Roman" w:cs="Times New Roman"/>
          <w:i/>
          <w:iCs/>
          <w:color w:val="000000" w:themeColor="text1"/>
          <w:sz w:val="22"/>
          <w:szCs w:val="22"/>
        </w:rPr>
        <w:t>hechos que el Decreto 52 invoca como causantes de perturbaciones al orden público</w:t>
      </w:r>
    </w:p>
    <w:tbl>
      <w:tblPr>
        <w:tblStyle w:val="Tablaconcuadrcula"/>
        <w:tblW w:w="5000" w:type="pct"/>
        <w:tblLook w:val="04A0" w:firstRow="1" w:lastRow="0" w:firstColumn="1" w:lastColumn="0" w:noHBand="0" w:noVBand="1"/>
      </w:tblPr>
      <w:tblGrid>
        <w:gridCol w:w="1499"/>
        <w:gridCol w:w="7331"/>
      </w:tblGrid>
      <w:tr w:rsidR="00C454A1" w:rsidRPr="00C454A1" w14:paraId="29703CF3" w14:textId="77777777" w:rsidTr="004165E3">
        <w:tc>
          <w:tcPr>
            <w:tcW w:w="5000" w:type="pct"/>
            <w:gridSpan w:val="2"/>
            <w:shd w:val="clear" w:color="auto" w:fill="D9D9D9" w:themeFill="background1" w:themeFillShade="D9"/>
          </w:tcPr>
          <w:p w14:paraId="1740BBC5" w14:textId="77777777" w:rsidR="00BE56FB" w:rsidRPr="00C454A1" w:rsidRDefault="00BE56FB" w:rsidP="00EE77DF">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Perturbación del orden público en la región del Catatumbo</w:t>
            </w:r>
          </w:p>
        </w:tc>
      </w:tr>
      <w:tr w:rsidR="00C454A1" w:rsidRPr="00C454A1" w14:paraId="61E30463" w14:textId="77777777" w:rsidTr="004165E3">
        <w:tc>
          <w:tcPr>
            <w:tcW w:w="849" w:type="pct"/>
            <w:shd w:val="clear" w:color="auto" w:fill="D9D9D9" w:themeFill="background1" w:themeFillShade="D9"/>
            <w:vAlign w:val="center"/>
          </w:tcPr>
          <w:p w14:paraId="51DEFB96" w14:textId="77777777" w:rsidR="00BE56FB" w:rsidRPr="00C454A1" w:rsidRDefault="00BE56FB" w:rsidP="00EE77DF">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Grupo 1</w:t>
            </w:r>
          </w:p>
        </w:tc>
        <w:tc>
          <w:tcPr>
            <w:tcW w:w="4151" w:type="pct"/>
          </w:tcPr>
          <w:p w14:paraId="72668401" w14:textId="64F582EA" w:rsidR="00BE56FB" w:rsidRPr="00C454A1" w:rsidRDefault="00BE56FB" w:rsidP="00EE77DF">
            <w:pPr>
              <w:pStyle w:val="Prrafodelista"/>
              <w:ind w:left="0"/>
              <w:rPr>
                <w:rFonts w:eastAsia="Times New Roman" w:cs="Times New Roman"/>
                <w:color w:val="000000" w:themeColor="text1"/>
                <w:sz w:val="22"/>
                <w:szCs w:val="22"/>
              </w:rPr>
            </w:pPr>
            <w:r w:rsidRPr="00C454A1">
              <w:rPr>
                <w:rFonts w:eastAsia="Times New Roman" w:cs="Times New Roman"/>
                <w:color w:val="000000" w:themeColor="text1"/>
                <w:sz w:val="22"/>
                <w:szCs w:val="22"/>
              </w:rPr>
              <w:t xml:space="preserve">Hechos relacionados </w:t>
            </w:r>
            <w:r w:rsidR="002E37A6" w:rsidRPr="00C454A1">
              <w:rPr>
                <w:rFonts w:eastAsia="Times New Roman" w:cs="Times New Roman"/>
                <w:color w:val="000000" w:themeColor="text1"/>
                <w:sz w:val="22"/>
                <w:szCs w:val="22"/>
              </w:rPr>
              <w:t>con los problemas históricos</w:t>
            </w:r>
            <w:r w:rsidRPr="00C454A1">
              <w:rPr>
                <w:rFonts w:eastAsia="Times New Roman" w:cs="Times New Roman"/>
                <w:color w:val="000000" w:themeColor="text1"/>
                <w:sz w:val="22"/>
                <w:szCs w:val="22"/>
              </w:rPr>
              <w:t xml:space="preserve"> de orden público en la región del Catatumbo. </w:t>
            </w:r>
          </w:p>
        </w:tc>
      </w:tr>
      <w:tr w:rsidR="00C454A1" w:rsidRPr="00C454A1" w14:paraId="740F8FD7" w14:textId="77777777" w:rsidTr="004165E3">
        <w:tc>
          <w:tcPr>
            <w:tcW w:w="849" w:type="pct"/>
            <w:shd w:val="clear" w:color="auto" w:fill="D9D9D9" w:themeFill="background1" w:themeFillShade="D9"/>
            <w:vAlign w:val="center"/>
          </w:tcPr>
          <w:p w14:paraId="5D2C24B4" w14:textId="77777777" w:rsidR="00BE56FB" w:rsidRPr="00C454A1" w:rsidRDefault="00BE56FB" w:rsidP="00EE77DF">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Grupo 2</w:t>
            </w:r>
          </w:p>
        </w:tc>
        <w:tc>
          <w:tcPr>
            <w:tcW w:w="4151" w:type="pct"/>
          </w:tcPr>
          <w:p w14:paraId="0188E5F6" w14:textId="39AC36C1" w:rsidR="00BE56FB" w:rsidRPr="00C454A1" w:rsidRDefault="00BE56FB" w:rsidP="00EE77DF">
            <w:pPr>
              <w:rPr>
                <w:rFonts w:eastAsia="Times New Roman" w:cs="Times New Roman"/>
                <w:color w:val="000000" w:themeColor="text1"/>
                <w:sz w:val="22"/>
                <w:szCs w:val="22"/>
              </w:rPr>
            </w:pPr>
            <w:r w:rsidRPr="00C454A1">
              <w:rPr>
                <w:rFonts w:eastAsia="Times New Roman" w:cs="Times New Roman"/>
                <w:color w:val="000000" w:themeColor="text1"/>
                <w:sz w:val="22"/>
                <w:szCs w:val="22"/>
              </w:rPr>
              <w:t xml:space="preserve">Hechos relacionados con el presunto agravamiento inusitado </w:t>
            </w:r>
            <w:r w:rsidR="006A6542" w:rsidRPr="00C454A1">
              <w:rPr>
                <w:rFonts w:eastAsia="Times New Roman" w:cs="Times New Roman"/>
                <w:color w:val="000000" w:themeColor="text1"/>
                <w:sz w:val="22"/>
                <w:szCs w:val="22"/>
              </w:rPr>
              <w:t>de los problemas</w:t>
            </w:r>
            <w:r w:rsidRPr="00C454A1">
              <w:rPr>
                <w:rFonts w:eastAsia="Times New Roman" w:cs="Times New Roman"/>
                <w:color w:val="000000" w:themeColor="text1"/>
                <w:sz w:val="22"/>
                <w:szCs w:val="22"/>
              </w:rPr>
              <w:t xml:space="preserve"> de orden público en la región del Catatumbo a partir del 16 de enero de 2025, a saber:</w:t>
            </w:r>
          </w:p>
          <w:p w14:paraId="7BEAB64D" w14:textId="04461044" w:rsidR="00BE56FB" w:rsidRPr="00C454A1" w:rsidRDefault="00BE56FB" w:rsidP="005D0BFA">
            <w:pPr>
              <w:pStyle w:val="Prrafodelista"/>
              <w:numPr>
                <w:ilvl w:val="0"/>
                <w:numId w:val="15"/>
              </w:numPr>
              <w:ind w:left="366" w:hanging="366"/>
              <w:rPr>
                <w:rFonts w:eastAsia="Times New Roman" w:cs="Times New Roman"/>
                <w:color w:val="000000" w:themeColor="text1"/>
                <w:sz w:val="22"/>
                <w:szCs w:val="22"/>
              </w:rPr>
            </w:pPr>
            <w:bookmarkStart w:id="167" w:name="_Hlk195260160"/>
            <w:r w:rsidRPr="00C454A1">
              <w:rPr>
                <w:rFonts w:eastAsia="Times New Roman" w:cs="Times New Roman"/>
                <w:color w:val="000000" w:themeColor="text1"/>
                <w:sz w:val="22"/>
                <w:szCs w:val="22"/>
              </w:rPr>
              <w:t>La intensificación de los enfrentamientos entre el ELN</w:t>
            </w:r>
            <w:r w:rsidR="00A64CC0" w:rsidRPr="00C454A1">
              <w:rPr>
                <w:rFonts w:eastAsia="Times New Roman" w:cs="Times New Roman"/>
                <w:color w:val="000000" w:themeColor="text1"/>
                <w:sz w:val="22"/>
                <w:szCs w:val="22"/>
              </w:rPr>
              <w:t xml:space="preserve"> </w:t>
            </w:r>
            <w:r w:rsidRPr="00C454A1">
              <w:rPr>
                <w:rFonts w:eastAsia="Times New Roman" w:cs="Times New Roman"/>
                <w:color w:val="000000" w:themeColor="text1"/>
                <w:sz w:val="22"/>
                <w:szCs w:val="22"/>
              </w:rPr>
              <w:t xml:space="preserve">y otros </w:t>
            </w:r>
            <w:r w:rsidR="00EE77DF" w:rsidRPr="00C454A1">
              <w:rPr>
                <w:rFonts w:eastAsia="Times New Roman" w:cs="Times New Roman"/>
                <w:color w:val="000000" w:themeColor="text1"/>
                <w:sz w:val="22"/>
                <w:szCs w:val="22"/>
              </w:rPr>
              <w:t>GAO</w:t>
            </w:r>
            <w:r w:rsidRPr="00C454A1">
              <w:rPr>
                <w:rFonts w:eastAsia="Times New Roman" w:cs="Times New Roman"/>
                <w:color w:val="000000" w:themeColor="text1"/>
                <w:sz w:val="22"/>
                <w:szCs w:val="22"/>
              </w:rPr>
              <w:t>, así como los ataques y hostilidades en contra a la población civil</w:t>
            </w:r>
            <w:r w:rsidR="009177F3" w:rsidRPr="00C454A1">
              <w:rPr>
                <w:rFonts w:eastAsia="Times New Roman" w:cs="Times New Roman"/>
                <w:color w:val="000000" w:themeColor="text1"/>
                <w:sz w:val="22"/>
                <w:szCs w:val="22"/>
              </w:rPr>
              <w:t xml:space="preserve"> y los firmantes del </w:t>
            </w:r>
            <w:r w:rsidR="00ED2943" w:rsidRPr="00C454A1">
              <w:rPr>
                <w:rFonts w:eastAsia="Times New Roman" w:cs="Times New Roman"/>
                <w:color w:val="000000" w:themeColor="text1"/>
                <w:sz w:val="22"/>
                <w:szCs w:val="22"/>
              </w:rPr>
              <w:t>AFP</w:t>
            </w:r>
            <w:r w:rsidRPr="00C454A1">
              <w:rPr>
                <w:rFonts w:eastAsia="Times New Roman" w:cs="Times New Roman"/>
                <w:color w:val="000000" w:themeColor="text1"/>
                <w:sz w:val="22"/>
                <w:szCs w:val="22"/>
              </w:rPr>
              <w:t xml:space="preserve">, a partir del 16 de enero de 2025.  </w:t>
            </w:r>
          </w:p>
          <w:p w14:paraId="7660A10E" w14:textId="63D58C1F" w:rsidR="00BE56FB" w:rsidRPr="00C454A1" w:rsidRDefault="00BE56FB" w:rsidP="005D0BFA">
            <w:pPr>
              <w:pStyle w:val="Prrafodelista"/>
              <w:numPr>
                <w:ilvl w:val="0"/>
                <w:numId w:val="15"/>
              </w:numPr>
              <w:ind w:left="366" w:hanging="366"/>
              <w:rPr>
                <w:rFonts w:eastAsia="Times New Roman" w:cs="Times New Roman"/>
                <w:color w:val="000000" w:themeColor="text1"/>
                <w:sz w:val="22"/>
                <w:szCs w:val="22"/>
              </w:rPr>
            </w:pPr>
            <w:r w:rsidRPr="00C454A1">
              <w:rPr>
                <w:rFonts w:eastAsia="Times New Roman" w:cs="Times New Roman"/>
                <w:color w:val="000000" w:themeColor="text1"/>
                <w:sz w:val="22"/>
                <w:szCs w:val="22"/>
              </w:rPr>
              <w:t xml:space="preserve">La crisis y emergencia humanitaria derivada de desplazamientos internos y transfronterizos, </w:t>
            </w:r>
            <w:r w:rsidR="009177F3" w:rsidRPr="00C454A1">
              <w:rPr>
                <w:rFonts w:eastAsia="Times New Roman" w:cs="Times New Roman"/>
                <w:color w:val="000000" w:themeColor="text1"/>
                <w:sz w:val="22"/>
                <w:szCs w:val="22"/>
              </w:rPr>
              <w:t xml:space="preserve">y </w:t>
            </w:r>
            <w:r w:rsidRPr="00C454A1">
              <w:rPr>
                <w:rFonts w:eastAsia="Times New Roman" w:cs="Times New Roman"/>
                <w:color w:val="000000" w:themeColor="text1"/>
                <w:sz w:val="22"/>
                <w:szCs w:val="22"/>
              </w:rPr>
              <w:t>confinamientos masivos.</w:t>
            </w:r>
            <w:bookmarkEnd w:id="167"/>
          </w:p>
        </w:tc>
      </w:tr>
    </w:tbl>
    <w:p w14:paraId="140E31C1" w14:textId="77777777" w:rsidR="00BE56FB" w:rsidRPr="00C454A1" w:rsidRDefault="00BE56FB" w:rsidP="00BE56FB">
      <w:pPr>
        <w:pStyle w:val="Prrafodelista"/>
        <w:ind w:left="0"/>
        <w:rPr>
          <w:rFonts w:eastAsia="Times New Roman" w:cs="Times New Roman"/>
          <w:color w:val="000000" w:themeColor="text1"/>
          <w:szCs w:val="28"/>
        </w:rPr>
      </w:pPr>
    </w:p>
    <w:p w14:paraId="63833C63" w14:textId="4B7FF99D" w:rsidR="00B216D1" w:rsidRPr="00C454A1" w:rsidRDefault="00BE56FB" w:rsidP="006A6542">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lastRenderedPageBreak/>
        <w:t xml:space="preserve">A continuación, la Sala Plena examinará </w:t>
      </w:r>
      <w:r w:rsidR="006A6542" w:rsidRPr="00C454A1">
        <w:rPr>
          <w:rFonts w:eastAsia="Times New Roman" w:cs="Times New Roman"/>
          <w:color w:val="000000" w:themeColor="text1"/>
          <w:szCs w:val="28"/>
        </w:rPr>
        <w:t>las características de los</w:t>
      </w:r>
      <w:r w:rsidRPr="00C454A1">
        <w:rPr>
          <w:rFonts w:eastAsia="Times New Roman" w:cs="Times New Roman"/>
          <w:color w:val="000000" w:themeColor="text1"/>
          <w:szCs w:val="28"/>
        </w:rPr>
        <w:t xml:space="preserve"> hechos que forman parte de estos grupos </w:t>
      </w:r>
      <w:r w:rsidR="006A6542" w:rsidRPr="00C454A1">
        <w:rPr>
          <w:rFonts w:eastAsia="Times New Roman" w:cs="Times New Roman"/>
          <w:color w:val="000000" w:themeColor="text1"/>
          <w:szCs w:val="28"/>
        </w:rPr>
        <w:t>y las pruebas aportadas por el Gobierno nacional para acreditar su ocurrencia</w:t>
      </w:r>
      <w:r w:rsidR="002E37A6" w:rsidRPr="00C454A1">
        <w:rPr>
          <w:rFonts w:eastAsia="Times New Roman" w:cs="Times New Roman"/>
          <w:color w:val="000000" w:themeColor="text1"/>
          <w:szCs w:val="28"/>
        </w:rPr>
        <w:t>.</w:t>
      </w:r>
    </w:p>
    <w:p w14:paraId="185247A4" w14:textId="77777777" w:rsidR="00B30A65" w:rsidRPr="00C454A1" w:rsidRDefault="00B30A65" w:rsidP="00BE56FB">
      <w:pPr>
        <w:pStyle w:val="Prrafodelista"/>
        <w:ind w:left="0"/>
        <w:rPr>
          <w:rFonts w:eastAsia="Times New Roman" w:cs="Times New Roman"/>
          <w:color w:val="000000" w:themeColor="text1"/>
          <w:szCs w:val="28"/>
        </w:rPr>
      </w:pPr>
    </w:p>
    <w:p w14:paraId="3CB094D5" w14:textId="0797EBE8" w:rsidR="00B216D1" w:rsidRPr="00C454A1" w:rsidRDefault="00B216D1" w:rsidP="001C693F">
      <w:pPr>
        <w:pStyle w:val="Prrafodelista"/>
        <w:widowControl w:val="0"/>
        <w:numPr>
          <w:ilvl w:val="2"/>
          <w:numId w:val="3"/>
        </w:numPr>
        <w:ind w:left="709" w:hanging="709"/>
        <w:outlineLvl w:val="0"/>
        <w:rPr>
          <w:rFonts w:eastAsia="Times New Roman" w:cs="Times New Roman"/>
          <w:b/>
          <w:bCs/>
          <w:color w:val="000000" w:themeColor="text1"/>
          <w:szCs w:val="28"/>
        </w:rPr>
      </w:pPr>
      <w:bookmarkStart w:id="168" w:name="_Ref223956779"/>
      <w:bookmarkStart w:id="169" w:name="_Toc223979948"/>
      <w:r w:rsidRPr="00C454A1">
        <w:rPr>
          <w:rFonts w:eastAsia="Times New Roman" w:cs="Times New Roman"/>
          <w:b/>
          <w:bCs/>
          <w:color w:val="000000" w:themeColor="text1"/>
          <w:szCs w:val="28"/>
        </w:rPr>
        <w:t xml:space="preserve">Grupo 1: </w:t>
      </w:r>
      <w:r w:rsidR="006A6542" w:rsidRPr="00C454A1">
        <w:rPr>
          <w:rFonts w:eastAsia="Times New Roman" w:cs="Times New Roman"/>
          <w:b/>
          <w:bCs/>
          <w:color w:val="000000" w:themeColor="text1"/>
          <w:szCs w:val="28"/>
        </w:rPr>
        <w:t>los problemas históricos</w:t>
      </w:r>
      <w:r w:rsidRPr="00C454A1">
        <w:rPr>
          <w:rFonts w:eastAsia="Times New Roman" w:cs="Times New Roman"/>
          <w:b/>
          <w:bCs/>
          <w:color w:val="000000" w:themeColor="text1"/>
          <w:szCs w:val="28"/>
        </w:rPr>
        <w:t xml:space="preserve"> de orden público en la región del Catatumbo</w:t>
      </w:r>
      <w:bookmarkEnd w:id="168"/>
      <w:bookmarkEnd w:id="169"/>
    </w:p>
    <w:p w14:paraId="5D4A7450" w14:textId="77777777" w:rsidR="00B216D1" w:rsidRPr="00C454A1" w:rsidRDefault="00B216D1" w:rsidP="00631C27">
      <w:pPr>
        <w:pStyle w:val="Prrafodelista"/>
        <w:ind w:left="0"/>
        <w:rPr>
          <w:rFonts w:eastAsia="Times New Roman" w:cs="Times New Roman"/>
          <w:color w:val="000000" w:themeColor="text1"/>
          <w:szCs w:val="28"/>
        </w:rPr>
      </w:pPr>
    </w:p>
    <w:p w14:paraId="03C443A4" w14:textId="755CFFC3" w:rsidR="00F328D0" w:rsidRPr="00C454A1" w:rsidRDefault="006A6542" w:rsidP="000137DB">
      <w:pPr>
        <w:numPr>
          <w:ilvl w:val="0"/>
          <w:numId w:val="2"/>
        </w:numPr>
        <w:ind w:left="0" w:firstLine="0"/>
        <w:rPr>
          <w:rFonts w:cs="Times New Roman"/>
          <w:color w:val="000000" w:themeColor="text1"/>
          <w:szCs w:val="28"/>
        </w:rPr>
      </w:pPr>
      <w:r w:rsidRPr="00C454A1">
        <w:rPr>
          <w:rFonts w:eastAsia="Times New Roman" w:cs="Times New Roman"/>
          <w:color w:val="000000" w:themeColor="text1"/>
          <w:szCs w:val="28"/>
        </w:rPr>
        <w:t>Tanto la parte motiva del Decreto 62 de 2025 como las intervenciones del Gobierno nacional</w:t>
      </w:r>
      <w:r w:rsidR="00325FEF" w:rsidRPr="00C454A1">
        <w:rPr>
          <w:rFonts w:eastAsia="Times New Roman" w:cs="Times New Roman"/>
          <w:color w:val="000000" w:themeColor="text1"/>
          <w:szCs w:val="28"/>
        </w:rPr>
        <w:t xml:space="preserve"> indicaron</w:t>
      </w:r>
      <w:r w:rsidRPr="00C454A1">
        <w:rPr>
          <w:rFonts w:eastAsia="Times New Roman" w:cs="Times New Roman"/>
          <w:color w:val="000000" w:themeColor="text1"/>
          <w:szCs w:val="28"/>
        </w:rPr>
        <w:t xml:space="preserve"> que </w:t>
      </w:r>
      <w:r w:rsidR="00FE28D2" w:rsidRPr="00C454A1">
        <w:rPr>
          <w:rFonts w:eastAsia="Times New Roman" w:cs="Times New Roman"/>
          <w:color w:val="000000" w:themeColor="text1"/>
          <w:szCs w:val="28"/>
        </w:rPr>
        <w:t>varios</w:t>
      </w:r>
      <w:r w:rsidRPr="00C454A1">
        <w:rPr>
          <w:rFonts w:eastAsia="Times New Roman" w:cs="Times New Roman"/>
          <w:color w:val="000000" w:themeColor="text1"/>
          <w:szCs w:val="28"/>
        </w:rPr>
        <w:t xml:space="preserve"> problemas de orden público en la región del Catatumbo son de larga data. En este sentido, </w:t>
      </w:r>
      <w:r w:rsidR="00F328D0" w:rsidRPr="00C454A1">
        <w:rPr>
          <w:rFonts w:eastAsia="Times New Roman" w:cs="Times New Roman"/>
          <w:color w:val="000000" w:themeColor="text1"/>
          <w:szCs w:val="28"/>
        </w:rPr>
        <w:t xml:space="preserve">la parte motiva del </w:t>
      </w:r>
      <w:r w:rsidRPr="00C454A1">
        <w:rPr>
          <w:rFonts w:eastAsia="Times New Roman" w:cs="Times New Roman"/>
          <w:color w:val="000000" w:themeColor="text1"/>
          <w:szCs w:val="28"/>
        </w:rPr>
        <w:t xml:space="preserve">decreto </w:t>
      </w:r>
      <w:r w:rsidR="002E37A6" w:rsidRPr="00C454A1">
        <w:rPr>
          <w:rFonts w:eastAsia="Times New Roman" w:cs="Times New Roman"/>
          <w:color w:val="000000" w:themeColor="text1"/>
          <w:szCs w:val="28"/>
        </w:rPr>
        <w:t xml:space="preserve">señala </w:t>
      </w:r>
      <w:r w:rsidR="00F328D0" w:rsidRPr="00C454A1">
        <w:rPr>
          <w:rFonts w:eastAsia="Times New Roman" w:cs="Times New Roman"/>
          <w:color w:val="000000" w:themeColor="text1"/>
          <w:szCs w:val="28"/>
        </w:rPr>
        <w:t xml:space="preserve">que “la crisis en la región del Catatumbo refleja problemas estructurales”. Asimismo, </w:t>
      </w:r>
      <w:r w:rsidR="00F328D0" w:rsidRPr="00C454A1">
        <w:rPr>
          <w:rFonts w:cs="Times New Roman"/>
          <w:color w:val="000000" w:themeColor="text1"/>
          <w:szCs w:val="28"/>
        </w:rPr>
        <w:t xml:space="preserve">en el escrito de radicación del Decreto 62 de 2025, el </w:t>
      </w:r>
      <w:r w:rsidR="00421547" w:rsidRPr="00C454A1">
        <w:rPr>
          <w:rFonts w:cs="Times New Roman"/>
          <w:color w:val="000000" w:themeColor="text1"/>
          <w:szCs w:val="28"/>
        </w:rPr>
        <w:t>Departamento Administrativo de la Presidencia de la República (</w:t>
      </w:r>
      <w:r w:rsidR="00F328D0" w:rsidRPr="00C454A1">
        <w:rPr>
          <w:rFonts w:cs="Times New Roman"/>
          <w:color w:val="000000" w:themeColor="text1"/>
          <w:szCs w:val="28"/>
        </w:rPr>
        <w:t>DAPRE</w:t>
      </w:r>
      <w:r w:rsidR="00421547" w:rsidRPr="00C454A1">
        <w:rPr>
          <w:rFonts w:cs="Times New Roman"/>
          <w:color w:val="000000" w:themeColor="text1"/>
          <w:szCs w:val="28"/>
        </w:rPr>
        <w:t>)</w:t>
      </w:r>
      <w:r w:rsidR="00F328D0" w:rsidRPr="00C454A1">
        <w:rPr>
          <w:rFonts w:cs="Times New Roman"/>
          <w:color w:val="000000" w:themeColor="text1"/>
          <w:szCs w:val="28"/>
        </w:rPr>
        <w:t xml:space="preserve"> anexó un documento titulado “Informe - soporte documental respecto del Decreto que declara el Estado de Conmoción Interior en la región del Catatumbo”</w:t>
      </w:r>
      <w:r w:rsidR="00667797" w:rsidRPr="00C454A1">
        <w:rPr>
          <w:rFonts w:cs="Times New Roman"/>
          <w:color w:val="000000" w:themeColor="text1"/>
          <w:szCs w:val="28"/>
        </w:rPr>
        <w:t>, en el que</w:t>
      </w:r>
      <w:r w:rsidR="00F328D0" w:rsidRPr="00C454A1">
        <w:rPr>
          <w:rFonts w:cs="Times New Roman"/>
          <w:color w:val="000000" w:themeColor="text1"/>
          <w:szCs w:val="28"/>
        </w:rPr>
        <w:t xml:space="preserve"> el Departamento Nacional de Planeación</w:t>
      </w:r>
      <w:r w:rsidR="00667797" w:rsidRPr="00C454A1">
        <w:rPr>
          <w:rFonts w:cs="Times New Roman"/>
          <w:color w:val="000000" w:themeColor="text1"/>
          <w:szCs w:val="28"/>
        </w:rPr>
        <w:t xml:space="preserve"> </w:t>
      </w:r>
      <w:r w:rsidR="00421547" w:rsidRPr="00C454A1">
        <w:rPr>
          <w:rFonts w:cs="Times New Roman"/>
          <w:color w:val="000000" w:themeColor="text1"/>
          <w:szCs w:val="28"/>
        </w:rPr>
        <w:t xml:space="preserve">(DNP) </w:t>
      </w:r>
      <w:r w:rsidR="0053709D" w:rsidRPr="00C454A1">
        <w:rPr>
          <w:rFonts w:cs="Times New Roman"/>
          <w:color w:val="000000" w:themeColor="text1"/>
          <w:szCs w:val="28"/>
        </w:rPr>
        <w:t>señaló que</w:t>
      </w:r>
      <w:r w:rsidR="00F328D0" w:rsidRPr="00C454A1">
        <w:rPr>
          <w:rFonts w:cs="Times New Roman"/>
          <w:color w:val="000000" w:themeColor="text1"/>
          <w:szCs w:val="28"/>
        </w:rPr>
        <w:t xml:space="preserve"> “la crisis actual en el Catatumbo es un reflejo de problemas estructurales de larga data”.</w:t>
      </w:r>
      <w:r w:rsidR="00F328D0" w:rsidRPr="00C454A1">
        <w:rPr>
          <w:rFonts w:cs="Times New Roman"/>
          <w:b/>
          <w:bCs/>
          <w:color w:val="000000" w:themeColor="text1"/>
          <w:szCs w:val="28"/>
        </w:rPr>
        <w:t xml:space="preserve"> </w:t>
      </w:r>
    </w:p>
    <w:p w14:paraId="1B63A7A6" w14:textId="77777777" w:rsidR="00F328D0" w:rsidRPr="00C454A1" w:rsidRDefault="00F328D0" w:rsidP="00F328D0">
      <w:pPr>
        <w:pStyle w:val="Prrafodelista"/>
        <w:ind w:left="0"/>
        <w:rPr>
          <w:rFonts w:eastAsia="Times New Roman" w:cs="Times New Roman"/>
          <w:color w:val="000000" w:themeColor="text1"/>
          <w:szCs w:val="28"/>
        </w:rPr>
      </w:pPr>
    </w:p>
    <w:p w14:paraId="59234034" w14:textId="1E66C569" w:rsidR="00F328D0" w:rsidRPr="00C454A1" w:rsidRDefault="00B22687"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A su turno, e</w:t>
      </w:r>
      <w:r w:rsidR="00F328D0" w:rsidRPr="00C454A1">
        <w:rPr>
          <w:rFonts w:eastAsia="Times New Roman" w:cs="Times New Roman"/>
          <w:color w:val="000000" w:themeColor="text1"/>
          <w:szCs w:val="28"/>
        </w:rPr>
        <w:t xml:space="preserve">l acápite I de la parte motiva del Decreto 62 de 2025, el </w:t>
      </w:r>
      <w:r w:rsidR="007525E1" w:rsidRPr="00C454A1">
        <w:rPr>
          <w:rFonts w:eastAsia="Times New Roman" w:cs="Times New Roman"/>
          <w:color w:val="000000" w:themeColor="text1"/>
          <w:szCs w:val="28"/>
        </w:rPr>
        <w:t>Gobierno nacional</w:t>
      </w:r>
      <w:r w:rsidR="00F328D0" w:rsidRPr="00C454A1">
        <w:rPr>
          <w:rFonts w:eastAsia="Times New Roman" w:cs="Times New Roman"/>
          <w:color w:val="000000" w:themeColor="text1"/>
          <w:szCs w:val="28"/>
        </w:rPr>
        <w:t xml:space="preserve"> señaló que l</w:t>
      </w:r>
      <w:r w:rsidRPr="00C454A1">
        <w:rPr>
          <w:rFonts w:eastAsia="Times New Roman" w:cs="Times New Roman"/>
          <w:color w:val="000000" w:themeColor="text1"/>
          <w:szCs w:val="28"/>
        </w:rPr>
        <w:t>os</w:t>
      </w:r>
      <w:r w:rsidR="00F328D0" w:rsidRPr="00C454A1">
        <w:rPr>
          <w:rFonts w:eastAsia="Times New Roman" w:cs="Times New Roman"/>
          <w:color w:val="000000" w:themeColor="text1"/>
          <w:szCs w:val="28"/>
        </w:rPr>
        <w:t xml:space="preserve"> </w:t>
      </w:r>
      <w:r w:rsidRPr="00C454A1">
        <w:rPr>
          <w:rFonts w:eastAsia="Times New Roman" w:cs="Times New Roman"/>
          <w:color w:val="000000" w:themeColor="text1"/>
          <w:szCs w:val="28"/>
        </w:rPr>
        <w:t xml:space="preserve">problemas </w:t>
      </w:r>
      <w:r w:rsidR="00F328D0" w:rsidRPr="00C454A1">
        <w:rPr>
          <w:rFonts w:eastAsia="Times New Roman" w:cs="Times New Roman"/>
          <w:color w:val="000000" w:themeColor="text1"/>
          <w:szCs w:val="28"/>
        </w:rPr>
        <w:t xml:space="preserve">orden público en </w:t>
      </w:r>
      <w:r w:rsidR="00667797" w:rsidRPr="00C454A1">
        <w:rPr>
          <w:rFonts w:eastAsia="Times New Roman" w:cs="Times New Roman"/>
          <w:color w:val="000000" w:themeColor="text1"/>
          <w:szCs w:val="28"/>
        </w:rPr>
        <w:t xml:space="preserve">esta </w:t>
      </w:r>
      <w:r w:rsidR="00F328D0" w:rsidRPr="00C454A1">
        <w:rPr>
          <w:rFonts w:eastAsia="Times New Roman" w:cs="Times New Roman"/>
          <w:color w:val="000000" w:themeColor="text1"/>
          <w:szCs w:val="28"/>
        </w:rPr>
        <w:t>región</w:t>
      </w:r>
      <w:r w:rsidR="00C61C0F" w:rsidRPr="00C454A1">
        <w:rPr>
          <w:rFonts w:eastAsia="Times New Roman" w:cs="Times New Roman"/>
          <w:color w:val="000000" w:themeColor="text1"/>
          <w:szCs w:val="28"/>
        </w:rPr>
        <w:t>,</w:t>
      </w:r>
      <w:r w:rsidR="00F328D0" w:rsidRPr="00C454A1">
        <w:rPr>
          <w:rFonts w:eastAsia="Times New Roman" w:cs="Times New Roman"/>
          <w:color w:val="000000" w:themeColor="text1"/>
          <w:szCs w:val="28"/>
        </w:rPr>
        <w:t xml:space="preserve"> </w:t>
      </w:r>
      <w:r w:rsidRPr="00C454A1">
        <w:rPr>
          <w:rFonts w:eastAsia="Times New Roman" w:cs="Times New Roman"/>
          <w:color w:val="000000" w:themeColor="text1"/>
          <w:szCs w:val="28"/>
        </w:rPr>
        <w:t>que vienen de tiempo atrás</w:t>
      </w:r>
      <w:r w:rsidR="00C61C0F"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w:t>
      </w:r>
      <w:r w:rsidR="00F328D0" w:rsidRPr="00C454A1">
        <w:rPr>
          <w:rFonts w:eastAsia="Times New Roman" w:cs="Times New Roman"/>
          <w:color w:val="000000" w:themeColor="text1"/>
          <w:szCs w:val="28"/>
        </w:rPr>
        <w:t>se deriva</w:t>
      </w:r>
      <w:r w:rsidRPr="00C454A1">
        <w:rPr>
          <w:rFonts w:eastAsia="Times New Roman" w:cs="Times New Roman"/>
          <w:color w:val="000000" w:themeColor="text1"/>
          <w:szCs w:val="28"/>
        </w:rPr>
        <w:t>n</w:t>
      </w:r>
      <w:r w:rsidR="00F328D0" w:rsidRPr="00C454A1">
        <w:rPr>
          <w:rFonts w:eastAsia="Times New Roman" w:cs="Times New Roman"/>
          <w:color w:val="000000" w:themeColor="text1"/>
          <w:szCs w:val="28"/>
        </w:rPr>
        <w:t xml:space="preserve">, principalmente, </w:t>
      </w:r>
      <w:r w:rsidRPr="00C454A1">
        <w:rPr>
          <w:rFonts w:eastAsia="Times New Roman" w:cs="Times New Roman"/>
          <w:color w:val="000000" w:themeColor="text1"/>
          <w:szCs w:val="28"/>
        </w:rPr>
        <w:t xml:space="preserve">de </w:t>
      </w:r>
      <w:r w:rsidR="00F328D0" w:rsidRPr="00C454A1">
        <w:rPr>
          <w:rFonts w:eastAsia="Times New Roman" w:cs="Times New Roman"/>
          <w:color w:val="000000" w:themeColor="text1"/>
          <w:szCs w:val="28"/>
        </w:rPr>
        <w:t xml:space="preserve">cuatro </w:t>
      </w:r>
      <w:r w:rsidRPr="00C454A1">
        <w:rPr>
          <w:rFonts w:eastAsia="Times New Roman" w:cs="Times New Roman"/>
          <w:color w:val="000000" w:themeColor="text1"/>
          <w:szCs w:val="28"/>
        </w:rPr>
        <w:t>fenómenos</w:t>
      </w:r>
      <w:r w:rsidR="00F328D0" w:rsidRPr="00C454A1">
        <w:rPr>
          <w:rFonts w:eastAsia="Times New Roman" w:cs="Times New Roman"/>
          <w:color w:val="000000" w:themeColor="text1"/>
          <w:szCs w:val="28"/>
        </w:rPr>
        <w:t>: (i)</w:t>
      </w:r>
      <w:r w:rsidR="00F328D0" w:rsidRPr="00C454A1">
        <w:rPr>
          <w:rFonts w:eastAsia="Times New Roman" w:cs="Times New Roman"/>
          <w:i/>
          <w:iCs/>
          <w:color w:val="000000" w:themeColor="text1"/>
          <w:szCs w:val="28"/>
        </w:rPr>
        <w:t xml:space="preserve"> </w:t>
      </w:r>
      <w:r w:rsidR="00F328D0" w:rsidRPr="00C454A1">
        <w:rPr>
          <w:rFonts w:eastAsia="Times New Roman" w:cs="Times New Roman"/>
          <w:color w:val="000000" w:themeColor="text1"/>
          <w:szCs w:val="28"/>
        </w:rPr>
        <w:t xml:space="preserve">la presencia del ELN, </w:t>
      </w:r>
      <w:r w:rsidR="00EE77DF" w:rsidRPr="00C454A1">
        <w:rPr>
          <w:rFonts w:eastAsia="Times New Roman" w:cs="Times New Roman"/>
          <w:color w:val="000000" w:themeColor="text1"/>
          <w:szCs w:val="28"/>
        </w:rPr>
        <w:t>GAO</w:t>
      </w:r>
      <w:r w:rsidR="00F328D0" w:rsidRPr="00C454A1">
        <w:rPr>
          <w:rFonts w:eastAsia="Times New Roman" w:cs="Times New Roman"/>
          <w:color w:val="000000" w:themeColor="text1"/>
          <w:szCs w:val="28"/>
        </w:rPr>
        <w:t xml:space="preserve"> y GDO, (ii) la concentración de cultivos ilícitos, (iii) el cumplimiento deficiente del PNIS y (iv)</w:t>
      </w:r>
      <w:r w:rsidR="00F328D0" w:rsidRPr="00C454A1">
        <w:rPr>
          <w:rFonts w:eastAsia="Times New Roman" w:cs="Times New Roman"/>
          <w:i/>
          <w:iCs/>
          <w:color w:val="000000" w:themeColor="text1"/>
          <w:szCs w:val="28"/>
        </w:rPr>
        <w:t xml:space="preserve"> </w:t>
      </w:r>
      <w:r w:rsidR="00F328D0" w:rsidRPr="00C454A1">
        <w:rPr>
          <w:rFonts w:eastAsia="Times New Roman" w:cs="Times New Roman"/>
          <w:color w:val="000000" w:themeColor="text1"/>
          <w:szCs w:val="28"/>
        </w:rPr>
        <w:t>los</w:t>
      </w:r>
      <w:r w:rsidR="00F328D0" w:rsidRPr="00C454A1">
        <w:rPr>
          <w:rFonts w:eastAsia="Times New Roman" w:cs="Times New Roman"/>
          <w:i/>
          <w:iCs/>
          <w:color w:val="000000" w:themeColor="text1"/>
          <w:szCs w:val="28"/>
        </w:rPr>
        <w:t xml:space="preserve"> </w:t>
      </w:r>
      <w:r w:rsidR="00F328D0" w:rsidRPr="00C454A1">
        <w:rPr>
          <w:rFonts w:eastAsia="Times New Roman" w:cs="Times New Roman"/>
          <w:color w:val="000000" w:themeColor="text1"/>
          <w:szCs w:val="28"/>
        </w:rPr>
        <w:t>altos índices de pobreza multidimensional y de necesidades básicas insatisfechas de la población en materia de salud, educación y acceso a servicios públicos básicos, entre otras</w:t>
      </w:r>
      <w:r w:rsidR="00F328D0" w:rsidRPr="00C454A1">
        <w:rPr>
          <w:rFonts w:eastAsia="Times New Roman" w:cs="Times New Roman"/>
          <w:i/>
          <w:iCs/>
          <w:color w:val="000000" w:themeColor="text1"/>
          <w:szCs w:val="28"/>
        </w:rPr>
        <w:t>.</w:t>
      </w:r>
    </w:p>
    <w:p w14:paraId="3862EDDF" w14:textId="77777777" w:rsidR="00F328D0" w:rsidRPr="00C454A1" w:rsidRDefault="00F328D0" w:rsidP="00F328D0">
      <w:pPr>
        <w:rPr>
          <w:rFonts w:eastAsia="Times New Roman" w:cs="Times New Roman"/>
          <w:color w:val="000000" w:themeColor="text1"/>
          <w:szCs w:val="28"/>
        </w:rPr>
      </w:pPr>
    </w:p>
    <w:p w14:paraId="0CBF32F4" w14:textId="687A274D" w:rsidR="00B216D1" w:rsidRPr="00C454A1" w:rsidRDefault="00B22687"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E</w:t>
      </w:r>
      <w:r w:rsidR="00F328D0" w:rsidRPr="00C454A1">
        <w:rPr>
          <w:rFonts w:eastAsia="Times New Roman" w:cs="Times New Roman"/>
          <w:color w:val="000000" w:themeColor="text1"/>
          <w:szCs w:val="28"/>
        </w:rPr>
        <w:t xml:space="preserve">l </w:t>
      </w:r>
      <w:r w:rsidR="007525E1" w:rsidRPr="00C454A1">
        <w:rPr>
          <w:rFonts w:eastAsia="Times New Roman" w:cs="Times New Roman"/>
          <w:color w:val="000000" w:themeColor="text1"/>
          <w:szCs w:val="28"/>
        </w:rPr>
        <w:t>Gobierno nacional</w:t>
      </w:r>
      <w:r w:rsidR="00F328D0" w:rsidRPr="00C454A1">
        <w:rPr>
          <w:rFonts w:eastAsia="Times New Roman" w:cs="Times New Roman"/>
          <w:color w:val="000000" w:themeColor="text1"/>
          <w:szCs w:val="28"/>
        </w:rPr>
        <w:t xml:space="preserve"> demostró que estos hechos </w:t>
      </w:r>
      <w:r w:rsidR="00F328D0" w:rsidRPr="00C454A1">
        <w:rPr>
          <w:rFonts w:cs="Times New Roman"/>
          <w:color w:val="000000" w:themeColor="text1"/>
          <w:szCs w:val="28"/>
          <w:lang w:eastAsia="es-ES"/>
        </w:rPr>
        <w:t>efectivamente</w:t>
      </w:r>
      <w:r w:rsidR="00F328D0" w:rsidRPr="00C454A1">
        <w:rPr>
          <w:rFonts w:eastAsia="Times New Roman" w:cs="Times New Roman"/>
          <w:color w:val="000000" w:themeColor="text1"/>
          <w:szCs w:val="28"/>
        </w:rPr>
        <w:t xml:space="preserve"> </w:t>
      </w:r>
      <w:r w:rsidR="009177F3" w:rsidRPr="00C454A1">
        <w:rPr>
          <w:rFonts w:eastAsia="Times New Roman" w:cs="Times New Roman"/>
          <w:color w:val="000000" w:themeColor="text1"/>
          <w:szCs w:val="28"/>
        </w:rPr>
        <w:t xml:space="preserve">han ocurrido </w:t>
      </w:r>
      <w:r w:rsidR="00F328D0" w:rsidRPr="00C454A1">
        <w:rPr>
          <w:rFonts w:eastAsia="Times New Roman" w:cs="Times New Roman"/>
          <w:color w:val="000000" w:themeColor="text1"/>
          <w:szCs w:val="28"/>
        </w:rPr>
        <w:t>y perturban el orden público en la región del Catatumbo</w:t>
      </w:r>
      <w:r w:rsidRPr="00C454A1">
        <w:rPr>
          <w:rFonts w:eastAsia="Times New Roman" w:cs="Times New Roman"/>
          <w:color w:val="000000" w:themeColor="text1"/>
          <w:szCs w:val="28"/>
        </w:rPr>
        <w:t>, como se desarrolla a continuación:</w:t>
      </w:r>
    </w:p>
    <w:p w14:paraId="1E1283A0" w14:textId="77777777" w:rsidR="00B216D1" w:rsidRPr="00C454A1" w:rsidRDefault="00B216D1" w:rsidP="00631C27">
      <w:pPr>
        <w:rPr>
          <w:rFonts w:eastAsia="Times New Roman" w:cs="Times New Roman"/>
          <w:color w:val="000000" w:themeColor="text1"/>
          <w:szCs w:val="28"/>
        </w:rPr>
      </w:pPr>
    </w:p>
    <w:p w14:paraId="47504174" w14:textId="78EB3277" w:rsidR="00B216D1" w:rsidRPr="00C454A1" w:rsidRDefault="00B216D1" w:rsidP="00307F2C">
      <w:pPr>
        <w:pStyle w:val="Prrafodelista"/>
        <w:numPr>
          <w:ilvl w:val="0"/>
          <w:numId w:val="5"/>
        </w:numPr>
        <w:ind w:left="709" w:hanging="567"/>
        <w:rPr>
          <w:rFonts w:eastAsia="Times New Roman" w:cs="Times New Roman"/>
          <w:b/>
          <w:bCs/>
          <w:color w:val="000000" w:themeColor="text1"/>
          <w:szCs w:val="28"/>
        </w:rPr>
      </w:pPr>
      <w:r w:rsidRPr="00C454A1">
        <w:rPr>
          <w:rFonts w:eastAsia="Times New Roman" w:cs="Times New Roman"/>
          <w:b/>
          <w:bCs/>
          <w:color w:val="000000" w:themeColor="text1"/>
          <w:szCs w:val="28"/>
        </w:rPr>
        <w:t xml:space="preserve">Presencia del ELN, </w:t>
      </w:r>
      <w:r w:rsidR="00EE77DF" w:rsidRPr="00C454A1">
        <w:rPr>
          <w:rFonts w:eastAsia="Times New Roman" w:cs="Times New Roman"/>
          <w:b/>
          <w:bCs/>
          <w:color w:val="000000" w:themeColor="text1"/>
          <w:szCs w:val="28"/>
        </w:rPr>
        <w:t>GAO</w:t>
      </w:r>
      <w:r w:rsidRPr="00C454A1">
        <w:rPr>
          <w:rFonts w:eastAsia="Times New Roman" w:cs="Times New Roman"/>
          <w:b/>
          <w:bCs/>
          <w:color w:val="000000" w:themeColor="text1"/>
          <w:szCs w:val="28"/>
        </w:rPr>
        <w:t xml:space="preserve"> y GDO en la región del Catatumbo </w:t>
      </w:r>
    </w:p>
    <w:p w14:paraId="6CEBDF0C" w14:textId="77777777" w:rsidR="00B216D1" w:rsidRPr="00C454A1" w:rsidRDefault="00B216D1" w:rsidP="00631C27">
      <w:pPr>
        <w:pStyle w:val="Prrafodelista"/>
        <w:ind w:left="0"/>
        <w:rPr>
          <w:rFonts w:eastAsia="Times New Roman" w:cs="Times New Roman"/>
          <w:color w:val="000000" w:themeColor="text1"/>
          <w:szCs w:val="28"/>
        </w:rPr>
      </w:pPr>
    </w:p>
    <w:p w14:paraId="2FD8BC62" w14:textId="09786479" w:rsidR="00B216D1" w:rsidRPr="00C454A1" w:rsidRDefault="00B216D1"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 En el acápite I de la parte motiva del Decreto 62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afirmó: </w:t>
      </w:r>
    </w:p>
    <w:p w14:paraId="28BFBA2B" w14:textId="77777777" w:rsidR="00B216D1" w:rsidRPr="00C454A1" w:rsidRDefault="00B216D1" w:rsidP="00631C27">
      <w:pPr>
        <w:pStyle w:val="Prrafodelista"/>
        <w:ind w:left="0"/>
        <w:rPr>
          <w:rFonts w:eastAsia="Times New Roman" w:cs="Times New Roman"/>
          <w:color w:val="000000" w:themeColor="text1"/>
          <w:szCs w:val="28"/>
        </w:rPr>
      </w:pPr>
    </w:p>
    <w:p w14:paraId="5E55D0CC" w14:textId="4DB85088" w:rsidR="00B216D1" w:rsidRPr="00C454A1" w:rsidRDefault="00B216D1" w:rsidP="00E550EB">
      <w:pPr>
        <w:pStyle w:val="NormalWeb"/>
        <w:shd w:val="clear" w:color="auto" w:fill="FFFFFF"/>
        <w:ind w:left="737" w:right="51"/>
        <w:rPr>
          <w:color w:val="000000" w:themeColor="text1"/>
          <w:sz w:val="26"/>
          <w:szCs w:val="26"/>
        </w:rPr>
      </w:pPr>
      <w:r w:rsidRPr="00C454A1">
        <w:rPr>
          <w:color w:val="000000" w:themeColor="text1"/>
          <w:sz w:val="26"/>
          <w:szCs w:val="26"/>
        </w:rPr>
        <w:t>“Que el Frente de Guerra Nororiental del Ejército de Liberación Nacional (ELN), los Grupos Armados Organizados residuales (</w:t>
      </w:r>
      <w:r w:rsidR="00EE77DF" w:rsidRPr="00C454A1">
        <w:rPr>
          <w:color w:val="000000" w:themeColor="text1"/>
          <w:sz w:val="26"/>
          <w:szCs w:val="26"/>
        </w:rPr>
        <w:t>GAO</w:t>
      </w:r>
      <w:r w:rsidRPr="00C454A1">
        <w:rPr>
          <w:color w:val="000000" w:themeColor="text1"/>
          <w:sz w:val="26"/>
          <w:szCs w:val="26"/>
        </w:rPr>
        <w:t>) Segunda Marquetalia y Estado Mayor Central, y el Grupo Delincuencial Organizado (GDO) conocido como los ‘Pelusos’ hacen presencia en la región del Catatumbo, y el grupo armado organizado Clan del Golfo intenta ingresar a la misma.</w:t>
      </w:r>
    </w:p>
    <w:p w14:paraId="1D37FF66" w14:textId="77777777" w:rsidR="00B216D1" w:rsidRPr="00C454A1" w:rsidRDefault="00B216D1" w:rsidP="00E550EB">
      <w:pPr>
        <w:pStyle w:val="NormalWeb"/>
        <w:shd w:val="clear" w:color="auto" w:fill="FFFFFF"/>
        <w:ind w:left="737" w:right="51"/>
        <w:rPr>
          <w:color w:val="000000" w:themeColor="text1"/>
          <w:sz w:val="26"/>
          <w:szCs w:val="26"/>
        </w:rPr>
      </w:pPr>
    </w:p>
    <w:p w14:paraId="084DA501" w14:textId="77777777" w:rsidR="00B216D1" w:rsidRPr="00C454A1" w:rsidRDefault="00B216D1" w:rsidP="00E550EB">
      <w:pPr>
        <w:pStyle w:val="NormalWeb"/>
        <w:shd w:val="clear" w:color="auto" w:fill="FFFFFF"/>
        <w:ind w:left="737" w:right="51"/>
        <w:rPr>
          <w:color w:val="000000" w:themeColor="text1"/>
          <w:sz w:val="26"/>
          <w:szCs w:val="26"/>
        </w:rPr>
      </w:pPr>
      <w:r w:rsidRPr="00C454A1">
        <w:rPr>
          <w:color w:val="000000" w:themeColor="text1"/>
          <w:sz w:val="26"/>
          <w:szCs w:val="26"/>
        </w:rPr>
        <w:t xml:space="preserve">Que los municipios de Río de Oro y González están ubicados al sur del departamento de Cesar y constituyen una de las puertas de entrada a la región del Catatumbo, siendo utilizada por el ELN para el tránsito de sus estructuras, víctimas de secuestro, rentas criminales, así como la comercialización y transporte de servicios, bienes e insumos utilizados para el financiamiento de </w:t>
      </w:r>
      <w:r w:rsidRPr="00C454A1">
        <w:rPr>
          <w:color w:val="000000" w:themeColor="text1"/>
          <w:sz w:val="26"/>
          <w:szCs w:val="26"/>
        </w:rPr>
        <w:lastRenderedPageBreak/>
        <w:t>sus actividades. Asimismo, en esos municipios se registra la influencia de redes de apoyo al ELN”.</w:t>
      </w:r>
    </w:p>
    <w:p w14:paraId="25BFCCA4" w14:textId="77777777" w:rsidR="00B216D1" w:rsidRPr="00C454A1" w:rsidRDefault="00B216D1" w:rsidP="00631C27">
      <w:pPr>
        <w:pStyle w:val="Prrafodelista"/>
        <w:ind w:left="0"/>
        <w:rPr>
          <w:rFonts w:eastAsia="Times New Roman" w:cs="Times New Roman"/>
          <w:color w:val="000000" w:themeColor="text1"/>
          <w:szCs w:val="28"/>
        </w:rPr>
      </w:pPr>
    </w:p>
    <w:p w14:paraId="4A1A68AC" w14:textId="4B38E7D9" w:rsidR="00B216D1" w:rsidRPr="00C454A1" w:rsidRDefault="00DB1768"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La Corte Constitucional considera que este hecho está probado. Junto con la radicación del decreto declaratorio, el DAPRE aportó informes y documentos</w:t>
      </w:r>
      <w:r w:rsidRPr="00C454A1">
        <w:rPr>
          <w:rStyle w:val="Refdenotaalpie"/>
          <w:rFonts w:eastAsia="Times New Roman" w:cs="Times New Roman"/>
          <w:color w:val="000000" w:themeColor="text1"/>
          <w:szCs w:val="28"/>
        </w:rPr>
        <w:footnoteReference w:id="145"/>
      </w:r>
      <w:r w:rsidRPr="00C454A1">
        <w:rPr>
          <w:rFonts w:eastAsia="Times New Roman" w:cs="Times New Roman"/>
          <w:color w:val="000000" w:themeColor="text1"/>
          <w:szCs w:val="28"/>
        </w:rPr>
        <w:t xml:space="preserve"> de las Fuerza Militares</w:t>
      </w:r>
      <w:r w:rsidRPr="00C454A1">
        <w:rPr>
          <w:rStyle w:val="Refdenotaalpie"/>
          <w:rFonts w:eastAsia="Times New Roman" w:cs="Times New Roman"/>
          <w:color w:val="000000" w:themeColor="text1"/>
          <w:szCs w:val="28"/>
        </w:rPr>
        <w:footnoteReference w:id="146"/>
      </w:r>
      <w:r w:rsidRPr="00C454A1">
        <w:rPr>
          <w:rFonts w:eastAsia="Times New Roman" w:cs="Times New Roman"/>
          <w:color w:val="000000" w:themeColor="text1"/>
          <w:szCs w:val="28"/>
        </w:rPr>
        <w:t xml:space="preserve"> y la Policía Nacional</w:t>
      </w:r>
      <w:r w:rsidRPr="00C454A1">
        <w:rPr>
          <w:rStyle w:val="Refdenotaalpie"/>
          <w:rFonts w:eastAsia="Times New Roman" w:cs="Times New Roman"/>
          <w:color w:val="000000" w:themeColor="text1"/>
          <w:szCs w:val="28"/>
        </w:rPr>
        <w:footnoteReference w:id="147"/>
      </w:r>
      <w:r w:rsidRPr="00C454A1">
        <w:rPr>
          <w:rFonts w:eastAsia="Times New Roman" w:cs="Times New Roman"/>
          <w:color w:val="000000" w:themeColor="text1"/>
          <w:szCs w:val="28"/>
        </w:rPr>
        <w:t xml:space="preserve"> que demuestran la presencia de estos grupos en la región del Catatumbo. Las intervenciones de los municipios de Sardinata</w:t>
      </w:r>
      <w:r w:rsidRPr="00C454A1">
        <w:rPr>
          <w:rStyle w:val="Refdenotaalpie"/>
          <w:rFonts w:eastAsia="Times New Roman" w:cs="Times New Roman"/>
          <w:color w:val="000000" w:themeColor="text1"/>
          <w:szCs w:val="28"/>
        </w:rPr>
        <w:footnoteReference w:id="148"/>
      </w:r>
      <w:r w:rsidRPr="00C454A1">
        <w:rPr>
          <w:rFonts w:eastAsia="Times New Roman" w:cs="Times New Roman"/>
          <w:color w:val="000000" w:themeColor="text1"/>
          <w:szCs w:val="28"/>
        </w:rPr>
        <w:t>, Playa de Belén</w:t>
      </w:r>
      <w:r w:rsidRPr="00C454A1">
        <w:rPr>
          <w:rStyle w:val="Refdenotaalpie"/>
          <w:rFonts w:eastAsia="Times New Roman" w:cs="Times New Roman"/>
          <w:color w:val="000000" w:themeColor="text1"/>
          <w:szCs w:val="28"/>
        </w:rPr>
        <w:footnoteReference w:id="149"/>
      </w:r>
      <w:r w:rsidRPr="00C454A1">
        <w:rPr>
          <w:rFonts w:eastAsia="Times New Roman" w:cs="Times New Roman"/>
          <w:color w:val="000000" w:themeColor="text1"/>
          <w:szCs w:val="28"/>
        </w:rPr>
        <w:t>, Tibú</w:t>
      </w:r>
      <w:r w:rsidRPr="00C454A1">
        <w:rPr>
          <w:rStyle w:val="Refdenotaalpie"/>
          <w:rFonts w:eastAsia="Times New Roman" w:cs="Times New Roman"/>
          <w:color w:val="000000" w:themeColor="text1"/>
          <w:szCs w:val="28"/>
        </w:rPr>
        <w:footnoteReference w:id="150"/>
      </w:r>
      <w:r w:rsidRPr="00C454A1">
        <w:rPr>
          <w:rFonts w:eastAsia="Times New Roman" w:cs="Times New Roman"/>
          <w:color w:val="000000" w:themeColor="text1"/>
          <w:szCs w:val="28"/>
        </w:rPr>
        <w:t>, González</w:t>
      </w:r>
      <w:r w:rsidRPr="00C454A1">
        <w:rPr>
          <w:rStyle w:val="Refdenotaalpie"/>
          <w:rFonts w:eastAsia="Times New Roman" w:cs="Times New Roman"/>
          <w:color w:val="000000" w:themeColor="text1"/>
          <w:szCs w:val="28"/>
        </w:rPr>
        <w:footnoteReference w:id="151"/>
      </w:r>
      <w:r w:rsidRPr="00C454A1">
        <w:rPr>
          <w:rFonts w:eastAsia="Times New Roman" w:cs="Times New Roman"/>
          <w:color w:val="000000" w:themeColor="text1"/>
          <w:szCs w:val="28"/>
        </w:rPr>
        <w:t>, El Tarra</w:t>
      </w:r>
      <w:r w:rsidRPr="00C454A1">
        <w:rPr>
          <w:rStyle w:val="Refdenotaalpie"/>
          <w:rFonts w:eastAsia="Times New Roman" w:cs="Times New Roman"/>
          <w:color w:val="000000" w:themeColor="text1"/>
          <w:szCs w:val="28"/>
        </w:rPr>
        <w:footnoteReference w:id="152"/>
      </w:r>
      <w:r w:rsidRPr="00C454A1">
        <w:rPr>
          <w:rFonts w:eastAsia="Times New Roman" w:cs="Times New Roman"/>
          <w:color w:val="000000" w:themeColor="text1"/>
          <w:szCs w:val="28"/>
        </w:rPr>
        <w:t>, Ocaña</w:t>
      </w:r>
      <w:r w:rsidRPr="00C454A1">
        <w:rPr>
          <w:rStyle w:val="Refdenotaalpie"/>
          <w:rFonts w:eastAsia="Times New Roman" w:cs="Times New Roman"/>
          <w:color w:val="000000" w:themeColor="text1"/>
          <w:szCs w:val="28"/>
        </w:rPr>
        <w:footnoteReference w:id="153"/>
      </w:r>
      <w:r w:rsidRPr="00C454A1">
        <w:rPr>
          <w:rFonts w:eastAsia="Times New Roman" w:cs="Times New Roman"/>
          <w:color w:val="000000" w:themeColor="text1"/>
          <w:szCs w:val="28"/>
        </w:rPr>
        <w:t>, Ábrego</w:t>
      </w:r>
      <w:r w:rsidRPr="00C454A1">
        <w:rPr>
          <w:rStyle w:val="Refdenotaalpie"/>
          <w:rFonts w:eastAsia="Times New Roman" w:cs="Times New Roman"/>
          <w:color w:val="000000" w:themeColor="text1"/>
          <w:szCs w:val="28"/>
        </w:rPr>
        <w:footnoteReference w:id="154"/>
      </w:r>
      <w:r w:rsidRPr="00C454A1">
        <w:rPr>
          <w:rFonts w:eastAsia="Times New Roman" w:cs="Times New Roman"/>
          <w:color w:val="000000" w:themeColor="text1"/>
          <w:szCs w:val="28"/>
        </w:rPr>
        <w:t>, el Carmen</w:t>
      </w:r>
      <w:r w:rsidRPr="00C454A1">
        <w:rPr>
          <w:rStyle w:val="Refdenotaalpie"/>
          <w:rFonts w:eastAsia="Times New Roman" w:cs="Times New Roman"/>
          <w:color w:val="000000" w:themeColor="text1"/>
          <w:szCs w:val="28"/>
        </w:rPr>
        <w:footnoteReference w:id="155"/>
      </w:r>
      <w:r w:rsidRPr="00C454A1">
        <w:rPr>
          <w:rFonts w:eastAsia="Times New Roman" w:cs="Times New Roman"/>
          <w:color w:val="000000" w:themeColor="text1"/>
          <w:szCs w:val="28"/>
        </w:rPr>
        <w:t xml:space="preserve"> y Hacarí</w:t>
      </w:r>
      <w:r w:rsidRPr="00C454A1">
        <w:rPr>
          <w:rStyle w:val="Refdenotaalpie"/>
          <w:rFonts w:eastAsia="Times New Roman" w:cs="Times New Roman"/>
          <w:color w:val="000000" w:themeColor="text1"/>
          <w:szCs w:val="28"/>
        </w:rPr>
        <w:footnoteReference w:id="156"/>
      </w:r>
      <w:r w:rsidRPr="00C454A1">
        <w:rPr>
          <w:rFonts w:eastAsia="Times New Roman" w:cs="Times New Roman"/>
          <w:color w:val="000000" w:themeColor="text1"/>
          <w:szCs w:val="28"/>
        </w:rPr>
        <w:t xml:space="preserve"> confirman esta información. Esta situación también ha sido documentada por el Centro Nacional de Memoria Histórica</w:t>
      </w:r>
      <w:r w:rsidRPr="00C454A1">
        <w:rPr>
          <w:rStyle w:val="Refdenotaalpie"/>
          <w:rFonts w:eastAsia="Times New Roman" w:cs="Times New Roman"/>
          <w:color w:val="000000" w:themeColor="text1"/>
          <w:szCs w:val="28"/>
        </w:rPr>
        <w:footnoteReference w:id="157"/>
      </w:r>
      <w:r w:rsidRPr="00C454A1">
        <w:rPr>
          <w:rFonts w:eastAsia="Times New Roman" w:cs="Times New Roman"/>
          <w:color w:val="000000" w:themeColor="text1"/>
          <w:szCs w:val="28"/>
        </w:rPr>
        <w:t>, la Comisión de la Verdad, la Defensoría del Pueblo y la Fundación Ideas para la Paz</w:t>
      </w:r>
      <w:r w:rsidRPr="00C454A1">
        <w:rPr>
          <w:rStyle w:val="Refdenotaalpie"/>
          <w:rFonts w:eastAsia="Times New Roman" w:cs="Times New Roman"/>
          <w:color w:val="000000" w:themeColor="text1"/>
          <w:szCs w:val="28"/>
        </w:rPr>
        <w:footnoteReference w:id="158"/>
      </w:r>
      <w:r w:rsidRPr="00C454A1">
        <w:rPr>
          <w:rFonts w:eastAsia="Times New Roman" w:cs="Times New Roman"/>
          <w:color w:val="000000" w:themeColor="text1"/>
          <w:szCs w:val="28"/>
        </w:rPr>
        <w:t xml:space="preserve">: </w:t>
      </w:r>
      <w:r w:rsidR="00B216D1" w:rsidRPr="00C454A1">
        <w:rPr>
          <w:rFonts w:eastAsia="Times New Roman" w:cs="Times New Roman"/>
          <w:color w:val="000000" w:themeColor="text1"/>
          <w:szCs w:val="28"/>
        </w:rPr>
        <w:t xml:space="preserve"> </w:t>
      </w:r>
    </w:p>
    <w:p w14:paraId="1E7D6F9E" w14:textId="77777777" w:rsidR="00E550EB" w:rsidRPr="00C454A1" w:rsidRDefault="00E550EB" w:rsidP="00631C27">
      <w:pPr>
        <w:pStyle w:val="Prrafodelista"/>
        <w:ind w:left="0"/>
        <w:rPr>
          <w:rFonts w:eastAsia="Times New Roman" w:cs="Times New Roman"/>
          <w:color w:val="000000" w:themeColor="text1"/>
          <w:szCs w:val="28"/>
        </w:rPr>
      </w:pPr>
    </w:p>
    <w:p w14:paraId="53E5140D" w14:textId="2646F6B4" w:rsidR="00E550EB" w:rsidRPr="00C454A1" w:rsidRDefault="00E550EB" w:rsidP="00E550EB">
      <w:pPr>
        <w:pStyle w:val="Prrafodelista"/>
        <w:ind w:left="0"/>
        <w:jc w:val="center"/>
        <w:rPr>
          <w:rFonts w:eastAsia="Times New Roman" w:cs="Times New Roman"/>
          <w:i/>
          <w:iCs/>
          <w:color w:val="000000" w:themeColor="text1"/>
          <w:sz w:val="22"/>
          <w:szCs w:val="22"/>
        </w:rPr>
      </w:pPr>
      <w:r w:rsidRPr="00C454A1">
        <w:rPr>
          <w:rFonts w:eastAsia="Times New Roman" w:cs="Times New Roman"/>
          <w:i/>
          <w:iCs/>
          <w:color w:val="000000" w:themeColor="text1"/>
          <w:sz w:val="22"/>
          <w:szCs w:val="22"/>
        </w:rPr>
        <w:t>Gráfica 3: presencia de grupos armados en la región del Catatumbo</w:t>
      </w:r>
    </w:p>
    <w:p w14:paraId="7BC0AEAA" w14:textId="34D77053" w:rsidR="00B216D1" w:rsidRPr="00C454A1" w:rsidRDefault="00792B82" w:rsidP="00631C27">
      <w:pPr>
        <w:pStyle w:val="Prrafodelista"/>
        <w:ind w:left="0"/>
        <w:jc w:val="center"/>
        <w:rPr>
          <w:rFonts w:eastAsia="Times New Roman" w:cs="Times New Roman"/>
          <w:color w:val="000000" w:themeColor="text1"/>
          <w:szCs w:val="28"/>
        </w:rPr>
      </w:pPr>
      <w:r w:rsidRPr="00792B82">
        <w:rPr>
          <w:rFonts w:eastAsia="Times New Roman" w:cs="Times New Roman"/>
          <w:noProof/>
          <w:color w:val="000000" w:themeColor="text1"/>
          <w:szCs w:val="28"/>
          <w:lang w:val="en-US"/>
        </w:rPr>
        <w:lastRenderedPageBreak/>
        <w:drawing>
          <wp:inline distT="0" distB="0" distL="0" distR="0" wp14:anchorId="47FCEA55" wp14:editId="53E1C4F2">
            <wp:extent cx="5613400" cy="2766060"/>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3400" cy="2766060"/>
                    </a:xfrm>
                    <a:prstGeom prst="rect">
                      <a:avLst/>
                    </a:prstGeom>
                  </pic:spPr>
                </pic:pic>
              </a:graphicData>
            </a:graphic>
          </wp:inline>
        </w:drawing>
      </w:r>
    </w:p>
    <w:p w14:paraId="29F99A15" w14:textId="77777777" w:rsidR="00B216D1" w:rsidRPr="00C454A1" w:rsidRDefault="00B216D1" w:rsidP="00631C27">
      <w:pPr>
        <w:pStyle w:val="Prrafodelista"/>
        <w:ind w:left="0"/>
        <w:rPr>
          <w:rFonts w:eastAsia="Times New Roman" w:cs="Times New Roman"/>
          <w:i/>
          <w:iCs/>
          <w:color w:val="000000" w:themeColor="text1"/>
          <w:szCs w:val="28"/>
        </w:rPr>
      </w:pPr>
    </w:p>
    <w:p w14:paraId="6AC799B2" w14:textId="2FE64990" w:rsidR="005C0AB3" w:rsidRPr="00C454A1" w:rsidRDefault="005C0AB3"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La Sala Plena resalta que</w:t>
      </w:r>
      <w:r w:rsidR="00C257C4"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en el escrito de intervención </w:t>
      </w:r>
      <w:r w:rsidR="009177F3" w:rsidRPr="00C454A1">
        <w:rPr>
          <w:rFonts w:eastAsia="Times New Roman" w:cs="Times New Roman"/>
          <w:color w:val="000000" w:themeColor="text1"/>
          <w:szCs w:val="28"/>
        </w:rPr>
        <w:t xml:space="preserve">en el </w:t>
      </w:r>
      <w:r w:rsidRPr="00C454A1">
        <w:rPr>
          <w:rFonts w:eastAsia="Times New Roman" w:cs="Times New Roman"/>
          <w:color w:val="000000" w:themeColor="text1"/>
          <w:szCs w:val="28"/>
        </w:rPr>
        <w:t xml:space="preserve">presente proceso, la Defensoría del Pueblo reportó que </w:t>
      </w:r>
      <w:r w:rsidRPr="00C454A1">
        <w:rPr>
          <w:rFonts w:cs="Times New Roman"/>
          <w:color w:val="000000" w:themeColor="text1"/>
          <w:szCs w:val="28"/>
        </w:rPr>
        <w:t>en la zona hacen presencia disidencias de las FARC, el ELN y otros GDO</w:t>
      </w:r>
      <w:r w:rsidRPr="00C454A1">
        <w:rPr>
          <w:rStyle w:val="Refdenotaalpie"/>
          <w:rFonts w:cs="Times New Roman"/>
          <w:color w:val="000000" w:themeColor="text1"/>
          <w:szCs w:val="28"/>
        </w:rPr>
        <w:footnoteReference w:id="159"/>
      </w:r>
      <w:r w:rsidRPr="00C454A1">
        <w:rPr>
          <w:rFonts w:eastAsia="Times New Roman" w:cs="Times New Roman"/>
          <w:color w:val="000000" w:themeColor="text1"/>
          <w:szCs w:val="28"/>
        </w:rPr>
        <w:t>. Además, aportó las alertas tempranas 050 de 2020, 009, 026 y 035 de 2023 y 021</w:t>
      </w:r>
      <w:r w:rsidRPr="00C454A1">
        <w:rPr>
          <w:rStyle w:val="Refdenotaalpie"/>
          <w:rFonts w:eastAsia="Times New Roman" w:cs="Times New Roman"/>
          <w:color w:val="000000" w:themeColor="text1"/>
          <w:szCs w:val="28"/>
        </w:rPr>
        <w:footnoteReference w:id="160"/>
      </w:r>
      <w:r w:rsidRPr="00C454A1">
        <w:rPr>
          <w:rFonts w:eastAsia="Times New Roman" w:cs="Times New Roman"/>
          <w:color w:val="000000" w:themeColor="text1"/>
          <w:szCs w:val="28"/>
        </w:rPr>
        <w:t xml:space="preserve">, 026 y 027 de 2024, en las cuales explicó la </w:t>
      </w:r>
      <w:r w:rsidRPr="00C454A1">
        <w:rPr>
          <w:rFonts w:cs="Times New Roman"/>
          <w:color w:val="000000" w:themeColor="text1"/>
          <w:szCs w:val="28"/>
          <w:lang w:eastAsia="es-ES"/>
        </w:rPr>
        <w:t>localización</w:t>
      </w:r>
      <w:r w:rsidRPr="00C454A1">
        <w:rPr>
          <w:rFonts w:eastAsia="Times New Roman" w:cs="Times New Roman"/>
          <w:color w:val="000000" w:themeColor="text1"/>
          <w:szCs w:val="28"/>
        </w:rPr>
        <w:t xml:space="preserve"> geográfica del riesgo e informó de los actores armados que hacen presencia en la región del Catatumbo, desde el año 2019 y, al menos, hasta la declaratoria del </w:t>
      </w:r>
      <w:r w:rsidR="00C61C0F" w:rsidRPr="00C454A1">
        <w:rPr>
          <w:rFonts w:eastAsia="Times New Roman" w:cs="Times New Roman"/>
          <w:color w:val="000000" w:themeColor="text1"/>
          <w:szCs w:val="28"/>
        </w:rPr>
        <w:t>e</w:t>
      </w:r>
      <w:r w:rsidRPr="00C454A1">
        <w:rPr>
          <w:rFonts w:eastAsia="Times New Roman" w:cs="Times New Roman"/>
          <w:color w:val="000000" w:themeColor="text1"/>
          <w:szCs w:val="28"/>
        </w:rPr>
        <w:t xml:space="preserve">stado de </w:t>
      </w:r>
      <w:r w:rsidR="00C61C0F" w:rsidRPr="00C454A1">
        <w:rPr>
          <w:rFonts w:eastAsia="Times New Roman" w:cs="Times New Roman"/>
          <w:color w:val="000000" w:themeColor="text1"/>
          <w:szCs w:val="28"/>
        </w:rPr>
        <w:t>c</w:t>
      </w:r>
      <w:r w:rsidRPr="00C454A1">
        <w:rPr>
          <w:rFonts w:eastAsia="Times New Roman" w:cs="Times New Roman"/>
          <w:color w:val="000000" w:themeColor="text1"/>
          <w:szCs w:val="28"/>
        </w:rPr>
        <w:t xml:space="preserve">onmoción </w:t>
      </w:r>
      <w:r w:rsidR="00C61C0F" w:rsidRPr="00C454A1">
        <w:rPr>
          <w:rFonts w:eastAsia="Times New Roman" w:cs="Times New Roman"/>
          <w:color w:val="000000" w:themeColor="text1"/>
          <w:szCs w:val="28"/>
        </w:rPr>
        <w:t>i</w:t>
      </w:r>
      <w:r w:rsidRPr="00C454A1">
        <w:rPr>
          <w:rFonts w:eastAsia="Times New Roman" w:cs="Times New Roman"/>
          <w:color w:val="000000" w:themeColor="text1"/>
          <w:szCs w:val="28"/>
        </w:rPr>
        <w:t>nterior</w:t>
      </w:r>
      <w:r w:rsidRPr="00C454A1">
        <w:rPr>
          <w:rStyle w:val="Refdenotaalpie"/>
          <w:rFonts w:eastAsia="Times New Roman" w:cs="Times New Roman"/>
          <w:color w:val="000000" w:themeColor="text1"/>
          <w:szCs w:val="28"/>
        </w:rPr>
        <w:footnoteReference w:id="161"/>
      </w:r>
      <w:r w:rsidRPr="00C454A1">
        <w:rPr>
          <w:rFonts w:eastAsia="Times New Roman" w:cs="Times New Roman"/>
          <w:color w:val="000000" w:themeColor="text1"/>
          <w:szCs w:val="28"/>
        </w:rPr>
        <w:t>.</w:t>
      </w:r>
    </w:p>
    <w:p w14:paraId="06603F19" w14:textId="77777777" w:rsidR="005C0AB3" w:rsidRPr="00C454A1" w:rsidRDefault="005C0AB3" w:rsidP="005C0AB3">
      <w:pPr>
        <w:rPr>
          <w:rFonts w:eastAsia="Times New Roman" w:cs="Times New Roman"/>
          <w:color w:val="000000" w:themeColor="text1"/>
          <w:szCs w:val="28"/>
        </w:rPr>
      </w:pPr>
    </w:p>
    <w:p w14:paraId="35615842" w14:textId="0C03165D" w:rsidR="005C0AB3" w:rsidRPr="00C454A1" w:rsidRDefault="005C0AB3"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 xml:space="preserve">La presencia de </w:t>
      </w:r>
      <w:r w:rsidRPr="00C454A1">
        <w:rPr>
          <w:rFonts w:cs="Times New Roman"/>
          <w:color w:val="000000" w:themeColor="text1"/>
          <w:szCs w:val="28"/>
        </w:rPr>
        <w:t>estos grupos organizados al margen de la ley</w:t>
      </w:r>
      <w:r w:rsidRPr="00C454A1">
        <w:rPr>
          <w:rFonts w:eastAsia="Times New Roman" w:cs="Times New Roman"/>
          <w:color w:val="000000" w:themeColor="text1"/>
          <w:szCs w:val="28"/>
        </w:rPr>
        <w:t xml:space="preserve"> ha sido una circunstancia desestabilizadora del orden público que ha afectado la seguridad y tranquilidad </w:t>
      </w:r>
      <w:r w:rsidRPr="00C454A1">
        <w:rPr>
          <w:rFonts w:cs="Times New Roman"/>
          <w:color w:val="000000" w:themeColor="text1"/>
          <w:szCs w:val="28"/>
        </w:rPr>
        <w:t xml:space="preserve">en la </w:t>
      </w:r>
      <w:r w:rsidRPr="00C454A1">
        <w:rPr>
          <w:rFonts w:cs="Times New Roman"/>
          <w:color w:val="000000" w:themeColor="text1"/>
          <w:szCs w:val="28"/>
          <w:lang w:eastAsia="es-ES"/>
        </w:rPr>
        <w:t>región</w:t>
      </w:r>
      <w:r w:rsidRPr="00C454A1">
        <w:rPr>
          <w:rFonts w:cs="Times New Roman"/>
          <w:color w:val="000000" w:themeColor="text1"/>
          <w:szCs w:val="28"/>
        </w:rPr>
        <w:t xml:space="preserve"> del Catatumbo</w:t>
      </w:r>
      <w:r w:rsidRPr="00C454A1">
        <w:rPr>
          <w:rFonts w:eastAsia="Times New Roman" w:cs="Times New Roman"/>
          <w:color w:val="000000" w:themeColor="text1"/>
          <w:szCs w:val="28"/>
        </w:rPr>
        <w:t xml:space="preserve">, al menos, en dos sentidos. Primero, en forma directa, porque, según lo informó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tales grupos </w:t>
      </w:r>
      <w:r w:rsidR="009177F3" w:rsidRPr="00C454A1">
        <w:rPr>
          <w:rFonts w:eastAsia="Times New Roman" w:cs="Times New Roman"/>
          <w:color w:val="000000" w:themeColor="text1"/>
          <w:szCs w:val="28"/>
        </w:rPr>
        <w:t>realizan</w:t>
      </w:r>
      <w:r w:rsidR="009177F3" w:rsidRPr="00C454A1">
        <w:rPr>
          <w:rFonts w:cs="Times New Roman"/>
          <w:color w:val="000000" w:themeColor="text1"/>
          <w:szCs w:val="28"/>
        </w:rPr>
        <w:t xml:space="preserve"> </w:t>
      </w:r>
      <w:r w:rsidRPr="00C454A1">
        <w:rPr>
          <w:rFonts w:cs="Times New Roman"/>
          <w:color w:val="000000" w:themeColor="text1"/>
          <w:szCs w:val="28"/>
        </w:rPr>
        <w:t>actividades que afectan a la población civil, como, por ejemplo, “secuestro extorsivo, extorsión a empresas multinacionales, asesinatos selectivos</w:t>
      </w:r>
      <w:r w:rsidR="00AE2B7F" w:rsidRPr="00C454A1">
        <w:rPr>
          <w:rFonts w:cs="Times New Roman"/>
          <w:color w:val="000000" w:themeColor="text1"/>
          <w:szCs w:val="28"/>
        </w:rPr>
        <w:t>,</w:t>
      </w:r>
      <w:r w:rsidRPr="00C454A1">
        <w:rPr>
          <w:rFonts w:cs="Times New Roman"/>
          <w:color w:val="000000" w:themeColor="text1"/>
          <w:szCs w:val="28"/>
        </w:rPr>
        <w:t xml:space="preserve"> control de rutas del narcotráfico, minería ilegal, reclutamiento forzado de niños, niñas y adolescentes, control de pasos no formales, contrabando y control de cultivos ilícitos”</w:t>
      </w:r>
      <w:r w:rsidRPr="00C454A1">
        <w:rPr>
          <w:rStyle w:val="Refdenotaalpie"/>
          <w:rFonts w:cs="Times New Roman"/>
          <w:color w:val="000000" w:themeColor="text1"/>
          <w:szCs w:val="28"/>
        </w:rPr>
        <w:footnoteReference w:id="162"/>
      </w:r>
      <w:r w:rsidRPr="00C454A1">
        <w:rPr>
          <w:rFonts w:cs="Times New Roman"/>
          <w:color w:val="000000" w:themeColor="text1"/>
          <w:szCs w:val="28"/>
        </w:rPr>
        <w:t>. Algunos de estos grupos también “imponen reglas de conducta a la comunidad, prohibiendo el libre tránsito en ciertos horarios, lugares y ejercen coerción a los campesinos para que cultiven hoja de coca”</w:t>
      </w:r>
      <w:r w:rsidRPr="00C454A1">
        <w:rPr>
          <w:rFonts w:cs="Times New Roman"/>
          <w:color w:val="000000" w:themeColor="text1"/>
          <w:szCs w:val="28"/>
          <w:vertAlign w:val="superscript"/>
        </w:rPr>
        <w:footnoteReference w:id="163"/>
      </w:r>
      <w:r w:rsidRPr="00C454A1">
        <w:rPr>
          <w:rFonts w:cs="Times New Roman"/>
          <w:color w:val="000000" w:themeColor="text1"/>
          <w:szCs w:val="28"/>
        </w:rPr>
        <w:t>.</w:t>
      </w:r>
    </w:p>
    <w:p w14:paraId="72839BF6" w14:textId="77777777" w:rsidR="005C0AB3" w:rsidRPr="00C454A1" w:rsidRDefault="005C0AB3" w:rsidP="005C0AB3">
      <w:pPr>
        <w:rPr>
          <w:rFonts w:eastAsia="Times New Roman" w:cs="Times New Roman"/>
          <w:color w:val="000000" w:themeColor="text1"/>
          <w:szCs w:val="28"/>
        </w:rPr>
      </w:pPr>
    </w:p>
    <w:p w14:paraId="17EFEA62" w14:textId="2A428C69" w:rsidR="00B216D1" w:rsidRPr="00C454A1" w:rsidRDefault="005C0AB3"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 xml:space="preserve">Por otra parte, </w:t>
      </w:r>
      <w:r w:rsidR="009177F3" w:rsidRPr="00C454A1">
        <w:rPr>
          <w:rFonts w:eastAsia="Times New Roman" w:cs="Times New Roman"/>
          <w:color w:val="000000" w:themeColor="text1"/>
          <w:szCs w:val="28"/>
        </w:rPr>
        <w:t xml:space="preserve">los </w:t>
      </w:r>
      <w:r w:rsidR="00EE77DF" w:rsidRPr="00C454A1">
        <w:rPr>
          <w:rFonts w:eastAsia="Times New Roman" w:cs="Times New Roman"/>
          <w:color w:val="000000" w:themeColor="text1"/>
          <w:szCs w:val="28"/>
        </w:rPr>
        <w:t>GAO</w:t>
      </w:r>
      <w:r w:rsidR="009177F3" w:rsidRPr="00C454A1">
        <w:rPr>
          <w:rFonts w:eastAsia="Times New Roman" w:cs="Times New Roman"/>
          <w:color w:val="000000" w:themeColor="text1"/>
          <w:szCs w:val="28"/>
        </w:rPr>
        <w:t xml:space="preserve"> y GDO afectan la seguridad y tranquilidad </w:t>
      </w:r>
      <w:r w:rsidRPr="00C454A1">
        <w:rPr>
          <w:rFonts w:eastAsia="Times New Roman" w:cs="Times New Roman"/>
          <w:color w:val="000000" w:themeColor="text1"/>
          <w:szCs w:val="28"/>
        </w:rPr>
        <w:t xml:space="preserve">en forma indirecta, pues entre estos grupos se presentan confrontaciones que afectan a la población civil. Los efectos de estas </w:t>
      </w:r>
      <w:r w:rsidRPr="00C454A1">
        <w:rPr>
          <w:rFonts w:cs="Times New Roman"/>
          <w:color w:val="000000" w:themeColor="text1"/>
          <w:szCs w:val="28"/>
          <w:lang w:eastAsia="es-ES"/>
        </w:rPr>
        <w:t>confrontaciones</w:t>
      </w:r>
      <w:r w:rsidRPr="00C454A1">
        <w:rPr>
          <w:rFonts w:eastAsia="Times New Roman" w:cs="Times New Roman"/>
          <w:color w:val="000000" w:themeColor="text1"/>
          <w:szCs w:val="28"/>
        </w:rPr>
        <w:t xml:space="preserve"> </w:t>
      </w:r>
      <w:r w:rsidRPr="00C454A1">
        <w:rPr>
          <w:rFonts w:cs="Times New Roman"/>
          <w:color w:val="000000" w:themeColor="text1"/>
          <w:szCs w:val="28"/>
        </w:rPr>
        <w:t xml:space="preserve">“fueron </w:t>
      </w:r>
      <w:r w:rsidRPr="00C454A1">
        <w:rPr>
          <w:rFonts w:cs="Times New Roman"/>
          <w:color w:val="000000" w:themeColor="text1"/>
          <w:szCs w:val="28"/>
        </w:rPr>
        <w:lastRenderedPageBreak/>
        <w:t>descritos entre los años 2019 a 2023 en diferentes documentos de advertencia”</w:t>
      </w:r>
      <w:r w:rsidRPr="00C454A1">
        <w:rPr>
          <w:rStyle w:val="Refdenotaalpie"/>
          <w:rFonts w:cs="Times New Roman"/>
          <w:color w:val="000000" w:themeColor="text1"/>
          <w:szCs w:val="28"/>
        </w:rPr>
        <w:footnoteReference w:id="164"/>
      </w:r>
      <w:r w:rsidRPr="00C454A1">
        <w:rPr>
          <w:rFonts w:cs="Times New Roman"/>
          <w:color w:val="000000" w:themeColor="text1"/>
          <w:szCs w:val="28"/>
        </w:rPr>
        <w:t xml:space="preserve"> proferidos por la Defensoría del Pueblo</w:t>
      </w:r>
      <w:r w:rsidRPr="00C454A1">
        <w:rPr>
          <w:rStyle w:val="Refdenotaalpie"/>
          <w:rFonts w:cs="Times New Roman"/>
          <w:color w:val="000000" w:themeColor="text1"/>
          <w:szCs w:val="28"/>
        </w:rPr>
        <w:footnoteReference w:id="165"/>
      </w:r>
      <w:r w:rsidRPr="00C454A1">
        <w:rPr>
          <w:rFonts w:cs="Times New Roman"/>
          <w:color w:val="000000" w:themeColor="text1"/>
          <w:szCs w:val="28"/>
        </w:rPr>
        <w:t>, por ejemplo, para los municipios de Teorama, Tibú y Ábrego, entre 2022 y 2025. Allí se presentaron combates que resultaron en homicidios de militares y de la población civil, desplazamientos forzados, secuestros y desapariciones forzadas</w:t>
      </w:r>
      <w:r w:rsidRPr="00C454A1">
        <w:rPr>
          <w:rStyle w:val="Refdenotaalpie"/>
          <w:rFonts w:cs="Times New Roman"/>
          <w:color w:val="000000" w:themeColor="text1"/>
          <w:szCs w:val="28"/>
        </w:rPr>
        <w:footnoteReference w:id="166"/>
      </w:r>
      <w:r w:rsidRPr="00C454A1">
        <w:rPr>
          <w:rFonts w:cs="Times New Roman"/>
          <w:color w:val="000000" w:themeColor="text1"/>
          <w:szCs w:val="28"/>
        </w:rPr>
        <w:t>. Los municipios de Sardinata y Ocaña</w:t>
      </w:r>
      <w:r w:rsidRPr="00C454A1">
        <w:rPr>
          <w:rStyle w:val="Refdenotaalpie"/>
          <w:rFonts w:cs="Times New Roman"/>
          <w:color w:val="000000" w:themeColor="text1"/>
          <w:szCs w:val="28"/>
        </w:rPr>
        <w:footnoteReference w:id="167"/>
      </w:r>
      <w:r w:rsidRPr="00C454A1">
        <w:rPr>
          <w:rFonts w:cs="Times New Roman"/>
          <w:color w:val="000000" w:themeColor="text1"/>
          <w:szCs w:val="28"/>
        </w:rPr>
        <w:t xml:space="preserve"> reportaron hechos similares. En el mismo sentido, la Alcaldía de González, Cesar, advirtió que estos grupos armados han mostrado su capacidad para realizar ataques </w:t>
      </w:r>
      <w:r w:rsidR="0036250E" w:rsidRPr="00C454A1">
        <w:rPr>
          <w:rFonts w:cs="Times New Roman"/>
          <w:color w:val="000000" w:themeColor="text1"/>
          <w:szCs w:val="28"/>
        </w:rPr>
        <w:t xml:space="preserve">(a) </w:t>
      </w:r>
      <w:r w:rsidRPr="00C454A1">
        <w:rPr>
          <w:rFonts w:cs="Times New Roman"/>
          <w:color w:val="000000" w:themeColor="text1"/>
          <w:szCs w:val="28"/>
        </w:rPr>
        <w:t>usando drones acondicionados con artefactos explosivos improvisados; (b) utilizado municiones de fabricación no convencional como parte de sus operaciones y prácticas armadas; (c) preparado vehículos acondicionados con explosivos para ejecutar ataques; (d) desplegado francotiradores por el territorio como una táctica de intimidación a la población, e (e) instalado minas antipersonales</w:t>
      </w:r>
      <w:r w:rsidRPr="00C454A1">
        <w:rPr>
          <w:rStyle w:val="Refdenotaalpie"/>
          <w:rFonts w:cs="Times New Roman"/>
          <w:color w:val="000000" w:themeColor="text1"/>
          <w:szCs w:val="28"/>
        </w:rPr>
        <w:footnoteReference w:id="168"/>
      </w:r>
      <w:r w:rsidRPr="00C454A1">
        <w:rPr>
          <w:rFonts w:cs="Times New Roman"/>
          <w:color w:val="000000" w:themeColor="text1"/>
          <w:szCs w:val="28"/>
        </w:rPr>
        <w:t>.</w:t>
      </w:r>
    </w:p>
    <w:p w14:paraId="69FF76D5" w14:textId="77777777" w:rsidR="00B216D1" w:rsidRPr="00C454A1" w:rsidRDefault="00B216D1" w:rsidP="00631C27">
      <w:pPr>
        <w:pStyle w:val="Prrafodelista"/>
        <w:ind w:left="0"/>
        <w:rPr>
          <w:rFonts w:eastAsia="Times New Roman" w:cs="Times New Roman"/>
          <w:color w:val="000000" w:themeColor="text1"/>
          <w:szCs w:val="28"/>
        </w:rPr>
      </w:pPr>
    </w:p>
    <w:p w14:paraId="087EC34A" w14:textId="77777777" w:rsidR="00B216D1" w:rsidRPr="00C454A1" w:rsidRDefault="00B216D1" w:rsidP="00307F2C">
      <w:pPr>
        <w:pStyle w:val="Prrafodelista"/>
        <w:numPr>
          <w:ilvl w:val="0"/>
          <w:numId w:val="5"/>
        </w:numPr>
        <w:ind w:left="709" w:hanging="567"/>
        <w:rPr>
          <w:rFonts w:eastAsia="Times New Roman" w:cs="Times New Roman"/>
          <w:b/>
          <w:bCs/>
          <w:color w:val="000000" w:themeColor="text1"/>
          <w:szCs w:val="28"/>
        </w:rPr>
      </w:pPr>
      <w:r w:rsidRPr="00C454A1">
        <w:rPr>
          <w:rFonts w:eastAsia="Times New Roman" w:cs="Times New Roman"/>
          <w:b/>
          <w:bCs/>
          <w:color w:val="000000" w:themeColor="text1"/>
          <w:szCs w:val="28"/>
        </w:rPr>
        <w:t xml:space="preserve">Concentración de cultivos ilícitos </w:t>
      </w:r>
    </w:p>
    <w:p w14:paraId="0216B5AB" w14:textId="77777777" w:rsidR="00B216D1" w:rsidRPr="00C454A1" w:rsidRDefault="00B216D1" w:rsidP="00631C27">
      <w:pPr>
        <w:pStyle w:val="Prrafodelista"/>
        <w:ind w:left="0"/>
        <w:rPr>
          <w:rFonts w:eastAsia="Times New Roman" w:cs="Times New Roman"/>
          <w:color w:val="000000" w:themeColor="text1"/>
          <w:szCs w:val="28"/>
        </w:rPr>
      </w:pPr>
    </w:p>
    <w:p w14:paraId="4C3ABF36" w14:textId="2DEF960E" w:rsidR="00B25479" w:rsidRPr="00C454A1" w:rsidRDefault="00B25479"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En el acápite I de la parte motiva del Decreto 62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afirm</w:t>
      </w:r>
      <w:r w:rsidR="00AA14A7" w:rsidRPr="00C454A1">
        <w:rPr>
          <w:rFonts w:eastAsia="Times New Roman" w:cs="Times New Roman"/>
          <w:color w:val="000000" w:themeColor="text1"/>
          <w:szCs w:val="28"/>
        </w:rPr>
        <w:t>a</w:t>
      </w:r>
      <w:r w:rsidRPr="00C454A1">
        <w:rPr>
          <w:rFonts w:eastAsia="Times New Roman" w:cs="Times New Roman"/>
          <w:color w:val="000000" w:themeColor="text1"/>
          <w:szCs w:val="28"/>
        </w:rPr>
        <w:t xml:space="preserve"> que: “[S]egún el reporte para 2023 del Sistema Integrado de Monitoreo de Cultivos Ilícitos (SIMCI), administrado por el Observatorio de Drogas de Colombia del Ministerio de Justicia y del Derecho, los municipios de Norte de Santander pertenecientes a la región del Catatumbo concentraban 43.178,86 hectáreas de cultivos de coca, de las cuales el 63,3 % (27.329,49 hectáreas) estaban ubicadas en los municipios de Sardinata y Tibú; así mismo, que, desde entonces, dichos cultivos se han incrementado, habida cuenta de la reactivación del mercado de la coca para fines ilícitos”. </w:t>
      </w:r>
    </w:p>
    <w:p w14:paraId="04C6544F" w14:textId="77777777" w:rsidR="00B25479" w:rsidRPr="00C454A1" w:rsidRDefault="00B25479" w:rsidP="00B25479">
      <w:pPr>
        <w:pStyle w:val="Prrafodelista"/>
        <w:ind w:left="0"/>
        <w:rPr>
          <w:rFonts w:eastAsia="Times New Roman" w:cs="Times New Roman"/>
          <w:color w:val="000000" w:themeColor="text1"/>
          <w:szCs w:val="28"/>
        </w:rPr>
      </w:pPr>
    </w:p>
    <w:p w14:paraId="653EA1C4" w14:textId="08F22D85" w:rsidR="00E550EB" w:rsidRPr="00C454A1" w:rsidRDefault="00B25479" w:rsidP="00631C27">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La Sala Plena constata que la histórica concentración de cultivos ilícitos en la región del Catatumbo es un hecho de público conocimiento que está probado en el expediente. El Ministerio de Justicia y del Derecho</w:t>
      </w:r>
      <w:r w:rsidRPr="00C454A1">
        <w:rPr>
          <w:rStyle w:val="Refdenotaalpie"/>
          <w:rFonts w:eastAsia="Times New Roman" w:cs="Times New Roman"/>
          <w:color w:val="000000" w:themeColor="text1"/>
          <w:szCs w:val="28"/>
        </w:rPr>
        <w:footnoteReference w:id="169"/>
      </w:r>
      <w:r w:rsidRPr="00C454A1">
        <w:rPr>
          <w:rFonts w:eastAsia="Times New Roman" w:cs="Times New Roman"/>
          <w:color w:val="000000" w:themeColor="text1"/>
          <w:szCs w:val="28"/>
        </w:rPr>
        <w:t xml:space="preserve"> aportó un informe que evidencia que, para el 2023, la región del Catatumbo concentraba el 17% del total nacional, </w:t>
      </w:r>
      <w:r w:rsidRPr="00C454A1">
        <w:rPr>
          <w:rFonts w:cs="Times New Roman"/>
          <w:color w:val="000000" w:themeColor="text1"/>
          <w:szCs w:val="28"/>
          <w:lang w:eastAsia="es-ES"/>
        </w:rPr>
        <w:t>con</w:t>
      </w:r>
      <w:r w:rsidRPr="00C454A1">
        <w:rPr>
          <w:rFonts w:eastAsia="Times New Roman" w:cs="Times New Roman"/>
          <w:color w:val="000000" w:themeColor="text1"/>
          <w:szCs w:val="28"/>
        </w:rPr>
        <w:t xml:space="preserve"> 43.867 hectáreas sembradas. El municipio con mayor concentración de cultivos ilícito es Tibú, especialmente, en las zonas cercanas a la frontera con Venezuela, los ríos Pato, Grande, Piedra y Vetas, así como en el P</w:t>
      </w:r>
      <w:r w:rsidR="00A971BB" w:rsidRPr="00C454A1">
        <w:rPr>
          <w:rFonts w:eastAsia="Times New Roman" w:cs="Times New Roman"/>
          <w:color w:val="000000" w:themeColor="text1"/>
          <w:szCs w:val="28"/>
        </w:rPr>
        <w:t>arque Nacional Natural</w:t>
      </w:r>
      <w:r w:rsidRPr="00C454A1">
        <w:rPr>
          <w:rFonts w:eastAsia="Times New Roman" w:cs="Times New Roman"/>
          <w:color w:val="000000" w:themeColor="text1"/>
          <w:szCs w:val="28"/>
        </w:rPr>
        <w:t xml:space="preserve"> </w:t>
      </w:r>
      <w:r w:rsidR="00FE28D2" w:rsidRPr="00C454A1">
        <w:rPr>
          <w:rFonts w:eastAsia="Times New Roman" w:cs="Times New Roman"/>
          <w:color w:val="000000" w:themeColor="text1"/>
          <w:szCs w:val="28"/>
        </w:rPr>
        <w:t xml:space="preserve">(PNN) </w:t>
      </w:r>
      <w:r w:rsidRPr="00C454A1">
        <w:rPr>
          <w:rFonts w:eastAsia="Times New Roman" w:cs="Times New Roman"/>
          <w:color w:val="000000" w:themeColor="text1"/>
          <w:szCs w:val="28"/>
        </w:rPr>
        <w:t>Catatumbo Barí y los resguardos indígenas Motilón Barí y Catalaura. Estas cifras coinciden con los datos y pruebas que fueron aportadas por el Ministerio de Ambiente y Desarrollo Sostenible</w:t>
      </w:r>
      <w:r w:rsidRPr="00C454A1">
        <w:rPr>
          <w:rStyle w:val="Refdenotaalpie"/>
          <w:rFonts w:eastAsia="Times New Roman" w:cs="Times New Roman"/>
          <w:color w:val="000000" w:themeColor="text1"/>
          <w:szCs w:val="28"/>
        </w:rPr>
        <w:footnoteReference w:id="170"/>
      </w:r>
      <w:r w:rsidRPr="00C454A1">
        <w:rPr>
          <w:rFonts w:eastAsia="Times New Roman" w:cs="Times New Roman"/>
          <w:color w:val="000000" w:themeColor="text1"/>
          <w:szCs w:val="28"/>
        </w:rPr>
        <w:t xml:space="preserve"> y el </w:t>
      </w:r>
      <w:r w:rsidR="00421547" w:rsidRPr="00C454A1">
        <w:rPr>
          <w:rFonts w:eastAsia="Times New Roman" w:cs="Times New Roman"/>
          <w:color w:val="000000" w:themeColor="text1"/>
          <w:szCs w:val="28"/>
        </w:rPr>
        <w:t>DNP</w:t>
      </w:r>
      <w:r w:rsidRPr="00C454A1">
        <w:rPr>
          <w:rStyle w:val="Refdenotaalpie"/>
          <w:rFonts w:eastAsia="Times New Roman" w:cs="Times New Roman"/>
          <w:color w:val="000000" w:themeColor="text1"/>
          <w:szCs w:val="28"/>
        </w:rPr>
        <w:footnoteReference w:id="171"/>
      </w:r>
      <w:r w:rsidRPr="00C454A1">
        <w:rPr>
          <w:rFonts w:eastAsia="Times New Roman" w:cs="Times New Roman"/>
          <w:color w:val="000000" w:themeColor="text1"/>
          <w:szCs w:val="28"/>
        </w:rPr>
        <w:t>.</w:t>
      </w:r>
      <w:r w:rsidR="00B216D1" w:rsidRPr="00C454A1">
        <w:rPr>
          <w:rFonts w:eastAsia="Times New Roman" w:cs="Times New Roman"/>
          <w:color w:val="000000" w:themeColor="text1"/>
          <w:szCs w:val="28"/>
        </w:rPr>
        <w:t xml:space="preserve"> </w:t>
      </w:r>
    </w:p>
    <w:p w14:paraId="1A1DBC10" w14:textId="77777777" w:rsidR="00E550EB" w:rsidRPr="00C454A1" w:rsidRDefault="00E550EB" w:rsidP="00631C27">
      <w:pPr>
        <w:pStyle w:val="Prrafodelista"/>
        <w:ind w:left="0"/>
        <w:rPr>
          <w:rFonts w:eastAsia="Times New Roman" w:cs="Times New Roman"/>
          <w:color w:val="000000" w:themeColor="text1"/>
          <w:szCs w:val="28"/>
        </w:rPr>
      </w:pPr>
    </w:p>
    <w:p w14:paraId="3DD75EB9" w14:textId="6CD5351E" w:rsidR="00E550EB" w:rsidRPr="00C454A1" w:rsidRDefault="00E550EB" w:rsidP="00E550EB">
      <w:pPr>
        <w:pStyle w:val="Prrafodelista"/>
        <w:ind w:left="0"/>
        <w:jc w:val="center"/>
        <w:rPr>
          <w:rFonts w:eastAsia="Times New Roman" w:cs="Times New Roman"/>
          <w:i/>
          <w:iCs/>
          <w:color w:val="000000" w:themeColor="text1"/>
          <w:sz w:val="22"/>
          <w:szCs w:val="22"/>
        </w:rPr>
      </w:pPr>
      <w:r w:rsidRPr="00C454A1">
        <w:rPr>
          <w:rFonts w:eastAsia="Times New Roman" w:cs="Times New Roman"/>
          <w:i/>
          <w:iCs/>
          <w:color w:val="000000" w:themeColor="text1"/>
          <w:sz w:val="22"/>
          <w:szCs w:val="22"/>
        </w:rPr>
        <w:t>Gráfica 4: mapa de concentración de cultivos de coca</w:t>
      </w:r>
    </w:p>
    <w:p w14:paraId="5608B741" w14:textId="77777777" w:rsidR="00B216D1" w:rsidRPr="00C454A1" w:rsidRDefault="00B216D1" w:rsidP="00631C27">
      <w:pPr>
        <w:pStyle w:val="Prrafodelista"/>
        <w:ind w:left="0"/>
        <w:jc w:val="center"/>
        <w:rPr>
          <w:rFonts w:eastAsia="Times New Roman" w:cs="Times New Roman"/>
          <w:color w:val="000000" w:themeColor="text1"/>
          <w:szCs w:val="28"/>
        </w:rPr>
      </w:pPr>
      <w:r w:rsidRPr="00C454A1">
        <w:rPr>
          <w:rFonts w:eastAsia="Times New Roman" w:cs="Times New Roman"/>
          <w:noProof/>
          <w:color w:val="000000" w:themeColor="text1"/>
          <w:szCs w:val="28"/>
          <w:lang w:val="en-US"/>
        </w:rPr>
        <w:lastRenderedPageBreak/>
        <w:drawing>
          <wp:inline distT="0" distB="0" distL="0" distR="0" wp14:anchorId="23A881A7" wp14:editId="128297BB">
            <wp:extent cx="2457100" cy="2552459"/>
            <wp:effectExtent l="0" t="0" r="635"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67151" cy="2562900"/>
                    </a:xfrm>
                    <a:prstGeom prst="rect">
                      <a:avLst/>
                    </a:prstGeom>
                  </pic:spPr>
                </pic:pic>
              </a:graphicData>
            </a:graphic>
          </wp:inline>
        </w:drawing>
      </w:r>
    </w:p>
    <w:p w14:paraId="276B2257" w14:textId="3397427D" w:rsidR="00B216D1" w:rsidRPr="00C454A1" w:rsidRDefault="00E550EB" w:rsidP="00631C27">
      <w:pPr>
        <w:pStyle w:val="Prrafodelista"/>
        <w:ind w:left="0"/>
        <w:jc w:val="center"/>
        <w:rPr>
          <w:rFonts w:eastAsia="Times New Roman" w:cs="Times New Roman"/>
          <w:color w:val="000000" w:themeColor="text1"/>
          <w:sz w:val="16"/>
          <w:szCs w:val="16"/>
        </w:rPr>
      </w:pPr>
      <w:r w:rsidRPr="00C454A1">
        <w:rPr>
          <w:rFonts w:eastAsia="Times New Roman" w:cs="Times New Roman"/>
          <w:i/>
          <w:iCs/>
          <w:color w:val="000000" w:themeColor="text1"/>
          <w:sz w:val="22"/>
          <w:szCs w:val="22"/>
        </w:rPr>
        <w:t xml:space="preserve">Fuente: </w:t>
      </w:r>
      <w:r w:rsidRPr="00C454A1">
        <w:rPr>
          <w:i/>
          <w:iCs/>
          <w:color w:val="000000" w:themeColor="text1"/>
          <w:sz w:val="22"/>
          <w:szCs w:val="22"/>
          <w:lang w:val="es-MX"/>
        </w:rPr>
        <w:t>Ministerio de Justicia y del Derecho. Informe ejecutivo de monitoreo de territorios con presencia de cultivos de coca 2023</w:t>
      </w:r>
      <w:r w:rsidR="00B216D1" w:rsidRPr="00C454A1">
        <w:rPr>
          <w:rStyle w:val="Refdenotaalpie"/>
          <w:rFonts w:eastAsia="Times New Roman" w:cs="Times New Roman"/>
          <w:color w:val="000000" w:themeColor="text1"/>
          <w:sz w:val="16"/>
          <w:szCs w:val="16"/>
        </w:rPr>
        <w:footnoteReference w:id="172"/>
      </w:r>
    </w:p>
    <w:p w14:paraId="54112265" w14:textId="77777777" w:rsidR="00B216D1" w:rsidRPr="00C454A1" w:rsidRDefault="00B216D1" w:rsidP="00631C27">
      <w:pPr>
        <w:pStyle w:val="Prrafodelista"/>
        <w:ind w:left="0"/>
        <w:rPr>
          <w:rFonts w:eastAsia="Times New Roman" w:cs="Times New Roman"/>
          <w:color w:val="000000" w:themeColor="text1"/>
          <w:szCs w:val="28"/>
        </w:rPr>
      </w:pPr>
    </w:p>
    <w:p w14:paraId="434E3E8F" w14:textId="3B77811E" w:rsidR="00D10AFE" w:rsidRPr="00C454A1" w:rsidRDefault="00D10AFE"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De acuerdo con las pruebas que aportó el DAPRE, el Ministerio de Defensa Nacional</w:t>
      </w:r>
      <w:r w:rsidR="00BF51C1" w:rsidRPr="00C454A1">
        <w:rPr>
          <w:rFonts w:eastAsia="Times New Roman" w:cs="Times New Roman"/>
          <w:color w:val="000000" w:themeColor="text1"/>
          <w:szCs w:val="28"/>
        </w:rPr>
        <w:t xml:space="preserve"> (MinDefensa)</w:t>
      </w:r>
      <w:r w:rsidRPr="00C454A1">
        <w:rPr>
          <w:rStyle w:val="Refdenotaalpie"/>
          <w:rFonts w:eastAsia="Times New Roman" w:cs="Times New Roman"/>
          <w:color w:val="000000" w:themeColor="text1"/>
          <w:szCs w:val="28"/>
        </w:rPr>
        <w:footnoteReference w:id="173"/>
      </w:r>
      <w:r w:rsidRPr="00C454A1">
        <w:rPr>
          <w:rFonts w:eastAsia="Times New Roman" w:cs="Times New Roman"/>
          <w:color w:val="000000" w:themeColor="text1"/>
          <w:szCs w:val="28"/>
        </w:rPr>
        <w:t xml:space="preserve"> y el Ministerio de Justicia y del Derecho</w:t>
      </w:r>
      <w:r w:rsidRPr="00C454A1">
        <w:rPr>
          <w:rStyle w:val="Refdenotaalpie"/>
          <w:rFonts w:eastAsia="Times New Roman" w:cs="Times New Roman"/>
          <w:color w:val="000000" w:themeColor="text1"/>
          <w:szCs w:val="28"/>
        </w:rPr>
        <w:footnoteReference w:id="174"/>
      </w:r>
      <w:r w:rsidR="00915B01"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con corte a 2024, se registraron 53.811 hectáreas en la región de Norte de Santander, de las cuales 52.786 están ubicadas en la región del Catatumbo</w:t>
      </w:r>
      <w:r w:rsidRPr="00C454A1">
        <w:rPr>
          <w:rStyle w:val="Refdenotaalpie"/>
          <w:rFonts w:eastAsia="Times New Roman" w:cs="Times New Roman"/>
          <w:color w:val="000000" w:themeColor="text1"/>
          <w:szCs w:val="28"/>
        </w:rPr>
        <w:footnoteReference w:id="175"/>
      </w:r>
      <w:r w:rsidRPr="00C454A1">
        <w:rPr>
          <w:rFonts w:eastAsia="Times New Roman" w:cs="Times New Roman"/>
          <w:color w:val="000000" w:themeColor="text1"/>
          <w:szCs w:val="28"/>
        </w:rPr>
        <w:t xml:space="preserve">. Esta información fue confirmada por </w:t>
      </w:r>
      <w:r w:rsidRPr="00C454A1">
        <w:rPr>
          <w:rFonts w:eastAsia="Times New Roman" w:cs="Times New Roman"/>
          <w:color w:val="000000" w:themeColor="text1"/>
          <w:kern w:val="0"/>
          <w:szCs w:val="28"/>
          <w:lang w:eastAsia="es-MX"/>
          <w14:ligatures w14:val="none"/>
        </w:rPr>
        <w:t xml:space="preserve">la Agencia de Renovación del Territorio </w:t>
      </w:r>
      <w:r w:rsidR="00BE72D8" w:rsidRPr="00C454A1">
        <w:rPr>
          <w:rFonts w:eastAsia="Times New Roman" w:cs="Times New Roman"/>
          <w:color w:val="000000" w:themeColor="text1"/>
          <w:kern w:val="0"/>
          <w:szCs w:val="28"/>
          <w:lang w:eastAsia="es-MX"/>
          <w14:ligatures w14:val="none"/>
        </w:rPr>
        <w:t xml:space="preserve">(ART) </w:t>
      </w:r>
      <w:r w:rsidRPr="00C454A1">
        <w:rPr>
          <w:rFonts w:eastAsia="Times New Roman" w:cs="Times New Roman"/>
          <w:color w:val="000000" w:themeColor="text1"/>
          <w:kern w:val="0"/>
          <w:szCs w:val="28"/>
          <w:lang w:eastAsia="es-MX"/>
          <w14:ligatures w14:val="none"/>
        </w:rPr>
        <w:t>quien aportó datos del SIMCI</w:t>
      </w:r>
      <w:r w:rsidRPr="00C454A1">
        <w:rPr>
          <w:rStyle w:val="Refdenotaalpie"/>
          <w:rFonts w:eastAsia="Times New Roman" w:cs="Times New Roman"/>
          <w:color w:val="000000" w:themeColor="text1"/>
          <w:kern w:val="0"/>
          <w:szCs w:val="28"/>
          <w:lang w:eastAsia="es-MX"/>
          <w14:ligatures w14:val="none"/>
        </w:rPr>
        <w:footnoteReference w:id="176"/>
      </w:r>
      <w:r w:rsidRPr="00C454A1">
        <w:rPr>
          <w:rFonts w:eastAsia="Times New Roman" w:cs="Times New Roman"/>
          <w:color w:val="000000" w:themeColor="text1"/>
          <w:kern w:val="0"/>
          <w:szCs w:val="28"/>
          <w:lang w:eastAsia="es-MX"/>
          <w14:ligatures w14:val="none"/>
        </w:rPr>
        <w:t xml:space="preserve">. A la fecha, la región del </w:t>
      </w:r>
      <w:r w:rsidRPr="00C454A1">
        <w:rPr>
          <w:rFonts w:cs="Times New Roman"/>
          <w:color w:val="000000" w:themeColor="text1"/>
          <w:szCs w:val="28"/>
          <w:lang w:eastAsia="es-ES"/>
        </w:rPr>
        <w:t>Catatumbo</w:t>
      </w:r>
      <w:r w:rsidRPr="00C454A1">
        <w:rPr>
          <w:rFonts w:eastAsia="Times New Roman" w:cs="Times New Roman"/>
          <w:color w:val="000000" w:themeColor="text1"/>
          <w:kern w:val="0"/>
          <w:szCs w:val="28"/>
          <w:lang w:eastAsia="es-MX"/>
          <w14:ligatures w14:val="none"/>
        </w:rPr>
        <w:t xml:space="preserve"> “es la segunda región del país con más cultivos de uso ilícito, después del Pacífico”</w:t>
      </w:r>
      <w:r w:rsidRPr="00C454A1">
        <w:rPr>
          <w:rStyle w:val="Refdenotaalpie"/>
          <w:rFonts w:eastAsia="Times New Roman" w:cs="Times New Roman"/>
          <w:color w:val="000000" w:themeColor="text1"/>
          <w:kern w:val="0"/>
          <w:szCs w:val="28"/>
          <w:lang w:eastAsia="es-MX"/>
          <w14:ligatures w14:val="none"/>
        </w:rPr>
        <w:footnoteReference w:id="177"/>
      </w:r>
      <w:r w:rsidRPr="00C454A1">
        <w:rPr>
          <w:rFonts w:eastAsia="Times New Roman" w:cs="Times New Roman"/>
          <w:color w:val="000000" w:themeColor="text1"/>
          <w:kern w:val="0"/>
          <w:szCs w:val="28"/>
          <w:lang w:eastAsia="es-MX"/>
          <w14:ligatures w14:val="none"/>
        </w:rPr>
        <w:t xml:space="preserve">. Según la </w:t>
      </w:r>
      <w:r w:rsidR="00803FA8" w:rsidRPr="00C454A1">
        <w:rPr>
          <w:rFonts w:eastAsia="Times New Roman" w:cs="Times New Roman"/>
          <w:color w:val="000000" w:themeColor="text1"/>
          <w:kern w:val="0"/>
          <w:szCs w:val="28"/>
          <w:lang w:eastAsia="es-MX"/>
          <w14:ligatures w14:val="none"/>
        </w:rPr>
        <w:t xml:space="preserve">Oficina de </w:t>
      </w:r>
      <w:r w:rsidR="00B97513" w:rsidRPr="00C454A1">
        <w:rPr>
          <w:rFonts w:eastAsia="Times New Roman" w:cs="Times New Roman"/>
          <w:color w:val="000000" w:themeColor="text1"/>
          <w:kern w:val="0"/>
          <w:szCs w:val="28"/>
          <w:lang w:eastAsia="es-MX"/>
          <w14:ligatures w14:val="none"/>
        </w:rPr>
        <w:t xml:space="preserve">las </w:t>
      </w:r>
      <w:r w:rsidR="00803FA8" w:rsidRPr="00C454A1">
        <w:rPr>
          <w:rFonts w:eastAsia="Times New Roman" w:cs="Times New Roman"/>
          <w:color w:val="000000" w:themeColor="text1"/>
          <w:kern w:val="0"/>
          <w:szCs w:val="28"/>
          <w:lang w:eastAsia="es-MX"/>
          <w14:ligatures w14:val="none"/>
        </w:rPr>
        <w:t>Naciones Unidas contra la Droga y el Delito</w:t>
      </w:r>
      <w:r w:rsidR="005F3E34" w:rsidRPr="00C454A1">
        <w:rPr>
          <w:rFonts w:eastAsia="Times New Roman" w:cs="Times New Roman"/>
          <w:color w:val="000000" w:themeColor="text1"/>
          <w:kern w:val="0"/>
          <w:szCs w:val="28"/>
          <w:lang w:eastAsia="es-MX"/>
          <w14:ligatures w14:val="none"/>
        </w:rPr>
        <w:t xml:space="preserve"> (UNODC</w:t>
      </w:r>
      <w:r w:rsidR="00803FA8" w:rsidRPr="00C454A1">
        <w:rPr>
          <w:rFonts w:eastAsia="Times New Roman" w:cs="Times New Roman"/>
          <w:color w:val="000000" w:themeColor="text1"/>
          <w:kern w:val="0"/>
          <w:szCs w:val="28"/>
          <w:lang w:eastAsia="es-MX"/>
          <w14:ligatures w14:val="none"/>
        </w:rPr>
        <w:t>)</w:t>
      </w:r>
      <w:r w:rsidRPr="00C454A1">
        <w:rPr>
          <w:rFonts w:eastAsia="Times New Roman" w:cs="Times New Roman"/>
          <w:color w:val="000000" w:themeColor="text1"/>
          <w:kern w:val="0"/>
          <w:szCs w:val="28"/>
          <w:lang w:eastAsia="es-MX"/>
          <w14:ligatures w14:val="none"/>
        </w:rPr>
        <w:t>, “43 centros poblados estaban en enclaves productivos de coca, incluido El Tarra como cabecera municipal, lo que representa un desafío para la intervención institucional”</w:t>
      </w:r>
      <w:r w:rsidRPr="00C454A1">
        <w:rPr>
          <w:rStyle w:val="Refdenotaalpie"/>
          <w:rFonts w:eastAsia="Times New Roman" w:cs="Times New Roman"/>
          <w:color w:val="000000" w:themeColor="text1"/>
          <w:kern w:val="0"/>
          <w:szCs w:val="28"/>
          <w:lang w:eastAsia="es-MX"/>
          <w14:ligatures w14:val="none"/>
        </w:rPr>
        <w:footnoteReference w:id="178"/>
      </w:r>
      <w:r w:rsidRPr="00C454A1">
        <w:rPr>
          <w:rFonts w:eastAsia="Times New Roman" w:cs="Times New Roman"/>
          <w:color w:val="000000" w:themeColor="text1"/>
          <w:kern w:val="0"/>
          <w:szCs w:val="28"/>
          <w:lang w:eastAsia="es-MX"/>
          <w14:ligatures w14:val="none"/>
        </w:rPr>
        <w:t>.</w:t>
      </w:r>
    </w:p>
    <w:p w14:paraId="227DA2DB" w14:textId="77777777" w:rsidR="00B216D1" w:rsidRPr="00C454A1" w:rsidRDefault="00B216D1" w:rsidP="00D10AFE">
      <w:pPr>
        <w:rPr>
          <w:rFonts w:eastAsia="Times New Roman" w:cs="Times New Roman"/>
          <w:color w:val="000000" w:themeColor="text1"/>
          <w:szCs w:val="28"/>
        </w:rPr>
      </w:pPr>
    </w:p>
    <w:p w14:paraId="48DD65A1" w14:textId="52A3E718" w:rsidR="00B216D1" w:rsidRPr="00C454A1" w:rsidRDefault="00B216D1" w:rsidP="00307F2C">
      <w:pPr>
        <w:pStyle w:val="Prrafodelista"/>
        <w:numPr>
          <w:ilvl w:val="0"/>
          <w:numId w:val="5"/>
        </w:numPr>
        <w:jc w:val="left"/>
        <w:rPr>
          <w:rStyle w:val="normaltextrun"/>
          <w:rFonts w:eastAsia="Times New Roman" w:cs="Times New Roman"/>
          <w:b/>
          <w:bCs/>
          <w:color w:val="000000" w:themeColor="text1"/>
          <w:szCs w:val="28"/>
        </w:rPr>
      </w:pPr>
      <w:r w:rsidRPr="00C454A1">
        <w:rPr>
          <w:rFonts w:eastAsia="Times New Roman" w:cs="Times New Roman"/>
          <w:b/>
          <w:bCs/>
          <w:color w:val="000000" w:themeColor="text1"/>
          <w:szCs w:val="28"/>
        </w:rPr>
        <w:t xml:space="preserve">Deficiencias e incumplimiento del </w:t>
      </w:r>
      <w:r w:rsidR="00FE28D2" w:rsidRPr="00C454A1">
        <w:rPr>
          <w:rFonts w:eastAsia="Times New Roman" w:cs="Times New Roman"/>
          <w:b/>
          <w:bCs/>
          <w:color w:val="000000" w:themeColor="text1"/>
          <w:szCs w:val="28"/>
        </w:rPr>
        <w:t>Programa Nacional Integral de Sustitución</w:t>
      </w:r>
      <w:r w:rsidR="00F50136" w:rsidRPr="00C454A1">
        <w:rPr>
          <w:rFonts w:eastAsia="Times New Roman" w:cs="Times New Roman"/>
          <w:b/>
          <w:bCs/>
          <w:color w:val="000000" w:themeColor="text1"/>
          <w:szCs w:val="28"/>
        </w:rPr>
        <w:t xml:space="preserve"> de Cultivos (PNIS)</w:t>
      </w:r>
    </w:p>
    <w:p w14:paraId="7090A28F" w14:textId="77777777" w:rsidR="00B216D1" w:rsidRPr="00C454A1" w:rsidRDefault="00B216D1" w:rsidP="00631C27">
      <w:pPr>
        <w:pStyle w:val="Prrafodelista"/>
        <w:ind w:left="0"/>
        <w:rPr>
          <w:rFonts w:eastAsia="Times New Roman" w:cs="Times New Roman"/>
          <w:color w:val="000000" w:themeColor="text1"/>
          <w:szCs w:val="28"/>
        </w:rPr>
      </w:pPr>
    </w:p>
    <w:p w14:paraId="1F8B2CB8" w14:textId="6D0DA9E7" w:rsidR="00D51509" w:rsidRPr="00C454A1" w:rsidRDefault="005A59EE"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En la parte motiva del Decreto 62 de 2025</w:t>
      </w:r>
      <w:r w:rsidR="00B97513"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afirmó que la implementación del </w:t>
      </w:r>
      <w:r w:rsidR="00BE72D8" w:rsidRPr="00C454A1">
        <w:rPr>
          <w:rFonts w:eastAsia="Times New Roman" w:cs="Times New Roman"/>
          <w:color w:val="000000" w:themeColor="text1"/>
          <w:szCs w:val="28"/>
        </w:rPr>
        <w:t>PNIS</w:t>
      </w:r>
      <w:r w:rsidRPr="00C454A1">
        <w:rPr>
          <w:rFonts w:eastAsia="Times New Roman" w:cs="Times New Roman"/>
          <w:color w:val="000000" w:themeColor="text1"/>
          <w:szCs w:val="28"/>
        </w:rPr>
        <w:t xml:space="preserve"> en la región del </w:t>
      </w:r>
      <w:r w:rsidRPr="00C454A1">
        <w:rPr>
          <w:rFonts w:cs="Times New Roman"/>
          <w:color w:val="000000" w:themeColor="text1"/>
          <w:szCs w:val="28"/>
          <w:lang w:eastAsia="es-ES"/>
        </w:rPr>
        <w:t>Catatumbo</w:t>
      </w:r>
      <w:r w:rsidRPr="00C454A1">
        <w:rPr>
          <w:rFonts w:eastAsia="Times New Roman" w:cs="Times New Roman"/>
          <w:color w:val="000000" w:themeColor="text1"/>
          <w:szCs w:val="28"/>
        </w:rPr>
        <w:t>, particularmente en Sardinata y Tibú, ha sido insuficiente. Al respecto, señal</w:t>
      </w:r>
      <w:r w:rsidR="00325FEF" w:rsidRPr="00C454A1">
        <w:rPr>
          <w:rFonts w:eastAsia="Times New Roman" w:cs="Times New Roman"/>
          <w:color w:val="000000" w:themeColor="text1"/>
          <w:szCs w:val="28"/>
        </w:rPr>
        <w:t>ó</w:t>
      </w:r>
      <w:r w:rsidRPr="00C454A1">
        <w:rPr>
          <w:rFonts w:eastAsia="Times New Roman" w:cs="Times New Roman"/>
          <w:color w:val="000000" w:themeColor="text1"/>
          <w:szCs w:val="28"/>
        </w:rPr>
        <w:t xml:space="preserve"> que </w:t>
      </w:r>
      <w:r w:rsidR="0010230D" w:rsidRPr="00C454A1">
        <w:rPr>
          <w:rFonts w:eastAsia="Times New Roman" w:cs="Times New Roman"/>
          <w:color w:val="000000" w:themeColor="text1"/>
          <w:szCs w:val="28"/>
        </w:rPr>
        <w:t xml:space="preserve">dicho programa </w:t>
      </w:r>
      <w:r w:rsidRPr="00C454A1">
        <w:rPr>
          <w:rFonts w:cs="Times New Roman"/>
          <w:color w:val="000000" w:themeColor="text1"/>
          <w:szCs w:val="28"/>
        </w:rPr>
        <w:t xml:space="preserve">“reglamentado por el Decreto Ley 896 de 2017, fue inicialmente focalizado </w:t>
      </w:r>
      <w:r w:rsidR="00B03799" w:rsidRPr="00C454A1">
        <w:rPr>
          <w:rFonts w:cs="Times New Roman"/>
          <w:color w:val="000000" w:themeColor="text1"/>
          <w:szCs w:val="28"/>
        </w:rPr>
        <w:t>en</w:t>
      </w:r>
      <w:r w:rsidRPr="00C454A1">
        <w:rPr>
          <w:rFonts w:cs="Times New Roman"/>
          <w:color w:val="000000" w:themeColor="text1"/>
          <w:szCs w:val="28"/>
        </w:rPr>
        <w:t xml:space="preserve"> la región del Catatumbo, en los municipios de Sardinata y Tibú. </w:t>
      </w:r>
      <w:r w:rsidRPr="00C454A1">
        <w:rPr>
          <w:rFonts w:cs="Times New Roman"/>
          <w:color w:val="000000" w:themeColor="text1"/>
          <w:szCs w:val="28"/>
        </w:rPr>
        <w:lastRenderedPageBreak/>
        <w:t>Conforme a su enfoque familiar, el PNIS vinculó a 2.328 núcleos familiares en las categorías de cultivadores, no cultivadores y recolectores, quienes realizaron la erradicación voluntaria de 1.157 hectáreas de coca”. Sin embargo, “este esfuerzo ha resultado insuficiente para atender la magnitud del problema y requiere una ampliación significativa en su alcance y efectividad”.</w:t>
      </w:r>
    </w:p>
    <w:p w14:paraId="4BBD6B81" w14:textId="77777777" w:rsidR="00D51509" w:rsidRPr="00C454A1" w:rsidRDefault="00D51509" w:rsidP="00D51509">
      <w:pPr>
        <w:rPr>
          <w:rFonts w:eastAsia="Times New Roman" w:cs="Times New Roman"/>
          <w:i/>
          <w:iCs/>
          <w:color w:val="000000" w:themeColor="text1"/>
          <w:szCs w:val="28"/>
        </w:rPr>
      </w:pPr>
    </w:p>
    <w:p w14:paraId="16A5D5DE" w14:textId="5EC13636" w:rsidR="00B216D1" w:rsidRPr="00C454A1" w:rsidRDefault="005A59EE"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La Sala Plena considera que las deficiencias e incumplimiento del PNIS está</w:t>
      </w:r>
      <w:r w:rsidR="00B03799" w:rsidRPr="00C454A1">
        <w:rPr>
          <w:rFonts w:eastAsia="Times New Roman" w:cs="Times New Roman"/>
          <w:color w:val="000000" w:themeColor="text1"/>
          <w:szCs w:val="28"/>
        </w:rPr>
        <w:t>n</w:t>
      </w:r>
      <w:r w:rsidRPr="00C454A1">
        <w:rPr>
          <w:rFonts w:eastAsia="Times New Roman" w:cs="Times New Roman"/>
          <w:color w:val="000000" w:themeColor="text1"/>
          <w:szCs w:val="28"/>
        </w:rPr>
        <w:t xml:space="preserve"> probado</w:t>
      </w:r>
      <w:r w:rsidR="00B03799" w:rsidRPr="00C454A1">
        <w:rPr>
          <w:rFonts w:eastAsia="Times New Roman" w:cs="Times New Roman"/>
          <w:color w:val="000000" w:themeColor="text1"/>
          <w:szCs w:val="28"/>
        </w:rPr>
        <w:t>s</w:t>
      </w:r>
      <w:r w:rsidRPr="00C454A1">
        <w:rPr>
          <w:rFonts w:eastAsia="Times New Roman" w:cs="Times New Roman"/>
          <w:color w:val="000000" w:themeColor="text1"/>
          <w:szCs w:val="28"/>
        </w:rPr>
        <w:t xml:space="preserve">. La </w:t>
      </w:r>
      <w:r w:rsidR="00325FEF" w:rsidRPr="00C454A1">
        <w:rPr>
          <w:rFonts w:eastAsia="Times New Roman" w:cs="Times New Roman"/>
          <w:color w:val="000000" w:themeColor="text1"/>
          <w:szCs w:val="28"/>
        </w:rPr>
        <w:t>ART</w:t>
      </w:r>
      <w:r w:rsidR="003D4F3C" w:rsidRPr="00C454A1">
        <w:rPr>
          <w:rFonts w:eastAsia="Times New Roman" w:cs="Times New Roman"/>
          <w:color w:val="000000" w:themeColor="text1"/>
          <w:szCs w:val="28"/>
        </w:rPr>
        <w:t xml:space="preserve"> </w:t>
      </w:r>
      <w:r w:rsidRPr="00C454A1">
        <w:rPr>
          <w:rFonts w:eastAsia="Times New Roman" w:cs="Times New Roman"/>
          <w:color w:val="000000" w:themeColor="text1"/>
          <w:szCs w:val="28"/>
        </w:rPr>
        <w:t xml:space="preserve">informó que </w:t>
      </w:r>
      <w:r w:rsidR="008261D3" w:rsidRPr="00C454A1">
        <w:rPr>
          <w:rFonts w:eastAsia="Times New Roman" w:cs="Times New Roman"/>
          <w:color w:val="000000" w:themeColor="text1"/>
          <w:szCs w:val="28"/>
        </w:rPr>
        <w:t xml:space="preserve">el </w:t>
      </w:r>
      <w:r w:rsidRPr="00C454A1">
        <w:rPr>
          <w:rFonts w:eastAsia="Times New Roman" w:cs="Times New Roman"/>
          <w:color w:val="000000" w:themeColor="text1"/>
          <w:szCs w:val="28"/>
        </w:rPr>
        <w:t>cumplimiento del PNIS es deficiente, puesto que 1</w:t>
      </w:r>
      <w:r w:rsidR="00325FEF" w:rsidRPr="00C454A1">
        <w:rPr>
          <w:rFonts w:eastAsia="Times New Roman" w:cs="Times New Roman"/>
          <w:color w:val="000000" w:themeColor="text1"/>
          <w:szCs w:val="28"/>
        </w:rPr>
        <w:t>.</w:t>
      </w:r>
      <w:r w:rsidRPr="00C454A1">
        <w:rPr>
          <w:rFonts w:eastAsia="Times New Roman" w:cs="Times New Roman"/>
          <w:color w:val="000000" w:themeColor="text1"/>
          <w:szCs w:val="28"/>
        </w:rPr>
        <w:t>578 núcleos familiares, lo que equivale a más del 90% de los beneficiarios, no han recibido el componente de autosostenimiento y seguridad alimentaria</w:t>
      </w:r>
      <w:r w:rsidRPr="00C454A1">
        <w:rPr>
          <w:rStyle w:val="Refdenotaalpie"/>
          <w:rFonts w:eastAsia="Times New Roman" w:cs="Times New Roman"/>
          <w:color w:val="000000" w:themeColor="text1"/>
          <w:szCs w:val="28"/>
        </w:rPr>
        <w:footnoteReference w:id="179"/>
      </w:r>
      <w:r w:rsidRPr="00C454A1">
        <w:rPr>
          <w:rFonts w:eastAsia="Times New Roman" w:cs="Times New Roman"/>
          <w:color w:val="000000" w:themeColor="text1"/>
          <w:szCs w:val="28"/>
        </w:rPr>
        <w:t xml:space="preserve">. En el </w:t>
      </w:r>
      <w:r w:rsidRPr="00C454A1">
        <w:rPr>
          <w:rFonts w:cs="Times New Roman"/>
          <w:color w:val="000000" w:themeColor="text1"/>
          <w:szCs w:val="28"/>
          <w:lang w:eastAsia="es-ES"/>
        </w:rPr>
        <w:t>mismo</w:t>
      </w:r>
      <w:r w:rsidRPr="00C454A1">
        <w:rPr>
          <w:rFonts w:eastAsia="Times New Roman" w:cs="Times New Roman"/>
          <w:color w:val="000000" w:themeColor="text1"/>
          <w:szCs w:val="28"/>
        </w:rPr>
        <w:t xml:space="preserve"> sentido, el </w:t>
      </w:r>
      <w:r w:rsidR="00325FEF" w:rsidRPr="00C454A1">
        <w:rPr>
          <w:rFonts w:eastAsia="Times New Roman" w:cs="Times New Roman"/>
          <w:color w:val="000000" w:themeColor="text1"/>
          <w:szCs w:val="28"/>
        </w:rPr>
        <w:t>DNP</w:t>
      </w:r>
      <w:r w:rsidRPr="00C454A1">
        <w:rPr>
          <w:rFonts w:eastAsia="Times New Roman" w:cs="Times New Roman"/>
          <w:color w:val="000000" w:themeColor="text1"/>
          <w:szCs w:val="28"/>
        </w:rPr>
        <w:t xml:space="preserve"> refirió que “luego de cinco años de implementación del PNIS, un 44,6% de las familias no cuentan con un proyecto productivo de ciclo corto, mientras que el 97,6% no cuentan con uno de ciclo largo”. A </w:t>
      </w:r>
      <w:r w:rsidR="00325FEF" w:rsidRPr="00C454A1">
        <w:rPr>
          <w:rFonts w:eastAsia="Times New Roman" w:cs="Times New Roman"/>
          <w:color w:val="000000" w:themeColor="text1"/>
          <w:szCs w:val="28"/>
        </w:rPr>
        <w:t xml:space="preserve">su </w:t>
      </w:r>
      <w:r w:rsidRPr="00C454A1">
        <w:rPr>
          <w:rFonts w:eastAsia="Times New Roman" w:cs="Times New Roman"/>
          <w:color w:val="000000" w:themeColor="text1"/>
          <w:szCs w:val="28"/>
        </w:rPr>
        <w:t>juicio,</w:t>
      </w:r>
      <w:r w:rsidRPr="00C454A1">
        <w:rPr>
          <w:rFonts w:eastAsia="Times New Roman" w:cs="Times New Roman"/>
          <w:i/>
          <w:iCs/>
          <w:color w:val="000000" w:themeColor="text1"/>
          <w:szCs w:val="28"/>
        </w:rPr>
        <w:t xml:space="preserve"> </w:t>
      </w:r>
      <w:r w:rsidRPr="00C454A1">
        <w:rPr>
          <w:rFonts w:eastAsia="Times New Roman" w:cs="Times New Roman"/>
          <w:color w:val="000000" w:themeColor="text1"/>
          <w:szCs w:val="28"/>
        </w:rPr>
        <w:t>el incumplimiento se deriva de, entre otras</w:t>
      </w:r>
      <w:r w:rsidR="00F842E0" w:rsidRPr="00C454A1">
        <w:rPr>
          <w:rFonts w:eastAsia="Times New Roman" w:cs="Times New Roman"/>
          <w:color w:val="000000" w:themeColor="text1"/>
          <w:szCs w:val="28"/>
        </w:rPr>
        <w:t xml:space="preserve"> causas</w:t>
      </w:r>
      <w:r w:rsidRPr="00C454A1">
        <w:rPr>
          <w:rFonts w:eastAsia="Times New Roman" w:cs="Times New Roman"/>
          <w:color w:val="000000" w:themeColor="text1"/>
          <w:szCs w:val="28"/>
        </w:rPr>
        <w:t>: (i)</w:t>
      </w:r>
      <w:r w:rsidRPr="00C454A1">
        <w:rPr>
          <w:rFonts w:eastAsia="Times New Roman" w:cs="Times New Roman"/>
          <w:i/>
          <w:iCs/>
          <w:color w:val="000000" w:themeColor="text1"/>
          <w:szCs w:val="28"/>
        </w:rPr>
        <w:t xml:space="preserve"> </w:t>
      </w:r>
      <w:r w:rsidRPr="00C454A1">
        <w:rPr>
          <w:rFonts w:eastAsia="Times New Roman" w:cs="Times New Roman"/>
          <w:color w:val="000000" w:themeColor="text1"/>
          <w:szCs w:val="28"/>
        </w:rPr>
        <w:t xml:space="preserve">la existencia de información inexacta y contradictoria en las bases de datos de las entidades del orden nacional y territorial, respecto de los beneficiarios; (ii) las entregas parciales y desarticuladas del componente </w:t>
      </w:r>
      <w:r w:rsidR="00B03799" w:rsidRPr="00C454A1">
        <w:rPr>
          <w:rFonts w:eastAsia="Times New Roman" w:cs="Times New Roman"/>
          <w:color w:val="000000" w:themeColor="text1"/>
          <w:szCs w:val="28"/>
        </w:rPr>
        <w:t xml:space="preserve">de </w:t>
      </w:r>
      <w:r w:rsidRPr="00C454A1">
        <w:rPr>
          <w:rFonts w:eastAsia="Times New Roman" w:cs="Times New Roman"/>
          <w:color w:val="000000" w:themeColor="text1"/>
          <w:szCs w:val="28"/>
        </w:rPr>
        <w:t xml:space="preserve">seguridad alimentaria y (iii) la falta de apoyo </w:t>
      </w:r>
      <w:r w:rsidR="008261D3" w:rsidRPr="00C454A1">
        <w:rPr>
          <w:rFonts w:eastAsia="Times New Roman" w:cs="Times New Roman"/>
          <w:color w:val="000000" w:themeColor="text1"/>
          <w:szCs w:val="28"/>
        </w:rPr>
        <w:t xml:space="preserve">a </w:t>
      </w:r>
      <w:r w:rsidRPr="00C454A1">
        <w:rPr>
          <w:rFonts w:eastAsia="Times New Roman" w:cs="Times New Roman"/>
          <w:color w:val="000000" w:themeColor="text1"/>
          <w:szCs w:val="28"/>
        </w:rPr>
        <w:t>las iniciativas comunitarias de producción colectiva</w:t>
      </w:r>
      <w:r w:rsidRPr="00C454A1">
        <w:rPr>
          <w:rStyle w:val="Refdenotaalpie"/>
          <w:rFonts w:eastAsia="Times New Roman" w:cs="Times New Roman"/>
          <w:color w:val="000000" w:themeColor="text1"/>
          <w:szCs w:val="28"/>
        </w:rPr>
        <w:footnoteReference w:id="180"/>
      </w:r>
      <w:r w:rsidRPr="00C454A1">
        <w:rPr>
          <w:rFonts w:eastAsia="Times New Roman" w:cs="Times New Roman"/>
          <w:color w:val="000000" w:themeColor="text1"/>
          <w:szCs w:val="28"/>
        </w:rPr>
        <w:t>. Algunas intervenciones corroboraron este diagnóstico</w:t>
      </w:r>
      <w:r w:rsidRPr="00C454A1">
        <w:rPr>
          <w:rStyle w:val="Refdenotaalpie"/>
          <w:rFonts w:eastAsia="Times New Roman" w:cs="Times New Roman"/>
          <w:color w:val="000000" w:themeColor="text1"/>
          <w:szCs w:val="28"/>
        </w:rPr>
        <w:footnoteReference w:id="181"/>
      </w:r>
      <w:r w:rsidRPr="00C454A1">
        <w:rPr>
          <w:rFonts w:eastAsia="Times New Roman" w:cs="Times New Roman"/>
          <w:color w:val="000000" w:themeColor="text1"/>
          <w:szCs w:val="28"/>
        </w:rPr>
        <w:t>.</w:t>
      </w:r>
      <w:r w:rsidRPr="00C454A1">
        <w:rPr>
          <w:rFonts w:eastAsia="Times New Roman" w:cs="Times New Roman"/>
          <w:i/>
          <w:iCs/>
          <w:color w:val="000000" w:themeColor="text1"/>
          <w:szCs w:val="28"/>
        </w:rPr>
        <w:t xml:space="preserve"> </w:t>
      </w:r>
      <w:r w:rsidRPr="00C454A1">
        <w:rPr>
          <w:rFonts w:eastAsia="Times New Roman" w:cs="Times New Roman"/>
          <w:color w:val="000000" w:themeColor="text1"/>
          <w:szCs w:val="28"/>
        </w:rPr>
        <w:t xml:space="preserve">Asimismo, la Sala Plena advierte que el incumplimiento del PNIS en la región del Catatumbo </w:t>
      </w:r>
      <w:r w:rsidR="00325FEF" w:rsidRPr="00C454A1">
        <w:rPr>
          <w:rFonts w:eastAsia="Times New Roman" w:cs="Times New Roman"/>
          <w:color w:val="000000" w:themeColor="text1"/>
          <w:szCs w:val="28"/>
        </w:rPr>
        <w:t>fue</w:t>
      </w:r>
      <w:r w:rsidRPr="00C454A1">
        <w:rPr>
          <w:rFonts w:eastAsia="Times New Roman" w:cs="Times New Roman"/>
          <w:color w:val="000000" w:themeColor="text1"/>
          <w:szCs w:val="28"/>
        </w:rPr>
        <w:t xml:space="preserve"> constatado por la Corte Constitucional en la </w:t>
      </w:r>
      <w:r w:rsidR="004A4E53" w:rsidRPr="00C454A1">
        <w:rPr>
          <w:rFonts w:eastAsia="Times New Roman" w:cs="Times New Roman"/>
          <w:color w:val="000000" w:themeColor="text1"/>
          <w:szCs w:val="28"/>
        </w:rPr>
        <w:t>S</w:t>
      </w:r>
      <w:r w:rsidRPr="00C454A1">
        <w:rPr>
          <w:rFonts w:eastAsia="Times New Roman" w:cs="Times New Roman"/>
          <w:color w:val="000000" w:themeColor="text1"/>
          <w:szCs w:val="28"/>
        </w:rPr>
        <w:t>entencia SU-545 de 2023.</w:t>
      </w:r>
    </w:p>
    <w:p w14:paraId="01BD31D1" w14:textId="77777777" w:rsidR="005A59EE" w:rsidRPr="00C454A1" w:rsidRDefault="005A59EE" w:rsidP="005A59EE">
      <w:pPr>
        <w:pStyle w:val="Prrafodelista"/>
        <w:ind w:left="0"/>
        <w:rPr>
          <w:rFonts w:eastAsia="Times New Roman" w:cs="Times New Roman"/>
          <w:color w:val="000000" w:themeColor="text1"/>
          <w:szCs w:val="28"/>
        </w:rPr>
      </w:pPr>
    </w:p>
    <w:p w14:paraId="730A67CF" w14:textId="499F2A0F" w:rsidR="00B216D1" w:rsidRPr="00C454A1" w:rsidRDefault="00B216D1" w:rsidP="00307F2C">
      <w:pPr>
        <w:pStyle w:val="Prrafodelista"/>
        <w:numPr>
          <w:ilvl w:val="0"/>
          <w:numId w:val="5"/>
        </w:numPr>
        <w:ind w:left="709"/>
        <w:rPr>
          <w:rFonts w:eastAsia="Times New Roman" w:cs="Times New Roman"/>
          <w:b/>
          <w:bCs/>
          <w:color w:val="000000" w:themeColor="text1"/>
          <w:szCs w:val="28"/>
        </w:rPr>
      </w:pPr>
      <w:r w:rsidRPr="00C454A1">
        <w:rPr>
          <w:rFonts w:eastAsia="Times New Roman" w:cs="Times New Roman"/>
          <w:b/>
          <w:bCs/>
          <w:color w:val="000000" w:themeColor="text1"/>
          <w:szCs w:val="28"/>
        </w:rPr>
        <w:t xml:space="preserve">Altos índices de pobreza y necesidades básicas insatisfechas asociadas a la precaria institucionalidad y la dependencia </w:t>
      </w:r>
      <w:r w:rsidR="00E07640" w:rsidRPr="00C454A1">
        <w:rPr>
          <w:rFonts w:eastAsia="Times New Roman" w:cs="Times New Roman"/>
          <w:b/>
          <w:bCs/>
          <w:color w:val="000000" w:themeColor="text1"/>
          <w:szCs w:val="28"/>
        </w:rPr>
        <w:t>de</w:t>
      </w:r>
      <w:r w:rsidRPr="00C454A1">
        <w:rPr>
          <w:rFonts w:eastAsia="Times New Roman" w:cs="Times New Roman"/>
          <w:b/>
          <w:bCs/>
          <w:color w:val="000000" w:themeColor="text1"/>
          <w:szCs w:val="28"/>
        </w:rPr>
        <w:t xml:space="preserve"> economías ilícitas </w:t>
      </w:r>
    </w:p>
    <w:p w14:paraId="713D58F2" w14:textId="77777777" w:rsidR="00B216D1" w:rsidRPr="00C454A1" w:rsidRDefault="00B216D1" w:rsidP="00631C27">
      <w:pPr>
        <w:pStyle w:val="Prrafodelista"/>
        <w:rPr>
          <w:rFonts w:eastAsia="Times New Roman" w:cs="Times New Roman"/>
          <w:color w:val="000000" w:themeColor="text1"/>
          <w:szCs w:val="28"/>
        </w:rPr>
      </w:pPr>
    </w:p>
    <w:p w14:paraId="598A39B8" w14:textId="110B51E6" w:rsidR="00B216D1" w:rsidRPr="00C454A1" w:rsidRDefault="00594138"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 xml:space="preserve">En la parte motiva del Decreto 62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resaltó que la región del Catatumbo se </w:t>
      </w:r>
      <w:r w:rsidRPr="00C454A1">
        <w:rPr>
          <w:rFonts w:cs="Times New Roman"/>
          <w:color w:val="000000" w:themeColor="text1"/>
          <w:szCs w:val="28"/>
          <w:lang w:eastAsia="es-ES"/>
        </w:rPr>
        <w:t>caracteriza</w:t>
      </w:r>
      <w:r w:rsidRPr="00C454A1">
        <w:rPr>
          <w:rFonts w:eastAsia="Times New Roman" w:cs="Times New Roman"/>
          <w:color w:val="000000" w:themeColor="text1"/>
          <w:szCs w:val="28"/>
        </w:rPr>
        <w:t xml:space="preserve"> por altos índices de necesidades básicas insatisfechas, pobreza extrema y una precaria oferta institucional que impide “superar las causas del conflicto”. Como anexo al Decreto 62 de 2025, el DAPRE adjuntó un informe en el que el DNP diagnostica la situación socio-económica de la región del Catatumbo. La siguiente tabla sintetiza la información relevante de este informe:  </w:t>
      </w:r>
      <w:r w:rsidR="00B216D1" w:rsidRPr="00C454A1">
        <w:rPr>
          <w:rFonts w:eastAsia="Times New Roman" w:cs="Times New Roman"/>
          <w:color w:val="000000" w:themeColor="text1"/>
          <w:szCs w:val="28"/>
        </w:rPr>
        <w:t xml:space="preserve">  </w:t>
      </w:r>
    </w:p>
    <w:p w14:paraId="2AA6C914" w14:textId="77777777" w:rsidR="00E550EB" w:rsidRPr="00C454A1" w:rsidRDefault="00E550EB" w:rsidP="00E550EB">
      <w:pPr>
        <w:rPr>
          <w:rFonts w:eastAsia="Times New Roman" w:cs="Times New Roman"/>
          <w:i/>
          <w:iCs/>
          <w:color w:val="000000" w:themeColor="text1"/>
          <w:szCs w:val="28"/>
        </w:rPr>
      </w:pPr>
    </w:p>
    <w:p w14:paraId="26D520C9" w14:textId="2825F716" w:rsidR="00B216D1" w:rsidRPr="00C454A1" w:rsidRDefault="00E550EB" w:rsidP="00915B01">
      <w:pPr>
        <w:pStyle w:val="Prrafodelista"/>
        <w:ind w:left="0"/>
        <w:jc w:val="center"/>
        <w:rPr>
          <w:rFonts w:eastAsia="Times New Roman" w:cs="Times New Roman"/>
          <w:i/>
          <w:iCs/>
          <w:color w:val="000000" w:themeColor="text1"/>
          <w:sz w:val="22"/>
          <w:szCs w:val="22"/>
        </w:rPr>
      </w:pPr>
      <w:r w:rsidRPr="00C454A1">
        <w:rPr>
          <w:rFonts w:eastAsia="Times New Roman" w:cs="Times New Roman"/>
          <w:i/>
          <w:iCs/>
          <w:color w:val="000000" w:themeColor="text1"/>
          <w:sz w:val="22"/>
          <w:szCs w:val="22"/>
        </w:rPr>
        <w:t>Tabla 4: Necesidades básicas insatisfechas en la región del Catatumbo</w:t>
      </w:r>
    </w:p>
    <w:tbl>
      <w:tblPr>
        <w:tblStyle w:val="Tablaconcuadrcula"/>
        <w:tblW w:w="5000" w:type="pct"/>
        <w:tblLook w:val="04A0" w:firstRow="1" w:lastRow="0" w:firstColumn="1" w:lastColumn="0" w:noHBand="0" w:noVBand="1"/>
      </w:tblPr>
      <w:tblGrid>
        <w:gridCol w:w="1683"/>
        <w:gridCol w:w="7147"/>
      </w:tblGrid>
      <w:tr w:rsidR="00C454A1" w:rsidRPr="00C454A1" w14:paraId="186A09DC" w14:textId="77777777" w:rsidTr="00792B82">
        <w:tc>
          <w:tcPr>
            <w:tcW w:w="5000" w:type="pct"/>
            <w:gridSpan w:val="2"/>
            <w:shd w:val="clear" w:color="auto" w:fill="D9D9D9" w:themeFill="background1" w:themeFillShade="D9"/>
          </w:tcPr>
          <w:p w14:paraId="3F220D6E" w14:textId="77777777" w:rsidR="002151C2" w:rsidRPr="00C454A1" w:rsidRDefault="002151C2" w:rsidP="00EE77DF">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Necesidades básicas insatisfechas en la región del Catatumbo</w:t>
            </w:r>
          </w:p>
        </w:tc>
      </w:tr>
      <w:tr w:rsidR="00C454A1" w:rsidRPr="00C454A1" w14:paraId="4C68B4B5" w14:textId="77777777" w:rsidTr="00792B82">
        <w:tc>
          <w:tcPr>
            <w:tcW w:w="953" w:type="pct"/>
            <w:shd w:val="clear" w:color="auto" w:fill="D9D9D9" w:themeFill="background1" w:themeFillShade="D9"/>
            <w:vAlign w:val="center"/>
          </w:tcPr>
          <w:p w14:paraId="211A0039" w14:textId="77777777" w:rsidR="002151C2" w:rsidRPr="00C454A1" w:rsidRDefault="002151C2" w:rsidP="002151C2">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Índices de pobreza</w:t>
            </w:r>
          </w:p>
        </w:tc>
        <w:tc>
          <w:tcPr>
            <w:tcW w:w="4047" w:type="pct"/>
          </w:tcPr>
          <w:p w14:paraId="7D8758DB" w14:textId="0264098D" w:rsidR="002151C2" w:rsidRPr="00C454A1" w:rsidRDefault="002151C2" w:rsidP="00EE77DF">
            <w:pPr>
              <w:pStyle w:val="Prrafodelista"/>
              <w:ind w:left="0"/>
              <w:rPr>
                <w:rFonts w:eastAsia="Times New Roman" w:cs="Times New Roman"/>
                <w:color w:val="000000" w:themeColor="text1"/>
                <w:sz w:val="22"/>
                <w:szCs w:val="22"/>
              </w:rPr>
            </w:pPr>
            <w:r w:rsidRPr="00C454A1">
              <w:rPr>
                <w:rFonts w:eastAsia="Times New Roman" w:cs="Times New Roman"/>
                <w:color w:val="000000" w:themeColor="text1"/>
                <w:sz w:val="22"/>
                <w:szCs w:val="22"/>
              </w:rPr>
              <w:t>En las zonas rurales del Catatumbo, la pobreza extrema alcanza el 58,9%, un porcentaje alarmante frente al promedio nacional de Colombia, que fue del 27,8% en 2015. En el departamento de Norte de Santander, “este indicador asciende al 46,7%, superando el promedio nacional por 12,2%”. En la región del Catatumbo se encuentran registradas 351.000 personas en el SISBEN IV, distribuidas en más de 132.000 hogares. De esta población, el 46% vive en situación de pobreza multidimensional. Del total de la población en situación de pobreza, el 57.6% se encuentra en situación de pobreza extrema</w:t>
            </w:r>
            <w:r w:rsidR="004A4E53" w:rsidRPr="00C454A1">
              <w:rPr>
                <w:rFonts w:eastAsia="Times New Roman" w:cs="Times New Roman"/>
                <w:color w:val="000000" w:themeColor="text1"/>
                <w:sz w:val="22"/>
                <w:szCs w:val="22"/>
              </w:rPr>
              <w:t>,</w:t>
            </w:r>
            <w:r w:rsidRPr="00C454A1">
              <w:rPr>
                <w:rFonts w:eastAsia="Times New Roman" w:cs="Times New Roman"/>
                <w:color w:val="000000" w:themeColor="text1"/>
                <w:sz w:val="22"/>
                <w:szCs w:val="22"/>
              </w:rPr>
              <w:t xml:space="preserve"> lo cual equivale a más de 200 mil personas</w:t>
            </w:r>
            <w:r w:rsidR="00E07640" w:rsidRPr="00C454A1">
              <w:rPr>
                <w:rFonts w:eastAsia="Times New Roman" w:cs="Times New Roman"/>
                <w:color w:val="000000" w:themeColor="text1"/>
                <w:sz w:val="22"/>
                <w:szCs w:val="22"/>
              </w:rPr>
              <w:t>.</w:t>
            </w:r>
          </w:p>
        </w:tc>
      </w:tr>
      <w:tr w:rsidR="00C454A1" w:rsidRPr="00C454A1" w14:paraId="5A28A51B" w14:textId="77777777" w:rsidTr="00792B82">
        <w:tc>
          <w:tcPr>
            <w:tcW w:w="953" w:type="pct"/>
            <w:shd w:val="clear" w:color="auto" w:fill="D9D9D9" w:themeFill="background1" w:themeFillShade="D9"/>
            <w:vAlign w:val="center"/>
          </w:tcPr>
          <w:p w14:paraId="06C12417" w14:textId="0D8DD042" w:rsidR="002151C2" w:rsidRPr="00C454A1" w:rsidRDefault="002151C2" w:rsidP="002151C2">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lastRenderedPageBreak/>
              <w:t>Acceso a servicios públicos</w:t>
            </w:r>
          </w:p>
        </w:tc>
        <w:tc>
          <w:tcPr>
            <w:tcW w:w="4047" w:type="pct"/>
          </w:tcPr>
          <w:p w14:paraId="3A923DCE" w14:textId="0383868F" w:rsidR="002151C2" w:rsidRPr="00C454A1" w:rsidRDefault="002151C2" w:rsidP="00307F2C">
            <w:pPr>
              <w:pStyle w:val="Prrafodelista"/>
              <w:numPr>
                <w:ilvl w:val="0"/>
                <w:numId w:val="6"/>
              </w:numPr>
              <w:ind w:left="312" w:hanging="284"/>
              <w:rPr>
                <w:rFonts w:eastAsia="Times New Roman" w:cs="Times New Roman"/>
                <w:color w:val="000000" w:themeColor="text1"/>
                <w:sz w:val="22"/>
                <w:szCs w:val="22"/>
              </w:rPr>
            </w:pPr>
            <w:r w:rsidRPr="00C454A1">
              <w:rPr>
                <w:rFonts w:eastAsia="Times New Roman" w:cs="Times New Roman"/>
                <w:color w:val="000000" w:themeColor="text1"/>
                <w:sz w:val="22"/>
                <w:szCs w:val="22"/>
              </w:rPr>
              <w:t xml:space="preserve">El </w:t>
            </w:r>
            <w:r w:rsidR="00B97513" w:rsidRPr="00C454A1">
              <w:rPr>
                <w:rFonts w:eastAsia="Times New Roman" w:cs="Times New Roman"/>
                <w:color w:val="000000" w:themeColor="text1"/>
                <w:sz w:val="22"/>
                <w:szCs w:val="22"/>
              </w:rPr>
              <w:t>c</w:t>
            </w:r>
            <w:r w:rsidRPr="00C454A1">
              <w:rPr>
                <w:rFonts w:eastAsia="Times New Roman" w:cs="Times New Roman"/>
                <w:color w:val="000000" w:themeColor="text1"/>
                <w:sz w:val="22"/>
                <w:szCs w:val="22"/>
              </w:rPr>
              <w:t xml:space="preserve">enso del </w:t>
            </w:r>
            <w:r w:rsidR="00B97513" w:rsidRPr="00C454A1">
              <w:rPr>
                <w:rFonts w:eastAsia="Times New Roman" w:cs="Times New Roman"/>
                <w:color w:val="000000" w:themeColor="text1"/>
                <w:sz w:val="22"/>
                <w:szCs w:val="22"/>
              </w:rPr>
              <w:t>Departamento Administrativo Nacional de Estadística (</w:t>
            </w:r>
            <w:r w:rsidRPr="00C454A1">
              <w:rPr>
                <w:rFonts w:eastAsia="Times New Roman" w:cs="Times New Roman"/>
                <w:color w:val="000000" w:themeColor="text1"/>
                <w:sz w:val="22"/>
                <w:szCs w:val="22"/>
              </w:rPr>
              <w:t>DANE</w:t>
            </w:r>
            <w:r w:rsidR="00B97513" w:rsidRPr="00C454A1">
              <w:rPr>
                <w:rFonts w:eastAsia="Times New Roman" w:cs="Times New Roman"/>
                <w:color w:val="000000" w:themeColor="text1"/>
                <w:sz w:val="22"/>
                <w:szCs w:val="22"/>
              </w:rPr>
              <w:t>)</w:t>
            </w:r>
            <w:r w:rsidRPr="00C454A1">
              <w:rPr>
                <w:rFonts w:eastAsia="Times New Roman" w:cs="Times New Roman"/>
                <w:color w:val="000000" w:themeColor="text1"/>
                <w:sz w:val="22"/>
                <w:szCs w:val="22"/>
              </w:rPr>
              <w:t xml:space="preserve"> </w:t>
            </w:r>
            <w:r w:rsidR="003E26CF" w:rsidRPr="00C454A1">
              <w:rPr>
                <w:rFonts w:eastAsia="Times New Roman" w:cs="Times New Roman"/>
                <w:color w:val="000000" w:themeColor="text1"/>
                <w:sz w:val="22"/>
                <w:szCs w:val="22"/>
              </w:rPr>
              <w:t xml:space="preserve">del </w:t>
            </w:r>
            <w:r w:rsidRPr="00C454A1">
              <w:rPr>
                <w:rFonts w:eastAsia="Times New Roman" w:cs="Times New Roman"/>
                <w:color w:val="000000" w:themeColor="text1"/>
                <w:sz w:val="22"/>
                <w:szCs w:val="22"/>
              </w:rPr>
              <w:t>2018 revela que la cobertura urbana de acueducto en el Catatumbo supera el 90%, salvo en Tibú, con 84,3%. En contraste, en zonas rurales, la situación es grave: Convención y Hacarí tienen coberturas de apenas 13,0% y 12,9%, lo que refleja una brecha urbano-rural superior al 84%. En alcantarillado urbano, las coberturas son altas, aunque Teorama y Tibú se rezagan con 69,1% y 77,2%. En áreas rurales, Ábrego y Hacarí presentan las menores coberturas, del 2,9% y 4,3%, respectivamente, mostrando profundas desigualdades en los servicios básicos.</w:t>
            </w:r>
          </w:p>
          <w:p w14:paraId="1759CB33" w14:textId="02D89A4A" w:rsidR="002151C2" w:rsidRPr="00C454A1" w:rsidRDefault="002151C2" w:rsidP="00307F2C">
            <w:pPr>
              <w:pStyle w:val="Prrafodelista"/>
              <w:numPr>
                <w:ilvl w:val="0"/>
                <w:numId w:val="6"/>
              </w:numPr>
              <w:ind w:left="312" w:hanging="284"/>
              <w:rPr>
                <w:rFonts w:eastAsia="Times New Roman" w:cs="Times New Roman"/>
                <w:color w:val="000000" w:themeColor="text1"/>
                <w:sz w:val="22"/>
                <w:szCs w:val="22"/>
              </w:rPr>
            </w:pPr>
            <w:r w:rsidRPr="00C454A1">
              <w:rPr>
                <w:rFonts w:eastAsia="Times New Roman" w:cs="Times New Roman"/>
                <w:color w:val="000000" w:themeColor="text1"/>
                <w:sz w:val="22"/>
                <w:szCs w:val="22"/>
              </w:rPr>
              <w:t>La situación educativa en el Catatumbo es alarmante. La matrícula de niños</w:t>
            </w:r>
            <w:r w:rsidR="00CC5732" w:rsidRPr="00C454A1">
              <w:rPr>
                <w:rFonts w:eastAsia="Times New Roman" w:cs="Times New Roman"/>
                <w:color w:val="000000" w:themeColor="text1"/>
                <w:sz w:val="22"/>
                <w:szCs w:val="22"/>
              </w:rPr>
              <w:t xml:space="preserve"> y niñas</w:t>
            </w:r>
            <w:r w:rsidRPr="00C454A1">
              <w:rPr>
                <w:rFonts w:eastAsia="Times New Roman" w:cs="Times New Roman"/>
                <w:color w:val="000000" w:themeColor="text1"/>
                <w:sz w:val="22"/>
                <w:szCs w:val="22"/>
              </w:rPr>
              <w:t xml:space="preserve"> entre 3 y 4 años es apenas del 13%, lo que implica que sólo 1 de cada 10 niños en este rango de edad accede al sistema educativo. En jóvenes de 15 a 16 años, la tasa de matrícula promedio es del 71%, dejando fuera del sistema a 3 de cada 10 jóvenes. El Carmen, San Calixto y Sardinata presentan los mayores problemas de cobertura. Estas brechas también se predican respecto del acceso a la educación superior. En efecto, si bien “el porcentaje promedio de estudiantes en la básica, media y secundaria de la región [es del] 85%”</w:t>
            </w:r>
            <w:r w:rsidRPr="00C454A1">
              <w:rPr>
                <w:rFonts w:cs="Times New Roman"/>
                <w:color w:val="000000" w:themeColor="text1"/>
                <w:sz w:val="22"/>
                <w:szCs w:val="22"/>
                <w:vertAlign w:val="superscript"/>
              </w:rPr>
              <w:footnoteReference w:id="182"/>
            </w:r>
            <w:r w:rsidRPr="00C454A1">
              <w:rPr>
                <w:rFonts w:eastAsia="Times New Roman" w:cs="Times New Roman"/>
                <w:color w:val="000000" w:themeColor="text1"/>
                <w:sz w:val="22"/>
                <w:szCs w:val="22"/>
              </w:rPr>
              <w:t>, lo cierto es que, “a partir de ese umbral, tan solo el 4,4% de los estudiantes en todo el departamento del Norte de Santander logran continuar estudiando en formación técnica, vocacional y profesional”</w:t>
            </w:r>
            <w:r w:rsidRPr="00C454A1">
              <w:rPr>
                <w:rFonts w:cs="Times New Roman"/>
                <w:color w:val="000000" w:themeColor="text1"/>
                <w:sz w:val="22"/>
                <w:szCs w:val="22"/>
                <w:vertAlign w:val="superscript"/>
              </w:rPr>
              <w:footnoteReference w:id="183"/>
            </w:r>
            <w:r w:rsidRPr="00C454A1">
              <w:rPr>
                <w:rFonts w:eastAsia="Times New Roman" w:cs="Times New Roman"/>
                <w:color w:val="000000" w:themeColor="text1"/>
                <w:sz w:val="22"/>
                <w:szCs w:val="22"/>
              </w:rPr>
              <w:t>.</w:t>
            </w:r>
          </w:p>
          <w:p w14:paraId="6AD52251" w14:textId="77777777" w:rsidR="002151C2" w:rsidRPr="00C454A1" w:rsidRDefault="002151C2" w:rsidP="00307F2C">
            <w:pPr>
              <w:pStyle w:val="Prrafodelista"/>
              <w:numPr>
                <w:ilvl w:val="0"/>
                <w:numId w:val="6"/>
              </w:numPr>
              <w:ind w:left="312" w:hanging="284"/>
              <w:rPr>
                <w:rFonts w:eastAsia="Times New Roman" w:cs="Times New Roman"/>
                <w:color w:val="000000" w:themeColor="text1"/>
                <w:sz w:val="22"/>
                <w:szCs w:val="22"/>
              </w:rPr>
            </w:pPr>
            <w:r w:rsidRPr="00C454A1">
              <w:rPr>
                <w:rFonts w:eastAsia="Times New Roman" w:cs="Times New Roman"/>
                <w:color w:val="000000" w:themeColor="text1"/>
                <w:sz w:val="22"/>
                <w:szCs w:val="22"/>
              </w:rPr>
              <w:t>La región registra “una cobertura en aseguramiento en salud […] del 93%, bajo un sistema que no está diseñado para la salud preventiva”</w:t>
            </w:r>
            <w:r w:rsidRPr="00C454A1">
              <w:rPr>
                <w:rFonts w:eastAsia="Times New Roman" w:cs="Times New Roman"/>
                <w:color w:val="000000" w:themeColor="text1"/>
                <w:sz w:val="22"/>
                <w:szCs w:val="22"/>
                <w:vertAlign w:val="superscript"/>
              </w:rPr>
              <w:footnoteReference w:id="184"/>
            </w:r>
            <w:r w:rsidRPr="00C454A1">
              <w:rPr>
                <w:rFonts w:eastAsia="Times New Roman" w:cs="Times New Roman"/>
                <w:color w:val="000000" w:themeColor="text1"/>
                <w:sz w:val="22"/>
                <w:szCs w:val="22"/>
              </w:rPr>
              <w:t>. Asimismo, esa entidad indicó que en la región del Catatumbo hay mayores indicadores que el promedio nacional respecto de la mortalidad (i) por enfermedades isquémicas del corazón; (ii) infantil; (iii) materna; (iv) por enfermedades transmisibles; (v) por enfermedades por el VIH-SIDA y (vi) lesiones autoinfligidas intencionalmente</w:t>
            </w:r>
            <w:r w:rsidRPr="00C454A1">
              <w:rPr>
                <w:rFonts w:eastAsia="Times New Roman" w:cs="Times New Roman"/>
                <w:color w:val="000000" w:themeColor="text1"/>
                <w:sz w:val="22"/>
                <w:szCs w:val="22"/>
                <w:vertAlign w:val="superscript"/>
              </w:rPr>
              <w:footnoteReference w:id="185"/>
            </w:r>
            <w:r w:rsidRPr="00C454A1">
              <w:rPr>
                <w:rFonts w:eastAsia="Times New Roman" w:cs="Times New Roman"/>
                <w:color w:val="000000" w:themeColor="text1"/>
                <w:sz w:val="22"/>
                <w:szCs w:val="22"/>
              </w:rPr>
              <w:t xml:space="preserve">. Además, el Catatumbo tiene ocho hospitales, de los cuales el 88% son de nivel I y solo el 12% de nivel II. Estos hospitales “enfrentan déficit de personal médico y medicinas”. </w:t>
            </w:r>
          </w:p>
          <w:p w14:paraId="0D925F83" w14:textId="77777777" w:rsidR="002151C2" w:rsidRPr="00C454A1" w:rsidRDefault="002151C2" w:rsidP="00307F2C">
            <w:pPr>
              <w:pStyle w:val="Prrafodelista"/>
              <w:numPr>
                <w:ilvl w:val="0"/>
                <w:numId w:val="6"/>
              </w:numPr>
              <w:ind w:left="312" w:hanging="284"/>
              <w:rPr>
                <w:rFonts w:eastAsia="Times New Roman" w:cs="Times New Roman"/>
                <w:color w:val="000000" w:themeColor="text1"/>
                <w:sz w:val="22"/>
                <w:szCs w:val="22"/>
              </w:rPr>
            </w:pPr>
            <w:r w:rsidRPr="00C454A1">
              <w:rPr>
                <w:rFonts w:eastAsia="Times New Roman" w:cs="Times New Roman"/>
                <w:color w:val="000000" w:themeColor="text1"/>
                <w:sz w:val="22"/>
                <w:szCs w:val="22"/>
              </w:rPr>
              <w:t>Uno de cada cinco hogares del Catatumbo no tiene acceso a fuentes de energía eléctrica</w:t>
            </w:r>
            <w:r w:rsidRPr="00C454A1">
              <w:rPr>
                <w:rStyle w:val="Refdenotaalpie"/>
                <w:rFonts w:cs="Times New Roman"/>
                <w:color w:val="000000" w:themeColor="text1"/>
                <w:sz w:val="22"/>
                <w:szCs w:val="22"/>
              </w:rPr>
              <w:footnoteReference w:id="186"/>
            </w:r>
            <w:r w:rsidRPr="00C454A1">
              <w:rPr>
                <w:rFonts w:eastAsia="Times New Roman" w:cs="Times New Roman"/>
                <w:color w:val="000000" w:themeColor="text1"/>
                <w:sz w:val="22"/>
                <w:szCs w:val="22"/>
              </w:rPr>
              <w:t>.</w:t>
            </w:r>
          </w:p>
          <w:p w14:paraId="4366CF39" w14:textId="77777777" w:rsidR="002151C2" w:rsidRPr="00C454A1" w:rsidRDefault="002151C2" w:rsidP="00307F2C">
            <w:pPr>
              <w:pStyle w:val="Prrafodelista"/>
              <w:numPr>
                <w:ilvl w:val="0"/>
                <w:numId w:val="6"/>
              </w:numPr>
              <w:ind w:left="312" w:hanging="284"/>
              <w:rPr>
                <w:rFonts w:eastAsia="Times New Roman" w:cs="Times New Roman"/>
                <w:color w:val="000000" w:themeColor="text1"/>
                <w:sz w:val="22"/>
                <w:szCs w:val="22"/>
              </w:rPr>
            </w:pPr>
            <w:r w:rsidRPr="00C454A1">
              <w:rPr>
                <w:rFonts w:eastAsia="Times New Roman" w:cs="Times New Roman"/>
                <w:color w:val="000000" w:themeColor="text1"/>
                <w:sz w:val="22"/>
                <w:szCs w:val="22"/>
              </w:rPr>
              <w:t xml:space="preserve">La región enfrenta una penetración de internet fija del 7%, que está muy por debajo del promedio nacional, el cual asciende a 49%. </w:t>
            </w:r>
          </w:p>
        </w:tc>
      </w:tr>
      <w:tr w:rsidR="00C454A1" w:rsidRPr="00C454A1" w14:paraId="1CB6460A" w14:textId="77777777" w:rsidTr="00792B82">
        <w:tc>
          <w:tcPr>
            <w:tcW w:w="953" w:type="pct"/>
            <w:shd w:val="clear" w:color="auto" w:fill="D9D9D9" w:themeFill="background1" w:themeFillShade="D9"/>
            <w:vAlign w:val="center"/>
          </w:tcPr>
          <w:p w14:paraId="6452F01F" w14:textId="147B2475" w:rsidR="002151C2" w:rsidRPr="00C454A1" w:rsidRDefault="002151C2" w:rsidP="002151C2">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Mercado laboral</w:t>
            </w:r>
          </w:p>
        </w:tc>
        <w:tc>
          <w:tcPr>
            <w:tcW w:w="4047" w:type="pct"/>
          </w:tcPr>
          <w:p w14:paraId="5CD2C401" w14:textId="14BE4964" w:rsidR="002151C2" w:rsidRPr="00C454A1" w:rsidRDefault="002151C2" w:rsidP="00EE77DF">
            <w:pPr>
              <w:rPr>
                <w:rFonts w:eastAsia="Times New Roman" w:cs="Times New Roman"/>
                <w:color w:val="000000" w:themeColor="text1"/>
                <w:sz w:val="22"/>
                <w:szCs w:val="22"/>
              </w:rPr>
            </w:pPr>
            <w:r w:rsidRPr="00C454A1">
              <w:rPr>
                <w:rFonts w:eastAsia="Times New Roman" w:cs="Times New Roman"/>
                <w:color w:val="000000" w:themeColor="text1"/>
                <w:sz w:val="22"/>
                <w:szCs w:val="22"/>
              </w:rPr>
              <w:t>Más del 60% de los trabajad</w:t>
            </w:r>
            <w:r w:rsidR="00026C28" w:rsidRPr="00C454A1">
              <w:rPr>
                <w:rFonts w:eastAsia="Times New Roman" w:cs="Times New Roman"/>
                <w:color w:val="000000" w:themeColor="text1"/>
                <w:sz w:val="22"/>
                <w:szCs w:val="22"/>
              </w:rPr>
              <w:t>o</w:t>
            </w:r>
            <w:r w:rsidRPr="00C454A1">
              <w:rPr>
                <w:rFonts w:eastAsia="Times New Roman" w:cs="Times New Roman"/>
                <w:color w:val="000000" w:themeColor="text1"/>
                <w:sz w:val="22"/>
                <w:szCs w:val="22"/>
              </w:rPr>
              <w:t xml:space="preserve">res se encuentran en condiciones informales (DANE, 2024). Esta cifra es “aún más elevada en zonas rurales como en el caso de la región del Catatumbo debido a la falta de acceso a empleos formales y sostenibles”. </w:t>
            </w:r>
          </w:p>
        </w:tc>
      </w:tr>
      <w:tr w:rsidR="00C454A1" w:rsidRPr="00C454A1" w14:paraId="0A1E12FA" w14:textId="77777777" w:rsidTr="00792B82">
        <w:tc>
          <w:tcPr>
            <w:tcW w:w="953" w:type="pct"/>
            <w:shd w:val="clear" w:color="auto" w:fill="D9D9D9" w:themeFill="background1" w:themeFillShade="D9"/>
            <w:vAlign w:val="center"/>
          </w:tcPr>
          <w:p w14:paraId="61B05FAE" w14:textId="77777777" w:rsidR="002151C2" w:rsidRPr="00C454A1" w:rsidRDefault="002151C2" w:rsidP="002151C2">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Infraestructura vial</w:t>
            </w:r>
          </w:p>
        </w:tc>
        <w:tc>
          <w:tcPr>
            <w:tcW w:w="4047" w:type="pct"/>
          </w:tcPr>
          <w:p w14:paraId="465370E0" w14:textId="77777777" w:rsidR="002151C2" w:rsidRPr="00C454A1" w:rsidRDefault="002151C2" w:rsidP="00EE77DF">
            <w:pPr>
              <w:pStyle w:val="Prrafodelista"/>
              <w:ind w:left="0"/>
              <w:rPr>
                <w:rFonts w:eastAsia="Times New Roman" w:cs="Times New Roman"/>
                <w:color w:val="000000" w:themeColor="text1"/>
                <w:sz w:val="22"/>
                <w:szCs w:val="22"/>
              </w:rPr>
            </w:pPr>
            <w:r w:rsidRPr="00C454A1">
              <w:rPr>
                <w:rFonts w:eastAsia="Times New Roman" w:cs="Times New Roman"/>
                <w:color w:val="000000" w:themeColor="text1"/>
                <w:sz w:val="22"/>
                <w:szCs w:val="22"/>
              </w:rPr>
              <w:t>El Catatumbo posee una red de 1.766 km, de las cuales el 71% son vías terciarias. Respecto de estas vías, “[s]olo el 10% […] está en buen estado, mientras que el 74% está regular y el 16% en mal estado”</w:t>
            </w:r>
            <w:r w:rsidRPr="00C454A1">
              <w:rPr>
                <w:rFonts w:eastAsia="Times New Roman" w:cs="Times New Roman"/>
                <w:color w:val="000000" w:themeColor="text1"/>
                <w:sz w:val="22"/>
                <w:szCs w:val="22"/>
                <w:vertAlign w:val="superscript"/>
              </w:rPr>
              <w:footnoteReference w:id="187"/>
            </w:r>
            <w:r w:rsidRPr="00C454A1">
              <w:rPr>
                <w:rFonts w:eastAsia="Times New Roman" w:cs="Times New Roman"/>
                <w:color w:val="000000" w:themeColor="text1"/>
                <w:sz w:val="22"/>
                <w:szCs w:val="22"/>
              </w:rPr>
              <w:t>. Al parecer, las condiciones críticas de estas vías “afectan el comercio y el abastecimiento [, pues en] municipios como El Carmen y Tibú, algunas veredas están a 8-10 horas de las ciudades principales”</w:t>
            </w:r>
            <w:r w:rsidRPr="00C454A1">
              <w:rPr>
                <w:rFonts w:eastAsia="Times New Roman" w:cs="Times New Roman"/>
                <w:color w:val="000000" w:themeColor="text1"/>
                <w:sz w:val="22"/>
                <w:szCs w:val="22"/>
                <w:vertAlign w:val="superscript"/>
              </w:rPr>
              <w:footnoteReference w:id="188"/>
            </w:r>
            <w:r w:rsidRPr="00C454A1">
              <w:rPr>
                <w:rFonts w:eastAsia="Times New Roman" w:cs="Times New Roman"/>
                <w:color w:val="000000" w:themeColor="text1"/>
                <w:sz w:val="22"/>
                <w:szCs w:val="22"/>
              </w:rPr>
              <w:t>.</w:t>
            </w:r>
          </w:p>
        </w:tc>
      </w:tr>
      <w:tr w:rsidR="002151C2" w:rsidRPr="00C454A1" w14:paraId="2591455F" w14:textId="77777777" w:rsidTr="00792B82">
        <w:tc>
          <w:tcPr>
            <w:tcW w:w="953" w:type="pct"/>
            <w:shd w:val="clear" w:color="auto" w:fill="D9D9D9" w:themeFill="background1" w:themeFillShade="D9"/>
            <w:vAlign w:val="center"/>
          </w:tcPr>
          <w:p w14:paraId="3ECAACE1" w14:textId="63124476" w:rsidR="002151C2" w:rsidRPr="00C454A1" w:rsidRDefault="00026C28" w:rsidP="002151C2">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 xml:space="preserve">Seguridad </w:t>
            </w:r>
            <w:r w:rsidR="002151C2" w:rsidRPr="00C454A1">
              <w:rPr>
                <w:rFonts w:eastAsia="Times New Roman" w:cs="Times New Roman"/>
                <w:b/>
                <w:bCs/>
                <w:color w:val="000000" w:themeColor="text1"/>
                <w:sz w:val="22"/>
                <w:szCs w:val="22"/>
              </w:rPr>
              <w:t>alimentaria</w:t>
            </w:r>
          </w:p>
        </w:tc>
        <w:tc>
          <w:tcPr>
            <w:tcW w:w="4047" w:type="pct"/>
          </w:tcPr>
          <w:p w14:paraId="00570617" w14:textId="77777777" w:rsidR="002151C2" w:rsidRPr="00C454A1" w:rsidRDefault="002151C2" w:rsidP="00EE77DF">
            <w:pPr>
              <w:pStyle w:val="Prrafodelista"/>
              <w:ind w:left="0"/>
              <w:rPr>
                <w:rFonts w:eastAsia="Times New Roman" w:cs="Times New Roman"/>
                <w:color w:val="000000" w:themeColor="text1"/>
                <w:sz w:val="22"/>
                <w:szCs w:val="22"/>
              </w:rPr>
            </w:pPr>
            <w:r w:rsidRPr="00C454A1">
              <w:rPr>
                <w:rFonts w:eastAsia="Times New Roman" w:cs="Times New Roman"/>
                <w:color w:val="000000" w:themeColor="text1"/>
                <w:sz w:val="22"/>
                <w:szCs w:val="22"/>
              </w:rPr>
              <w:t>En 2022, el DNP “clasificó 8 municipios del Catatumbo con priorización media alta, 2 con priorización alta y 1 con priorización media”</w:t>
            </w:r>
            <w:r w:rsidRPr="00C454A1">
              <w:rPr>
                <w:rFonts w:eastAsia="Times New Roman" w:cs="Times New Roman"/>
                <w:color w:val="000000" w:themeColor="text1"/>
                <w:sz w:val="22"/>
                <w:szCs w:val="22"/>
                <w:vertAlign w:val="superscript"/>
              </w:rPr>
              <w:footnoteReference w:id="189"/>
            </w:r>
            <w:r w:rsidRPr="00C454A1">
              <w:rPr>
                <w:rFonts w:eastAsia="Times New Roman" w:cs="Times New Roman"/>
                <w:color w:val="000000" w:themeColor="text1"/>
                <w:sz w:val="22"/>
                <w:szCs w:val="22"/>
              </w:rPr>
              <w:t xml:space="preserve"> en el índice de priorización de municipios por seguridad alimentaria.</w:t>
            </w:r>
          </w:p>
        </w:tc>
      </w:tr>
    </w:tbl>
    <w:p w14:paraId="0A9632A8" w14:textId="77777777" w:rsidR="002151C2" w:rsidRPr="00C454A1" w:rsidRDefault="002151C2" w:rsidP="00631C27">
      <w:pPr>
        <w:pStyle w:val="Prrafodelista"/>
        <w:ind w:left="0"/>
        <w:rPr>
          <w:rFonts w:eastAsia="Times New Roman" w:cs="Times New Roman"/>
          <w:color w:val="000000" w:themeColor="text1"/>
          <w:szCs w:val="28"/>
        </w:rPr>
      </w:pPr>
    </w:p>
    <w:p w14:paraId="3CFEEA6B" w14:textId="4A0B2A0E" w:rsidR="00AB7583" w:rsidRPr="00C454A1" w:rsidRDefault="00B216D1" w:rsidP="000137DB">
      <w:pPr>
        <w:numPr>
          <w:ilvl w:val="0"/>
          <w:numId w:val="2"/>
        </w:numPr>
        <w:ind w:left="0" w:firstLine="0"/>
        <w:rPr>
          <w:rFonts w:eastAsia="Times New Roman" w:cs="Times New Roman"/>
          <w:i/>
          <w:iCs/>
          <w:color w:val="000000" w:themeColor="text1"/>
          <w:szCs w:val="28"/>
        </w:rPr>
      </w:pPr>
      <w:r w:rsidRPr="00C454A1">
        <w:rPr>
          <w:rFonts w:eastAsia="Times New Roman" w:cs="Times New Roman"/>
          <w:color w:val="000000" w:themeColor="text1"/>
          <w:szCs w:val="28"/>
        </w:rPr>
        <w:t xml:space="preserve"> </w:t>
      </w:r>
      <w:r w:rsidR="00AB7583" w:rsidRPr="00C454A1">
        <w:rPr>
          <w:rFonts w:eastAsia="Times New Roman" w:cs="Times New Roman"/>
          <w:color w:val="000000" w:themeColor="text1"/>
          <w:szCs w:val="28"/>
        </w:rPr>
        <w:t xml:space="preserve">La Sala Plena considera que los altos índices de pobreza y de necesidades básicas insatisfechas tienen una relación directa con la situación histórica y estructural de </w:t>
      </w:r>
      <w:r w:rsidR="005F0CDA" w:rsidRPr="00C454A1">
        <w:rPr>
          <w:rFonts w:eastAsia="Times New Roman" w:cs="Times New Roman"/>
          <w:color w:val="000000" w:themeColor="text1"/>
          <w:szCs w:val="28"/>
        </w:rPr>
        <w:t xml:space="preserve">afectación del </w:t>
      </w:r>
      <w:r w:rsidR="00AB7583" w:rsidRPr="00C454A1">
        <w:rPr>
          <w:rFonts w:eastAsia="Times New Roman" w:cs="Times New Roman"/>
          <w:color w:val="000000" w:themeColor="text1"/>
          <w:szCs w:val="28"/>
        </w:rPr>
        <w:t xml:space="preserve">orden </w:t>
      </w:r>
      <w:r w:rsidR="00AB7583" w:rsidRPr="00C454A1">
        <w:rPr>
          <w:rFonts w:cs="Times New Roman"/>
          <w:color w:val="000000" w:themeColor="text1"/>
          <w:szCs w:val="28"/>
          <w:lang w:eastAsia="es-ES"/>
        </w:rPr>
        <w:t>público</w:t>
      </w:r>
      <w:r w:rsidR="00AB7583" w:rsidRPr="00C454A1">
        <w:rPr>
          <w:rFonts w:eastAsia="Times New Roman" w:cs="Times New Roman"/>
          <w:color w:val="000000" w:themeColor="text1"/>
          <w:szCs w:val="28"/>
        </w:rPr>
        <w:t xml:space="preserve"> en la región del Catatumbo, el área </w:t>
      </w:r>
      <w:r w:rsidR="00AB7583" w:rsidRPr="00C454A1">
        <w:rPr>
          <w:rFonts w:eastAsia="Times New Roman" w:cs="Times New Roman"/>
          <w:color w:val="000000" w:themeColor="text1"/>
          <w:szCs w:val="28"/>
        </w:rPr>
        <w:lastRenderedPageBreak/>
        <w:t>metropolitana de Cúcuta y los municipios de R</w:t>
      </w:r>
      <w:r w:rsidR="003E26CF" w:rsidRPr="00C454A1">
        <w:rPr>
          <w:rFonts w:eastAsia="Times New Roman" w:cs="Times New Roman"/>
          <w:color w:val="000000" w:themeColor="text1"/>
          <w:szCs w:val="28"/>
        </w:rPr>
        <w:t>í</w:t>
      </w:r>
      <w:r w:rsidR="00AB7583" w:rsidRPr="00C454A1">
        <w:rPr>
          <w:rFonts w:eastAsia="Times New Roman" w:cs="Times New Roman"/>
          <w:color w:val="000000" w:themeColor="text1"/>
          <w:szCs w:val="28"/>
        </w:rPr>
        <w:t xml:space="preserve">o de Oro y González. La precaria oferta institucional en materia social </w:t>
      </w:r>
      <w:r w:rsidR="004A4E53" w:rsidRPr="00C454A1">
        <w:rPr>
          <w:rFonts w:eastAsia="Times New Roman" w:cs="Times New Roman"/>
          <w:color w:val="000000" w:themeColor="text1"/>
          <w:szCs w:val="28"/>
        </w:rPr>
        <w:t xml:space="preserve">favorece </w:t>
      </w:r>
      <w:r w:rsidR="003D4082" w:rsidRPr="00C454A1">
        <w:rPr>
          <w:rFonts w:eastAsia="Times New Roman" w:cs="Times New Roman"/>
          <w:color w:val="000000" w:themeColor="text1"/>
          <w:szCs w:val="28"/>
        </w:rPr>
        <w:t>la participación de</w:t>
      </w:r>
      <w:r w:rsidR="00AB7583" w:rsidRPr="00C454A1">
        <w:rPr>
          <w:rFonts w:eastAsia="Times New Roman" w:cs="Times New Roman"/>
          <w:color w:val="000000" w:themeColor="text1"/>
          <w:szCs w:val="28"/>
        </w:rPr>
        <w:t xml:space="preserve"> la población </w:t>
      </w:r>
      <w:r w:rsidR="003D4082" w:rsidRPr="00C454A1">
        <w:rPr>
          <w:rFonts w:eastAsia="Times New Roman" w:cs="Times New Roman"/>
          <w:color w:val="000000" w:themeColor="text1"/>
          <w:szCs w:val="28"/>
        </w:rPr>
        <w:t>en</w:t>
      </w:r>
      <w:r w:rsidR="00AB7583" w:rsidRPr="00C454A1">
        <w:rPr>
          <w:rFonts w:eastAsia="Times New Roman" w:cs="Times New Roman"/>
          <w:color w:val="000000" w:themeColor="text1"/>
          <w:szCs w:val="28"/>
        </w:rPr>
        <w:t xml:space="preserve"> las economías ilícitas</w:t>
      </w:r>
      <w:r w:rsidR="003E26CF" w:rsidRPr="00C454A1">
        <w:rPr>
          <w:rFonts w:eastAsia="Times New Roman" w:cs="Times New Roman"/>
          <w:color w:val="000000" w:themeColor="text1"/>
          <w:szCs w:val="28"/>
        </w:rPr>
        <w:t>,</w:t>
      </w:r>
      <w:r w:rsidR="00AB7583" w:rsidRPr="00C454A1">
        <w:rPr>
          <w:rFonts w:eastAsia="Times New Roman" w:cs="Times New Roman"/>
          <w:color w:val="000000" w:themeColor="text1"/>
          <w:szCs w:val="28"/>
        </w:rPr>
        <w:t xml:space="preserve"> lo que, a su turno, fortalece el accionar armado de los </w:t>
      </w:r>
      <w:r w:rsidR="00EE77DF" w:rsidRPr="00C454A1">
        <w:rPr>
          <w:rFonts w:eastAsia="Times New Roman" w:cs="Times New Roman"/>
          <w:color w:val="000000" w:themeColor="text1"/>
          <w:szCs w:val="28"/>
        </w:rPr>
        <w:t>GAO</w:t>
      </w:r>
      <w:r w:rsidR="00AB7583" w:rsidRPr="00C454A1">
        <w:rPr>
          <w:rFonts w:eastAsia="Times New Roman" w:cs="Times New Roman"/>
          <w:color w:val="000000" w:themeColor="text1"/>
          <w:szCs w:val="28"/>
        </w:rPr>
        <w:t xml:space="preserve"> y GDO. </w:t>
      </w:r>
    </w:p>
    <w:p w14:paraId="14B8B6FA" w14:textId="77777777" w:rsidR="00B216D1" w:rsidRPr="00C454A1" w:rsidRDefault="00B216D1" w:rsidP="00631C27">
      <w:pPr>
        <w:pStyle w:val="Prrafodelista"/>
        <w:ind w:left="0"/>
        <w:rPr>
          <w:rFonts w:eastAsia="Times New Roman" w:cs="Times New Roman"/>
          <w:i/>
          <w:iCs/>
          <w:color w:val="000000" w:themeColor="text1"/>
          <w:szCs w:val="28"/>
        </w:rPr>
      </w:pPr>
    </w:p>
    <w:p w14:paraId="0D504800" w14:textId="70099063" w:rsidR="00B216D1" w:rsidRPr="00C454A1" w:rsidRDefault="00B216D1" w:rsidP="001C693F">
      <w:pPr>
        <w:pStyle w:val="Prrafodelista"/>
        <w:widowControl w:val="0"/>
        <w:numPr>
          <w:ilvl w:val="2"/>
          <w:numId w:val="3"/>
        </w:numPr>
        <w:ind w:left="709" w:hanging="709"/>
        <w:outlineLvl w:val="0"/>
        <w:rPr>
          <w:rFonts w:eastAsia="Times New Roman" w:cs="Times New Roman"/>
          <w:b/>
          <w:bCs/>
          <w:color w:val="000000" w:themeColor="text1"/>
          <w:szCs w:val="28"/>
        </w:rPr>
      </w:pPr>
      <w:bookmarkStart w:id="170" w:name="_Toc223979949"/>
      <w:r w:rsidRPr="00C454A1">
        <w:rPr>
          <w:rFonts w:eastAsia="Times New Roman" w:cs="Times New Roman"/>
          <w:b/>
          <w:bCs/>
          <w:color w:val="000000" w:themeColor="text1"/>
          <w:szCs w:val="28"/>
        </w:rPr>
        <w:t xml:space="preserve">Grupo 2: </w:t>
      </w:r>
      <w:r w:rsidR="007A44A0" w:rsidRPr="00C454A1">
        <w:rPr>
          <w:rFonts w:eastAsia="Times New Roman" w:cs="Times New Roman"/>
          <w:b/>
          <w:bCs/>
          <w:color w:val="000000" w:themeColor="text1"/>
          <w:szCs w:val="28"/>
        </w:rPr>
        <w:t xml:space="preserve">hechos relacionados con el presunto agravamiento inusitado de la </w:t>
      </w:r>
      <w:r w:rsidR="00496060" w:rsidRPr="00C454A1">
        <w:rPr>
          <w:rFonts w:eastAsia="Times New Roman" w:cs="Times New Roman"/>
          <w:b/>
          <w:bCs/>
          <w:color w:val="000000" w:themeColor="text1"/>
          <w:szCs w:val="28"/>
        </w:rPr>
        <w:t>perturbación</w:t>
      </w:r>
      <w:r w:rsidR="005B15F2" w:rsidRPr="00C454A1">
        <w:rPr>
          <w:rFonts w:eastAsia="Times New Roman" w:cs="Times New Roman"/>
          <w:b/>
          <w:bCs/>
          <w:color w:val="000000" w:themeColor="text1"/>
          <w:szCs w:val="28"/>
        </w:rPr>
        <w:t xml:space="preserve"> </w:t>
      </w:r>
      <w:r w:rsidR="007A44A0" w:rsidRPr="00C454A1">
        <w:rPr>
          <w:rFonts w:eastAsia="Times New Roman" w:cs="Times New Roman"/>
          <w:b/>
          <w:bCs/>
          <w:color w:val="000000" w:themeColor="text1"/>
          <w:szCs w:val="28"/>
        </w:rPr>
        <w:t>de</w:t>
      </w:r>
      <w:r w:rsidR="005B15F2" w:rsidRPr="00C454A1">
        <w:rPr>
          <w:rFonts w:eastAsia="Times New Roman" w:cs="Times New Roman"/>
          <w:b/>
          <w:bCs/>
          <w:color w:val="000000" w:themeColor="text1"/>
          <w:szCs w:val="28"/>
        </w:rPr>
        <w:t>l</w:t>
      </w:r>
      <w:r w:rsidR="007A44A0" w:rsidRPr="00C454A1">
        <w:rPr>
          <w:rFonts w:eastAsia="Times New Roman" w:cs="Times New Roman"/>
          <w:b/>
          <w:bCs/>
          <w:color w:val="000000" w:themeColor="text1"/>
          <w:szCs w:val="28"/>
        </w:rPr>
        <w:t xml:space="preserve"> orden público en la región del Catatumbo a partir de</w:t>
      </w:r>
      <w:r w:rsidR="00D03FA6" w:rsidRPr="00C454A1">
        <w:rPr>
          <w:rFonts w:eastAsia="Times New Roman" w:cs="Times New Roman"/>
          <w:b/>
          <w:bCs/>
          <w:color w:val="000000" w:themeColor="text1"/>
          <w:szCs w:val="28"/>
        </w:rPr>
        <w:t>l 16 de</w:t>
      </w:r>
      <w:r w:rsidR="007A44A0" w:rsidRPr="00C454A1">
        <w:rPr>
          <w:rFonts w:eastAsia="Times New Roman" w:cs="Times New Roman"/>
          <w:b/>
          <w:bCs/>
          <w:color w:val="000000" w:themeColor="text1"/>
          <w:szCs w:val="28"/>
        </w:rPr>
        <w:t xml:space="preserve"> enero de 2025</w:t>
      </w:r>
      <w:bookmarkEnd w:id="170"/>
    </w:p>
    <w:p w14:paraId="5BE6DDCC" w14:textId="77777777" w:rsidR="00B216D1" w:rsidRPr="00C454A1" w:rsidRDefault="00B216D1" w:rsidP="00631C27">
      <w:pPr>
        <w:pStyle w:val="Prrafodelista"/>
        <w:rPr>
          <w:rFonts w:eastAsia="Times New Roman" w:cs="Times New Roman"/>
          <w:b/>
          <w:bCs/>
          <w:color w:val="000000" w:themeColor="text1"/>
          <w:szCs w:val="28"/>
        </w:rPr>
      </w:pPr>
    </w:p>
    <w:p w14:paraId="0CD38E81" w14:textId="11F59057" w:rsidR="00D631F3" w:rsidRPr="00C454A1" w:rsidRDefault="00D631F3"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En la parte motiva del Decreto 62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sostuvo que, a partir del 16 de enero de 2025, se produjo una intensificación y agravamiento de la perturbación del orden público en la región del Catatumbo, el área metropolitana de Cúcuta y los municipios de Río de Oro y González. Según el decreto, e</w:t>
      </w:r>
      <w:r w:rsidR="00E7277F" w:rsidRPr="00C454A1">
        <w:rPr>
          <w:rFonts w:eastAsia="Times New Roman" w:cs="Times New Roman"/>
          <w:color w:val="000000" w:themeColor="text1"/>
          <w:szCs w:val="28"/>
        </w:rPr>
        <w:t>ste</w:t>
      </w:r>
      <w:r w:rsidRPr="00C454A1">
        <w:rPr>
          <w:rFonts w:eastAsia="Times New Roman" w:cs="Times New Roman"/>
          <w:color w:val="000000" w:themeColor="text1"/>
          <w:szCs w:val="28"/>
        </w:rPr>
        <w:t xml:space="preserve"> agravamiento se </w:t>
      </w:r>
      <w:r w:rsidR="00496060" w:rsidRPr="00C454A1">
        <w:rPr>
          <w:rFonts w:eastAsia="Times New Roman" w:cs="Times New Roman"/>
          <w:color w:val="000000" w:themeColor="text1"/>
          <w:szCs w:val="28"/>
        </w:rPr>
        <w:t>originó</w:t>
      </w:r>
      <w:r w:rsidRPr="00C454A1">
        <w:rPr>
          <w:rFonts w:eastAsia="Times New Roman" w:cs="Times New Roman"/>
          <w:color w:val="000000" w:themeColor="text1"/>
          <w:szCs w:val="28"/>
        </w:rPr>
        <w:t xml:space="preserve"> </w:t>
      </w:r>
      <w:r w:rsidR="00496060" w:rsidRPr="00C454A1">
        <w:rPr>
          <w:rFonts w:eastAsia="Times New Roman" w:cs="Times New Roman"/>
          <w:color w:val="000000" w:themeColor="text1"/>
          <w:szCs w:val="28"/>
        </w:rPr>
        <w:t xml:space="preserve">en </w:t>
      </w:r>
      <w:r w:rsidRPr="00C454A1">
        <w:rPr>
          <w:rFonts w:eastAsia="Times New Roman" w:cs="Times New Roman"/>
          <w:color w:val="000000" w:themeColor="text1"/>
          <w:szCs w:val="28"/>
        </w:rPr>
        <w:t xml:space="preserve">(i) la </w:t>
      </w:r>
      <w:r w:rsidRPr="00C454A1">
        <w:rPr>
          <w:rFonts w:eastAsia="Times New Roman" w:cs="Times New Roman"/>
          <w:color w:val="000000" w:themeColor="text1"/>
          <w:kern w:val="0"/>
          <w:szCs w:val="28"/>
          <w14:ligatures w14:val="none"/>
        </w:rPr>
        <w:t xml:space="preserve">intensificación de los enfrentamientos entre el ELN y otros </w:t>
      </w:r>
      <w:r w:rsidR="00EE77DF" w:rsidRPr="00C454A1">
        <w:rPr>
          <w:rFonts w:eastAsia="Times New Roman" w:cs="Times New Roman"/>
          <w:color w:val="000000" w:themeColor="text1"/>
          <w:kern w:val="0"/>
          <w:szCs w:val="28"/>
          <w14:ligatures w14:val="none"/>
        </w:rPr>
        <w:t>GAO</w:t>
      </w:r>
      <w:r w:rsidRPr="00C454A1">
        <w:rPr>
          <w:rFonts w:eastAsia="Times New Roman" w:cs="Times New Roman"/>
          <w:color w:val="000000" w:themeColor="text1"/>
          <w:kern w:val="0"/>
          <w:szCs w:val="28"/>
          <w14:ligatures w14:val="none"/>
        </w:rPr>
        <w:t xml:space="preserve">, así como los ataques </w:t>
      </w:r>
      <w:r w:rsidR="00496060" w:rsidRPr="00C454A1">
        <w:rPr>
          <w:rFonts w:eastAsia="Times New Roman" w:cs="Times New Roman"/>
          <w:color w:val="000000" w:themeColor="text1"/>
          <w:kern w:val="0"/>
          <w:szCs w:val="28"/>
          <w14:ligatures w14:val="none"/>
        </w:rPr>
        <w:t xml:space="preserve">y hostilidades </w:t>
      </w:r>
      <w:r w:rsidR="00E7277F" w:rsidRPr="00C454A1">
        <w:rPr>
          <w:rFonts w:eastAsia="Times New Roman" w:cs="Times New Roman"/>
          <w:color w:val="000000" w:themeColor="text1"/>
          <w:kern w:val="0"/>
          <w:szCs w:val="28"/>
          <w14:ligatures w14:val="none"/>
        </w:rPr>
        <w:t>del ELN</w:t>
      </w:r>
      <w:r w:rsidR="00496060" w:rsidRPr="00C454A1">
        <w:rPr>
          <w:rFonts w:eastAsia="Times New Roman" w:cs="Times New Roman"/>
          <w:color w:val="000000" w:themeColor="text1"/>
          <w:kern w:val="0"/>
          <w:szCs w:val="28"/>
          <w14:ligatures w14:val="none"/>
        </w:rPr>
        <w:t xml:space="preserve"> contra </w:t>
      </w:r>
      <w:r w:rsidRPr="00C454A1">
        <w:rPr>
          <w:rFonts w:eastAsia="Times New Roman" w:cs="Times New Roman"/>
          <w:color w:val="000000" w:themeColor="text1"/>
          <w:kern w:val="0"/>
          <w:szCs w:val="28"/>
          <w14:ligatures w14:val="none"/>
        </w:rPr>
        <w:t xml:space="preserve">la población civil de la zona </w:t>
      </w:r>
      <w:r w:rsidR="00496060" w:rsidRPr="00C454A1">
        <w:rPr>
          <w:rFonts w:eastAsia="Times New Roman" w:cs="Times New Roman"/>
          <w:color w:val="000000" w:themeColor="text1"/>
          <w:kern w:val="0"/>
          <w:szCs w:val="28"/>
          <w14:ligatures w14:val="none"/>
        </w:rPr>
        <w:t xml:space="preserve">-incluyendo los firmantes del </w:t>
      </w:r>
      <w:r w:rsidR="00284813" w:rsidRPr="00C454A1">
        <w:rPr>
          <w:rFonts w:eastAsia="Times New Roman" w:cs="Times New Roman"/>
          <w:color w:val="000000" w:themeColor="text1"/>
          <w:kern w:val="0"/>
          <w:szCs w:val="28"/>
          <w14:ligatures w14:val="none"/>
        </w:rPr>
        <w:t>AFP</w:t>
      </w:r>
      <w:r w:rsidR="00496060" w:rsidRPr="00C454A1">
        <w:rPr>
          <w:rFonts w:eastAsia="Times New Roman" w:cs="Times New Roman"/>
          <w:color w:val="000000" w:themeColor="text1"/>
          <w:kern w:val="0"/>
          <w:szCs w:val="28"/>
          <w14:ligatures w14:val="none"/>
        </w:rPr>
        <w:t xml:space="preserve">- y </w:t>
      </w:r>
      <w:r w:rsidR="00DD02E6" w:rsidRPr="00C454A1">
        <w:rPr>
          <w:rFonts w:eastAsia="Times New Roman" w:cs="Times New Roman"/>
          <w:color w:val="000000" w:themeColor="text1"/>
          <w:kern w:val="0"/>
          <w:szCs w:val="28"/>
          <w14:ligatures w14:val="none"/>
        </w:rPr>
        <w:t>las instituciones</w:t>
      </w:r>
      <w:r w:rsidR="00E7277F" w:rsidRPr="00C454A1">
        <w:rPr>
          <w:rFonts w:eastAsia="Times New Roman" w:cs="Times New Roman"/>
          <w:color w:val="000000" w:themeColor="text1"/>
          <w:kern w:val="0"/>
          <w:szCs w:val="28"/>
          <w14:ligatures w14:val="none"/>
        </w:rPr>
        <w:t xml:space="preserve"> y</w:t>
      </w:r>
      <w:r w:rsidRPr="00C454A1">
        <w:rPr>
          <w:rFonts w:eastAsia="Times New Roman" w:cs="Times New Roman"/>
          <w:color w:val="000000" w:themeColor="text1"/>
          <w:kern w:val="0"/>
          <w:szCs w:val="28"/>
          <w14:ligatures w14:val="none"/>
        </w:rPr>
        <w:t xml:space="preserve"> (ii) </w:t>
      </w:r>
      <w:r w:rsidRPr="00C454A1">
        <w:rPr>
          <w:rFonts w:eastAsia="Times New Roman" w:cs="Times New Roman"/>
          <w:color w:val="000000" w:themeColor="text1"/>
          <w:szCs w:val="28"/>
        </w:rPr>
        <w:t xml:space="preserve">la crisis y emergencia humanitaria derivada de </w:t>
      </w:r>
      <w:r w:rsidR="00496060" w:rsidRPr="00C454A1">
        <w:rPr>
          <w:rFonts w:eastAsia="Times New Roman" w:cs="Times New Roman"/>
          <w:color w:val="000000" w:themeColor="text1"/>
          <w:szCs w:val="28"/>
        </w:rPr>
        <w:t xml:space="preserve">los </w:t>
      </w:r>
      <w:r w:rsidRPr="00C454A1">
        <w:rPr>
          <w:rFonts w:eastAsia="Times New Roman" w:cs="Times New Roman"/>
          <w:color w:val="000000" w:themeColor="text1"/>
          <w:szCs w:val="28"/>
        </w:rPr>
        <w:t>desplazamientos internos y transfronterizos</w:t>
      </w:r>
      <w:r w:rsidR="00496060" w:rsidRPr="00C454A1">
        <w:rPr>
          <w:rFonts w:eastAsia="Times New Roman" w:cs="Times New Roman"/>
          <w:color w:val="000000" w:themeColor="text1"/>
          <w:szCs w:val="28"/>
        </w:rPr>
        <w:t>, y</w:t>
      </w:r>
      <w:r w:rsidRPr="00C454A1">
        <w:rPr>
          <w:rFonts w:eastAsia="Times New Roman" w:cs="Times New Roman"/>
          <w:color w:val="000000" w:themeColor="text1"/>
          <w:szCs w:val="28"/>
        </w:rPr>
        <w:t xml:space="preserve"> los confinamientos masivos </w:t>
      </w:r>
      <w:r w:rsidR="00496060" w:rsidRPr="00C454A1">
        <w:rPr>
          <w:rFonts w:eastAsia="Times New Roman" w:cs="Times New Roman"/>
          <w:color w:val="000000" w:themeColor="text1"/>
          <w:szCs w:val="28"/>
        </w:rPr>
        <w:t xml:space="preserve">causados </w:t>
      </w:r>
      <w:r w:rsidR="00E7277F" w:rsidRPr="00C454A1">
        <w:rPr>
          <w:rFonts w:eastAsia="Times New Roman" w:cs="Times New Roman"/>
          <w:color w:val="000000" w:themeColor="text1"/>
          <w:szCs w:val="28"/>
        </w:rPr>
        <w:t xml:space="preserve">por </w:t>
      </w:r>
      <w:r w:rsidR="00DD02E6" w:rsidRPr="00C454A1">
        <w:rPr>
          <w:rFonts w:eastAsia="Times New Roman" w:cs="Times New Roman"/>
          <w:color w:val="000000" w:themeColor="text1"/>
          <w:szCs w:val="28"/>
        </w:rPr>
        <w:t>dichas</w:t>
      </w:r>
      <w:r w:rsidR="00E7277F" w:rsidRPr="00C454A1">
        <w:rPr>
          <w:rFonts w:eastAsia="Times New Roman" w:cs="Times New Roman"/>
          <w:color w:val="000000" w:themeColor="text1"/>
          <w:szCs w:val="28"/>
        </w:rPr>
        <w:t xml:space="preserve"> hostilidades</w:t>
      </w:r>
      <w:r w:rsidRPr="00C454A1">
        <w:rPr>
          <w:rFonts w:eastAsia="Times New Roman" w:cs="Times New Roman"/>
          <w:color w:val="000000" w:themeColor="text1"/>
          <w:szCs w:val="28"/>
        </w:rPr>
        <w:t>.</w:t>
      </w:r>
    </w:p>
    <w:p w14:paraId="6A53477C" w14:textId="77777777" w:rsidR="00D631F3" w:rsidRPr="00C454A1" w:rsidRDefault="00D631F3" w:rsidP="00D631F3">
      <w:pPr>
        <w:rPr>
          <w:rFonts w:eastAsia="Times New Roman" w:cs="Times New Roman"/>
          <w:color w:val="000000" w:themeColor="text1"/>
          <w:szCs w:val="28"/>
        </w:rPr>
      </w:pPr>
    </w:p>
    <w:p w14:paraId="16955403" w14:textId="1F948598" w:rsidR="00B216D1" w:rsidRPr="00C454A1" w:rsidRDefault="00D631F3"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Por las razones que se exponen</w:t>
      </w:r>
      <w:r w:rsidR="00B03799" w:rsidRPr="00C454A1">
        <w:rPr>
          <w:rFonts w:eastAsia="Times New Roman" w:cs="Times New Roman"/>
          <w:color w:val="000000" w:themeColor="text1"/>
          <w:szCs w:val="28"/>
        </w:rPr>
        <w:t xml:space="preserve"> a continuación</w:t>
      </w:r>
      <w:r w:rsidRPr="00C454A1">
        <w:rPr>
          <w:rFonts w:eastAsia="Times New Roman" w:cs="Times New Roman"/>
          <w:color w:val="000000" w:themeColor="text1"/>
          <w:szCs w:val="28"/>
        </w:rPr>
        <w:t>, la Sala considera que la existencia de estos hechos está probada.</w:t>
      </w:r>
    </w:p>
    <w:p w14:paraId="43AF086E" w14:textId="77777777" w:rsidR="002E5B8C" w:rsidRPr="00C454A1" w:rsidRDefault="002E5B8C" w:rsidP="002E5B8C">
      <w:pPr>
        <w:pStyle w:val="Prrafodelista"/>
        <w:rPr>
          <w:rFonts w:eastAsia="Times New Roman" w:cs="Times New Roman"/>
          <w:color w:val="000000" w:themeColor="text1"/>
          <w:szCs w:val="28"/>
        </w:rPr>
      </w:pPr>
    </w:p>
    <w:p w14:paraId="64198793" w14:textId="6055609C" w:rsidR="003B3426" w:rsidRPr="00C454A1" w:rsidRDefault="003B3426" w:rsidP="00307F2C">
      <w:pPr>
        <w:pStyle w:val="Prrafodelista"/>
        <w:numPr>
          <w:ilvl w:val="0"/>
          <w:numId w:val="7"/>
        </w:numPr>
        <w:ind w:left="709" w:hanging="567"/>
        <w:rPr>
          <w:rFonts w:eastAsia="Times New Roman" w:cs="Times New Roman"/>
          <w:b/>
          <w:bCs/>
          <w:color w:val="000000" w:themeColor="text1"/>
          <w:szCs w:val="28"/>
        </w:rPr>
      </w:pPr>
      <w:r w:rsidRPr="00C454A1">
        <w:rPr>
          <w:rFonts w:eastAsia="Times New Roman" w:cs="Times New Roman"/>
          <w:b/>
          <w:bCs/>
          <w:color w:val="000000" w:themeColor="text1"/>
          <w:szCs w:val="28"/>
        </w:rPr>
        <w:t xml:space="preserve">La intensificación de los enfrentamientos entre el ELN y otros </w:t>
      </w:r>
      <w:r w:rsidR="00EE77DF" w:rsidRPr="00C454A1">
        <w:rPr>
          <w:rFonts w:eastAsia="Times New Roman" w:cs="Times New Roman"/>
          <w:b/>
          <w:bCs/>
          <w:color w:val="000000" w:themeColor="text1"/>
          <w:szCs w:val="28"/>
        </w:rPr>
        <w:t>GAO</w:t>
      </w:r>
      <w:r w:rsidRPr="00C454A1">
        <w:rPr>
          <w:rFonts w:eastAsia="Times New Roman" w:cs="Times New Roman"/>
          <w:b/>
          <w:bCs/>
          <w:color w:val="000000" w:themeColor="text1"/>
          <w:szCs w:val="28"/>
        </w:rPr>
        <w:t xml:space="preserve">, así como </w:t>
      </w:r>
      <w:r w:rsidR="00257D3B" w:rsidRPr="00C454A1">
        <w:rPr>
          <w:rFonts w:eastAsia="Times New Roman" w:cs="Times New Roman"/>
          <w:b/>
          <w:bCs/>
          <w:color w:val="000000" w:themeColor="text1"/>
          <w:szCs w:val="28"/>
        </w:rPr>
        <w:t xml:space="preserve">de </w:t>
      </w:r>
      <w:r w:rsidRPr="00C454A1">
        <w:rPr>
          <w:rFonts w:eastAsia="Times New Roman" w:cs="Times New Roman"/>
          <w:b/>
          <w:bCs/>
          <w:color w:val="000000" w:themeColor="text1"/>
          <w:szCs w:val="28"/>
        </w:rPr>
        <w:t xml:space="preserve">los ataques </w:t>
      </w:r>
      <w:r w:rsidR="001A1FD5" w:rsidRPr="00C454A1">
        <w:rPr>
          <w:rFonts w:eastAsia="Times New Roman" w:cs="Times New Roman"/>
          <w:b/>
          <w:bCs/>
          <w:color w:val="000000" w:themeColor="text1"/>
          <w:szCs w:val="28"/>
        </w:rPr>
        <w:t>contra</w:t>
      </w:r>
      <w:r w:rsidRPr="00C454A1">
        <w:rPr>
          <w:rFonts w:eastAsia="Times New Roman" w:cs="Times New Roman"/>
          <w:b/>
          <w:bCs/>
          <w:color w:val="000000" w:themeColor="text1"/>
          <w:szCs w:val="28"/>
        </w:rPr>
        <w:t xml:space="preserve"> la población civil de la zona, a partir del 16 de enero de 202</w:t>
      </w:r>
      <w:r w:rsidR="003B2FF3" w:rsidRPr="00C454A1">
        <w:rPr>
          <w:rFonts w:eastAsia="Times New Roman" w:cs="Times New Roman"/>
          <w:b/>
          <w:bCs/>
          <w:color w:val="000000" w:themeColor="text1"/>
          <w:szCs w:val="28"/>
        </w:rPr>
        <w:t>5</w:t>
      </w:r>
    </w:p>
    <w:p w14:paraId="4272EEA4" w14:textId="77777777" w:rsidR="003B3426" w:rsidRPr="00C454A1" w:rsidRDefault="003B3426" w:rsidP="003B3426">
      <w:pPr>
        <w:rPr>
          <w:rFonts w:eastAsia="Times New Roman" w:cs="Times New Roman"/>
          <w:color w:val="000000" w:themeColor="text1"/>
          <w:szCs w:val="28"/>
          <w:u w:val="single"/>
        </w:rPr>
      </w:pPr>
    </w:p>
    <w:p w14:paraId="4E39D40E" w14:textId="6288736F"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En el decreto declaratorio,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aseguró que, a partir del enero de 2025, (a) el ELN ha fortalecido su presencia en la región del Catatumbo, (b) se han incrementado los enfrentamientos entre el ELN y otros </w:t>
      </w:r>
      <w:r w:rsidR="00EE77DF" w:rsidRPr="00C454A1">
        <w:rPr>
          <w:rFonts w:eastAsia="Times New Roman" w:cs="Times New Roman"/>
          <w:color w:val="000000" w:themeColor="text1"/>
          <w:szCs w:val="28"/>
        </w:rPr>
        <w:t>GAO</w:t>
      </w:r>
      <w:r w:rsidRPr="00C454A1">
        <w:rPr>
          <w:rFonts w:eastAsia="Times New Roman" w:cs="Times New Roman"/>
          <w:color w:val="000000" w:themeColor="text1"/>
          <w:szCs w:val="28"/>
        </w:rPr>
        <w:t>, (c) el ELN ha increment</w:t>
      </w:r>
      <w:r w:rsidR="00513FD8" w:rsidRPr="00C454A1">
        <w:rPr>
          <w:rFonts w:eastAsia="Times New Roman" w:cs="Times New Roman"/>
          <w:color w:val="000000" w:themeColor="text1"/>
          <w:szCs w:val="28"/>
        </w:rPr>
        <w:t>ad</w:t>
      </w:r>
      <w:r w:rsidRPr="00C454A1">
        <w:rPr>
          <w:rFonts w:eastAsia="Times New Roman" w:cs="Times New Roman"/>
          <w:color w:val="000000" w:themeColor="text1"/>
          <w:szCs w:val="28"/>
        </w:rPr>
        <w:t>o los ataques y hostilidades contra la población civil y (d) el ELN ha causado daños a bienes protegido</w:t>
      </w:r>
      <w:r w:rsidR="00513FD8" w:rsidRPr="00C454A1">
        <w:rPr>
          <w:rFonts w:eastAsia="Times New Roman" w:cs="Times New Roman"/>
          <w:color w:val="000000" w:themeColor="text1"/>
          <w:szCs w:val="28"/>
        </w:rPr>
        <w:t>s</w:t>
      </w:r>
      <w:r w:rsidRPr="00C454A1">
        <w:rPr>
          <w:rFonts w:eastAsia="Times New Roman" w:cs="Times New Roman"/>
          <w:color w:val="000000" w:themeColor="text1"/>
          <w:szCs w:val="28"/>
        </w:rPr>
        <w:t xml:space="preserve"> y al ambiente. Por las razones que a continuación se exponen, la Sala Plena considera que estos hechos están probados: </w:t>
      </w:r>
    </w:p>
    <w:p w14:paraId="1B890C0F" w14:textId="77777777" w:rsidR="003B3426" w:rsidRPr="00C454A1" w:rsidRDefault="003B3426" w:rsidP="003B3426">
      <w:pPr>
        <w:rPr>
          <w:rFonts w:eastAsia="Times New Roman" w:cs="Times New Roman"/>
          <w:color w:val="000000" w:themeColor="text1"/>
          <w:szCs w:val="28"/>
          <w:u w:val="single"/>
        </w:rPr>
      </w:pPr>
    </w:p>
    <w:p w14:paraId="73A04F4C" w14:textId="77777777" w:rsidR="003B3426" w:rsidRPr="00C454A1" w:rsidRDefault="003B3426" w:rsidP="005D0BFA">
      <w:pPr>
        <w:pStyle w:val="Prrafodelista"/>
        <w:numPr>
          <w:ilvl w:val="0"/>
          <w:numId w:val="16"/>
        </w:numPr>
        <w:ind w:hanging="436"/>
        <w:rPr>
          <w:rFonts w:eastAsia="Times New Roman" w:cs="Times New Roman"/>
          <w:color w:val="000000" w:themeColor="text1"/>
          <w:szCs w:val="28"/>
          <w:u w:val="single"/>
        </w:rPr>
      </w:pPr>
      <w:r w:rsidRPr="00C454A1">
        <w:rPr>
          <w:rFonts w:eastAsia="Times New Roman" w:cs="Times New Roman"/>
          <w:color w:val="000000" w:themeColor="text1"/>
          <w:szCs w:val="28"/>
          <w:u w:val="single"/>
        </w:rPr>
        <w:t xml:space="preserve">Fortalecimiento del ELN en la región del Catatumbo </w:t>
      </w:r>
    </w:p>
    <w:p w14:paraId="680F0B1F" w14:textId="77777777" w:rsidR="003B3426" w:rsidRPr="00C454A1" w:rsidRDefault="003B3426" w:rsidP="003B3426">
      <w:pPr>
        <w:rPr>
          <w:rFonts w:eastAsia="Times New Roman" w:cs="Times New Roman"/>
          <w:color w:val="000000" w:themeColor="text1"/>
          <w:szCs w:val="28"/>
        </w:rPr>
      </w:pPr>
    </w:p>
    <w:p w14:paraId="242A8F7C" w14:textId="17C1909F"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En el acápite I de la parte motiva del decreto declaratorio,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afirmó que el ELN estaba fortaleciendo su presencia en la región del Catatumbo. En concreto, </w:t>
      </w:r>
      <w:r w:rsidRPr="00C454A1">
        <w:rPr>
          <w:rFonts w:cs="Times New Roman"/>
          <w:color w:val="000000" w:themeColor="text1"/>
          <w:szCs w:val="28"/>
          <w:lang w:eastAsia="es-ES"/>
        </w:rPr>
        <w:t>señaló</w:t>
      </w:r>
      <w:r w:rsidRPr="00C454A1">
        <w:rPr>
          <w:rFonts w:eastAsia="Times New Roman" w:cs="Times New Roman"/>
          <w:color w:val="000000" w:themeColor="text1"/>
          <w:szCs w:val="28"/>
        </w:rPr>
        <w:t xml:space="preserve"> que “según fuentes de inteligencia, desde el departamento de Arauca, el ELN envió integrantes del Frente de Guerra Oriental hacia la región del Catatumbo para fortalecer su presencia y ejecutar las acciones criminales que iniciaron a partir del 15 de enero de 2025”. </w:t>
      </w:r>
    </w:p>
    <w:p w14:paraId="0FCF5F1E" w14:textId="77777777" w:rsidR="003B3426" w:rsidRPr="00C454A1" w:rsidRDefault="003B3426" w:rsidP="003B3426">
      <w:pPr>
        <w:pStyle w:val="Prrafodelista"/>
        <w:ind w:left="0"/>
        <w:rPr>
          <w:rFonts w:eastAsia="Times New Roman" w:cs="Times New Roman"/>
          <w:color w:val="000000" w:themeColor="text1"/>
          <w:szCs w:val="28"/>
        </w:rPr>
      </w:pPr>
    </w:p>
    <w:p w14:paraId="2180B7ED" w14:textId="77777777"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La Sala Plena considera que el fortalecimiento reciente del ELN en la región del Catatumbo está probado. En las alertas tempranas 009 de 2023 y 026 de 2024, así como en el informe de seguimiento de la alerta temprana 050 de 2020, la Defensoría del Pueblo reportó el fortalecimiento de los actores armados </w:t>
      </w:r>
      <w:r w:rsidRPr="00C454A1">
        <w:rPr>
          <w:rFonts w:eastAsia="Times New Roman" w:cs="Times New Roman"/>
          <w:color w:val="000000" w:themeColor="text1"/>
          <w:szCs w:val="28"/>
        </w:rPr>
        <w:lastRenderedPageBreak/>
        <w:t xml:space="preserve">en la región del Catatumbo, </w:t>
      </w:r>
      <w:r w:rsidRPr="00C454A1">
        <w:rPr>
          <w:rFonts w:cs="Times New Roman"/>
          <w:color w:val="000000" w:themeColor="text1"/>
          <w:szCs w:val="28"/>
          <w:lang w:eastAsia="es-ES"/>
        </w:rPr>
        <w:t>luego</w:t>
      </w:r>
      <w:r w:rsidRPr="00C454A1">
        <w:rPr>
          <w:rFonts w:eastAsia="Times New Roman" w:cs="Times New Roman"/>
          <w:color w:val="000000" w:themeColor="text1"/>
          <w:szCs w:val="28"/>
        </w:rPr>
        <w:t xml:space="preserve"> de un periodo de “coexistencia criminal”. Asimismo, el Ejército Nacional</w:t>
      </w:r>
      <w:r w:rsidRPr="00C454A1">
        <w:rPr>
          <w:rStyle w:val="Refdenotaalpie"/>
          <w:rFonts w:eastAsia="Times New Roman" w:cs="Times New Roman"/>
          <w:color w:val="000000" w:themeColor="text1"/>
          <w:szCs w:val="28"/>
        </w:rPr>
        <w:footnoteReference w:id="190"/>
      </w:r>
      <w:r w:rsidRPr="00C454A1">
        <w:rPr>
          <w:rFonts w:eastAsia="Times New Roman" w:cs="Times New Roman"/>
          <w:color w:val="000000" w:themeColor="text1"/>
          <w:szCs w:val="28"/>
        </w:rPr>
        <w:t xml:space="preserve"> aportó información que evidencia que el ELN tiene capacidad de influencia sobre la “Estructura 33” y el Clan del Golfo</w:t>
      </w:r>
      <w:r w:rsidRPr="00C454A1">
        <w:rPr>
          <w:rStyle w:val="Refdenotaalpie"/>
          <w:rFonts w:eastAsia="Times New Roman" w:cs="Times New Roman"/>
          <w:color w:val="000000" w:themeColor="text1"/>
          <w:szCs w:val="28"/>
        </w:rPr>
        <w:footnoteReference w:id="191"/>
      </w:r>
      <w:r w:rsidRPr="00C454A1">
        <w:rPr>
          <w:rFonts w:eastAsia="Times New Roman" w:cs="Times New Roman"/>
          <w:color w:val="000000" w:themeColor="text1"/>
          <w:szCs w:val="28"/>
        </w:rPr>
        <w:t>. De igual manera, la Sala resalta que dos intervinientes se refirieron a la llegada de personal armado a la región del Catatumbo, para fortalecer al ELN. De un lado, Abelardo de la Espriella aseguró que “en sesión plenaria del Senado de la República (…), el [m]inistro de Defensa Nacional, IVÁN VELÁSQUEZ, manifestó ante esa [C]orporación que se contaba con información de inteligencia respecto de los movimientos del grupo terrorista ELN en la región”</w:t>
      </w:r>
      <w:r w:rsidRPr="00C454A1">
        <w:rPr>
          <w:rStyle w:val="Refdenotaalpie"/>
          <w:rFonts w:eastAsia="Times New Roman" w:cs="Times New Roman"/>
          <w:color w:val="000000" w:themeColor="text1"/>
          <w:szCs w:val="28"/>
        </w:rPr>
        <w:footnoteReference w:id="192"/>
      </w:r>
      <w:r w:rsidRPr="00C454A1">
        <w:rPr>
          <w:rFonts w:eastAsia="Times New Roman" w:cs="Times New Roman"/>
          <w:color w:val="000000" w:themeColor="text1"/>
          <w:szCs w:val="28"/>
        </w:rPr>
        <w:t>. Por su parte, Julián Uscátegui Pastrana señaló que, “[s]egún fuentes de inteligencia[,] el ELN envió integrantes del Frente de Guerra Oriental hacia la región del Catatumbo para fortalecer su presencia y ejecutar las acciones criminales que iniciaron a partir del 15 de enero de 2025”</w:t>
      </w:r>
      <w:r w:rsidRPr="00C454A1">
        <w:rPr>
          <w:rStyle w:val="Refdenotaalpie"/>
          <w:rFonts w:eastAsia="Times New Roman" w:cs="Times New Roman"/>
          <w:color w:val="000000" w:themeColor="text1"/>
          <w:szCs w:val="28"/>
        </w:rPr>
        <w:footnoteReference w:id="193"/>
      </w:r>
      <w:r w:rsidRPr="00C454A1">
        <w:rPr>
          <w:rFonts w:eastAsia="Times New Roman" w:cs="Times New Roman"/>
          <w:color w:val="000000" w:themeColor="text1"/>
          <w:szCs w:val="28"/>
        </w:rPr>
        <w:t>.</w:t>
      </w:r>
    </w:p>
    <w:p w14:paraId="621CB126" w14:textId="77777777" w:rsidR="003B3426" w:rsidRPr="00C454A1" w:rsidRDefault="003B3426" w:rsidP="003B3426">
      <w:pPr>
        <w:rPr>
          <w:rFonts w:eastAsia="Times New Roman" w:cs="Times New Roman"/>
          <w:color w:val="000000" w:themeColor="text1"/>
          <w:szCs w:val="28"/>
        </w:rPr>
      </w:pPr>
    </w:p>
    <w:p w14:paraId="01C4E589" w14:textId="1618A7DF" w:rsidR="003B3426" w:rsidRPr="00C454A1" w:rsidRDefault="001848A4" w:rsidP="005D0BFA">
      <w:pPr>
        <w:pStyle w:val="Prrafodelista"/>
        <w:numPr>
          <w:ilvl w:val="0"/>
          <w:numId w:val="16"/>
        </w:numPr>
        <w:ind w:left="709" w:hanging="567"/>
        <w:jc w:val="left"/>
        <w:rPr>
          <w:rFonts w:eastAsia="Times New Roman" w:cs="Times New Roman"/>
          <w:color w:val="000000" w:themeColor="text1"/>
          <w:szCs w:val="28"/>
          <w:u w:val="single"/>
        </w:rPr>
      </w:pPr>
      <w:r w:rsidRPr="00C454A1">
        <w:rPr>
          <w:rFonts w:eastAsia="Times New Roman" w:cs="Times New Roman"/>
          <w:color w:val="000000" w:themeColor="text1"/>
          <w:szCs w:val="28"/>
          <w:u w:val="single"/>
        </w:rPr>
        <w:t xml:space="preserve">Aumento de los enfrentamientos </w:t>
      </w:r>
      <w:r w:rsidR="003B3426" w:rsidRPr="00C454A1">
        <w:rPr>
          <w:rFonts w:eastAsia="Times New Roman" w:cs="Times New Roman"/>
          <w:color w:val="000000" w:themeColor="text1"/>
          <w:szCs w:val="28"/>
          <w:u w:val="single"/>
        </w:rPr>
        <w:t xml:space="preserve">entre el ELN y otros </w:t>
      </w:r>
      <w:r w:rsidR="00EE77DF" w:rsidRPr="00C454A1">
        <w:rPr>
          <w:rFonts w:eastAsia="Times New Roman" w:cs="Times New Roman"/>
          <w:color w:val="000000" w:themeColor="text1"/>
          <w:szCs w:val="28"/>
          <w:u w:val="single"/>
        </w:rPr>
        <w:t>GAO</w:t>
      </w:r>
    </w:p>
    <w:p w14:paraId="79A66D5E" w14:textId="77777777" w:rsidR="003B3426" w:rsidRPr="00C454A1" w:rsidRDefault="003B3426" w:rsidP="003B3426">
      <w:pPr>
        <w:pStyle w:val="Prrafodelista"/>
        <w:ind w:left="1080"/>
        <w:rPr>
          <w:rFonts w:eastAsia="Times New Roman" w:cs="Times New Roman"/>
          <w:color w:val="000000" w:themeColor="text1"/>
          <w:szCs w:val="28"/>
        </w:rPr>
      </w:pPr>
    </w:p>
    <w:p w14:paraId="00BE9CA0" w14:textId="07D00F0A" w:rsidR="003B3426" w:rsidRPr="00C454A1" w:rsidRDefault="003B3426" w:rsidP="00284813">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En la parte motiva del Decreto 62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afirmó que, </w:t>
      </w:r>
      <w:r w:rsidR="00257D3B" w:rsidRPr="00C454A1">
        <w:rPr>
          <w:rFonts w:eastAsia="Times New Roman" w:cs="Times New Roman"/>
          <w:color w:val="000000" w:themeColor="text1"/>
          <w:szCs w:val="28"/>
        </w:rPr>
        <w:t xml:space="preserve">“el descenso en los precios de la hoja y de la pasta de coca registrado desde 2021, con el subsecuente estancamiento temporal del circuito económico ilícito”, generó, entre otras consecuencias, “un pacto entre organizaciones armadas ilegales frente a la repartición del negocio ilícito y la entrada de compradores al territorio.” Luego indicó que “con la progresiva recuperación de este mercado ilegal, </w:t>
      </w:r>
      <w:r w:rsidRPr="00C454A1">
        <w:rPr>
          <w:rFonts w:eastAsia="Times New Roman" w:cs="Times New Roman"/>
          <w:color w:val="000000" w:themeColor="text1"/>
          <w:szCs w:val="28"/>
        </w:rPr>
        <w:t>a finales del año 2024</w:t>
      </w:r>
      <w:r w:rsidR="00257D3B" w:rsidRPr="00C454A1">
        <w:rPr>
          <w:rFonts w:eastAsia="Times New Roman" w:cs="Times New Roman"/>
          <w:color w:val="000000" w:themeColor="text1"/>
          <w:szCs w:val="28"/>
        </w:rPr>
        <w:t xml:space="preserve"> dicho pacto finalizó y se acrecentaron las confrontaciones armadas a partir del 15 de enero de 2025, debido a que el ELN desató una imprevisible y violenta ofensiva contra la población civil, líderes sociales y firmantes del acuerdo final de paz”.</w:t>
      </w:r>
      <w:r w:rsidR="00284813" w:rsidRPr="00C454A1">
        <w:rPr>
          <w:rFonts w:eastAsia="Times New Roman" w:cs="Times New Roman"/>
          <w:color w:val="000000" w:themeColor="text1"/>
          <w:szCs w:val="28"/>
        </w:rPr>
        <w:t xml:space="preserve"> Lo anterior </w:t>
      </w:r>
      <w:r w:rsidRPr="00C454A1">
        <w:rPr>
          <w:rFonts w:eastAsia="Times New Roman" w:cs="Times New Roman"/>
          <w:color w:val="000000" w:themeColor="text1"/>
          <w:szCs w:val="28"/>
        </w:rPr>
        <w:t xml:space="preserve">condujo a un incremento de los enfrentamientos armados entre estos grupos, así como entre el ELN y el Ejército Nacional. </w:t>
      </w:r>
    </w:p>
    <w:p w14:paraId="2B8B58B4" w14:textId="77777777" w:rsidR="003B3426" w:rsidRPr="00C454A1" w:rsidRDefault="003B3426" w:rsidP="003B3426">
      <w:pPr>
        <w:pStyle w:val="Prrafodelista"/>
        <w:ind w:left="0"/>
        <w:rPr>
          <w:rFonts w:eastAsia="Times New Roman" w:cs="Times New Roman"/>
          <w:color w:val="000000" w:themeColor="text1"/>
          <w:szCs w:val="28"/>
        </w:rPr>
      </w:pPr>
    </w:p>
    <w:p w14:paraId="1BD6BC2C" w14:textId="430F0C9F"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La Sala Plena encuentra que estos hechos están probados. En las alertas tempranas 004 de 2019, 025 de 2021 y 009 de 2023</w:t>
      </w:r>
      <w:r w:rsidR="003234D6"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la Defensoría del Pueblo indicó que, desde el año 2022</w:t>
      </w:r>
      <w:r w:rsidR="00284813"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en la región del Catatumbo se produjo una “crisis de comercialización de la hoja de coca”. Esta crisis se derivó de, entre otras</w:t>
      </w:r>
      <w:r w:rsidR="00284813" w:rsidRPr="00C454A1">
        <w:rPr>
          <w:rFonts w:eastAsia="Times New Roman" w:cs="Times New Roman"/>
          <w:color w:val="000000" w:themeColor="text1"/>
          <w:szCs w:val="28"/>
        </w:rPr>
        <w:t xml:space="preserve"> causas</w:t>
      </w:r>
      <w:r w:rsidRPr="00C454A1">
        <w:rPr>
          <w:rFonts w:eastAsia="Times New Roman" w:cs="Times New Roman"/>
          <w:color w:val="000000" w:themeColor="text1"/>
          <w:szCs w:val="28"/>
        </w:rPr>
        <w:t>, el crecimiento en la explotación del carbón y el descenso en el precio de la hoja de coca, este último</w:t>
      </w:r>
      <w:r w:rsidR="00284813" w:rsidRPr="00C454A1">
        <w:rPr>
          <w:rFonts w:eastAsia="Times New Roman" w:cs="Times New Roman"/>
          <w:color w:val="000000" w:themeColor="text1"/>
          <w:szCs w:val="28"/>
        </w:rPr>
        <w:t xml:space="preserve"> causado</w:t>
      </w:r>
      <w:r w:rsidRPr="00C454A1">
        <w:rPr>
          <w:rFonts w:eastAsia="Times New Roman" w:cs="Times New Roman"/>
          <w:color w:val="000000" w:themeColor="text1"/>
          <w:szCs w:val="28"/>
        </w:rPr>
        <w:t>, al parecer, por “la extradición de alias Otoniel y la entrega de rutas de narcotráfico, así como deudas provenientes de la comercialización</w:t>
      </w:r>
      <w:r w:rsidR="006D6223"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venta y calidad de la coca”</w:t>
      </w:r>
      <w:r w:rsidRPr="00C454A1">
        <w:rPr>
          <w:rStyle w:val="Refdenotaalpie"/>
          <w:rFonts w:eastAsia="Times New Roman" w:cs="Times New Roman"/>
          <w:color w:val="000000" w:themeColor="text1"/>
          <w:szCs w:val="28"/>
        </w:rPr>
        <w:footnoteReference w:id="194"/>
      </w:r>
      <w:r w:rsidRPr="00C454A1">
        <w:rPr>
          <w:rFonts w:eastAsia="Times New Roman" w:cs="Times New Roman"/>
          <w:color w:val="000000" w:themeColor="text1"/>
          <w:szCs w:val="28"/>
        </w:rPr>
        <w:t xml:space="preserve">. </w:t>
      </w:r>
      <w:r w:rsidR="00284813" w:rsidRPr="00C454A1">
        <w:rPr>
          <w:rFonts w:eastAsia="Times New Roman" w:cs="Times New Roman"/>
          <w:color w:val="000000" w:themeColor="text1"/>
          <w:szCs w:val="28"/>
        </w:rPr>
        <w:t>A</w:t>
      </w:r>
      <w:r w:rsidRPr="00C454A1">
        <w:rPr>
          <w:rFonts w:eastAsia="Times New Roman" w:cs="Times New Roman"/>
          <w:color w:val="000000" w:themeColor="text1"/>
          <w:szCs w:val="28"/>
        </w:rPr>
        <w:t xml:space="preserve"> partir del año 2023, el mercado </w:t>
      </w:r>
      <w:r w:rsidRPr="00C454A1">
        <w:rPr>
          <w:rFonts w:cs="Times New Roman"/>
          <w:color w:val="000000" w:themeColor="text1"/>
          <w:szCs w:val="28"/>
          <w:lang w:eastAsia="es-ES"/>
        </w:rPr>
        <w:t>ilegal</w:t>
      </w:r>
      <w:r w:rsidRPr="00C454A1">
        <w:rPr>
          <w:rFonts w:eastAsia="Times New Roman" w:cs="Times New Roman"/>
          <w:color w:val="000000" w:themeColor="text1"/>
          <w:szCs w:val="28"/>
        </w:rPr>
        <w:t xml:space="preserve"> se ha recuperado de forma paulatina. Esto, por la recuperación del precio de la hoja de coca, </w:t>
      </w:r>
      <w:r w:rsidR="00284813" w:rsidRPr="00C454A1">
        <w:rPr>
          <w:rFonts w:eastAsia="Times New Roman" w:cs="Times New Roman"/>
          <w:color w:val="000000" w:themeColor="text1"/>
          <w:szCs w:val="28"/>
        </w:rPr>
        <w:t>como reportó el</w:t>
      </w:r>
      <w:r w:rsidRPr="00C454A1">
        <w:rPr>
          <w:rFonts w:eastAsia="Times New Roman" w:cs="Times New Roman"/>
          <w:color w:val="000000" w:themeColor="text1"/>
          <w:szCs w:val="28"/>
        </w:rPr>
        <w:t xml:space="preserve"> </w:t>
      </w:r>
      <w:r w:rsidR="005401DB" w:rsidRPr="00C454A1">
        <w:rPr>
          <w:rFonts w:eastAsia="Times New Roman" w:cs="Times New Roman"/>
          <w:color w:val="000000" w:themeColor="text1"/>
          <w:szCs w:val="28"/>
        </w:rPr>
        <w:t>DNP</w:t>
      </w:r>
      <w:r w:rsidRPr="00C454A1">
        <w:rPr>
          <w:rStyle w:val="Refdenotaalpie"/>
          <w:rFonts w:eastAsia="Times New Roman" w:cs="Times New Roman"/>
          <w:color w:val="000000" w:themeColor="text1"/>
          <w:szCs w:val="28"/>
        </w:rPr>
        <w:footnoteReference w:id="195"/>
      </w:r>
      <w:r w:rsidRPr="00C454A1">
        <w:rPr>
          <w:rFonts w:eastAsia="Times New Roman" w:cs="Times New Roman"/>
          <w:color w:val="000000" w:themeColor="text1"/>
          <w:szCs w:val="28"/>
        </w:rPr>
        <w:t xml:space="preserve">, y el incremento de cultivos ilícitos, </w:t>
      </w:r>
      <w:r w:rsidR="00284813" w:rsidRPr="00C454A1">
        <w:rPr>
          <w:rFonts w:eastAsia="Times New Roman" w:cs="Times New Roman"/>
          <w:color w:val="000000" w:themeColor="text1"/>
          <w:szCs w:val="28"/>
        </w:rPr>
        <w:t xml:space="preserve">dato </w:t>
      </w:r>
      <w:r w:rsidRPr="00C454A1">
        <w:rPr>
          <w:rFonts w:eastAsia="Times New Roman" w:cs="Times New Roman"/>
          <w:color w:val="000000" w:themeColor="text1"/>
          <w:szCs w:val="28"/>
        </w:rPr>
        <w:t xml:space="preserve">informado por el DAPRE y el Ministerio de Justicia y del </w:t>
      </w:r>
      <w:r w:rsidRPr="00C454A1">
        <w:rPr>
          <w:rFonts w:eastAsia="Times New Roman" w:cs="Times New Roman"/>
          <w:color w:val="000000" w:themeColor="text1"/>
          <w:szCs w:val="28"/>
        </w:rPr>
        <w:lastRenderedPageBreak/>
        <w:t>Derecho</w:t>
      </w:r>
      <w:r w:rsidRPr="00C454A1">
        <w:rPr>
          <w:rStyle w:val="Refdenotaalpie"/>
          <w:rFonts w:eastAsia="Times New Roman" w:cs="Times New Roman"/>
          <w:color w:val="000000" w:themeColor="text1"/>
          <w:szCs w:val="28"/>
        </w:rPr>
        <w:footnoteReference w:id="196"/>
      </w:r>
      <w:r w:rsidRPr="00C454A1">
        <w:rPr>
          <w:rFonts w:eastAsia="Times New Roman" w:cs="Times New Roman"/>
          <w:color w:val="000000" w:themeColor="text1"/>
          <w:szCs w:val="28"/>
        </w:rPr>
        <w:t>. Estos fenómenos rompieron los “pactos de no agresión” o la “repartición de los negocios ilícitos” con los que convivieron los actores armados ilegales al menos, entre los años 2018 y 2023</w:t>
      </w:r>
      <w:r w:rsidRPr="00C454A1">
        <w:rPr>
          <w:rStyle w:val="Refdenotaalpie"/>
          <w:rFonts w:eastAsia="Times New Roman" w:cs="Times New Roman"/>
          <w:color w:val="000000" w:themeColor="text1"/>
          <w:szCs w:val="28"/>
        </w:rPr>
        <w:footnoteReference w:id="197"/>
      </w:r>
      <w:r w:rsidRPr="00C454A1">
        <w:rPr>
          <w:rFonts w:eastAsia="Times New Roman" w:cs="Times New Roman"/>
          <w:color w:val="000000" w:themeColor="text1"/>
          <w:szCs w:val="28"/>
        </w:rPr>
        <w:t>.</w:t>
      </w:r>
    </w:p>
    <w:p w14:paraId="17FDAD9B" w14:textId="77777777" w:rsidR="003B3426" w:rsidRPr="00C454A1" w:rsidRDefault="003B3426" w:rsidP="003B3426">
      <w:pPr>
        <w:pStyle w:val="Prrafodelista"/>
        <w:ind w:left="0"/>
        <w:rPr>
          <w:rFonts w:eastAsia="Times New Roman" w:cs="Times New Roman"/>
          <w:color w:val="000000" w:themeColor="text1"/>
          <w:szCs w:val="28"/>
        </w:rPr>
      </w:pPr>
    </w:p>
    <w:p w14:paraId="79F9C552" w14:textId="26D008A1"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La Sala Plena encuentra probado que, como producto de la recuperación del mercado ilegal, a partir del 15 de enero de 2025 se han incrementado los enfrentamientos entre el ELN y otros </w:t>
      </w:r>
      <w:r w:rsidR="00EE77DF" w:rsidRPr="00C454A1">
        <w:rPr>
          <w:rFonts w:eastAsia="Times New Roman" w:cs="Times New Roman"/>
          <w:color w:val="000000" w:themeColor="text1"/>
          <w:szCs w:val="28"/>
        </w:rPr>
        <w:t>GAO</w:t>
      </w:r>
      <w:r w:rsidRPr="00C454A1">
        <w:rPr>
          <w:rFonts w:eastAsia="Times New Roman" w:cs="Times New Roman"/>
          <w:color w:val="000000" w:themeColor="text1"/>
          <w:szCs w:val="28"/>
        </w:rPr>
        <w:t>. El DAPRE</w:t>
      </w:r>
      <w:r w:rsidRPr="00C454A1">
        <w:rPr>
          <w:rFonts w:eastAsia="Times New Roman" w:cs="Times New Roman"/>
          <w:color w:val="000000" w:themeColor="text1"/>
          <w:szCs w:val="28"/>
          <w:vertAlign w:val="superscript"/>
        </w:rPr>
        <w:footnoteReference w:id="198"/>
      </w:r>
      <w:r w:rsidRPr="00C454A1">
        <w:rPr>
          <w:rFonts w:eastAsia="Times New Roman" w:cs="Times New Roman"/>
          <w:color w:val="000000" w:themeColor="text1"/>
          <w:szCs w:val="28"/>
        </w:rPr>
        <w:t xml:space="preserve"> y el </w:t>
      </w:r>
      <w:r w:rsidR="00BF51C1" w:rsidRPr="00C454A1">
        <w:rPr>
          <w:rFonts w:eastAsia="Times New Roman" w:cs="Times New Roman"/>
          <w:color w:val="000000" w:themeColor="text1"/>
          <w:szCs w:val="28"/>
        </w:rPr>
        <w:t>MinDefensa</w:t>
      </w:r>
      <w:r w:rsidRPr="00C454A1">
        <w:rPr>
          <w:rFonts w:eastAsia="Times New Roman" w:cs="Times New Roman"/>
          <w:color w:val="000000" w:themeColor="text1"/>
          <w:szCs w:val="28"/>
        </w:rPr>
        <w:t xml:space="preserve"> informaron que, en el primer mes del año 2025, se registraron aproximadamente 12 </w:t>
      </w:r>
      <w:r w:rsidRPr="00C454A1">
        <w:rPr>
          <w:rFonts w:cs="Times New Roman"/>
          <w:color w:val="000000" w:themeColor="text1"/>
          <w:szCs w:val="28"/>
          <w:lang w:eastAsia="es-ES"/>
        </w:rPr>
        <w:t>enfrentamientos</w:t>
      </w:r>
      <w:r w:rsidRPr="00C454A1">
        <w:rPr>
          <w:rStyle w:val="Refdenotaalpie"/>
          <w:rFonts w:eastAsia="Times New Roman" w:cs="Times New Roman"/>
          <w:color w:val="000000" w:themeColor="text1"/>
          <w:szCs w:val="28"/>
        </w:rPr>
        <w:footnoteReference w:id="199"/>
      </w:r>
      <w:r w:rsidRPr="00C454A1">
        <w:rPr>
          <w:rFonts w:eastAsia="Times New Roman" w:cs="Times New Roman"/>
          <w:color w:val="000000" w:themeColor="text1"/>
          <w:szCs w:val="28"/>
        </w:rPr>
        <w:t>. Las alertas tempranas de la Defensoría del Pueblo también dan cuenta del recrudecimiento de los enfrentamientos entre grupos armados criminales y entre estos y el Ejército Nacional</w:t>
      </w:r>
      <w:r w:rsidRPr="00C454A1">
        <w:rPr>
          <w:rStyle w:val="Refdenotaalpie"/>
          <w:rFonts w:eastAsia="Times New Roman" w:cs="Times New Roman"/>
          <w:color w:val="000000" w:themeColor="text1"/>
          <w:szCs w:val="28"/>
        </w:rPr>
        <w:footnoteReference w:id="200"/>
      </w:r>
      <w:r w:rsidRPr="00C454A1">
        <w:rPr>
          <w:rFonts w:eastAsia="Times New Roman" w:cs="Times New Roman"/>
          <w:color w:val="000000" w:themeColor="text1"/>
          <w:szCs w:val="28"/>
        </w:rPr>
        <w:t>. Este último remitió la “Bitácora Seguimiento Confrontaciones Armadas”</w:t>
      </w:r>
      <w:r w:rsidRPr="00C454A1">
        <w:rPr>
          <w:rStyle w:val="Refdenotaalpie"/>
          <w:rFonts w:eastAsia="Times New Roman" w:cs="Times New Roman"/>
          <w:color w:val="000000" w:themeColor="text1"/>
          <w:szCs w:val="28"/>
        </w:rPr>
        <w:footnoteReference w:id="201"/>
      </w:r>
      <w:r w:rsidRPr="00C454A1">
        <w:rPr>
          <w:rFonts w:eastAsia="Times New Roman" w:cs="Times New Roman"/>
          <w:color w:val="000000" w:themeColor="text1"/>
          <w:szCs w:val="28"/>
        </w:rPr>
        <w:t>, en la que se refieren</w:t>
      </w:r>
      <w:r w:rsidR="00634D2E"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al menos, tres confrontaciones armadas entre grupos delictivos y las fuerzas armadas. Asimismo, la Policía Nacional informó que los municipios de Teorama, Hacarí, Cúcuta y González han declarado la situación de urgencia manifiesta o calamidad pública con fundamento en, justamente, los enfrentamientos entre estos grupos armados</w:t>
      </w:r>
      <w:r w:rsidRPr="00C454A1">
        <w:rPr>
          <w:rStyle w:val="Refdenotaalpie"/>
          <w:rFonts w:eastAsia="Times New Roman" w:cs="Times New Roman"/>
          <w:color w:val="000000" w:themeColor="text1"/>
          <w:szCs w:val="28"/>
        </w:rPr>
        <w:footnoteReference w:id="202"/>
      </w:r>
      <w:r w:rsidRPr="00C454A1">
        <w:rPr>
          <w:rFonts w:eastAsia="Times New Roman" w:cs="Times New Roman"/>
          <w:color w:val="000000" w:themeColor="text1"/>
          <w:szCs w:val="28"/>
        </w:rPr>
        <w:t xml:space="preserve">. </w:t>
      </w:r>
    </w:p>
    <w:p w14:paraId="7E13D136" w14:textId="77777777" w:rsidR="003B3426" w:rsidRPr="00C454A1" w:rsidRDefault="003B3426" w:rsidP="003B3426">
      <w:pPr>
        <w:pStyle w:val="Prrafodelista"/>
        <w:ind w:left="0"/>
        <w:rPr>
          <w:rFonts w:eastAsia="Times New Roman" w:cs="Times New Roman"/>
          <w:color w:val="000000" w:themeColor="text1"/>
          <w:szCs w:val="28"/>
        </w:rPr>
      </w:pPr>
    </w:p>
    <w:p w14:paraId="594DF4EF" w14:textId="559CEBCE"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Asimismo, la </w:t>
      </w:r>
      <w:r w:rsidRPr="00C454A1">
        <w:rPr>
          <w:rFonts w:cs="Times New Roman"/>
          <w:color w:val="000000" w:themeColor="text1"/>
          <w:szCs w:val="28"/>
          <w:lang w:eastAsia="es-ES"/>
        </w:rPr>
        <w:t>Policía</w:t>
      </w:r>
      <w:r w:rsidRPr="00C454A1">
        <w:rPr>
          <w:rFonts w:eastAsia="Times New Roman" w:cs="Times New Roman"/>
          <w:color w:val="000000" w:themeColor="text1"/>
          <w:szCs w:val="28"/>
        </w:rPr>
        <w:t xml:space="preserve"> Nacional reportó la detonación controlada de explosivos en San Calixto. De igual forma, el Ejército reportó que “el 16 de enero de 2025 en el sector El Molino - eje vial Puerto Santander - Cúcuta, al parecer integrantes del </w:t>
      </w:r>
      <w:r w:rsidR="00F858F2" w:rsidRPr="00C454A1">
        <w:rPr>
          <w:rFonts w:eastAsia="Times New Roman" w:cs="Times New Roman"/>
          <w:color w:val="000000" w:themeColor="text1"/>
          <w:szCs w:val="28"/>
        </w:rPr>
        <w:t xml:space="preserve">Frente </w:t>
      </w:r>
      <w:r w:rsidRPr="00C454A1">
        <w:rPr>
          <w:rFonts w:eastAsia="Times New Roman" w:cs="Times New Roman"/>
          <w:color w:val="000000" w:themeColor="text1"/>
          <w:szCs w:val="28"/>
        </w:rPr>
        <w:t>Urbano Reinaldo Ardila Gómez, habrían activado un elemento con sustancias peligrosas contra uniformados adscritos al grupo GOES de la Policía Nacional”</w:t>
      </w:r>
      <w:r w:rsidRPr="00C454A1">
        <w:rPr>
          <w:rStyle w:val="Refdenotaalpie"/>
          <w:rFonts w:eastAsia="Times New Roman" w:cs="Times New Roman"/>
          <w:color w:val="000000" w:themeColor="text1"/>
          <w:szCs w:val="28"/>
        </w:rPr>
        <w:footnoteReference w:id="203"/>
      </w:r>
      <w:r w:rsidRPr="00C454A1">
        <w:rPr>
          <w:rFonts w:eastAsia="Times New Roman" w:cs="Times New Roman"/>
          <w:color w:val="000000" w:themeColor="text1"/>
          <w:szCs w:val="28"/>
        </w:rPr>
        <w:t xml:space="preserve">. Por otro lado, la Defensoría del Pueblo informó que ha tenido conocimiento de múltiples atentados contra la </w:t>
      </w:r>
      <w:r w:rsidR="00F858F2" w:rsidRPr="00C454A1">
        <w:rPr>
          <w:rFonts w:eastAsia="Times New Roman" w:cs="Times New Roman"/>
          <w:color w:val="000000" w:themeColor="text1"/>
          <w:szCs w:val="28"/>
        </w:rPr>
        <w:t>f</w:t>
      </w:r>
      <w:r w:rsidRPr="00C454A1">
        <w:rPr>
          <w:rFonts w:eastAsia="Times New Roman" w:cs="Times New Roman"/>
          <w:color w:val="000000" w:themeColor="text1"/>
          <w:szCs w:val="28"/>
        </w:rPr>
        <w:t xml:space="preserve">uerza </w:t>
      </w:r>
      <w:r w:rsidR="00F858F2" w:rsidRPr="00C454A1">
        <w:rPr>
          <w:rFonts w:eastAsia="Times New Roman" w:cs="Times New Roman"/>
          <w:color w:val="000000" w:themeColor="text1"/>
          <w:szCs w:val="28"/>
        </w:rPr>
        <w:t>p</w:t>
      </w:r>
      <w:r w:rsidRPr="00C454A1">
        <w:rPr>
          <w:rFonts w:eastAsia="Times New Roman" w:cs="Times New Roman"/>
          <w:color w:val="000000" w:themeColor="text1"/>
          <w:szCs w:val="28"/>
        </w:rPr>
        <w:t xml:space="preserve">ública en los primeros meses del año 2025: </w:t>
      </w:r>
    </w:p>
    <w:p w14:paraId="1EBA5975" w14:textId="77777777" w:rsidR="003B3426" w:rsidRPr="00C454A1" w:rsidRDefault="003B3426" w:rsidP="003B3426">
      <w:pPr>
        <w:pStyle w:val="Prrafodelista"/>
        <w:rPr>
          <w:rFonts w:eastAsia="Times New Roman" w:cs="Times New Roman"/>
          <w:color w:val="000000" w:themeColor="text1"/>
          <w:szCs w:val="28"/>
        </w:rPr>
      </w:pPr>
    </w:p>
    <w:p w14:paraId="6E068ECE" w14:textId="77777777" w:rsidR="003B3426" w:rsidRPr="00C454A1" w:rsidRDefault="003B3426" w:rsidP="001932AD">
      <w:pPr>
        <w:pStyle w:val="Prrafodelista"/>
        <w:ind w:left="737" w:right="51"/>
        <w:rPr>
          <w:rFonts w:eastAsia="Times New Roman" w:cs="Times New Roman"/>
          <w:color w:val="000000" w:themeColor="text1"/>
          <w:sz w:val="26"/>
          <w:szCs w:val="26"/>
        </w:rPr>
      </w:pPr>
      <w:r w:rsidRPr="00C454A1">
        <w:rPr>
          <w:rFonts w:eastAsia="Times New Roman" w:cs="Times New Roman"/>
          <w:color w:val="000000" w:themeColor="text1"/>
          <w:sz w:val="26"/>
          <w:szCs w:val="26"/>
        </w:rPr>
        <w:t xml:space="preserve">“[E]l atentado al Batallón de Ingenieros N.º 30 en Tibú, ocurrido la noche del 5 de febrero de 2025; operaciones militares cerca de instituciones educativas en la misma fecha; hostigamiento contra la estación de policía del municipio de Convención que generó impactos de arma de fuego en la Institución Educativa Normal Superior el 17 de febrero; hostigamiento a la estación de policía en el municipio de Convención y detonaciones en contra del peaje de Villa del Rosario y el CAI de La Parada el 19 de febrero y ataques al comando de atención inmediata -CAI- en Teorama el pasado 27 de febrero, entre otras confrontaciones armadas que se presentan en áreas rurales y urbanas de los municipios de Teorama, Tibú, Sardinata, El Tarra y Convención”. </w:t>
      </w:r>
    </w:p>
    <w:p w14:paraId="52DD62C9" w14:textId="6427821C" w:rsidR="0000561D" w:rsidRPr="00C454A1" w:rsidRDefault="003B3426" w:rsidP="003B3426">
      <w:pPr>
        <w:pStyle w:val="Prrafodelista"/>
        <w:ind w:left="0"/>
        <w:rPr>
          <w:rFonts w:eastAsia="Times New Roman" w:cs="Times New Roman"/>
          <w:color w:val="000000" w:themeColor="text1"/>
          <w:szCs w:val="28"/>
        </w:rPr>
      </w:pPr>
      <w:r w:rsidRPr="00C454A1">
        <w:rPr>
          <w:rFonts w:eastAsia="Times New Roman" w:cs="Times New Roman"/>
          <w:color w:val="000000" w:themeColor="text1"/>
          <w:szCs w:val="28"/>
        </w:rPr>
        <w:t> </w:t>
      </w:r>
    </w:p>
    <w:p w14:paraId="2650B232" w14:textId="77777777" w:rsidR="003B3426" w:rsidRPr="00C454A1" w:rsidRDefault="003B3426" w:rsidP="005D0BFA">
      <w:pPr>
        <w:pStyle w:val="Prrafodelista"/>
        <w:numPr>
          <w:ilvl w:val="0"/>
          <w:numId w:val="16"/>
        </w:numPr>
        <w:ind w:hanging="436"/>
        <w:rPr>
          <w:rFonts w:eastAsia="Times New Roman" w:cs="Times New Roman"/>
          <w:color w:val="000000" w:themeColor="text1"/>
          <w:szCs w:val="28"/>
          <w:u w:val="single"/>
        </w:rPr>
      </w:pPr>
      <w:r w:rsidRPr="00C454A1">
        <w:rPr>
          <w:rFonts w:eastAsia="Times New Roman" w:cs="Times New Roman"/>
          <w:color w:val="000000" w:themeColor="text1"/>
          <w:szCs w:val="28"/>
          <w:u w:val="single"/>
        </w:rPr>
        <w:t xml:space="preserve">Ataques y hostilidades contra la población civil </w:t>
      </w:r>
    </w:p>
    <w:p w14:paraId="00D0F27F" w14:textId="77777777" w:rsidR="003B3426" w:rsidRPr="00C454A1" w:rsidRDefault="003B3426" w:rsidP="0000561D">
      <w:pPr>
        <w:rPr>
          <w:rFonts w:eastAsia="Times New Roman" w:cs="Times New Roman"/>
          <w:color w:val="000000" w:themeColor="text1"/>
          <w:szCs w:val="28"/>
        </w:rPr>
      </w:pPr>
    </w:p>
    <w:p w14:paraId="6AF3ACCE" w14:textId="034FB72B"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En el acápite I de la parte motiva del Decreto 62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afirmó: </w:t>
      </w:r>
    </w:p>
    <w:p w14:paraId="21393D4C" w14:textId="77777777" w:rsidR="003B3426" w:rsidRPr="00C454A1" w:rsidRDefault="003B3426" w:rsidP="003B3426">
      <w:pPr>
        <w:pStyle w:val="Prrafodelista"/>
        <w:ind w:left="0"/>
        <w:rPr>
          <w:rFonts w:eastAsia="Times New Roman" w:cs="Times New Roman"/>
          <w:b/>
          <w:bCs/>
          <w:color w:val="000000" w:themeColor="text1"/>
          <w:szCs w:val="28"/>
        </w:rPr>
      </w:pPr>
    </w:p>
    <w:p w14:paraId="2BF13F30" w14:textId="77777777" w:rsidR="003B3426" w:rsidRPr="00C454A1" w:rsidRDefault="003B3426" w:rsidP="001932AD">
      <w:pPr>
        <w:pStyle w:val="Prrafodelista"/>
        <w:ind w:left="737" w:right="51"/>
        <w:rPr>
          <w:rFonts w:cs="Times New Roman"/>
          <w:color w:val="000000" w:themeColor="text1"/>
          <w:sz w:val="26"/>
          <w:szCs w:val="26"/>
          <w:shd w:val="clear" w:color="auto" w:fill="FFFFFF"/>
        </w:rPr>
      </w:pPr>
      <w:r w:rsidRPr="00C454A1">
        <w:rPr>
          <w:rFonts w:cs="Times New Roman"/>
          <w:color w:val="000000" w:themeColor="text1"/>
          <w:sz w:val="26"/>
          <w:szCs w:val="26"/>
          <w:shd w:val="clear" w:color="auto" w:fill="FFFFFF"/>
        </w:rPr>
        <w:t>“Que, a su vez, el ELN ha incrementado sus ataques y hostilidades contra la población civil y, especialmente, contra los firmantes del acuerdo final de paz en la región del Catatumbo, lo cual es promovido y financiado, entre otros, con los recursos provenientes de las actividades y economías ilegales en esta región.</w:t>
      </w:r>
    </w:p>
    <w:p w14:paraId="6111DF37" w14:textId="77777777" w:rsidR="003B3426" w:rsidRPr="00C454A1" w:rsidRDefault="003B3426" w:rsidP="001932AD">
      <w:pPr>
        <w:pStyle w:val="Prrafodelista"/>
        <w:ind w:left="737" w:right="51"/>
        <w:rPr>
          <w:rFonts w:cs="Times New Roman"/>
          <w:color w:val="000000" w:themeColor="text1"/>
          <w:sz w:val="26"/>
          <w:szCs w:val="26"/>
          <w:shd w:val="clear" w:color="auto" w:fill="FFFFFF"/>
        </w:rPr>
      </w:pPr>
    </w:p>
    <w:p w14:paraId="05AD2577" w14:textId="77777777" w:rsidR="003B3426" w:rsidRPr="00C454A1" w:rsidRDefault="003B3426" w:rsidP="001932AD">
      <w:pPr>
        <w:pStyle w:val="Prrafodelista"/>
        <w:ind w:left="737" w:right="51"/>
        <w:rPr>
          <w:rFonts w:cs="Times New Roman"/>
          <w:color w:val="000000" w:themeColor="text1"/>
          <w:sz w:val="26"/>
          <w:szCs w:val="26"/>
          <w:shd w:val="clear" w:color="auto" w:fill="FFFFFF"/>
        </w:rPr>
      </w:pPr>
      <w:r w:rsidRPr="00C454A1">
        <w:rPr>
          <w:rFonts w:cs="Times New Roman"/>
          <w:color w:val="000000" w:themeColor="text1"/>
          <w:sz w:val="26"/>
          <w:szCs w:val="26"/>
          <w:shd w:val="clear" w:color="auto" w:fill="FFFFFF"/>
        </w:rPr>
        <w:t>Que, desde el 16 de enero de 2025, la grave perturbación del orden público en la región del Catatumbo se ha intensificado como consecuencia del despliegue militar, las hostilidades y las operaciones armadas del ELN en contra de la población civil y las instituciones. (…)</w:t>
      </w:r>
    </w:p>
    <w:p w14:paraId="5E82E998" w14:textId="77777777" w:rsidR="003B3426" w:rsidRPr="00C454A1" w:rsidRDefault="003B3426" w:rsidP="001932AD">
      <w:pPr>
        <w:pStyle w:val="Prrafodelista"/>
        <w:ind w:left="737" w:right="51"/>
        <w:rPr>
          <w:rFonts w:cs="Times New Roman"/>
          <w:color w:val="000000" w:themeColor="text1"/>
          <w:sz w:val="26"/>
          <w:szCs w:val="26"/>
          <w:shd w:val="clear" w:color="auto" w:fill="FFFFFF"/>
        </w:rPr>
      </w:pPr>
    </w:p>
    <w:p w14:paraId="5F48623B" w14:textId="77777777" w:rsidR="003B3426" w:rsidRPr="00C454A1" w:rsidRDefault="003B3426" w:rsidP="001932AD">
      <w:pPr>
        <w:pStyle w:val="Prrafodelista"/>
        <w:ind w:left="737" w:right="51"/>
        <w:rPr>
          <w:rFonts w:cs="Times New Roman"/>
          <w:color w:val="000000" w:themeColor="text1"/>
          <w:sz w:val="26"/>
          <w:szCs w:val="26"/>
          <w:shd w:val="clear" w:color="auto" w:fill="FFFFFF"/>
        </w:rPr>
      </w:pPr>
      <w:r w:rsidRPr="00C454A1">
        <w:rPr>
          <w:rFonts w:cs="Times New Roman"/>
          <w:color w:val="000000" w:themeColor="text1"/>
          <w:sz w:val="26"/>
          <w:szCs w:val="26"/>
          <w:shd w:val="clear" w:color="auto" w:fill="FFFFFF"/>
        </w:rPr>
        <w:t>Que, según la información reportada por las autoridades territoriales en los Puestos de Mando Unificados, en el marco de la escalada de violencia y con corte al 21 de enero de 2025, se han confirmado 38: homicidios (incluidos 5 firmantes del acuerdo final de paz), sin que sea posible descartar la existencia de un número mayor de víctimas mortales ante las extremas dificultades que enfrentan las autoridades para la recolección e identificación de cuerpos en las zonas más afectadas por la confrontación, así como múltiples casos de lesiones personales y desapariciones forzadas.</w:t>
      </w:r>
    </w:p>
    <w:p w14:paraId="76ED4E7E" w14:textId="77777777" w:rsidR="003B3426" w:rsidRPr="00C454A1" w:rsidRDefault="003B3426" w:rsidP="001932AD">
      <w:pPr>
        <w:pStyle w:val="Prrafodelista"/>
        <w:ind w:left="737" w:right="51"/>
        <w:rPr>
          <w:rFonts w:cs="Times New Roman"/>
          <w:color w:val="000000" w:themeColor="text1"/>
          <w:sz w:val="26"/>
          <w:szCs w:val="26"/>
          <w:shd w:val="clear" w:color="auto" w:fill="FFFFFF"/>
        </w:rPr>
      </w:pPr>
    </w:p>
    <w:p w14:paraId="08E9288B" w14:textId="77777777" w:rsidR="003B3426" w:rsidRPr="00C454A1" w:rsidRDefault="003B3426" w:rsidP="001932AD">
      <w:pPr>
        <w:pStyle w:val="NormalWeb"/>
        <w:shd w:val="clear" w:color="auto" w:fill="FFFFFF"/>
        <w:ind w:left="737" w:right="51"/>
        <w:rPr>
          <w:color w:val="000000" w:themeColor="text1"/>
          <w:sz w:val="26"/>
          <w:szCs w:val="26"/>
        </w:rPr>
      </w:pPr>
      <w:r w:rsidRPr="00C454A1">
        <w:rPr>
          <w:color w:val="000000" w:themeColor="text1"/>
          <w:sz w:val="26"/>
          <w:szCs w:val="26"/>
        </w:rPr>
        <w:t>Que, en atención a la situación presentada, 395 personas han sido extraídas, entre las que se encuentran 14 firmantes de paz y 17 de sus familiares, quienes se han refugiado en unidades militares; además, se encuentra pendiente la evacuación de 52 personas.</w:t>
      </w:r>
    </w:p>
    <w:p w14:paraId="73C51E35" w14:textId="77777777" w:rsidR="003B3426" w:rsidRPr="00C454A1" w:rsidRDefault="003B3426" w:rsidP="001932AD">
      <w:pPr>
        <w:pStyle w:val="NormalWeb"/>
        <w:shd w:val="clear" w:color="auto" w:fill="FFFFFF"/>
        <w:ind w:left="737" w:right="51"/>
        <w:rPr>
          <w:color w:val="000000" w:themeColor="text1"/>
          <w:sz w:val="26"/>
          <w:szCs w:val="26"/>
        </w:rPr>
      </w:pPr>
    </w:p>
    <w:p w14:paraId="6C24BC8E" w14:textId="77777777" w:rsidR="003B3426" w:rsidRPr="00C454A1" w:rsidRDefault="003B3426" w:rsidP="001932AD">
      <w:pPr>
        <w:pStyle w:val="NormalWeb"/>
        <w:shd w:val="clear" w:color="auto" w:fill="FFFFFF"/>
        <w:ind w:left="737" w:right="51"/>
        <w:rPr>
          <w:color w:val="000000" w:themeColor="text1"/>
          <w:sz w:val="26"/>
          <w:szCs w:val="26"/>
        </w:rPr>
      </w:pPr>
      <w:r w:rsidRPr="00C454A1">
        <w:rPr>
          <w:color w:val="000000" w:themeColor="text1"/>
          <w:sz w:val="26"/>
          <w:szCs w:val="26"/>
        </w:rPr>
        <w:t>Que, de acuerdo con la información proporcionada por el Comité de Justicia Transicional, con corte a 22 de enero de 2025, el consolidado de la población desplazada forzadamente es de 36.137 personas. (…)</w:t>
      </w:r>
    </w:p>
    <w:p w14:paraId="5862839A" w14:textId="77777777" w:rsidR="003B3426" w:rsidRPr="00C454A1" w:rsidRDefault="003B3426" w:rsidP="001932AD">
      <w:pPr>
        <w:pStyle w:val="NormalWeb"/>
        <w:shd w:val="clear" w:color="auto" w:fill="FFFFFF"/>
        <w:ind w:left="737" w:right="51"/>
        <w:rPr>
          <w:color w:val="000000" w:themeColor="text1"/>
          <w:sz w:val="26"/>
          <w:szCs w:val="26"/>
        </w:rPr>
      </w:pPr>
    </w:p>
    <w:p w14:paraId="565F9A10" w14:textId="77777777" w:rsidR="003B3426" w:rsidRPr="00C454A1" w:rsidRDefault="003B3426" w:rsidP="001932AD">
      <w:pPr>
        <w:pStyle w:val="Prrafodelista"/>
        <w:ind w:left="737" w:right="51"/>
        <w:rPr>
          <w:rFonts w:cs="Times New Roman"/>
          <w:color w:val="000000" w:themeColor="text1"/>
          <w:sz w:val="22"/>
          <w:szCs w:val="22"/>
          <w:shd w:val="clear" w:color="auto" w:fill="FFFFFF"/>
        </w:rPr>
      </w:pPr>
      <w:r w:rsidRPr="00C454A1">
        <w:rPr>
          <w:rFonts w:cs="Times New Roman"/>
          <w:color w:val="000000" w:themeColor="text1"/>
          <w:sz w:val="26"/>
          <w:szCs w:val="26"/>
          <w:shd w:val="clear" w:color="auto" w:fill="FFFFFF"/>
        </w:rPr>
        <w:t>Que el Ministerio de Relaciones Exteriores informó que, con motivo de la grave situación de orden público descrita, los días 17, 18 y 19 de enero de 2025 se presentó un flujo migratorio hacia territorio venezolano que alcanzó las 700 personas diarias; y que los días 20 y 21 de enero de 2025 se presentó una leve disminución a cerca de 400 personas por día”.</w:t>
      </w:r>
    </w:p>
    <w:p w14:paraId="2CA63FF7" w14:textId="77777777" w:rsidR="003B3426" w:rsidRPr="00C454A1" w:rsidRDefault="003B3426" w:rsidP="003B3426">
      <w:pPr>
        <w:pStyle w:val="Prrafodelista"/>
        <w:ind w:left="0"/>
        <w:rPr>
          <w:rFonts w:eastAsia="Times New Roman" w:cs="Times New Roman"/>
          <w:b/>
          <w:bCs/>
          <w:color w:val="000000" w:themeColor="text1"/>
          <w:sz w:val="22"/>
          <w:szCs w:val="22"/>
        </w:rPr>
      </w:pPr>
    </w:p>
    <w:p w14:paraId="00F0ACA5" w14:textId="08D2DF13"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La Sala Plena considera que los ataques y hostilidades del ELN contra la población </w:t>
      </w:r>
      <w:r w:rsidRPr="00C454A1">
        <w:rPr>
          <w:rFonts w:cs="Times New Roman"/>
          <w:color w:val="000000" w:themeColor="text1"/>
          <w:szCs w:val="28"/>
          <w:lang w:eastAsia="es-ES"/>
        </w:rPr>
        <w:t>civil</w:t>
      </w:r>
      <w:r w:rsidRPr="00C454A1">
        <w:rPr>
          <w:rFonts w:eastAsia="Times New Roman" w:cs="Times New Roman"/>
          <w:color w:val="000000" w:themeColor="text1"/>
          <w:szCs w:val="28"/>
        </w:rPr>
        <w:t xml:space="preserve"> y, en especial contra la población firmante del AFP, se encuentran plenamente probados. La Policía Nacional</w:t>
      </w:r>
      <w:r w:rsidRPr="00C454A1">
        <w:rPr>
          <w:rStyle w:val="Refdenotaalpie"/>
          <w:rFonts w:eastAsia="Times New Roman" w:cs="Times New Roman"/>
          <w:color w:val="000000" w:themeColor="text1"/>
          <w:szCs w:val="28"/>
        </w:rPr>
        <w:footnoteReference w:id="204"/>
      </w:r>
      <w:r w:rsidRPr="00C454A1">
        <w:rPr>
          <w:rFonts w:eastAsia="Times New Roman" w:cs="Times New Roman"/>
          <w:color w:val="000000" w:themeColor="text1"/>
          <w:szCs w:val="28"/>
        </w:rPr>
        <w:t xml:space="preserve"> y el </w:t>
      </w:r>
      <w:r w:rsidR="003E26CF" w:rsidRPr="00C454A1">
        <w:rPr>
          <w:rFonts w:eastAsia="Times New Roman" w:cs="Times New Roman"/>
          <w:color w:val="000000" w:themeColor="text1"/>
          <w:szCs w:val="28"/>
        </w:rPr>
        <w:t>Puesto de Mando Unificado (</w:t>
      </w:r>
      <w:r w:rsidRPr="00C454A1">
        <w:rPr>
          <w:rFonts w:eastAsia="Times New Roman" w:cs="Times New Roman"/>
          <w:color w:val="000000" w:themeColor="text1"/>
          <w:szCs w:val="28"/>
        </w:rPr>
        <w:t>PMU</w:t>
      </w:r>
      <w:r w:rsidR="003E26CF"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Catatumbo</w:t>
      </w:r>
      <w:r w:rsidRPr="00C454A1">
        <w:rPr>
          <w:rStyle w:val="Refdenotaalpie"/>
          <w:rFonts w:eastAsia="Times New Roman" w:cs="Times New Roman"/>
          <w:color w:val="000000" w:themeColor="text1"/>
          <w:szCs w:val="28"/>
        </w:rPr>
        <w:footnoteReference w:id="205"/>
      </w:r>
      <w:r w:rsidRPr="00C454A1">
        <w:rPr>
          <w:rFonts w:eastAsia="Times New Roman" w:cs="Times New Roman"/>
          <w:color w:val="000000" w:themeColor="text1"/>
          <w:szCs w:val="28"/>
        </w:rPr>
        <w:t xml:space="preserve"> informaron a la Corte que entre enero y febrero de 2025</w:t>
      </w:r>
      <w:r w:rsidR="005518D8"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(i)</w:t>
      </w:r>
      <w:r w:rsidRPr="00C454A1">
        <w:rPr>
          <w:rFonts w:eastAsia="Times New Roman" w:cs="Times New Roman"/>
          <w:i/>
          <w:iCs/>
          <w:color w:val="000000" w:themeColor="text1"/>
          <w:szCs w:val="28"/>
        </w:rPr>
        <w:t xml:space="preserve"> </w:t>
      </w:r>
      <w:r w:rsidRPr="00C454A1">
        <w:rPr>
          <w:rFonts w:eastAsia="Times New Roman" w:cs="Times New Roman"/>
          <w:color w:val="000000" w:themeColor="text1"/>
          <w:szCs w:val="28"/>
        </w:rPr>
        <w:t xml:space="preserve">70 personas </w:t>
      </w:r>
      <w:r w:rsidR="005518D8" w:rsidRPr="00C454A1">
        <w:rPr>
          <w:rFonts w:eastAsia="Times New Roman" w:cs="Times New Roman"/>
          <w:color w:val="000000" w:themeColor="text1"/>
          <w:szCs w:val="28"/>
        </w:rPr>
        <w:t xml:space="preserve">fueron </w:t>
      </w:r>
      <w:r w:rsidRPr="00C454A1">
        <w:rPr>
          <w:rFonts w:eastAsia="Times New Roman" w:cs="Times New Roman"/>
          <w:color w:val="000000" w:themeColor="text1"/>
          <w:szCs w:val="28"/>
        </w:rPr>
        <w:t>asesinadas, de</w:t>
      </w:r>
      <w:r w:rsidRPr="00C454A1">
        <w:rPr>
          <w:rFonts w:cs="Times New Roman"/>
          <w:color w:val="000000" w:themeColor="text1"/>
          <w:szCs w:val="28"/>
        </w:rPr>
        <w:t xml:space="preserve"> las cuales </w:t>
      </w:r>
      <w:r w:rsidR="00634D2E" w:rsidRPr="00C454A1">
        <w:rPr>
          <w:rFonts w:cs="Times New Roman"/>
          <w:color w:val="000000" w:themeColor="text1"/>
          <w:szCs w:val="28"/>
        </w:rPr>
        <w:t>cinco</w:t>
      </w:r>
      <w:r w:rsidRPr="00C454A1">
        <w:rPr>
          <w:rFonts w:cs="Times New Roman"/>
          <w:color w:val="000000" w:themeColor="text1"/>
          <w:szCs w:val="28"/>
        </w:rPr>
        <w:t xml:space="preserve"> </w:t>
      </w:r>
      <w:r w:rsidR="005518D8" w:rsidRPr="00C454A1">
        <w:rPr>
          <w:rFonts w:cs="Times New Roman"/>
          <w:color w:val="000000" w:themeColor="text1"/>
          <w:szCs w:val="28"/>
        </w:rPr>
        <w:t xml:space="preserve">eran </w:t>
      </w:r>
      <w:r w:rsidRPr="00C454A1">
        <w:rPr>
          <w:rFonts w:cs="Times New Roman"/>
          <w:color w:val="000000" w:themeColor="text1"/>
          <w:szCs w:val="28"/>
        </w:rPr>
        <w:t xml:space="preserve">firmantes </w:t>
      </w:r>
      <w:r w:rsidRPr="00C454A1">
        <w:rPr>
          <w:rFonts w:cs="Times New Roman"/>
          <w:color w:val="000000" w:themeColor="text1"/>
          <w:szCs w:val="28"/>
        </w:rPr>
        <w:lastRenderedPageBreak/>
        <w:t xml:space="preserve">del AFP, </w:t>
      </w:r>
      <w:r w:rsidR="00634D2E" w:rsidRPr="00C454A1">
        <w:rPr>
          <w:rFonts w:cs="Times New Roman"/>
          <w:color w:val="000000" w:themeColor="text1"/>
          <w:szCs w:val="28"/>
        </w:rPr>
        <w:t>tres</w:t>
      </w:r>
      <w:r w:rsidRPr="00C454A1">
        <w:rPr>
          <w:rFonts w:cs="Times New Roman"/>
          <w:color w:val="000000" w:themeColor="text1"/>
          <w:szCs w:val="28"/>
        </w:rPr>
        <w:t xml:space="preserve"> líderes sociales, 58 civiles mayores de edad y </w:t>
      </w:r>
      <w:r w:rsidR="00634D2E" w:rsidRPr="00C454A1">
        <w:rPr>
          <w:rFonts w:cs="Times New Roman"/>
          <w:color w:val="000000" w:themeColor="text1"/>
          <w:szCs w:val="28"/>
        </w:rPr>
        <w:t>cuatro</w:t>
      </w:r>
      <w:r w:rsidRPr="00C454A1">
        <w:rPr>
          <w:rFonts w:cs="Times New Roman"/>
          <w:color w:val="000000" w:themeColor="text1"/>
          <w:szCs w:val="28"/>
        </w:rPr>
        <w:t xml:space="preserve"> civiles menores de edad; (ii)</w:t>
      </w:r>
      <w:r w:rsidRPr="00C454A1">
        <w:rPr>
          <w:rFonts w:cs="Times New Roman"/>
          <w:i/>
          <w:iCs/>
          <w:color w:val="000000" w:themeColor="text1"/>
          <w:szCs w:val="28"/>
        </w:rPr>
        <w:t xml:space="preserve"> </w:t>
      </w:r>
      <w:r w:rsidRPr="00C454A1">
        <w:rPr>
          <w:rFonts w:cs="Times New Roman"/>
          <w:color w:val="000000" w:themeColor="text1"/>
          <w:szCs w:val="28"/>
        </w:rPr>
        <w:t>17 personas fueron lesionadas; (iii)</w:t>
      </w:r>
      <w:r w:rsidRPr="00C454A1">
        <w:rPr>
          <w:rFonts w:cs="Times New Roman"/>
          <w:i/>
          <w:iCs/>
          <w:color w:val="000000" w:themeColor="text1"/>
          <w:szCs w:val="28"/>
        </w:rPr>
        <w:t xml:space="preserve"> </w:t>
      </w:r>
      <w:r w:rsidRPr="00C454A1">
        <w:rPr>
          <w:rFonts w:cs="Times New Roman"/>
          <w:color w:val="000000" w:themeColor="text1"/>
          <w:szCs w:val="28"/>
        </w:rPr>
        <w:t xml:space="preserve">54.264 personas </w:t>
      </w:r>
      <w:r w:rsidR="005518D8" w:rsidRPr="00C454A1">
        <w:rPr>
          <w:rFonts w:cs="Times New Roman"/>
          <w:color w:val="000000" w:themeColor="text1"/>
          <w:szCs w:val="28"/>
        </w:rPr>
        <w:t xml:space="preserve">fueron </w:t>
      </w:r>
      <w:r w:rsidRPr="00C454A1">
        <w:rPr>
          <w:rFonts w:cs="Times New Roman"/>
          <w:color w:val="000000" w:themeColor="text1"/>
          <w:szCs w:val="28"/>
        </w:rPr>
        <w:t>desplazadas forzosamente; (iv)</w:t>
      </w:r>
      <w:r w:rsidRPr="00C454A1">
        <w:rPr>
          <w:rFonts w:cs="Times New Roman"/>
          <w:i/>
          <w:iCs/>
          <w:color w:val="000000" w:themeColor="text1"/>
          <w:szCs w:val="28"/>
        </w:rPr>
        <w:t xml:space="preserve"> </w:t>
      </w:r>
      <w:r w:rsidRPr="00C454A1">
        <w:rPr>
          <w:rFonts w:cs="Times New Roman"/>
          <w:color w:val="000000" w:themeColor="text1"/>
          <w:szCs w:val="28"/>
        </w:rPr>
        <w:t xml:space="preserve">23.860 personas </w:t>
      </w:r>
      <w:r w:rsidR="005518D8" w:rsidRPr="00C454A1">
        <w:rPr>
          <w:rFonts w:cs="Times New Roman"/>
          <w:color w:val="000000" w:themeColor="text1"/>
          <w:szCs w:val="28"/>
        </w:rPr>
        <w:t>fueron víctimas de</w:t>
      </w:r>
      <w:r w:rsidRPr="00C454A1">
        <w:rPr>
          <w:rFonts w:cs="Times New Roman"/>
          <w:color w:val="000000" w:themeColor="text1"/>
          <w:szCs w:val="28"/>
        </w:rPr>
        <w:t xml:space="preserve"> </w:t>
      </w:r>
      <w:r w:rsidRPr="00C454A1">
        <w:rPr>
          <w:rFonts w:eastAsia="Times New Roman" w:cs="Times New Roman"/>
          <w:color w:val="000000" w:themeColor="text1"/>
          <w:szCs w:val="28"/>
        </w:rPr>
        <w:t>c</w:t>
      </w:r>
      <w:r w:rsidRPr="00C454A1">
        <w:rPr>
          <w:rFonts w:cs="Times New Roman"/>
          <w:color w:val="000000" w:themeColor="text1"/>
          <w:szCs w:val="28"/>
        </w:rPr>
        <w:t>onfinamiento; (v)</w:t>
      </w:r>
      <w:r w:rsidRPr="00C454A1">
        <w:rPr>
          <w:rFonts w:cs="Times New Roman"/>
          <w:i/>
          <w:iCs/>
          <w:color w:val="000000" w:themeColor="text1"/>
          <w:szCs w:val="28"/>
        </w:rPr>
        <w:t xml:space="preserve"> </w:t>
      </w:r>
      <w:r w:rsidRPr="00C454A1">
        <w:rPr>
          <w:rFonts w:cs="Times New Roman"/>
          <w:color w:val="000000" w:themeColor="text1"/>
          <w:szCs w:val="28"/>
        </w:rPr>
        <w:t xml:space="preserve">12 firmantes del AFP </w:t>
      </w:r>
      <w:r w:rsidR="005518D8" w:rsidRPr="00C454A1">
        <w:rPr>
          <w:rFonts w:cs="Times New Roman"/>
          <w:color w:val="000000" w:themeColor="text1"/>
          <w:szCs w:val="28"/>
        </w:rPr>
        <w:t xml:space="preserve">estaban </w:t>
      </w:r>
      <w:r w:rsidRPr="00C454A1">
        <w:rPr>
          <w:rFonts w:cs="Times New Roman"/>
          <w:color w:val="000000" w:themeColor="text1"/>
          <w:szCs w:val="28"/>
        </w:rPr>
        <w:t>desaparecidos. Esta información coincide con los datos remitidos</w:t>
      </w:r>
      <w:r w:rsidRPr="00C454A1">
        <w:rPr>
          <w:rFonts w:eastAsia="Times New Roman" w:cs="Times New Roman"/>
          <w:color w:val="000000" w:themeColor="text1"/>
          <w:szCs w:val="28"/>
        </w:rPr>
        <w:t xml:space="preserve"> por la ARN</w:t>
      </w:r>
      <w:r w:rsidRPr="00C454A1">
        <w:rPr>
          <w:rStyle w:val="Refdenotaalpie"/>
          <w:rFonts w:eastAsia="Times New Roman" w:cs="Times New Roman"/>
          <w:color w:val="000000" w:themeColor="text1"/>
          <w:szCs w:val="28"/>
        </w:rPr>
        <w:footnoteReference w:id="206"/>
      </w:r>
      <w:r w:rsidRPr="00C454A1">
        <w:rPr>
          <w:rFonts w:eastAsia="Times New Roman" w:cs="Times New Roman"/>
          <w:color w:val="000000" w:themeColor="text1"/>
          <w:szCs w:val="28"/>
        </w:rPr>
        <w:t>. Asimismo, la Sala Plena destaca que el Comité Permanente por la Defensa de los Derechos Humanos le informó a la Corte que “los enfrentamientos entre grupos armados en la subregión del Catatumbo [han] afectado 91.879 personas”</w:t>
      </w:r>
      <w:r w:rsidRPr="00C454A1">
        <w:rPr>
          <w:rFonts w:eastAsia="Times New Roman" w:cs="Times New Roman"/>
          <w:color w:val="000000" w:themeColor="text1"/>
          <w:szCs w:val="28"/>
          <w:vertAlign w:val="superscript"/>
        </w:rPr>
        <w:footnoteReference w:id="207"/>
      </w:r>
      <w:r w:rsidRPr="00C454A1">
        <w:rPr>
          <w:rFonts w:eastAsia="Times New Roman" w:cs="Times New Roman"/>
          <w:color w:val="000000" w:themeColor="text1"/>
          <w:szCs w:val="28"/>
        </w:rPr>
        <w:t xml:space="preserve">. </w:t>
      </w:r>
    </w:p>
    <w:p w14:paraId="36E15189" w14:textId="77777777" w:rsidR="003B3426" w:rsidRPr="00C454A1" w:rsidRDefault="003B3426" w:rsidP="003B3426">
      <w:pPr>
        <w:pStyle w:val="Prrafodelista"/>
        <w:ind w:left="0"/>
        <w:rPr>
          <w:rFonts w:eastAsia="Times New Roman" w:cs="Times New Roman"/>
          <w:color w:val="000000" w:themeColor="text1"/>
          <w:szCs w:val="28"/>
        </w:rPr>
      </w:pPr>
    </w:p>
    <w:p w14:paraId="7D01B86D" w14:textId="77777777"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La Corte constata que las pruebas que reposan en el expediente demuestran que </w:t>
      </w:r>
      <w:r w:rsidRPr="00C454A1">
        <w:rPr>
          <w:rFonts w:cs="Times New Roman"/>
          <w:color w:val="000000" w:themeColor="text1"/>
          <w:szCs w:val="28"/>
          <w:lang w:eastAsia="es-ES"/>
        </w:rPr>
        <w:t>el</w:t>
      </w:r>
      <w:r w:rsidRPr="00C454A1">
        <w:rPr>
          <w:rFonts w:eastAsia="Times New Roman" w:cs="Times New Roman"/>
          <w:color w:val="000000" w:themeColor="text1"/>
          <w:szCs w:val="28"/>
        </w:rPr>
        <w:t xml:space="preserve"> ELN financia su accionar armado en la región con “los recursos provenientes de las actividades y economías ilegales en esta región”</w:t>
      </w:r>
      <w:r w:rsidRPr="00C454A1">
        <w:rPr>
          <w:rStyle w:val="Refdenotaalpie"/>
          <w:rFonts w:eastAsia="Times New Roman" w:cs="Times New Roman"/>
          <w:color w:val="000000" w:themeColor="text1"/>
          <w:szCs w:val="28"/>
        </w:rPr>
        <w:footnoteReference w:id="208"/>
      </w:r>
      <w:r w:rsidRPr="00C454A1">
        <w:rPr>
          <w:rFonts w:eastAsia="Times New Roman" w:cs="Times New Roman"/>
          <w:color w:val="000000" w:themeColor="text1"/>
          <w:szCs w:val="28"/>
        </w:rPr>
        <w:t>. El DAPRE</w:t>
      </w:r>
      <w:r w:rsidRPr="00C454A1">
        <w:rPr>
          <w:rFonts w:cs="Times New Roman"/>
          <w:color w:val="000000" w:themeColor="text1"/>
          <w:vertAlign w:val="superscript"/>
        </w:rPr>
        <w:footnoteReference w:id="209"/>
      </w:r>
      <w:r w:rsidRPr="00C454A1">
        <w:rPr>
          <w:rFonts w:eastAsia="Times New Roman" w:cs="Times New Roman"/>
          <w:color w:val="000000" w:themeColor="text1"/>
          <w:szCs w:val="28"/>
        </w:rPr>
        <w:t xml:space="preserve"> y la Policía Nacional han emitido distintos informes sobre las fuentes de financiamiento de los actores armados ilegales en el Catatumbo, las cuales incluyen, entre otras: (i) actividades asociadas a los cultivos ilícitos (gramaje y cobros de seguridad), (ii) control de rutas del narcotráfico, (iii) lavado de activos, (iv) extorsión a comerciantes y contratistas del Estado, (v) tráfico de estupefacientes, (vi) minería ilegal y (vii) contrabando y hurto de vehículos, entre otras. Asimismo, algunos intervinientes</w:t>
      </w:r>
      <w:r w:rsidRPr="00C454A1">
        <w:rPr>
          <w:rFonts w:cs="Times New Roman"/>
          <w:color w:val="000000" w:themeColor="text1"/>
          <w:vertAlign w:val="superscript"/>
        </w:rPr>
        <w:footnoteReference w:id="210"/>
      </w:r>
      <w:r w:rsidRPr="00C454A1">
        <w:rPr>
          <w:rFonts w:eastAsia="Times New Roman" w:cs="Times New Roman"/>
          <w:color w:val="000000" w:themeColor="text1"/>
          <w:szCs w:val="28"/>
        </w:rPr>
        <w:t xml:space="preserve">, la Cámara de Representantes y entidades territoriales confirmaron esta información. Estas actividades han permitido que el ELN ocupe nuevas áreas de interés y ejerza control territorial, mediante el fortalecimiento de sus finanzas y el incremento de personal armado. </w:t>
      </w:r>
    </w:p>
    <w:p w14:paraId="460D2EA0" w14:textId="77777777" w:rsidR="003B3426" w:rsidRPr="00C454A1" w:rsidRDefault="003B3426" w:rsidP="003B3426">
      <w:pPr>
        <w:pStyle w:val="Prrafodelista"/>
        <w:ind w:left="0"/>
        <w:rPr>
          <w:rFonts w:eastAsia="Times New Roman" w:cs="Times New Roman"/>
          <w:color w:val="000000" w:themeColor="text1"/>
          <w:szCs w:val="28"/>
        </w:rPr>
      </w:pPr>
    </w:p>
    <w:p w14:paraId="02C281E0" w14:textId="77777777" w:rsidR="003B3426" w:rsidRPr="00C454A1" w:rsidRDefault="003B3426" w:rsidP="005D0BFA">
      <w:pPr>
        <w:pStyle w:val="Prrafodelista"/>
        <w:numPr>
          <w:ilvl w:val="0"/>
          <w:numId w:val="16"/>
        </w:numPr>
        <w:ind w:hanging="578"/>
        <w:rPr>
          <w:rFonts w:eastAsia="Times New Roman" w:cs="Times New Roman"/>
          <w:color w:val="000000" w:themeColor="text1"/>
          <w:szCs w:val="28"/>
          <w:u w:val="single"/>
        </w:rPr>
      </w:pPr>
      <w:r w:rsidRPr="00C454A1">
        <w:rPr>
          <w:rFonts w:eastAsia="Times New Roman" w:cs="Times New Roman"/>
          <w:color w:val="000000" w:themeColor="text1"/>
          <w:szCs w:val="28"/>
          <w:u w:val="single"/>
        </w:rPr>
        <w:t xml:space="preserve">Daños a bienes protegidos y al ambiente </w:t>
      </w:r>
    </w:p>
    <w:p w14:paraId="7AFD285E" w14:textId="77777777" w:rsidR="003B3426" w:rsidRPr="00C454A1" w:rsidRDefault="003B3426" w:rsidP="003B3426">
      <w:pPr>
        <w:rPr>
          <w:rFonts w:eastAsia="Times New Roman" w:cs="Times New Roman"/>
          <w:color w:val="000000" w:themeColor="text1"/>
          <w:szCs w:val="28"/>
          <w:u w:val="single"/>
        </w:rPr>
      </w:pPr>
    </w:p>
    <w:p w14:paraId="2DFE4AE0" w14:textId="0A01BEF6" w:rsidR="00186CFA" w:rsidRPr="00C454A1" w:rsidRDefault="003B3426" w:rsidP="00186CFA">
      <w:pPr>
        <w:numPr>
          <w:ilvl w:val="0"/>
          <w:numId w:val="2"/>
        </w:numPr>
        <w:ind w:left="0" w:firstLine="0"/>
        <w:rPr>
          <w:rFonts w:cs="Times New Roman"/>
          <w:color w:val="000000" w:themeColor="text1"/>
          <w:szCs w:val="28"/>
          <w:lang w:eastAsia="es-ES"/>
        </w:rPr>
      </w:pPr>
      <w:r w:rsidRPr="00C454A1">
        <w:rPr>
          <w:rFonts w:eastAsia="Times New Roman" w:cs="Times New Roman"/>
          <w:color w:val="000000" w:themeColor="text1"/>
          <w:szCs w:val="28"/>
        </w:rPr>
        <w:t>En el acápite I de la parte motiva del Decreto 62 de 2025</w:t>
      </w:r>
      <w:r w:rsidR="003E26CF"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refirió que el accionar armado del ELN ha generado daños “a bienes protegidos y al ambiente”. En respuesta al auto de pruebas de 31 de enero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especificó que el accionar armado del ELN ha producido daños a la infraestructura de energía eléctrica, vial y del sector de hidrocarburos. Asimismo, ha generado daños ambientales:</w:t>
      </w:r>
    </w:p>
    <w:p w14:paraId="46262687" w14:textId="77777777" w:rsidR="003B3426" w:rsidRPr="00C454A1" w:rsidRDefault="003B3426" w:rsidP="003B3426">
      <w:pPr>
        <w:pStyle w:val="Prrafodelista"/>
        <w:ind w:left="0"/>
        <w:jc w:val="center"/>
        <w:rPr>
          <w:rFonts w:cs="Times New Roman"/>
          <w:i/>
          <w:iCs/>
          <w:color w:val="000000" w:themeColor="text1"/>
          <w:sz w:val="22"/>
          <w:szCs w:val="22"/>
          <w:lang w:eastAsia="es-ES"/>
        </w:rPr>
      </w:pPr>
    </w:p>
    <w:p w14:paraId="3CCB69CF" w14:textId="7F08A547" w:rsidR="00186CFA" w:rsidRPr="00C454A1" w:rsidRDefault="00186CFA" w:rsidP="003B3426">
      <w:pPr>
        <w:pStyle w:val="Prrafodelista"/>
        <w:ind w:left="0"/>
        <w:jc w:val="center"/>
        <w:rPr>
          <w:rFonts w:cs="Times New Roman"/>
          <w:i/>
          <w:iCs/>
          <w:color w:val="000000" w:themeColor="text1"/>
          <w:sz w:val="22"/>
          <w:szCs w:val="22"/>
          <w:lang w:eastAsia="es-ES"/>
        </w:rPr>
      </w:pPr>
      <w:r w:rsidRPr="00C454A1">
        <w:rPr>
          <w:rFonts w:cs="Times New Roman"/>
          <w:i/>
          <w:iCs/>
          <w:color w:val="000000" w:themeColor="text1"/>
          <w:sz w:val="22"/>
          <w:szCs w:val="22"/>
          <w:lang w:eastAsia="es-ES"/>
        </w:rPr>
        <w:t xml:space="preserve">Tabla 5: Daños al ambiente y bienes protegidos reportados por el </w:t>
      </w:r>
      <w:r w:rsidR="00E752BC" w:rsidRPr="00C454A1">
        <w:rPr>
          <w:rFonts w:cs="Times New Roman"/>
          <w:i/>
          <w:iCs/>
          <w:color w:val="000000" w:themeColor="text1"/>
          <w:sz w:val="22"/>
          <w:szCs w:val="22"/>
          <w:lang w:eastAsia="es-ES"/>
        </w:rPr>
        <w:t>Gobierno nacional</w:t>
      </w:r>
    </w:p>
    <w:tbl>
      <w:tblPr>
        <w:tblStyle w:val="Tablaconcuadrcula"/>
        <w:tblW w:w="5000" w:type="pct"/>
        <w:tblLook w:val="04A0" w:firstRow="1" w:lastRow="0" w:firstColumn="1" w:lastColumn="0" w:noHBand="0" w:noVBand="1"/>
      </w:tblPr>
      <w:tblGrid>
        <w:gridCol w:w="1697"/>
        <w:gridCol w:w="7133"/>
      </w:tblGrid>
      <w:tr w:rsidR="00C454A1" w:rsidRPr="00C454A1" w14:paraId="78F5D535" w14:textId="77777777" w:rsidTr="00792B82">
        <w:tc>
          <w:tcPr>
            <w:tcW w:w="5000" w:type="pct"/>
            <w:gridSpan w:val="2"/>
            <w:shd w:val="clear" w:color="auto" w:fill="D9D9D9" w:themeFill="background1" w:themeFillShade="D9"/>
          </w:tcPr>
          <w:p w14:paraId="40A0EECC" w14:textId="77777777" w:rsidR="003B3426" w:rsidRPr="00C454A1" w:rsidRDefault="003B3426" w:rsidP="00EE77DF">
            <w:pPr>
              <w:pStyle w:val="Prrafodelista"/>
              <w:ind w:left="0"/>
              <w:jc w:val="center"/>
              <w:rPr>
                <w:rFonts w:cs="Times New Roman"/>
                <w:b/>
                <w:bCs/>
                <w:color w:val="000000" w:themeColor="text1"/>
                <w:sz w:val="22"/>
                <w:szCs w:val="22"/>
                <w:lang w:eastAsia="es-ES"/>
              </w:rPr>
            </w:pPr>
            <w:r w:rsidRPr="00C454A1">
              <w:rPr>
                <w:rFonts w:cs="Times New Roman"/>
                <w:b/>
                <w:bCs/>
                <w:color w:val="000000" w:themeColor="text1"/>
                <w:sz w:val="22"/>
                <w:szCs w:val="22"/>
                <w:lang w:eastAsia="es-ES"/>
              </w:rPr>
              <w:t>Daños al ambiente y bienes protegidos</w:t>
            </w:r>
          </w:p>
        </w:tc>
      </w:tr>
      <w:tr w:rsidR="00C454A1" w:rsidRPr="00C454A1" w14:paraId="3A1C3AE0" w14:textId="77777777" w:rsidTr="00792B82">
        <w:tc>
          <w:tcPr>
            <w:tcW w:w="961" w:type="pct"/>
            <w:shd w:val="clear" w:color="auto" w:fill="D9D9D9" w:themeFill="background1" w:themeFillShade="D9"/>
            <w:vAlign w:val="center"/>
          </w:tcPr>
          <w:p w14:paraId="0A014EF0" w14:textId="77777777" w:rsidR="003B3426" w:rsidRPr="00C454A1" w:rsidRDefault="003B3426" w:rsidP="00EE77DF">
            <w:pPr>
              <w:pStyle w:val="Prrafodelista"/>
              <w:ind w:left="0"/>
              <w:jc w:val="center"/>
              <w:rPr>
                <w:rFonts w:cs="Times New Roman"/>
                <w:color w:val="000000" w:themeColor="text1"/>
                <w:sz w:val="22"/>
                <w:szCs w:val="22"/>
                <w:lang w:eastAsia="es-ES"/>
              </w:rPr>
            </w:pPr>
            <w:r w:rsidRPr="00C454A1">
              <w:rPr>
                <w:rFonts w:cs="Times New Roman"/>
                <w:b/>
                <w:bCs/>
                <w:color w:val="000000" w:themeColor="text1"/>
                <w:sz w:val="22"/>
                <w:szCs w:val="22"/>
                <w:lang w:eastAsia="es-ES"/>
              </w:rPr>
              <w:t>Hidrocarburos</w:t>
            </w:r>
          </w:p>
        </w:tc>
        <w:tc>
          <w:tcPr>
            <w:tcW w:w="4039" w:type="pct"/>
          </w:tcPr>
          <w:p w14:paraId="6F3E0A40" w14:textId="77777777" w:rsidR="003B3426" w:rsidRPr="00C454A1" w:rsidRDefault="003B3426" w:rsidP="00EE77DF">
            <w:pPr>
              <w:pStyle w:val="Prrafodelista"/>
              <w:ind w:left="0"/>
              <w:rPr>
                <w:rFonts w:cs="Times New Roman"/>
                <w:color w:val="000000" w:themeColor="text1"/>
                <w:sz w:val="22"/>
                <w:szCs w:val="22"/>
                <w:lang w:eastAsia="es-ES"/>
              </w:rPr>
            </w:pPr>
            <w:r w:rsidRPr="00C454A1">
              <w:rPr>
                <w:rFonts w:cs="Times New Roman"/>
                <w:color w:val="000000" w:themeColor="text1"/>
                <w:sz w:val="22"/>
                <w:szCs w:val="22"/>
                <w:lang w:eastAsia="es-ES"/>
              </w:rPr>
              <w:t>El Ministerio de Minas y Energía indicó que, durante 2024, se presentaron 45 ataques al oleoducto Caño Limón-Coveñas, los cuales afectaron la capacidad de transporte y expusieron “la infraestructura crítica, a los trabajadores y a la población civil a riesgos permanentes”</w:t>
            </w:r>
            <w:r w:rsidRPr="00C454A1">
              <w:rPr>
                <w:rFonts w:cs="Times New Roman"/>
                <w:color w:val="000000" w:themeColor="text1"/>
                <w:sz w:val="22"/>
                <w:szCs w:val="22"/>
                <w:vertAlign w:val="superscript"/>
                <w:lang w:eastAsia="es-ES"/>
              </w:rPr>
              <w:footnoteReference w:id="211"/>
            </w:r>
            <w:r w:rsidRPr="00C454A1">
              <w:rPr>
                <w:rFonts w:cs="Times New Roman"/>
                <w:color w:val="000000" w:themeColor="text1"/>
                <w:sz w:val="22"/>
                <w:szCs w:val="22"/>
                <w:lang w:eastAsia="es-ES"/>
              </w:rPr>
              <w:t xml:space="preserve">. El Ministerio agregó que, el 15 de enero de 2025, hubo un atentado en contra del oleoducto en Bochalema, Norte </w:t>
            </w:r>
            <w:r w:rsidRPr="00C454A1">
              <w:rPr>
                <w:rFonts w:cs="Times New Roman"/>
                <w:color w:val="000000" w:themeColor="text1"/>
                <w:sz w:val="22"/>
                <w:szCs w:val="22"/>
                <w:lang w:eastAsia="es-ES"/>
              </w:rPr>
              <w:lastRenderedPageBreak/>
              <w:t>de Santander. Además, dijo que el 18 de enero pasado hubo una afectación a la subestación “Oru”, lo que dejó sin servicio a 2.910 usuarios.</w:t>
            </w:r>
          </w:p>
        </w:tc>
      </w:tr>
      <w:tr w:rsidR="00C454A1" w:rsidRPr="00C454A1" w14:paraId="6B6FC27F" w14:textId="77777777" w:rsidTr="00792B82">
        <w:tc>
          <w:tcPr>
            <w:tcW w:w="961" w:type="pct"/>
            <w:shd w:val="clear" w:color="auto" w:fill="D9D9D9" w:themeFill="background1" w:themeFillShade="D9"/>
            <w:vAlign w:val="center"/>
          </w:tcPr>
          <w:p w14:paraId="680B8681" w14:textId="77777777" w:rsidR="003B3426" w:rsidRPr="00C454A1" w:rsidRDefault="003B3426" w:rsidP="00EE77DF">
            <w:pPr>
              <w:pStyle w:val="Prrafodelista"/>
              <w:ind w:left="0"/>
              <w:jc w:val="center"/>
              <w:rPr>
                <w:rFonts w:cs="Times New Roman"/>
                <w:b/>
                <w:bCs/>
                <w:color w:val="000000" w:themeColor="text1"/>
                <w:sz w:val="22"/>
                <w:szCs w:val="22"/>
                <w:lang w:eastAsia="es-ES"/>
              </w:rPr>
            </w:pPr>
            <w:r w:rsidRPr="00C454A1">
              <w:rPr>
                <w:rFonts w:cs="Times New Roman"/>
                <w:b/>
                <w:bCs/>
                <w:color w:val="000000" w:themeColor="text1"/>
                <w:sz w:val="22"/>
                <w:szCs w:val="22"/>
                <w:lang w:eastAsia="es-ES"/>
              </w:rPr>
              <w:lastRenderedPageBreak/>
              <w:t>Energía eléctrica</w:t>
            </w:r>
          </w:p>
        </w:tc>
        <w:tc>
          <w:tcPr>
            <w:tcW w:w="4039" w:type="pct"/>
          </w:tcPr>
          <w:p w14:paraId="1D33E89E" w14:textId="77777777" w:rsidR="003B3426" w:rsidRPr="00C454A1" w:rsidRDefault="003B3426" w:rsidP="00EE77DF">
            <w:pPr>
              <w:pStyle w:val="Prrafodelista"/>
              <w:ind w:left="0"/>
              <w:rPr>
                <w:rFonts w:cs="Times New Roman"/>
                <w:color w:val="000000" w:themeColor="text1"/>
                <w:sz w:val="22"/>
                <w:szCs w:val="22"/>
                <w:lang w:eastAsia="es-ES"/>
              </w:rPr>
            </w:pPr>
            <w:r w:rsidRPr="00C454A1">
              <w:rPr>
                <w:rFonts w:cs="Times New Roman"/>
                <w:color w:val="000000" w:themeColor="text1"/>
                <w:sz w:val="22"/>
                <w:szCs w:val="22"/>
                <w:lang w:eastAsia="es-ES"/>
              </w:rPr>
              <w:t>El DAPRE aseguró que existen amenazas graves e inminentes de afectación al Sistema Interconectado Nacional. El Ministerio de Minas y Energía, por su parte, señaló que la “generación de energía eléctrica se ha visto muy afectada”</w:t>
            </w:r>
            <w:r w:rsidRPr="00C454A1">
              <w:rPr>
                <w:rFonts w:cs="Times New Roman"/>
                <w:color w:val="000000" w:themeColor="text1"/>
                <w:sz w:val="22"/>
                <w:szCs w:val="22"/>
                <w:vertAlign w:val="superscript"/>
                <w:lang w:eastAsia="es-ES"/>
              </w:rPr>
              <w:footnoteReference w:id="212"/>
            </w:r>
            <w:r w:rsidRPr="00C454A1">
              <w:rPr>
                <w:rFonts w:cs="Times New Roman"/>
                <w:color w:val="000000" w:themeColor="text1"/>
                <w:sz w:val="22"/>
                <w:szCs w:val="22"/>
                <w:lang w:eastAsia="es-ES"/>
              </w:rPr>
              <w:t>, toda vez que la termoeléctrica de la región requiere carbón térmico para funcionar, el cual se produce en los municipios de Tibú y Sardinata, pero no ha podido ser suministrado por la situación de orden público.</w:t>
            </w:r>
          </w:p>
        </w:tc>
      </w:tr>
      <w:tr w:rsidR="00C454A1" w:rsidRPr="00C454A1" w14:paraId="43DDAD52" w14:textId="77777777" w:rsidTr="00792B82">
        <w:tc>
          <w:tcPr>
            <w:tcW w:w="961" w:type="pct"/>
            <w:shd w:val="clear" w:color="auto" w:fill="D9D9D9" w:themeFill="background1" w:themeFillShade="D9"/>
            <w:vAlign w:val="center"/>
          </w:tcPr>
          <w:p w14:paraId="39857ED1" w14:textId="77777777" w:rsidR="003B3426" w:rsidRPr="00C454A1" w:rsidRDefault="003B3426" w:rsidP="00EE77DF">
            <w:pPr>
              <w:pStyle w:val="Prrafodelista"/>
              <w:ind w:left="0"/>
              <w:jc w:val="center"/>
              <w:rPr>
                <w:rFonts w:cs="Times New Roman"/>
                <w:b/>
                <w:bCs/>
                <w:color w:val="000000" w:themeColor="text1"/>
                <w:sz w:val="22"/>
                <w:szCs w:val="22"/>
                <w:lang w:eastAsia="es-ES"/>
              </w:rPr>
            </w:pPr>
            <w:r w:rsidRPr="00C454A1">
              <w:rPr>
                <w:rFonts w:cs="Times New Roman"/>
                <w:b/>
                <w:bCs/>
                <w:color w:val="000000" w:themeColor="text1"/>
                <w:sz w:val="22"/>
                <w:szCs w:val="22"/>
                <w:lang w:eastAsia="es-ES"/>
              </w:rPr>
              <w:t>Infraestructura vial</w:t>
            </w:r>
          </w:p>
        </w:tc>
        <w:tc>
          <w:tcPr>
            <w:tcW w:w="4039" w:type="pct"/>
          </w:tcPr>
          <w:p w14:paraId="515EFB5B" w14:textId="77777777" w:rsidR="003B3426" w:rsidRPr="00C454A1" w:rsidRDefault="003B3426" w:rsidP="00EE77DF">
            <w:pPr>
              <w:pStyle w:val="Prrafodelista"/>
              <w:ind w:left="0"/>
              <w:rPr>
                <w:rFonts w:cs="Times New Roman"/>
                <w:color w:val="000000" w:themeColor="text1"/>
                <w:sz w:val="22"/>
                <w:szCs w:val="22"/>
                <w:lang w:eastAsia="es-ES"/>
              </w:rPr>
            </w:pPr>
            <w:r w:rsidRPr="00C454A1">
              <w:rPr>
                <w:rFonts w:cs="Times New Roman"/>
                <w:color w:val="000000" w:themeColor="text1"/>
                <w:sz w:val="22"/>
                <w:szCs w:val="22"/>
                <w:lang w:eastAsia="es-ES"/>
              </w:rPr>
              <w:t>El Instituto Nacional de Vías aseguró que, desde el 15 de enero de 2025, “se han presentado (…) atentados y amenazas de atentados (…) en las vías pertenecientes a los municipios de la región del Catatumbo, que han afectado considerablemente la ejecución de varios proyectos de rehabilitación, pavimentación, mantenimiento, actividades de remoción en masa entre otras que cruzan por la zona, impidiendo la continuidad de éstos, así como la movilidad de las personas”</w:t>
            </w:r>
            <w:r w:rsidRPr="00C454A1">
              <w:rPr>
                <w:rFonts w:cs="Times New Roman"/>
                <w:color w:val="000000" w:themeColor="text1"/>
                <w:sz w:val="22"/>
                <w:szCs w:val="22"/>
                <w:vertAlign w:val="superscript"/>
                <w:lang w:eastAsia="es-ES"/>
              </w:rPr>
              <w:footnoteReference w:id="213"/>
            </w:r>
            <w:r w:rsidRPr="00C454A1">
              <w:rPr>
                <w:rFonts w:cs="Times New Roman"/>
                <w:color w:val="000000" w:themeColor="text1"/>
                <w:sz w:val="22"/>
                <w:szCs w:val="22"/>
                <w:lang w:eastAsia="es-ES"/>
              </w:rPr>
              <w:t>. La autoridad informó de diferentes hechos que han llevado a la suspensión de actividades de obra o a la afectación en la ejecución de algunos contratos, como, por ejemplo, homicidios, atentados, enfrentamientos entre el ELN y las disidencias de las FARC-EP y retenes ilegales, entre otros. Además, advirtió que, el 17 de enero de 2025, tomó la determinación de suspender tres “contratos bajo la modalidad de obras por impuestos”</w:t>
            </w:r>
            <w:r w:rsidRPr="00C454A1">
              <w:rPr>
                <w:rFonts w:cs="Times New Roman"/>
                <w:color w:val="000000" w:themeColor="text1"/>
                <w:sz w:val="22"/>
                <w:szCs w:val="22"/>
                <w:vertAlign w:val="superscript"/>
                <w:lang w:eastAsia="es-ES"/>
              </w:rPr>
              <w:footnoteReference w:id="214"/>
            </w:r>
            <w:r w:rsidRPr="00C454A1">
              <w:rPr>
                <w:rFonts w:cs="Times New Roman"/>
                <w:color w:val="000000" w:themeColor="text1"/>
                <w:sz w:val="22"/>
                <w:szCs w:val="22"/>
                <w:lang w:eastAsia="es-ES"/>
              </w:rPr>
              <w:t>, por la situación de orden público.</w:t>
            </w:r>
          </w:p>
        </w:tc>
      </w:tr>
      <w:tr w:rsidR="003B3426" w:rsidRPr="00C454A1" w14:paraId="0D093AF3" w14:textId="77777777" w:rsidTr="00792B82">
        <w:tc>
          <w:tcPr>
            <w:tcW w:w="961" w:type="pct"/>
            <w:shd w:val="clear" w:color="auto" w:fill="D9D9D9" w:themeFill="background1" w:themeFillShade="D9"/>
            <w:vAlign w:val="center"/>
          </w:tcPr>
          <w:p w14:paraId="2A4F05C5" w14:textId="77777777" w:rsidR="003B3426" w:rsidRPr="00C454A1" w:rsidRDefault="003B3426" w:rsidP="00EE77DF">
            <w:pPr>
              <w:pStyle w:val="Prrafodelista"/>
              <w:ind w:left="0"/>
              <w:jc w:val="center"/>
              <w:rPr>
                <w:rFonts w:cs="Times New Roman"/>
                <w:b/>
                <w:bCs/>
                <w:color w:val="000000" w:themeColor="text1"/>
                <w:sz w:val="22"/>
                <w:szCs w:val="22"/>
                <w:lang w:eastAsia="es-ES"/>
              </w:rPr>
            </w:pPr>
            <w:r w:rsidRPr="00C454A1">
              <w:rPr>
                <w:rFonts w:cs="Times New Roman"/>
                <w:b/>
                <w:bCs/>
                <w:color w:val="000000" w:themeColor="text1"/>
                <w:sz w:val="22"/>
                <w:szCs w:val="22"/>
                <w:lang w:eastAsia="es-ES"/>
              </w:rPr>
              <w:t>Daños ambientales</w:t>
            </w:r>
          </w:p>
        </w:tc>
        <w:tc>
          <w:tcPr>
            <w:tcW w:w="4039" w:type="pct"/>
          </w:tcPr>
          <w:p w14:paraId="349D2E62" w14:textId="77777777" w:rsidR="003B3426" w:rsidRPr="00C454A1" w:rsidRDefault="003B3426" w:rsidP="00EE77DF">
            <w:pPr>
              <w:pStyle w:val="Prrafodelista"/>
              <w:ind w:left="0"/>
              <w:rPr>
                <w:rFonts w:cs="Times New Roman"/>
                <w:color w:val="000000" w:themeColor="text1"/>
                <w:sz w:val="22"/>
                <w:szCs w:val="22"/>
                <w:lang w:eastAsia="es-ES"/>
              </w:rPr>
            </w:pPr>
            <w:r w:rsidRPr="00C454A1">
              <w:rPr>
                <w:rFonts w:cs="Times New Roman"/>
                <w:color w:val="000000" w:themeColor="text1"/>
                <w:sz w:val="22"/>
                <w:szCs w:val="22"/>
                <w:lang w:eastAsia="es-ES"/>
              </w:rPr>
              <w:t>El Ministerio de Ambiente y Desarrollo sostenible resaltó que, según el Informe Final de la Comisión de la Verdad, “las acciones bélicas, como los bombardeos y ataques a oleoductos, ha[n] impactado gravemente la salud de los ecosistemas y [de] las comunidades”</w:t>
            </w:r>
            <w:r w:rsidRPr="00C454A1">
              <w:rPr>
                <w:rFonts w:cs="Times New Roman"/>
                <w:color w:val="000000" w:themeColor="text1"/>
                <w:sz w:val="22"/>
                <w:szCs w:val="22"/>
                <w:vertAlign w:val="superscript"/>
                <w:lang w:eastAsia="es-ES"/>
              </w:rPr>
              <w:footnoteReference w:id="215"/>
            </w:r>
            <w:r w:rsidRPr="00C454A1">
              <w:rPr>
                <w:rFonts w:cs="Times New Roman"/>
                <w:color w:val="000000" w:themeColor="text1"/>
                <w:sz w:val="22"/>
                <w:szCs w:val="22"/>
                <w:lang w:eastAsia="es-ES"/>
              </w:rPr>
              <w:t>. Refirió que en la región del Catatumbo los principales daños han sido “la deforestación y fragmentación de ecosistemas, la depredación del recurso pesquero, [la] erosión en especial en las zonas de ladera y el subsecuente aporte de cargas químicas y de sedimentos a los cursos de agua; asociado a la pérdida de diversidad y el desplazamiento de especies de fauna a otros sectores no intervenidos”</w:t>
            </w:r>
            <w:r w:rsidRPr="00C454A1">
              <w:rPr>
                <w:rFonts w:cs="Times New Roman"/>
                <w:color w:val="000000" w:themeColor="text1"/>
                <w:sz w:val="22"/>
                <w:szCs w:val="22"/>
                <w:vertAlign w:val="superscript"/>
                <w:lang w:eastAsia="es-ES"/>
              </w:rPr>
              <w:footnoteReference w:id="216"/>
            </w:r>
            <w:r w:rsidRPr="00C454A1">
              <w:rPr>
                <w:rFonts w:cs="Times New Roman"/>
                <w:color w:val="000000" w:themeColor="text1"/>
                <w:sz w:val="22"/>
                <w:szCs w:val="22"/>
                <w:lang w:eastAsia="es-ES"/>
              </w:rPr>
              <w:t>. Asimismo, refirió los daños causados por la pérdida y amenaza de desaparición en el largo plazo de especies nativas en el recurso hídrico, la afectación al proceso de asociación natural de aves y mamíferos y la “pérdida de cobertura vegetal por los incendios que se generan con las explosiones”</w:t>
            </w:r>
            <w:r w:rsidRPr="00C454A1">
              <w:rPr>
                <w:rFonts w:cs="Times New Roman"/>
                <w:color w:val="000000" w:themeColor="text1"/>
                <w:sz w:val="22"/>
                <w:szCs w:val="22"/>
                <w:vertAlign w:val="superscript"/>
                <w:lang w:eastAsia="es-ES"/>
              </w:rPr>
              <w:footnoteReference w:id="217"/>
            </w:r>
            <w:r w:rsidRPr="00C454A1">
              <w:rPr>
                <w:rFonts w:cs="Times New Roman"/>
                <w:color w:val="000000" w:themeColor="text1"/>
                <w:sz w:val="22"/>
                <w:szCs w:val="22"/>
                <w:lang w:eastAsia="es-ES"/>
              </w:rPr>
              <w:t>.</w:t>
            </w:r>
          </w:p>
        </w:tc>
      </w:tr>
    </w:tbl>
    <w:p w14:paraId="36272B7C" w14:textId="77777777" w:rsidR="003B3426" w:rsidRPr="00C454A1" w:rsidRDefault="003B3426" w:rsidP="003B3426">
      <w:pPr>
        <w:pStyle w:val="Prrafodelista"/>
        <w:ind w:left="0"/>
        <w:rPr>
          <w:rFonts w:cs="Times New Roman"/>
          <w:color w:val="000000" w:themeColor="text1"/>
          <w:szCs w:val="28"/>
          <w:lang w:eastAsia="es-ES"/>
        </w:rPr>
      </w:pPr>
    </w:p>
    <w:p w14:paraId="17BBF829" w14:textId="1A2F526F" w:rsidR="003B3426" w:rsidRPr="00C454A1" w:rsidRDefault="003B3426" w:rsidP="000137DB">
      <w:pPr>
        <w:numPr>
          <w:ilvl w:val="0"/>
          <w:numId w:val="2"/>
        </w:numPr>
        <w:ind w:left="0" w:firstLine="0"/>
        <w:rPr>
          <w:rFonts w:cs="Times New Roman"/>
          <w:color w:val="000000" w:themeColor="text1"/>
          <w:szCs w:val="28"/>
          <w:lang w:eastAsia="es-ES"/>
        </w:rPr>
      </w:pPr>
      <w:r w:rsidRPr="00C454A1">
        <w:rPr>
          <w:rFonts w:cs="Times New Roman"/>
          <w:color w:val="000000" w:themeColor="text1"/>
          <w:szCs w:val="28"/>
          <w:lang w:eastAsia="es-ES"/>
        </w:rPr>
        <w:t xml:space="preserve">En tales términos, la Corte también encuentra probados los daños a bienes protegidos y al ambiente, derivados del accionar armado del ELN, </w:t>
      </w:r>
      <w:r w:rsidR="00EE77DF" w:rsidRPr="00C454A1">
        <w:rPr>
          <w:rFonts w:cs="Times New Roman"/>
          <w:color w:val="000000" w:themeColor="text1"/>
          <w:szCs w:val="28"/>
          <w:lang w:eastAsia="es-ES"/>
        </w:rPr>
        <w:t>GAO</w:t>
      </w:r>
      <w:r w:rsidRPr="00C454A1">
        <w:rPr>
          <w:rFonts w:cs="Times New Roman"/>
          <w:color w:val="000000" w:themeColor="text1"/>
          <w:szCs w:val="28"/>
          <w:lang w:eastAsia="es-ES"/>
        </w:rPr>
        <w:t xml:space="preserve"> y GDO. </w:t>
      </w:r>
    </w:p>
    <w:p w14:paraId="212BF4A5" w14:textId="77777777" w:rsidR="003B3426" w:rsidRPr="00C454A1" w:rsidRDefault="003B3426" w:rsidP="003B3426">
      <w:pPr>
        <w:pStyle w:val="Prrafodelista"/>
        <w:ind w:left="0"/>
        <w:rPr>
          <w:rFonts w:cs="Times New Roman"/>
          <w:color w:val="000000" w:themeColor="text1"/>
          <w:szCs w:val="28"/>
          <w:lang w:eastAsia="es-ES"/>
        </w:rPr>
      </w:pPr>
    </w:p>
    <w:p w14:paraId="2E5516D0" w14:textId="6A79007B" w:rsidR="003B3426" w:rsidRPr="00C454A1" w:rsidRDefault="003B3426" w:rsidP="00307F2C">
      <w:pPr>
        <w:pStyle w:val="Prrafodelista"/>
        <w:numPr>
          <w:ilvl w:val="0"/>
          <w:numId w:val="7"/>
        </w:numPr>
        <w:ind w:left="709" w:hanging="567"/>
        <w:rPr>
          <w:rFonts w:eastAsia="Times New Roman" w:cs="Times New Roman"/>
          <w:b/>
          <w:bCs/>
          <w:color w:val="000000" w:themeColor="text1"/>
          <w:szCs w:val="28"/>
        </w:rPr>
      </w:pPr>
      <w:r w:rsidRPr="00C454A1">
        <w:rPr>
          <w:rFonts w:eastAsia="Times New Roman" w:cs="Times New Roman"/>
          <w:b/>
          <w:bCs/>
          <w:color w:val="000000" w:themeColor="text1"/>
          <w:szCs w:val="28"/>
        </w:rPr>
        <w:t>Crisis y emergencia humanitaria derivad</w:t>
      </w:r>
      <w:r w:rsidR="00AA5D9D" w:rsidRPr="00C454A1">
        <w:rPr>
          <w:rFonts w:eastAsia="Times New Roman" w:cs="Times New Roman"/>
          <w:b/>
          <w:bCs/>
          <w:color w:val="000000" w:themeColor="text1"/>
          <w:szCs w:val="28"/>
        </w:rPr>
        <w:t>a</w:t>
      </w:r>
      <w:r w:rsidRPr="00C454A1">
        <w:rPr>
          <w:rFonts w:eastAsia="Times New Roman" w:cs="Times New Roman"/>
          <w:b/>
          <w:bCs/>
          <w:color w:val="000000" w:themeColor="text1"/>
          <w:szCs w:val="28"/>
        </w:rPr>
        <w:t xml:space="preserve"> de desplazamientos forzados </w:t>
      </w:r>
      <w:r w:rsidR="00E715FB" w:rsidRPr="00C454A1">
        <w:rPr>
          <w:rFonts w:eastAsia="Times New Roman" w:cs="Times New Roman"/>
          <w:b/>
          <w:bCs/>
          <w:color w:val="000000" w:themeColor="text1"/>
          <w:szCs w:val="28"/>
        </w:rPr>
        <w:t xml:space="preserve">y </w:t>
      </w:r>
      <w:r w:rsidRPr="00C454A1">
        <w:rPr>
          <w:rFonts w:eastAsia="Times New Roman" w:cs="Times New Roman"/>
          <w:b/>
          <w:bCs/>
          <w:color w:val="000000" w:themeColor="text1"/>
          <w:szCs w:val="28"/>
        </w:rPr>
        <w:t xml:space="preserve">confinamientos masivos </w:t>
      </w:r>
    </w:p>
    <w:p w14:paraId="1158FE3C" w14:textId="77777777" w:rsidR="003B3426" w:rsidRPr="00C454A1" w:rsidRDefault="003B3426" w:rsidP="003B3426">
      <w:pPr>
        <w:pStyle w:val="Prrafodelista"/>
        <w:rPr>
          <w:rFonts w:eastAsia="Times New Roman" w:cs="Times New Roman"/>
          <w:color w:val="000000" w:themeColor="text1"/>
          <w:szCs w:val="28"/>
        </w:rPr>
      </w:pPr>
    </w:p>
    <w:p w14:paraId="1E1E0104" w14:textId="654DF62D" w:rsidR="003B3426" w:rsidRPr="00C454A1" w:rsidRDefault="003B3426" w:rsidP="00312B82">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E</w:t>
      </w:r>
      <w:r w:rsidR="003969B0" w:rsidRPr="00C454A1">
        <w:rPr>
          <w:rFonts w:eastAsia="Times New Roman" w:cs="Times New Roman"/>
          <w:color w:val="000000" w:themeColor="text1"/>
          <w:szCs w:val="28"/>
        </w:rPr>
        <w:t>n e</w:t>
      </w:r>
      <w:r w:rsidRPr="00C454A1">
        <w:rPr>
          <w:rFonts w:eastAsia="Times New Roman" w:cs="Times New Roman"/>
          <w:color w:val="000000" w:themeColor="text1"/>
          <w:szCs w:val="28"/>
        </w:rPr>
        <w:t xml:space="preserve">l acápite I de la parte motiva del Decreto 62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w:t>
      </w:r>
      <w:r w:rsidRPr="00C454A1">
        <w:rPr>
          <w:rFonts w:cs="Times New Roman"/>
          <w:color w:val="000000" w:themeColor="text1"/>
          <w:szCs w:val="28"/>
          <w:lang w:eastAsia="es-ES"/>
        </w:rPr>
        <w:t>afirmó</w:t>
      </w:r>
      <w:r w:rsidRPr="00C454A1">
        <w:rPr>
          <w:rFonts w:eastAsia="Times New Roman" w:cs="Times New Roman"/>
          <w:color w:val="000000" w:themeColor="text1"/>
          <w:szCs w:val="28"/>
        </w:rPr>
        <w:t xml:space="preserve"> que la intensificación de los ataques y hostilidades del ELN contra la población civil ha producido una “crisis humanitaria que compromete, entre otras, a poblaciones especialmente vulnerables como el pueblo indígena Barí, líderes sociales, niños, niñas y adolescentes, campesinos y campesinas”. Esta crisis humanitaria se deriva de un incremento exponencial de las víctimas </w:t>
      </w:r>
      <w:r w:rsidRPr="00C454A1">
        <w:rPr>
          <w:rFonts w:eastAsia="Times New Roman" w:cs="Times New Roman"/>
          <w:color w:val="000000" w:themeColor="text1"/>
          <w:szCs w:val="28"/>
        </w:rPr>
        <w:lastRenderedPageBreak/>
        <w:t xml:space="preserve">de desplazamiento forzado -interno y transfronterizo- </w:t>
      </w:r>
      <w:r w:rsidR="00CD3DB7" w:rsidRPr="00C454A1">
        <w:rPr>
          <w:rFonts w:eastAsia="Times New Roman" w:cs="Times New Roman"/>
          <w:color w:val="000000" w:themeColor="text1"/>
          <w:szCs w:val="28"/>
        </w:rPr>
        <w:t xml:space="preserve">y </w:t>
      </w:r>
      <w:r w:rsidRPr="00C454A1">
        <w:rPr>
          <w:rFonts w:eastAsia="Times New Roman" w:cs="Times New Roman"/>
          <w:color w:val="000000" w:themeColor="text1"/>
          <w:szCs w:val="28"/>
        </w:rPr>
        <w:t>los confinamientos masivos</w:t>
      </w:r>
      <w:r w:rsidR="00AA5D9D" w:rsidRPr="00C454A1">
        <w:rPr>
          <w:rFonts w:eastAsia="Times New Roman" w:cs="Times New Roman"/>
          <w:color w:val="000000" w:themeColor="text1"/>
          <w:szCs w:val="28"/>
        </w:rPr>
        <w:t xml:space="preserve">. </w:t>
      </w:r>
    </w:p>
    <w:p w14:paraId="19647A55" w14:textId="77777777" w:rsidR="003B3426" w:rsidRPr="00C454A1" w:rsidRDefault="003B3426" w:rsidP="003B3426">
      <w:pPr>
        <w:pStyle w:val="Prrafodelista"/>
        <w:ind w:left="0"/>
        <w:rPr>
          <w:rFonts w:eastAsia="Times New Roman" w:cs="Times New Roman"/>
          <w:color w:val="000000" w:themeColor="text1"/>
          <w:szCs w:val="28"/>
        </w:rPr>
      </w:pPr>
    </w:p>
    <w:p w14:paraId="6469B701" w14:textId="77777777" w:rsidR="00915B01" w:rsidRPr="00C454A1" w:rsidRDefault="003B3426" w:rsidP="00915B01">
      <w:pPr>
        <w:numPr>
          <w:ilvl w:val="0"/>
          <w:numId w:val="2"/>
        </w:numPr>
        <w:ind w:left="0" w:firstLine="0"/>
        <w:rPr>
          <w:rFonts w:eastAsia="Times New Roman" w:cs="Times New Roman"/>
          <w:color w:val="000000" w:themeColor="text1"/>
          <w:szCs w:val="28"/>
        </w:rPr>
      </w:pPr>
      <w:bookmarkStart w:id="171" w:name="_Ref203401531"/>
      <w:r w:rsidRPr="00C454A1">
        <w:rPr>
          <w:rFonts w:eastAsia="Times New Roman" w:cs="Times New Roman"/>
          <w:i/>
          <w:iCs/>
          <w:color w:val="000000" w:themeColor="text1"/>
          <w:szCs w:val="28"/>
        </w:rPr>
        <w:t>Desplazamiento forzado</w:t>
      </w:r>
      <w:r w:rsidRPr="00C454A1">
        <w:rPr>
          <w:rFonts w:eastAsia="Times New Roman" w:cs="Times New Roman"/>
          <w:color w:val="000000" w:themeColor="text1"/>
          <w:szCs w:val="28"/>
        </w:rPr>
        <w:t xml:space="preserve">. En el decreto declaratorio,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reportó que</w:t>
      </w:r>
      <w:r w:rsidR="00E715FB" w:rsidRPr="00C454A1">
        <w:rPr>
          <w:rFonts w:eastAsia="Times New Roman" w:cs="Times New Roman"/>
          <w:color w:val="000000" w:themeColor="text1"/>
          <w:szCs w:val="28"/>
        </w:rPr>
        <w:t xml:space="preserve">, </w:t>
      </w:r>
      <w:r w:rsidRPr="00C454A1">
        <w:rPr>
          <w:rFonts w:eastAsia="Times New Roman" w:cs="Times New Roman"/>
          <w:color w:val="000000" w:themeColor="text1"/>
          <w:szCs w:val="28"/>
        </w:rPr>
        <w:t>con corte al 25 de enero de 2025, “el consolidado de la población desplazada forzadamente es de 36.137 personas”. Asimismo, informó que el Ministerio de Relaciones Exteriores reportó que, con motivo de la grave situación de orden público descrita, “los días 17, 18 y 19 de enero de 2025 se presentó un flujo migratorio hacia territorio venezolano que alcanzó las 700 personas diarias; y que los días 20 y 21 de enero de 2025 se presentó una leve disminución a cerca de 400 personas por día”.</w:t>
      </w:r>
      <w:bookmarkEnd w:id="171"/>
      <w:r w:rsidRPr="00C454A1">
        <w:rPr>
          <w:rFonts w:eastAsia="Times New Roman" w:cs="Times New Roman"/>
          <w:color w:val="000000" w:themeColor="text1"/>
          <w:szCs w:val="28"/>
        </w:rPr>
        <w:t xml:space="preserve"> </w:t>
      </w:r>
      <w:bookmarkStart w:id="172" w:name="_Ref219368155"/>
    </w:p>
    <w:p w14:paraId="469E8697" w14:textId="77777777" w:rsidR="00915B01" w:rsidRPr="00C454A1" w:rsidRDefault="00915B01" w:rsidP="00915B01">
      <w:pPr>
        <w:pStyle w:val="Prrafodelista"/>
        <w:rPr>
          <w:color w:val="000000" w:themeColor="text1"/>
        </w:rPr>
      </w:pPr>
    </w:p>
    <w:p w14:paraId="2390DF08" w14:textId="36689004" w:rsidR="00A907AA" w:rsidRPr="00C454A1" w:rsidRDefault="003B3426" w:rsidP="00915B01">
      <w:pPr>
        <w:numPr>
          <w:ilvl w:val="0"/>
          <w:numId w:val="2"/>
        </w:numPr>
        <w:ind w:left="0" w:firstLine="0"/>
        <w:rPr>
          <w:rFonts w:eastAsia="Times New Roman" w:cs="Times New Roman"/>
          <w:color w:val="000000" w:themeColor="text1"/>
          <w:szCs w:val="28"/>
        </w:rPr>
      </w:pPr>
      <w:r w:rsidRPr="00C454A1">
        <w:rPr>
          <w:color w:val="000000" w:themeColor="text1"/>
        </w:rPr>
        <w:t xml:space="preserve">La Corte constata que este hecho </w:t>
      </w:r>
      <w:r w:rsidR="00F7430A" w:rsidRPr="00C454A1">
        <w:rPr>
          <w:color w:val="000000" w:themeColor="text1"/>
        </w:rPr>
        <w:t xml:space="preserve">-el crecimiento rápido y exponencial de los desplazamientos forzados- </w:t>
      </w:r>
      <w:r w:rsidRPr="00C454A1">
        <w:rPr>
          <w:color w:val="000000" w:themeColor="text1"/>
        </w:rPr>
        <w:t xml:space="preserve">está plenamente probado. Como anexo de prueba al decreto declaratorio, el </w:t>
      </w:r>
      <w:r w:rsidR="007525E1" w:rsidRPr="00C454A1">
        <w:rPr>
          <w:color w:val="000000" w:themeColor="text1"/>
        </w:rPr>
        <w:t>Gobierno nacional</w:t>
      </w:r>
      <w:r w:rsidRPr="00C454A1">
        <w:rPr>
          <w:color w:val="000000" w:themeColor="text1"/>
        </w:rPr>
        <w:t xml:space="preserve"> aportó el “Balance PMU Catatumbo” del 22 de enero de 2025</w:t>
      </w:r>
      <w:r w:rsidRPr="00C454A1">
        <w:rPr>
          <w:rStyle w:val="Refdenotaalpie"/>
          <w:rFonts w:eastAsia="Times New Roman" w:cs="Times New Roman"/>
          <w:color w:val="000000" w:themeColor="text1"/>
          <w:szCs w:val="28"/>
        </w:rPr>
        <w:footnoteReference w:id="218"/>
      </w:r>
      <w:r w:rsidRPr="00C454A1">
        <w:rPr>
          <w:color w:val="000000" w:themeColor="text1"/>
        </w:rPr>
        <w:t xml:space="preserve">, que confirma </w:t>
      </w:r>
      <w:r w:rsidR="00346B6C" w:rsidRPr="00C454A1">
        <w:rPr>
          <w:color w:val="000000" w:themeColor="text1"/>
        </w:rPr>
        <w:t xml:space="preserve">dichos </w:t>
      </w:r>
      <w:r w:rsidRPr="00C454A1">
        <w:rPr>
          <w:color w:val="000000" w:themeColor="text1"/>
        </w:rPr>
        <w:t>datos</w:t>
      </w:r>
      <w:r w:rsidR="00346B6C" w:rsidRPr="00C454A1">
        <w:rPr>
          <w:color w:val="000000" w:themeColor="text1"/>
        </w:rPr>
        <w:t>, pues indica que para esa fecha el número de personas desplazadas en la región ascendía a 40.282</w:t>
      </w:r>
      <w:r w:rsidRPr="00C454A1">
        <w:rPr>
          <w:color w:val="000000" w:themeColor="text1"/>
        </w:rPr>
        <w:t>. Asimismo, los informes remitidos por los municipios de Playa de Belén</w:t>
      </w:r>
      <w:r w:rsidRPr="00C454A1">
        <w:rPr>
          <w:rStyle w:val="Refdenotaalpie"/>
          <w:rFonts w:cs="Times New Roman"/>
          <w:color w:val="000000" w:themeColor="text1"/>
        </w:rPr>
        <w:footnoteReference w:id="219"/>
      </w:r>
      <w:r w:rsidRPr="00C454A1">
        <w:rPr>
          <w:color w:val="000000" w:themeColor="text1"/>
        </w:rPr>
        <w:t>, Tibú y El Tarra</w:t>
      </w:r>
      <w:r w:rsidRPr="00C454A1">
        <w:rPr>
          <w:rStyle w:val="Refdenotaalpie"/>
          <w:rFonts w:cs="Times New Roman"/>
          <w:color w:val="000000" w:themeColor="text1"/>
        </w:rPr>
        <w:footnoteReference w:id="220"/>
      </w:r>
      <w:r w:rsidRPr="00C454A1">
        <w:rPr>
          <w:color w:val="000000" w:themeColor="text1"/>
        </w:rPr>
        <w:t>, así como el “Boletín Situación Humanitaria en Norte de Santander”</w:t>
      </w:r>
      <w:r w:rsidRPr="00C454A1">
        <w:rPr>
          <w:rStyle w:val="Refdenotaalpie"/>
          <w:rFonts w:eastAsia="Times New Roman" w:cs="Times New Roman"/>
          <w:color w:val="000000" w:themeColor="text1"/>
          <w:szCs w:val="28"/>
        </w:rPr>
        <w:footnoteReference w:id="221"/>
      </w:r>
      <w:r w:rsidRPr="00C454A1">
        <w:rPr>
          <w:color w:val="000000" w:themeColor="text1"/>
        </w:rPr>
        <w:t xml:space="preserve">, corroboran </w:t>
      </w:r>
      <w:r w:rsidR="00346B6C" w:rsidRPr="00C454A1">
        <w:rPr>
          <w:color w:val="000000" w:themeColor="text1"/>
        </w:rPr>
        <w:t>la información</w:t>
      </w:r>
      <w:r w:rsidRPr="00C454A1">
        <w:rPr>
          <w:color w:val="000000" w:themeColor="text1"/>
        </w:rPr>
        <w:t xml:space="preserve">. </w:t>
      </w:r>
      <w:r w:rsidR="00346B6C" w:rsidRPr="00C454A1">
        <w:rPr>
          <w:color w:val="000000" w:themeColor="text1"/>
        </w:rPr>
        <w:t>A su turno</w:t>
      </w:r>
      <w:r w:rsidRPr="00C454A1">
        <w:rPr>
          <w:color w:val="000000" w:themeColor="text1"/>
        </w:rPr>
        <w:t xml:space="preserve">, la Defensoría del Pueblo informó </w:t>
      </w:r>
      <w:r w:rsidR="00346B6C" w:rsidRPr="00C454A1">
        <w:rPr>
          <w:color w:val="000000" w:themeColor="text1"/>
        </w:rPr>
        <w:t>que con</w:t>
      </w:r>
      <w:r w:rsidRPr="00C454A1">
        <w:rPr>
          <w:color w:val="000000" w:themeColor="text1"/>
        </w:rPr>
        <w:t xml:space="preserve"> corte </w:t>
      </w:r>
      <w:r w:rsidR="00346B6C" w:rsidRPr="00C454A1">
        <w:rPr>
          <w:color w:val="000000" w:themeColor="text1"/>
        </w:rPr>
        <w:t xml:space="preserve">al </w:t>
      </w:r>
      <w:r w:rsidRPr="00C454A1">
        <w:rPr>
          <w:color w:val="000000" w:themeColor="text1"/>
        </w:rPr>
        <w:t xml:space="preserve">3 de febrero de 2025, </w:t>
      </w:r>
      <w:r w:rsidR="00346B6C" w:rsidRPr="00C454A1">
        <w:rPr>
          <w:color w:val="000000" w:themeColor="text1"/>
        </w:rPr>
        <w:t>“</w:t>
      </w:r>
      <w:r w:rsidRPr="00C454A1">
        <w:rPr>
          <w:color w:val="000000" w:themeColor="text1"/>
        </w:rPr>
        <w:t>se ha</w:t>
      </w:r>
      <w:r w:rsidR="00411CC7" w:rsidRPr="00C454A1">
        <w:rPr>
          <w:color w:val="000000" w:themeColor="text1"/>
        </w:rPr>
        <w:t>[bían]</w:t>
      </w:r>
      <w:r w:rsidRPr="00C454A1">
        <w:rPr>
          <w:color w:val="000000" w:themeColor="text1"/>
        </w:rPr>
        <w:t xml:space="preserve"> desplazado 53.361 personas”</w:t>
      </w:r>
      <w:r w:rsidRPr="00C454A1">
        <w:rPr>
          <w:rStyle w:val="Refdenotaalpie"/>
          <w:rFonts w:eastAsia="Times New Roman" w:cs="Times New Roman"/>
          <w:color w:val="000000" w:themeColor="text1"/>
          <w:szCs w:val="28"/>
        </w:rPr>
        <w:footnoteReference w:id="222"/>
      </w:r>
      <w:r w:rsidRPr="00C454A1">
        <w:rPr>
          <w:color w:val="000000" w:themeColor="text1"/>
        </w:rPr>
        <w:t>. El DAPRE</w:t>
      </w:r>
      <w:r w:rsidRPr="00C454A1">
        <w:rPr>
          <w:rStyle w:val="Refdenotaalpie"/>
          <w:rFonts w:eastAsia="Times New Roman" w:cs="Times New Roman"/>
          <w:color w:val="000000" w:themeColor="text1"/>
          <w:szCs w:val="28"/>
        </w:rPr>
        <w:footnoteReference w:id="223"/>
      </w:r>
      <w:r w:rsidRPr="00C454A1">
        <w:rPr>
          <w:color w:val="000000" w:themeColor="text1"/>
        </w:rPr>
        <w:t xml:space="preserve">, por su parte, envió soportes documentales que evidencian que, con corte al 22 de febrero de 2025, la cifra reportada </w:t>
      </w:r>
      <w:r w:rsidR="00C311A7" w:rsidRPr="00C454A1">
        <w:rPr>
          <w:color w:val="000000" w:themeColor="text1"/>
        </w:rPr>
        <w:t xml:space="preserve">era </w:t>
      </w:r>
      <w:r w:rsidRPr="00C454A1">
        <w:rPr>
          <w:color w:val="000000" w:themeColor="text1"/>
        </w:rPr>
        <w:t xml:space="preserve">de 54.264 personas desplazadas y 52 fallecidas. Estos datos coinciden en su mayoría con lo que reportaron la </w:t>
      </w:r>
      <w:r w:rsidR="00B63A07" w:rsidRPr="00C454A1">
        <w:rPr>
          <w:color w:val="000000" w:themeColor="text1"/>
        </w:rPr>
        <w:t>Agencia Nacional de Defensa Jurídica del Estado (</w:t>
      </w:r>
      <w:r w:rsidRPr="00C454A1">
        <w:rPr>
          <w:color w:val="000000" w:themeColor="text1"/>
        </w:rPr>
        <w:t>ANDJE</w:t>
      </w:r>
      <w:r w:rsidR="00B63A07" w:rsidRPr="00C454A1">
        <w:rPr>
          <w:color w:val="000000" w:themeColor="text1"/>
        </w:rPr>
        <w:t>)</w:t>
      </w:r>
      <w:r w:rsidRPr="00C454A1">
        <w:rPr>
          <w:rStyle w:val="Refdenotaalpie"/>
          <w:rFonts w:cs="Times New Roman"/>
          <w:color w:val="000000" w:themeColor="text1"/>
        </w:rPr>
        <w:footnoteReference w:id="224"/>
      </w:r>
      <w:r w:rsidRPr="00C454A1">
        <w:rPr>
          <w:color w:val="000000" w:themeColor="text1"/>
        </w:rPr>
        <w:t>, la Cámara de Representantes</w:t>
      </w:r>
      <w:r w:rsidRPr="00C454A1">
        <w:rPr>
          <w:rStyle w:val="Refdenotaalpie"/>
          <w:rFonts w:cs="Times New Roman"/>
          <w:color w:val="000000" w:themeColor="text1"/>
        </w:rPr>
        <w:footnoteReference w:id="225"/>
      </w:r>
      <w:r w:rsidRPr="00C454A1">
        <w:rPr>
          <w:color w:val="000000" w:themeColor="text1"/>
        </w:rPr>
        <w:t xml:space="preserve"> y algunos de los intervinientes</w:t>
      </w:r>
      <w:r w:rsidRPr="00C454A1">
        <w:rPr>
          <w:rStyle w:val="Refdenotaalpie"/>
          <w:rFonts w:eastAsia="Times New Roman" w:cs="Times New Roman"/>
          <w:color w:val="000000" w:themeColor="text1"/>
          <w:szCs w:val="28"/>
        </w:rPr>
        <w:footnoteReference w:id="226"/>
      </w:r>
      <w:r w:rsidRPr="00C454A1">
        <w:rPr>
          <w:color w:val="000000" w:themeColor="text1"/>
        </w:rPr>
        <w:t>.</w:t>
      </w:r>
      <w:r w:rsidR="00680BFF" w:rsidRPr="00C454A1">
        <w:rPr>
          <w:color w:val="000000" w:themeColor="text1"/>
        </w:rPr>
        <w:t xml:space="preserve"> </w:t>
      </w:r>
      <w:r w:rsidR="00680BFF" w:rsidRPr="00C454A1">
        <w:rPr>
          <w:color w:val="000000" w:themeColor="text1"/>
          <w:lang w:eastAsia="es-ES"/>
        </w:rPr>
        <w:t>Es importante resaltar</w:t>
      </w:r>
      <w:r w:rsidR="00F7430A" w:rsidRPr="00C454A1">
        <w:rPr>
          <w:color w:val="000000" w:themeColor="text1"/>
          <w:lang w:eastAsia="es-ES"/>
        </w:rPr>
        <w:t>,</w:t>
      </w:r>
      <w:r w:rsidR="00680BFF" w:rsidRPr="00C454A1">
        <w:rPr>
          <w:color w:val="000000" w:themeColor="text1"/>
          <w:lang w:eastAsia="es-ES"/>
        </w:rPr>
        <w:t xml:space="preserve"> </w:t>
      </w:r>
      <w:r w:rsidR="00530EBA" w:rsidRPr="00C454A1">
        <w:rPr>
          <w:color w:val="000000" w:themeColor="text1"/>
          <w:lang w:eastAsia="es-ES"/>
        </w:rPr>
        <w:t>además</w:t>
      </w:r>
      <w:r w:rsidR="00F7430A" w:rsidRPr="00C454A1">
        <w:rPr>
          <w:color w:val="000000" w:themeColor="text1"/>
          <w:lang w:eastAsia="es-ES"/>
        </w:rPr>
        <w:t>,</w:t>
      </w:r>
      <w:r w:rsidR="00530EBA" w:rsidRPr="00C454A1">
        <w:rPr>
          <w:color w:val="000000" w:themeColor="text1"/>
          <w:lang w:eastAsia="es-ES"/>
        </w:rPr>
        <w:t xml:space="preserve"> </w:t>
      </w:r>
      <w:r w:rsidR="00680BFF" w:rsidRPr="00C454A1">
        <w:rPr>
          <w:color w:val="000000" w:themeColor="text1"/>
          <w:lang w:eastAsia="es-ES"/>
        </w:rPr>
        <w:t>que la Defensoría del Pueblo estimó, con corte a 15 de marzo de 2025, que el número de personas desplazadas en el Catatumbo ya había llegado a 61.615,</w:t>
      </w:r>
      <w:r w:rsidR="00680BFF" w:rsidRPr="00C454A1">
        <w:rPr>
          <w:rStyle w:val="Refdenotaalpie"/>
          <w:color w:val="000000" w:themeColor="text1"/>
          <w:lang w:eastAsia="es-ES"/>
        </w:rPr>
        <w:footnoteReference w:id="227"/>
      </w:r>
      <w:r w:rsidR="00680BFF" w:rsidRPr="00C454A1">
        <w:rPr>
          <w:color w:val="000000" w:themeColor="text1"/>
          <w:lang w:eastAsia="es-ES"/>
        </w:rPr>
        <w:t xml:space="preserve"> </w:t>
      </w:r>
      <w:r w:rsidR="00680BFF" w:rsidRPr="00C454A1">
        <w:rPr>
          <w:color w:val="000000" w:themeColor="text1"/>
        </w:rPr>
        <w:t xml:space="preserve">mientras que las agencias de la ONU calculan las víctimas de desplazamiento </w:t>
      </w:r>
      <w:r w:rsidR="00530EBA" w:rsidRPr="00C454A1">
        <w:rPr>
          <w:color w:val="000000" w:themeColor="text1"/>
        </w:rPr>
        <w:t xml:space="preserve">dejadas por los hechos que originaron la declaración de conmoción interior </w:t>
      </w:r>
      <w:r w:rsidR="00680BFF" w:rsidRPr="00C454A1">
        <w:rPr>
          <w:color w:val="000000" w:themeColor="text1"/>
        </w:rPr>
        <w:t>en más de 63.000.</w:t>
      </w:r>
      <w:r w:rsidR="00680BFF" w:rsidRPr="00C454A1">
        <w:rPr>
          <w:rStyle w:val="Refdenotaalpie"/>
          <w:rFonts w:cs="Times New Roman"/>
          <w:color w:val="000000" w:themeColor="text1"/>
          <w:szCs w:val="28"/>
        </w:rPr>
        <w:footnoteReference w:id="228"/>
      </w:r>
      <w:bookmarkEnd w:id="172"/>
      <w:r w:rsidR="00680BFF" w:rsidRPr="00C454A1">
        <w:rPr>
          <w:color w:val="000000" w:themeColor="text1"/>
          <w:lang w:eastAsia="es-ES"/>
        </w:rPr>
        <w:t xml:space="preserve"> </w:t>
      </w:r>
    </w:p>
    <w:p w14:paraId="750DF664" w14:textId="77777777" w:rsidR="00A907AA" w:rsidRPr="00C454A1" w:rsidRDefault="00A907AA" w:rsidP="00A907AA">
      <w:pPr>
        <w:rPr>
          <w:color w:val="000000" w:themeColor="text1"/>
        </w:rPr>
      </w:pPr>
    </w:p>
    <w:p w14:paraId="2CBD6261" w14:textId="24594B02" w:rsidR="000C6122" w:rsidRPr="00C454A1" w:rsidRDefault="0029531E" w:rsidP="00A907AA">
      <w:pPr>
        <w:pStyle w:val="Prrafodelista"/>
        <w:numPr>
          <w:ilvl w:val="0"/>
          <w:numId w:val="2"/>
        </w:numPr>
        <w:ind w:left="0" w:firstLine="0"/>
        <w:rPr>
          <w:color w:val="000000" w:themeColor="text1"/>
        </w:rPr>
      </w:pPr>
      <w:bookmarkStart w:id="173" w:name="_Ref219368555"/>
      <w:r w:rsidRPr="00C454A1">
        <w:rPr>
          <w:color w:val="000000" w:themeColor="text1"/>
        </w:rPr>
        <w:t xml:space="preserve">Las cifras reportadas por la UARIV y la Defensoría del Pueblo </w:t>
      </w:r>
      <w:r w:rsidR="00B31C01" w:rsidRPr="00C454A1">
        <w:rPr>
          <w:color w:val="000000" w:themeColor="text1"/>
        </w:rPr>
        <w:t xml:space="preserve">también </w:t>
      </w:r>
      <w:r w:rsidRPr="00C454A1">
        <w:rPr>
          <w:color w:val="000000" w:themeColor="text1"/>
        </w:rPr>
        <w:t xml:space="preserve">evidencian un crecimiento </w:t>
      </w:r>
      <w:r w:rsidR="00915B01" w:rsidRPr="00C454A1">
        <w:rPr>
          <w:color w:val="000000" w:themeColor="text1"/>
        </w:rPr>
        <w:t>inusitado</w:t>
      </w:r>
      <w:r w:rsidRPr="00C454A1">
        <w:rPr>
          <w:color w:val="000000" w:themeColor="text1"/>
        </w:rPr>
        <w:t xml:space="preserve"> de</w:t>
      </w:r>
      <w:r w:rsidR="00A44E57" w:rsidRPr="00C454A1">
        <w:rPr>
          <w:color w:val="000000" w:themeColor="text1"/>
        </w:rPr>
        <w:t xml:space="preserve"> los eventos de</w:t>
      </w:r>
      <w:r w:rsidRPr="00C454A1">
        <w:rPr>
          <w:color w:val="000000" w:themeColor="text1"/>
        </w:rPr>
        <w:t xml:space="preserve"> desplazamiento</w:t>
      </w:r>
      <w:r w:rsidR="00A44E57" w:rsidRPr="00C454A1">
        <w:rPr>
          <w:color w:val="000000" w:themeColor="text1"/>
        </w:rPr>
        <w:t>s</w:t>
      </w:r>
      <w:r w:rsidRPr="00C454A1">
        <w:rPr>
          <w:color w:val="000000" w:themeColor="text1"/>
        </w:rPr>
        <w:t xml:space="preserve"> forzado</w:t>
      </w:r>
      <w:r w:rsidR="00A44E57" w:rsidRPr="00C454A1">
        <w:rPr>
          <w:color w:val="000000" w:themeColor="text1"/>
        </w:rPr>
        <w:t>s</w:t>
      </w:r>
      <w:r w:rsidRPr="00C454A1">
        <w:rPr>
          <w:color w:val="000000" w:themeColor="text1"/>
        </w:rPr>
        <w:t xml:space="preserve"> masivo</w:t>
      </w:r>
      <w:r w:rsidR="00A44E57" w:rsidRPr="00C454A1">
        <w:rPr>
          <w:color w:val="000000" w:themeColor="text1"/>
        </w:rPr>
        <w:t>s</w:t>
      </w:r>
      <w:r w:rsidR="00A44E57" w:rsidRPr="00C454A1">
        <w:rPr>
          <w:rStyle w:val="Refdenotaalpie"/>
          <w:color w:val="000000" w:themeColor="text1"/>
        </w:rPr>
        <w:footnoteReference w:id="229"/>
      </w:r>
      <w:r w:rsidRPr="00C454A1">
        <w:rPr>
          <w:color w:val="000000" w:themeColor="text1"/>
        </w:rPr>
        <w:t xml:space="preserve"> en los primeros meses de 2025. </w:t>
      </w:r>
      <w:r w:rsidR="00B31C01" w:rsidRPr="00C454A1">
        <w:rPr>
          <w:color w:val="000000" w:themeColor="text1"/>
        </w:rPr>
        <w:t>En particular, entre enero y marzo de 2025, la Defensoría del Pueblo registró 61.615 personas víctimas de este hecho en la región del Catatumbo</w:t>
      </w:r>
      <w:r w:rsidR="00B31C01" w:rsidRPr="00C454A1">
        <w:rPr>
          <w:rStyle w:val="Refdenotaalpie"/>
          <w:color w:val="000000" w:themeColor="text1"/>
        </w:rPr>
        <w:footnoteReference w:id="230"/>
      </w:r>
      <w:r w:rsidR="00B31C01" w:rsidRPr="00C454A1">
        <w:rPr>
          <w:color w:val="000000" w:themeColor="text1"/>
        </w:rPr>
        <w:t>, cifra 41 veces superior a las 1.491 personas registradas por la UARIV durante todo el año 2023</w:t>
      </w:r>
      <w:r w:rsidR="003A76EA" w:rsidRPr="00C454A1">
        <w:rPr>
          <w:color w:val="000000" w:themeColor="text1"/>
        </w:rPr>
        <w:t xml:space="preserve"> por el mismo hecho victimizante</w:t>
      </w:r>
      <w:r w:rsidR="00B31C01" w:rsidRPr="00C454A1">
        <w:rPr>
          <w:color w:val="000000" w:themeColor="text1"/>
        </w:rPr>
        <w:t>, y 4,5 veces mayor que las 13.757 víctimas reportadas en 2018, año que hasta entonces presentaba el mayor registro desde el inicio de la base de datos en 2012</w:t>
      </w:r>
      <w:r w:rsidR="003A76EA" w:rsidRPr="00C454A1">
        <w:rPr>
          <w:rStyle w:val="Refdenotaalpie"/>
          <w:color w:val="000000" w:themeColor="text1"/>
        </w:rPr>
        <w:footnoteReference w:id="231"/>
      </w:r>
      <w:r w:rsidR="00B31C01" w:rsidRPr="00C454A1">
        <w:rPr>
          <w:color w:val="000000" w:themeColor="text1"/>
        </w:rPr>
        <w:t xml:space="preserve">. </w:t>
      </w:r>
      <w:r w:rsidR="0067480B" w:rsidRPr="00C454A1">
        <w:rPr>
          <w:color w:val="000000" w:themeColor="text1"/>
        </w:rPr>
        <w:t>La siguiente gráfica, elaborada a partir de la base de datos de la UARIV sobre eventos de desplazamiento forzado masivo en los municipios cobijados por el estado de conmoción interior, así como de información de la Defensoría del Pueblo, ilustra este comportamiento</w:t>
      </w:r>
      <w:r w:rsidR="000C6122" w:rsidRPr="00C454A1">
        <w:rPr>
          <w:color w:val="000000" w:themeColor="text1"/>
        </w:rPr>
        <w:t>.</w:t>
      </w:r>
      <w:bookmarkEnd w:id="173"/>
      <w:r w:rsidR="000C6122" w:rsidRPr="00C454A1">
        <w:rPr>
          <w:color w:val="000000" w:themeColor="text1"/>
        </w:rPr>
        <w:t xml:space="preserve"> </w:t>
      </w:r>
    </w:p>
    <w:p w14:paraId="01592834" w14:textId="77777777" w:rsidR="003B4847" w:rsidRPr="00C454A1" w:rsidRDefault="003B4847" w:rsidP="00680BFF">
      <w:pPr>
        <w:rPr>
          <w:rFonts w:eastAsia="Times New Roman" w:cs="Times New Roman"/>
          <w:color w:val="000000" w:themeColor="text1"/>
          <w:szCs w:val="28"/>
        </w:rPr>
      </w:pPr>
    </w:p>
    <w:p w14:paraId="60394D18" w14:textId="46CA6D9A" w:rsidR="00362C39" w:rsidRPr="00C454A1" w:rsidRDefault="0067480B" w:rsidP="0067480B">
      <w:pPr>
        <w:pStyle w:val="Prrafodelista"/>
        <w:jc w:val="center"/>
        <w:rPr>
          <w:i/>
          <w:iCs/>
          <w:color w:val="000000" w:themeColor="text1"/>
          <w:sz w:val="22"/>
          <w:szCs w:val="22"/>
          <w:lang w:eastAsia="es-ES"/>
        </w:rPr>
      </w:pPr>
      <w:r w:rsidRPr="00C454A1">
        <w:rPr>
          <w:i/>
          <w:iCs/>
          <w:color w:val="000000" w:themeColor="text1"/>
          <w:sz w:val="22"/>
          <w:szCs w:val="22"/>
          <w:lang w:eastAsia="es-ES"/>
        </w:rPr>
        <w:t>Gráfica</w:t>
      </w:r>
      <w:r w:rsidR="009C2E60" w:rsidRPr="00C454A1">
        <w:rPr>
          <w:i/>
          <w:iCs/>
          <w:color w:val="000000" w:themeColor="text1"/>
          <w:sz w:val="22"/>
          <w:szCs w:val="22"/>
          <w:lang w:eastAsia="es-ES"/>
        </w:rPr>
        <w:t xml:space="preserve"> 5</w:t>
      </w:r>
      <w:r w:rsidRPr="00C454A1">
        <w:rPr>
          <w:i/>
          <w:iCs/>
          <w:color w:val="000000" w:themeColor="text1"/>
          <w:sz w:val="22"/>
          <w:szCs w:val="22"/>
          <w:lang w:eastAsia="es-ES"/>
        </w:rPr>
        <w:t xml:space="preserve">: Víctimas de desplazamientos forzados masivos en el Catatumbo </w:t>
      </w:r>
    </w:p>
    <w:p w14:paraId="167EA955" w14:textId="1DA07819" w:rsidR="0067480B" w:rsidRPr="00C454A1" w:rsidRDefault="0067480B" w:rsidP="00F842E0">
      <w:pPr>
        <w:pStyle w:val="Prrafodelista"/>
        <w:jc w:val="center"/>
        <w:rPr>
          <w:i/>
          <w:iCs/>
          <w:color w:val="000000" w:themeColor="text1"/>
          <w:sz w:val="22"/>
          <w:szCs w:val="22"/>
          <w:lang w:eastAsia="es-ES"/>
        </w:rPr>
      </w:pPr>
      <w:r w:rsidRPr="00C454A1">
        <w:rPr>
          <w:i/>
          <w:iCs/>
          <w:color w:val="000000" w:themeColor="text1"/>
          <w:sz w:val="22"/>
          <w:szCs w:val="22"/>
          <w:lang w:eastAsia="es-ES"/>
        </w:rPr>
        <w:t xml:space="preserve">(2012 – marzo </w:t>
      </w:r>
      <w:r w:rsidR="00362C39" w:rsidRPr="00C454A1">
        <w:rPr>
          <w:i/>
          <w:iCs/>
          <w:color w:val="000000" w:themeColor="text1"/>
          <w:sz w:val="22"/>
          <w:szCs w:val="22"/>
          <w:lang w:eastAsia="es-ES"/>
        </w:rPr>
        <w:t xml:space="preserve">de </w:t>
      </w:r>
      <w:r w:rsidRPr="00C454A1">
        <w:rPr>
          <w:i/>
          <w:iCs/>
          <w:color w:val="000000" w:themeColor="text1"/>
          <w:sz w:val="22"/>
          <w:szCs w:val="22"/>
          <w:lang w:eastAsia="es-ES"/>
        </w:rPr>
        <w:t>2025*)</w:t>
      </w:r>
    </w:p>
    <w:p w14:paraId="1432DE6D" w14:textId="77777777" w:rsidR="0067480B" w:rsidRPr="00C454A1" w:rsidRDefault="0067480B" w:rsidP="00A907AA">
      <w:pPr>
        <w:pStyle w:val="Prrafodelista"/>
        <w:ind w:left="0"/>
        <w:jc w:val="center"/>
        <w:rPr>
          <w:color w:val="000000" w:themeColor="text1"/>
          <w:lang w:eastAsia="es-ES"/>
        </w:rPr>
      </w:pPr>
      <w:r w:rsidRPr="00C454A1">
        <w:rPr>
          <w:noProof/>
          <w:color w:val="000000" w:themeColor="text1"/>
          <w:lang w:val="en-US"/>
        </w:rPr>
        <w:drawing>
          <wp:inline distT="0" distB="0" distL="0" distR="0" wp14:anchorId="1491E6A4" wp14:editId="77DA0B98">
            <wp:extent cx="3974123" cy="1737360"/>
            <wp:effectExtent l="0" t="0" r="13970" b="15240"/>
            <wp:docPr id="2038234239" name="Chart 1">
              <a:extLst xmlns:a="http://schemas.openxmlformats.org/drawingml/2006/main">
                <a:ext uri="{FF2B5EF4-FFF2-40B4-BE49-F238E27FC236}">
                  <a16:creationId xmlns:a16="http://schemas.microsoft.com/office/drawing/2014/main" id="{75445DC6-12B4-084B-82C6-DED15B5D0E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E8BA614" w14:textId="77777777" w:rsidR="0067480B" w:rsidRPr="00C454A1" w:rsidRDefault="0067480B" w:rsidP="0067480B">
      <w:pPr>
        <w:pStyle w:val="Prrafodelista"/>
        <w:ind w:left="0"/>
        <w:rPr>
          <w:color w:val="000000" w:themeColor="text1"/>
          <w:lang w:eastAsia="es-ES"/>
        </w:rPr>
      </w:pPr>
    </w:p>
    <w:p w14:paraId="4B265FBD" w14:textId="473463E4" w:rsidR="0067480B" w:rsidRPr="00C454A1" w:rsidRDefault="0067480B" w:rsidP="0067480B">
      <w:pPr>
        <w:pStyle w:val="Prrafodelista"/>
        <w:ind w:left="0"/>
        <w:jc w:val="center"/>
        <w:rPr>
          <w:color w:val="000000" w:themeColor="text1"/>
          <w:sz w:val="22"/>
          <w:szCs w:val="22"/>
          <w:lang w:eastAsia="es-ES"/>
        </w:rPr>
      </w:pPr>
      <w:r w:rsidRPr="00C454A1">
        <w:rPr>
          <w:color w:val="000000" w:themeColor="text1"/>
          <w:sz w:val="22"/>
          <w:szCs w:val="22"/>
          <w:lang w:eastAsia="es-ES"/>
        </w:rPr>
        <w:t xml:space="preserve">Elaboración propia. Fuentes: UARIV. </w:t>
      </w:r>
      <w:r w:rsidRPr="00C454A1">
        <w:rPr>
          <w:i/>
          <w:iCs/>
          <w:color w:val="000000" w:themeColor="text1"/>
          <w:sz w:val="22"/>
          <w:szCs w:val="22"/>
          <w:lang w:eastAsia="es-ES"/>
        </w:rPr>
        <w:t>Base unificada del Registro Único de Víctimas</w:t>
      </w:r>
      <w:r w:rsidRPr="00C454A1">
        <w:rPr>
          <w:color w:val="000000" w:themeColor="text1"/>
          <w:sz w:val="22"/>
          <w:szCs w:val="22"/>
          <w:lang w:eastAsia="es-ES"/>
        </w:rPr>
        <w:t xml:space="preserve">. Años 2012 a 2024; Defensoría del Pueblo. </w:t>
      </w:r>
      <w:r w:rsidRPr="00C454A1">
        <w:rPr>
          <w:i/>
          <w:iCs/>
          <w:color w:val="000000" w:themeColor="text1"/>
          <w:sz w:val="22"/>
          <w:szCs w:val="22"/>
          <w:lang w:eastAsia="es-ES"/>
        </w:rPr>
        <w:t>Boletín Mensual. Dinámicas de Movilidad Humana Forzada en Colombia. Defensoría Delegada para los Derechos de la Población en Movilidad Humana (DDPMH).</w:t>
      </w:r>
      <w:r w:rsidRPr="00C454A1">
        <w:rPr>
          <w:color w:val="000000" w:themeColor="text1"/>
          <w:sz w:val="22"/>
          <w:szCs w:val="22"/>
          <w:lang w:eastAsia="es-ES"/>
        </w:rPr>
        <w:t xml:space="preserve"> Enero – 15 de marzo de 2025.</w:t>
      </w:r>
      <w:r w:rsidRPr="00C454A1">
        <w:rPr>
          <w:rStyle w:val="Refdenotaalpie"/>
          <w:color w:val="000000" w:themeColor="text1"/>
          <w:sz w:val="22"/>
          <w:szCs w:val="22"/>
          <w:lang w:eastAsia="es-ES"/>
        </w:rPr>
        <w:footnoteReference w:id="232"/>
      </w:r>
    </w:p>
    <w:p w14:paraId="67838575" w14:textId="77777777" w:rsidR="003B3426" w:rsidRPr="00C454A1" w:rsidRDefault="003B3426" w:rsidP="003B3426">
      <w:pPr>
        <w:rPr>
          <w:rFonts w:eastAsia="Times New Roman" w:cs="Times New Roman"/>
          <w:color w:val="000000" w:themeColor="text1"/>
          <w:szCs w:val="28"/>
        </w:rPr>
      </w:pPr>
    </w:p>
    <w:p w14:paraId="3BA3D536" w14:textId="4850C08D"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La Sala Plena </w:t>
      </w:r>
      <w:r w:rsidR="00C311A7" w:rsidRPr="00C454A1">
        <w:rPr>
          <w:rFonts w:eastAsia="Times New Roman" w:cs="Times New Roman"/>
          <w:color w:val="000000" w:themeColor="text1"/>
          <w:szCs w:val="28"/>
        </w:rPr>
        <w:t xml:space="preserve">observa </w:t>
      </w:r>
      <w:r w:rsidRPr="00C454A1">
        <w:rPr>
          <w:rFonts w:eastAsia="Times New Roman" w:cs="Times New Roman"/>
          <w:color w:val="000000" w:themeColor="text1"/>
          <w:szCs w:val="28"/>
        </w:rPr>
        <w:t xml:space="preserve">que los datos sobre el </w:t>
      </w:r>
      <w:r w:rsidR="0067480B" w:rsidRPr="00C454A1">
        <w:rPr>
          <w:rFonts w:eastAsia="Times New Roman" w:cs="Times New Roman"/>
          <w:color w:val="000000" w:themeColor="text1"/>
          <w:szCs w:val="28"/>
        </w:rPr>
        <w:t xml:space="preserve">incremento del </w:t>
      </w:r>
      <w:r w:rsidRPr="00C454A1">
        <w:rPr>
          <w:rFonts w:eastAsia="Times New Roman" w:cs="Times New Roman"/>
          <w:color w:val="000000" w:themeColor="text1"/>
          <w:szCs w:val="28"/>
        </w:rPr>
        <w:t xml:space="preserve">desplazamiento forzado </w:t>
      </w:r>
      <w:r w:rsidRPr="00C454A1">
        <w:rPr>
          <w:rFonts w:eastAsia="Times New Roman" w:cs="Times New Roman"/>
          <w:i/>
          <w:iCs/>
          <w:color w:val="000000" w:themeColor="text1"/>
          <w:szCs w:val="28"/>
        </w:rPr>
        <w:t>transfronterizo</w:t>
      </w:r>
      <w:r w:rsidRPr="00C454A1">
        <w:rPr>
          <w:rFonts w:eastAsia="Times New Roman" w:cs="Times New Roman"/>
          <w:color w:val="000000" w:themeColor="text1"/>
          <w:szCs w:val="28"/>
        </w:rPr>
        <w:t xml:space="preserve"> también están </w:t>
      </w:r>
      <w:r w:rsidRPr="00C454A1">
        <w:rPr>
          <w:rFonts w:cs="Times New Roman"/>
          <w:color w:val="000000" w:themeColor="text1"/>
          <w:szCs w:val="28"/>
          <w:lang w:eastAsia="es-ES"/>
        </w:rPr>
        <w:t>probados</w:t>
      </w:r>
      <w:r w:rsidRPr="00C454A1">
        <w:rPr>
          <w:rFonts w:eastAsia="Times New Roman" w:cs="Times New Roman"/>
          <w:color w:val="000000" w:themeColor="text1"/>
          <w:szCs w:val="28"/>
        </w:rPr>
        <w:t>.</w:t>
      </w:r>
      <w:r w:rsidRPr="00C454A1">
        <w:rPr>
          <w:rFonts w:eastAsia="Times New Roman" w:cs="Times New Roman"/>
          <w:b/>
          <w:bCs/>
          <w:i/>
          <w:iCs/>
          <w:color w:val="000000" w:themeColor="text1"/>
          <w:szCs w:val="28"/>
        </w:rPr>
        <w:t xml:space="preserve"> </w:t>
      </w:r>
      <w:r w:rsidRPr="00C454A1">
        <w:rPr>
          <w:rFonts w:eastAsia="Times New Roman" w:cs="Times New Roman"/>
          <w:color w:val="000000" w:themeColor="text1"/>
          <w:szCs w:val="28"/>
        </w:rPr>
        <w:t>El 20 de enero de 2025,</w:t>
      </w:r>
      <w:r w:rsidRPr="00C454A1">
        <w:rPr>
          <w:rFonts w:eastAsia="Times New Roman" w:cs="Times New Roman"/>
          <w:b/>
          <w:bCs/>
          <w:color w:val="000000" w:themeColor="text1"/>
          <w:szCs w:val="28"/>
        </w:rPr>
        <w:t xml:space="preserve"> </w:t>
      </w:r>
      <w:r w:rsidR="0067480B" w:rsidRPr="00C454A1">
        <w:rPr>
          <w:rFonts w:eastAsia="Times New Roman" w:cs="Times New Roman"/>
          <w:color w:val="000000" w:themeColor="text1"/>
          <w:szCs w:val="28"/>
        </w:rPr>
        <w:t>OCHA</w:t>
      </w:r>
      <w:r w:rsidR="00C311A7" w:rsidRPr="00C454A1">
        <w:rPr>
          <w:rFonts w:eastAsia="Times New Roman" w:cs="Times New Roman"/>
          <w:color w:val="000000" w:themeColor="text1"/>
          <w:szCs w:val="28"/>
        </w:rPr>
        <w:t xml:space="preserve"> </w:t>
      </w:r>
      <w:r w:rsidRPr="00C454A1">
        <w:rPr>
          <w:rFonts w:eastAsia="Times New Roman" w:cs="Times New Roman"/>
          <w:color w:val="000000" w:themeColor="text1"/>
          <w:szCs w:val="28"/>
        </w:rPr>
        <w:t>emitió una alerta de situación humanitaria</w:t>
      </w:r>
      <w:r w:rsidR="0067480B" w:rsidRPr="00C454A1">
        <w:rPr>
          <w:rFonts w:eastAsia="Times New Roman" w:cs="Times New Roman"/>
          <w:color w:val="000000" w:themeColor="text1"/>
          <w:szCs w:val="28"/>
        </w:rPr>
        <w:t xml:space="preserve"> en la que</w:t>
      </w:r>
      <w:r w:rsidRPr="00C454A1">
        <w:rPr>
          <w:rFonts w:eastAsia="Times New Roman" w:cs="Times New Roman"/>
          <w:color w:val="000000" w:themeColor="text1"/>
          <w:szCs w:val="28"/>
        </w:rPr>
        <w:t xml:space="preserve"> reportó “una cifra estimada (…) de 1.000 personas de origen colombiano que se desplazaron hacia Venezuela en búsqueda de protección internacional”</w:t>
      </w:r>
      <w:r w:rsidRPr="00C454A1">
        <w:rPr>
          <w:rStyle w:val="Refdenotaalpie"/>
          <w:rFonts w:eastAsia="Times New Roman" w:cs="Times New Roman"/>
          <w:color w:val="000000" w:themeColor="text1"/>
          <w:szCs w:val="28"/>
        </w:rPr>
        <w:footnoteReference w:id="233"/>
      </w:r>
      <w:r w:rsidRPr="00C454A1">
        <w:rPr>
          <w:rFonts w:eastAsia="Times New Roman" w:cs="Times New Roman"/>
          <w:color w:val="000000" w:themeColor="text1"/>
          <w:szCs w:val="28"/>
        </w:rPr>
        <w:t xml:space="preserve">. En el </w:t>
      </w:r>
      <w:r w:rsidRPr="00C454A1">
        <w:rPr>
          <w:rFonts w:eastAsia="Times New Roman" w:cs="Times New Roman"/>
          <w:color w:val="000000" w:themeColor="text1"/>
          <w:szCs w:val="28"/>
        </w:rPr>
        <w:lastRenderedPageBreak/>
        <w:t>mismo sentido, el embajador de Colombia ante la República de Venezuela</w:t>
      </w:r>
      <w:r w:rsidRPr="00C454A1">
        <w:rPr>
          <w:rStyle w:val="Refdenotaalpie"/>
          <w:rFonts w:eastAsia="Times New Roman" w:cs="Times New Roman"/>
          <w:color w:val="000000" w:themeColor="text1"/>
          <w:szCs w:val="28"/>
        </w:rPr>
        <w:footnoteReference w:id="234"/>
      </w:r>
      <w:r w:rsidRPr="00C454A1">
        <w:rPr>
          <w:rFonts w:eastAsia="Times New Roman" w:cs="Times New Roman"/>
          <w:color w:val="000000" w:themeColor="text1"/>
          <w:szCs w:val="28"/>
        </w:rPr>
        <w:t xml:space="preserve"> informó que “las personas desplazadas desde los diferentes sectores del Catatumbo del lado de Colombia (…), alcanzó las 700 personas diarias los días viernes 17, sábado 18 y domingo 19 (…); [y que] los días subsiguientes, lunes 20 y martes 21, continúa el paso de ciudadanos desplazados con una leve disminución calculando hasta 400 personas por día”</w:t>
      </w:r>
      <w:r w:rsidRPr="00C454A1">
        <w:rPr>
          <w:rStyle w:val="Refdenotaalpie"/>
          <w:rFonts w:eastAsia="Times New Roman" w:cs="Times New Roman"/>
          <w:color w:val="000000" w:themeColor="text1"/>
          <w:szCs w:val="28"/>
        </w:rPr>
        <w:footnoteReference w:id="235"/>
      </w:r>
      <w:r w:rsidRPr="00C454A1">
        <w:rPr>
          <w:rFonts w:eastAsia="Times New Roman" w:cs="Times New Roman"/>
          <w:color w:val="000000" w:themeColor="text1"/>
          <w:szCs w:val="28"/>
        </w:rPr>
        <w:t xml:space="preserve">. Esta información, según dijo, coincide con los datos de </w:t>
      </w:r>
      <w:r w:rsidR="00124AC0" w:rsidRPr="00C454A1">
        <w:rPr>
          <w:rFonts w:eastAsia="Times New Roman" w:cs="Times New Roman"/>
          <w:color w:val="000000" w:themeColor="text1"/>
          <w:szCs w:val="28"/>
        </w:rPr>
        <w:t>la ONU</w:t>
      </w:r>
      <w:r w:rsidRPr="00C454A1">
        <w:rPr>
          <w:rFonts w:eastAsia="Times New Roman" w:cs="Times New Roman"/>
          <w:color w:val="000000" w:themeColor="text1"/>
          <w:szCs w:val="28"/>
        </w:rPr>
        <w:t xml:space="preserve"> y del Comité Internacional de la Cruz Roja.</w:t>
      </w:r>
    </w:p>
    <w:p w14:paraId="17374E30" w14:textId="77777777" w:rsidR="003B3426" w:rsidRPr="00C454A1" w:rsidRDefault="003B3426" w:rsidP="003B3426">
      <w:pPr>
        <w:rPr>
          <w:rFonts w:eastAsia="Times New Roman" w:cs="Times New Roman"/>
          <w:color w:val="000000" w:themeColor="text1"/>
          <w:szCs w:val="28"/>
          <w:u w:val="single"/>
        </w:rPr>
      </w:pPr>
    </w:p>
    <w:p w14:paraId="3FBF4B8C" w14:textId="2D0DC965" w:rsidR="003B3426" w:rsidRPr="00C454A1" w:rsidRDefault="003B3426" w:rsidP="000137DB">
      <w:pPr>
        <w:numPr>
          <w:ilvl w:val="0"/>
          <w:numId w:val="2"/>
        </w:numPr>
        <w:ind w:left="0" w:firstLine="0"/>
        <w:rPr>
          <w:rFonts w:eastAsia="Times New Roman" w:cs="Times New Roman"/>
          <w:color w:val="000000" w:themeColor="text1"/>
          <w:szCs w:val="28"/>
        </w:rPr>
      </w:pPr>
      <w:bookmarkStart w:id="174" w:name="_Ref219382526"/>
      <w:bookmarkStart w:id="175" w:name="_Ref219405232"/>
      <w:r w:rsidRPr="00C454A1">
        <w:rPr>
          <w:rFonts w:eastAsia="Times New Roman" w:cs="Times New Roman"/>
          <w:i/>
          <w:iCs/>
          <w:color w:val="000000" w:themeColor="text1"/>
          <w:szCs w:val="28"/>
        </w:rPr>
        <w:t>Confinamientos</w:t>
      </w:r>
      <w:r w:rsidRPr="00C454A1">
        <w:rPr>
          <w:rFonts w:eastAsia="Times New Roman" w:cs="Times New Roman"/>
          <w:color w:val="000000" w:themeColor="text1"/>
          <w:szCs w:val="28"/>
        </w:rPr>
        <w:t xml:space="preserve">. En el acápite I de la parte motiva del decreto declaratorio,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aseguró que en “los municipios de Tibú, Teorama y San Calixto se presenta el confinamiento de 7.122 personas”. </w:t>
      </w:r>
      <w:r w:rsidR="00E10A3D" w:rsidRPr="00C454A1">
        <w:rPr>
          <w:rFonts w:eastAsia="Times New Roman" w:cs="Times New Roman"/>
          <w:color w:val="000000" w:themeColor="text1"/>
          <w:szCs w:val="28"/>
        </w:rPr>
        <w:t>L</w:t>
      </w:r>
      <w:r w:rsidRPr="00C454A1">
        <w:rPr>
          <w:rFonts w:eastAsia="Times New Roman" w:cs="Times New Roman"/>
          <w:color w:val="000000" w:themeColor="text1"/>
          <w:szCs w:val="28"/>
        </w:rPr>
        <w:t>as intervenciones de los municipios de Ocaña</w:t>
      </w:r>
      <w:r w:rsidRPr="00C454A1">
        <w:rPr>
          <w:rFonts w:eastAsia="Times New Roman" w:cs="Times New Roman"/>
          <w:color w:val="000000" w:themeColor="text1"/>
          <w:szCs w:val="28"/>
          <w:vertAlign w:val="superscript"/>
        </w:rPr>
        <w:footnoteReference w:id="236"/>
      </w:r>
      <w:r w:rsidRPr="00C454A1">
        <w:rPr>
          <w:rFonts w:eastAsia="Times New Roman" w:cs="Times New Roman"/>
          <w:color w:val="000000" w:themeColor="text1"/>
          <w:szCs w:val="28"/>
        </w:rPr>
        <w:t xml:space="preserve"> y Hacarí, del Comité Permanente por la Defensa de los Derechos Humanos</w:t>
      </w:r>
      <w:r w:rsidRPr="00C454A1">
        <w:rPr>
          <w:rFonts w:eastAsia="Times New Roman" w:cs="Times New Roman"/>
          <w:color w:val="000000" w:themeColor="text1"/>
          <w:szCs w:val="28"/>
          <w:vertAlign w:val="superscript"/>
        </w:rPr>
        <w:footnoteReference w:id="237"/>
      </w:r>
      <w:r w:rsidRPr="00C454A1">
        <w:rPr>
          <w:rFonts w:eastAsia="Times New Roman" w:cs="Times New Roman"/>
          <w:color w:val="000000" w:themeColor="text1"/>
          <w:szCs w:val="28"/>
        </w:rPr>
        <w:t xml:space="preserve"> reportan datos similares. </w:t>
      </w:r>
      <w:bookmarkEnd w:id="174"/>
      <w:r w:rsidR="004F4A3C" w:rsidRPr="00C454A1">
        <w:rPr>
          <w:rFonts w:eastAsia="Times New Roman" w:cs="Times New Roman"/>
          <w:color w:val="000000" w:themeColor="text1"/>
          <w:szCs w:val="28"/>
        </w:rPr>
        <w:t>El 24 de enero de 2025, la cifra se elevó a 23.757 víctimas según el Boletín No. 4 “Balance PMU Catatumbo”.</w:t>
      </w:r>
      <w:bookmarkEnd w:id="175"/>
    </w:p>
    <w:p w14:paraId="28C217F9" w14:textId="77777777" w:rsidR="003B3426" w:rsidRPr="00C454A1" w:rsidRDefault="003B3426" w:rsidP="003B3426">
      <w:pPr>
        <w:pStyle w:val="Prrafodelista"/>
        <w:ind w:left="0"/>
        <w:rPr>
          <w:rFonts w:eastAsia="Times New Roman" w:cs="Times New Roman"/>
          <w:color w:val="000000" w:themeColor="text1"/>
          <w:szCs w:val="28"/>
        </w:rPr>
      </w:pPr>
    </w:p>
    <w:p w14:paraId="729FEF65" w14:textId="284653E9" w:rsidR="00E40398" w:rsidRPr="00C454A1" w:rsidRDefault="004F4A3C"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A lo largo de los meses de enero a marzo de 2025, l</w:t>
      </w:r>
      <w:r w:rsidR="00E10A3D" w:rsidRPr="00C454A1">
        <w:rPr>
          <w:rFonts w:eastAsia="Times New Roman" w:cs="Times New Roman"/>
          <w:color w:val="000000" w:themeColor="text1"/>
          <w:szCs w:val="28"/>
        </w:rPr>
        <w:t>os boletines de</w:t>
      </w:r>
      <w:r w:rsidR="00E40398" w:rsidRPr="00C454A1">
        <w:rPr>
          <w:rFonts w:eastAsia="Times New Roman" w:cs="Times New Roman"/>
          <w:color w:val="000000" w:themeColor="text1"/>
          <w:szCs w:val="28"/>
        </w:rPr>
        <w:t xml:space="preserve"> “Balance</w:t>
      </w:r>
      <w:r w:rsidR="00E10A3D" w:rsidRPr="00C454A1">
        <w:rPr>
          <w:rFonts w:eastAsia="Times New Roman" w:cs="Times New Roman"/>
          <w:color w:val="000000" w:themeColor="text1"/>
          <w:szCs w:val="28"/>
        </w:rPr>
        <w:t xml:space="preserve"> PMU</w:t>
      </w:r>
      <w:r w:rsidR="00E40398" w:rsidRPr="00C454A1">
        <w:rPr>
          <w:rFonts w:eastAsia="Times New Roman" w:cs="Times New Roman"/>
          <w:color w:val="000000" w:themeColor="text1"/>
          <w:szCs w:val="28"/>
        </w:rPr>
        <w:t xml:space="preserve"> Catatumbo”</w:t>
      </w:r>
      <w:r w:rsidR="00E10A3D" w:rsidRPr="00C454A1">
        <w:rPr>
          <w:rFonts w:eastAsia="Times New Roman" w:cs="Times New Roman"/>
          <w:color w:val="000000" w:themeColor="text1"/>
          <w:szCs w:val="28"/>
        </w:rPr>
        <w:t xml:space="preserve"> </w:t>
      </w:r>
      <w:r w:rsidR="00FE0FFD" w:rsidRPr="00C454A1">
        <w:rPr>
          <w:rFonts w:eastAsia="Times New Roman" w:cs="Times New Roman"/>
          <w:color w:val="000000" w:themeColor="text1"/>
          <w:szCs w:val="28"/>
        </w:rPr>
        <w:t>i</w:t>
      </w:r>
      <w:r w:rsidR="00E40398" w:rsidRPr="00C454A1">
        <w:rPr>
          <w:rFonts w:eastAsia="Times New Roman" w:cs="Times New Roman"/>
          <w:color w:val="000000" w:themeColor="text1"/>
          <w:szCs w:val="28"/>
        </w:rPr>
        <w:t>ndicaron</w:t>
      </w:r>
      <w:r w:rsidR="00FE0FFD" w:rsidRPr="00C454A1">
        <w:rPr>
          <w:rFonts w:eastAsia="Times New Roman" w:cs="Times New Roman"/>
          <w:color w:val="000000" w:themeColor="text1"/>
          <w:szCs w:val="28"/>
        </w:rPr>
        <w:t xml:space="preserve"> </w:t>
      </w:r>
      <w:r w:rsidR="00E40398" w:rsidRPr="00C454A1">
        <w:rPr>
          <w:rFonts w:eastAsia="Times New Roman" w:cs="Times New Roman"/>
          <w:color w:val="000000" w:themeColor="text1"/>
          <w:szCs w:val="28"/>
        </w:rPr>
        <w:t xml:space="preserve">que las cifras de víctimas de confinamiento oscilaron entre las 20.000 y 30.000, como se ilustra en la siguiente gráfica: </w:t>
      </w:r>
    </w:p>
    <w:p w14:paraId="38A43EC6" w14:textId="77777777" w:rsidR="00F842E0" w:rsidRPr="00C454A1" w:rsidRDefault="00F842E0" w:rsidP="00E40398">
      <w:pPr>
        <w:rPr>
          <w:rFonts w:eastAsia="Times New Roman" w:cs="Times New Roman"/>
          <w:color w:val="000000" w:themeColor="text1"/>
          <w:szCs w:val="28"/>
        </w:rPr>
      </w:pPr>
    </w:p>
    <w:p w14:paraId="2C58BD1D" w14:textId="77777777" w:rsidR="00EC09FE" w:rsidRPr="00C454A1" w:rsidRDefault="00EC09FE" w:rsidP="00E40398">
      <w:pPr>
        <w:rPr>
          <w:rFonts w:eastAsia="Times New Roman" w:cs="Times New Roman"/>
          <w:color w:val="000000" w:themeColor="text1"/>
          <w:szCs w:val="28"/>
        </w:rPr>
      </w:pPr>
    </w:p>
    <w:p w14:paraId="53B9FD8A" w14:textId="77777777" w:rsidR="00EC09FE" w:rsidRPr="00C454A1" w:rsidRDefault="00EC09FE" w:rsidP="00E40398">
      <w:pPr>
        <w:rPr>
          <w:rFonts w:eastAsia="Times New Roman" w:cs="Times New Roman"/>
          <w:color w:val="000000" w:themeColor="text1"/>
          <w:szCs w:val="28"/>
        </w:rPr>
      </w:pPr>
    </w:p>
    <w:p w14:paraId="43908BB8" w14:textId="77777777" w:rsidR="00EC09FE" w:rsidRPr="00C454A1" w:rsidRDefault="00EC09FE" w:rsidP="00E40398">
      <w:pPr>
        <w:rPr>
          <w:rFonts w:eastAsia="Times New Roman" w:cs="Times New Roman"/>
          <w:color w:val="000000" w:themeColor="text1"/>
          <w:szCs w:val="28"/>
        </w:rPr>
      </w:pPr>
    </w:p>
    <w:p w14:paraId="717604AF" w14:textId="77777777" w:rsidR="00EC09FE" w:rsidRPr="00C454A1" w:rsidRDefault="00EC09FE" w:rsidP="00E40398">
      <w:pPr>
        <w:rPr>
          <w:rFonts w:eastAsia="Times New Roman" w:cs="Times New Roman"/>
          <w:color w:val="000000" w:themeColor="text1"/>
          <w:szCs w:val="28"/>
        </w:rPr>
      </w:pPr>
    </w:p>
    <w:p w14:paraId="79DD06BC" w14:textId="77777777" w:rsidR="00EC09FE" w:rsidRPr="00C454A1" w:rsidRDefault="00EC09FE" w:rsidP="00E40398">
      <w:pPr>
        <w:rPr>
          <w:rFonts w:eastAsia="Times New Roman" w:cs="Times New Roman"/>
          <w:color w:val="000000" w:themeColor="text1"/>
          <w:szCs w:val="28"/>
        </w:rPr>
      </w:pPr>
    </w:p>
    <w:p w14:paraId="69C5E6FE" w14:textId="77777777" w:rsidR="00EC09FE" w:rsidRPr="00C454A1" w:rsidRDefault="00EC09FE" w:rsidP="00E40398">
      <w:pPr>
        <w:rPr>
          <w:rFonts w:eastAsia="Times New Roman" w:cs="Times New Roman"/>
          <w:color w:val="000000" w:themeColor="text1"/>
          <w:szCs w:val="28"/>
        </w:rPr>
      </w:pPr>
    </w:p>
    <w:p w14:paraId="4E1C8F74" w14:textId="77777777" w:rsidR="00EC09FE" w:rsidRPr="00C454A1" w:rsidRDefault="00EC09FE" w:rsidP="00E40398">
      <w:pPr>
        <w:rPr>
          <w:rFonts w:eastAsia="Times New Roman" w:cs="Times New Roman"/>
          <w:color w:val="000000" w:themeColor="text1"/>
          <w:szCs w:val="28"/>
        </w:rPr>
      </w:pPr>
    </w:p>
    <w:p w14:paraId="0F4DA992" w14:textId="77777777" w:rsidR="00EC09FE" w:rsidRPr="00C454A1" w:rsidRDefault="00EC09FE" w:rsidP="00E40398">
      <w:pPr>
        <w:rPr>
          <w:rFonts w:eastAsia="Times New Roman" w:cs="Times New Roman"/>
          <w:color w:val="000000" w:themeColor="text1"/>
          <w:szCs w:val="28"/>
        </w:rPr>
      </w:pPr>
    </w:p>
    <w:p w14:paraId="0B41594A" w14:textId="77777777" w:rsidR="00EC09FE" w:rsidRPr="00C454A1" w:rsidRDefault="00EC09FE" w:rsidP="00E40398">
      <w:pPr>
        <w:rPr>
          <w:rFonts w:eastAsia="Times New Roman" w:cs="Times New Roman"/>
          <w:color w:val="000000" w:themeColor="text1"/>
          <w:szCs w:val="28"/>
        </w:rPr>
      </w:pPr>
    </w:p>
    <w:p w14:paraId="7842ECA2" w14:textId="77777777" w:rsidR="00EC09FE" w:rsidRPr="00C454A1" w:rsidRDefault="00EC09FE" w:rsidP="00E40398">
      <w:pPr>
        <w:rPr>
          <w:rFonts w:eastAsia="Times New Roman" w:cs="Times New Roman"/>
          <w:color w:val="000000" w:themeColor="text1"/>
          <w:szCs w:val="28"/>
        </w:rPr>
      </w:pPr>
    </w:p>
    <w:p w14:paraId="51A45001" w14:textId="30419D96" w:rsidR="00E40398" w:rsidRPr="00C454A1" w:rsidRDefault="00E40398" w:rsidP="00EC09FE">
      <w:pPr>
        <w:ind w:left="851" w:right="1327"/>
        <w:jc w:val="center"/>
        <w:rPr>
          <w:rFonts w:eastAsia="Times New Roman" w:cs="Times New Roman"/>
          <w:i/>
          <w:iCs/>
          <w:color w:val="000000" w:themeColor="text1"/>
          <w:sz w:val="22"/>
          <w:szCs w:val="22"/>
        </w:rPr>
      </w:pPr>
      <w:r w:rsidRPr="00C454A1">
        <w:rPr>
          <w:rFonts w:eastAsia="Times New Roman" w:cs="Times New Roman"/>
          <w:i/>
          <w:iCs/>
          <w:color w:val="000000" w:themeColor="text1"/>
          <w:sz w:val="22"/>
          <w:szCs w:val="22"/>
        </w:rPr>
        <w:t>Gráfica</w:t>
      </w:r>
      <w:r w:rsidR="00D92ACF" w:rsidRPr="00C454A1">
        <w:rPr>
          <w:rFonts w:eastAsia="Times New Roman" w:cs="Times New Roman"/>
          <w:i/>
          <w:iCs/>
          <w:color w:val="000000" w:themeColor="text1"/>
          <w:sz w:val="22"/>
          <w:szCs w:val="22"/>
        </w:rPr>
        <w:t xml:space="preserve"> 6:</w:t>
      </w:r>
      <w:r w:rsidRPr="00C454A1">
        <w:rPr>
          <w:rFonts w:eastAsia="Times New Roman" w:cs="Times New Roman"/>
          <w:i/>
          <w:iCs/>
          <w:color w:val="000000" w:themeColor="text1"/>
          <w:sz w:val="22"/>
          <w:szCs w:val="22"/>
        </w:rPr>
        <w:t xml:space="preserve"> número de víctimas de confinamientos según los boletines </w:t>
      </w:r>
      <w:r w:rsidR="00C70571" w:rsidRPr="00C454A1">
        <w:rPr>
          <w:rFonts w:eastAsia="Times New Roman" w:cs="Times New Roman"/>
          <w:i/>
          <w:iCs/>
          <w:color w:val="000000" w:themeColor="text1"/>
          <w:sz w:val="22"/>
          <w:szCs w:val="22"/>
        </w:rPr>
        <w:t>“</w:t>
      </w:r>
      <w:r w:rsidRPr="00C454A1">
        <w:rPr>
          <w:rFonts w:eastAsia="Times New Roman" w:cs="Times New Roman"/>
          <w:i/>
          <w:iCs/>
          <w:color w:val="000000" w:themeColor="text1"/>
          <w:sz w:val="22"/>
          <w:szCs w:val="22"/>
        </w:rPr>
        <w:t>Balance PMU Catatumbo</w:t>
      </w:r>
      <w:r w:rsidR="00C70571" w:rsidRPr="00C454A1">
        <w:rPr>
          <w:rFonts w:eastAsia="Times New Roman" w:cs="Times New Roman"/>
          <w:i/>
          <w:iCs/>
          <w:color w:val="000000" w:themeColor="text1"/>
          <w:sz w:val="22"/>
          <w:szCs w:val="22"/>
        </w:rPr>
        <w:t>”</w:t>
      </w:r>
    </w:p>
    <w:p w14:paraId="5FE7D183" w14:textId="377A223A" w:rsidR="00E40398" w:rsidRPr="00C454A1" w:rsidRDefault="00E40398" w:rsidP="00E40398">
      <w:pPr>
        <w:jc w:val="center"/>
        <w:rPr>
          <w:rFonts w:eastAsia="Times New Roman" w:cs="Times New Roman"/>
          <w:color w:val="000000" w:themeColor="text1"/>
          <w:szCs w:val="28"/>
        </w:rPr>
      </w:pPr>
      <w:r w:rsidRPr="00C454A1">
        <w:rPr>
          <w:noProof/>
          <w:color w:val="000000" w:themeColor="text1"/>
          <w:lang w:val="en-US"/>
        </w:rPr>
        <w:lastRenderedPageBreak/>
        <w:drawing>
          <wp:inline distT="0" distB="0" distL="0" distR="0" wp14:anchorId="637FE941" wp14:editId="63847231">
            <wp:extent cx="4107766" cy="2145323"/>
            <wp:effectExtent l="0" t="0" r="7620" b="13970"/>
            <wp:docPr id="912005089" name="Chart 1" descr="Chart type: Clustered Column. 'Número de víctimas'&#10;&#10;Description automatically generated">
              <a:extLst xmlns:a="http://schemas.openxmlformats.org/drawingml/2006/main">
                <a:ext uri="{FF2B5EF4-FFF2-40B4-BE49-F238E27FC236}">
                  <a16:creationId xmlns:a16="http://schemas.microsoft.com/office/drawing/2014/main" id="{A0F90EC9-1B87-1F83-5707-965CCA783B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21BC41" w14:textId="62FD6BEB" w:rsidR="00C70571" w:rsidRPr="00C454A1" w:rsidRDefault="00C70571" w:rsidP="00C70571">
      <w:pPr>
        <w:ind w:left="851" w:right="760"/>
        <w:rPr>
          <w:rFonts w:eastAsia="Times New Roman" w:cs="Times New Roman"/>
          <w:color w:val="000000" w:themeColor="text1"/>
          <w:sz w:val="22"/>
          <w:szCs w:val="22"/>
        </w:rPr>
      </w:pPr>
      <w:r w:rsidRPr="00C454A1">
        <w:rPr>
          <w:rFonts w:eastAsia="Times New Roman" w:cs="Times New Roman"/>
          <w:color w:val="000000" w:themeColor="text1"/>
          <w:sz w:val="22"/>
          <w:szCs w:val="22"/>
        </w:rPr>
        <w:t>Fuente: elaboración propia a partir de los boletines “Balance PMU Catatumbo”</w:t>
      </w:r>
      <w:r w:rsidR="00534391" w:rsidRPr="00C454A1">
        <w:rPr>
          <w:rStyle w:val="Refdenotaalpie"/>
          <w:rFonts w:eastAsia="Times New Roman" w:cs="Times New Roman"/>
          <w:color w:val="000000" w:themeColor="text1"/>
          <w:sz w:val="22"/>
          <w:szCs w:val="22"/>
        </w:rPr>
        <w:footnoteReference w:id="238"/>
      </w:r>
      <w:r w:rsidRPr="00C454A1">
        <w:rPr>
          <w:rFonts w:eastAsia="Times New Roman" w:cs="Times New Roman"/>
          <w:color w:val="000000" w:themeColor="text1"/>
          <w:sz w:val="22"/>
          <w:szCs w:val="22"/>
        </w:rPr>
        <w:t>.</w:t>
      </w:r>
    </w:p>
    <w:p w14:paraId="3CEC22FF" w14:textId="77777777" w:rsidR="00C70571" w:rsidRPr="00C454A1" w:rsidRDefault="00C70571" w:rsidP="00C70571">
      <w:pPr>
        <w:rPr>
          <w:rFonts w:eastAsia="Times New Roman" w:cs="Times New Roman"/>
          <w:color w:val="000000" w:themeColor="text1"/>
          <w:szCs w:val="28"/>
        </w:rPr>
      </w:pPr>
    </w:p>
    <w:p w14:paraId="3CC259A1" w14:textId="6AB9327A" w:rsidR="00967C55" w:rsidRPr="00C454A1" w:rsidRDefault="00FE0FFD"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 </w:t>
      </w:r>
      <w:r w:rsidR="003B3426" w:rsidRPr="00C454A1">
        <w:rPr>
          <w:rFonts w:eastAsia="Times New Roman" w:cs="Times New Roman"/>
          <w:color w:val="000000" w:themeColor="text1"/>
          <w:szCs w:val="28"/>
        </w:rPr>
        <w:t xml:space="preserve">Según la información que reportó el DAPRE, </w:t>
      </w:r>
      <w:r w:rsidR="00E40398" w:rsidRPr="00C454A1">
        <w:rPr>
          <w:rFonts w:eastAsia="Times New Roman" w:cs="Times New Roman"/>
          <w:color w:val="000000" w:themeColor="text1"/>
          <w:szCs w:val="28"/>
        </w:rPr>
        <w:t>los</w:t>
      </w:r>
      <w:r w:rsidR="003A76EA" w:rsidRPr="00C454A1">
        <w:rPr>
          <w:rFonts w:eastAsia="Times New Roman" w:cs="Times New Roman"/>
          <w:color w:val="000000" w:themeColor="text1"/>
          <w:szCs w:val="28"/>
        </w:rPr>
        <w:t xml:space="preserve"> </w:t>
      </w:r>
      <w:r w:rsidR="003B3426" w:rsidRPr="00C454A1">
        <w:rPr>
          <w:rFonts w:eastAsia="Times New Roman" w:cs="Times New Roman"/>
          <w:color w:val="000000" w:themeColor="text1"/>
          <w:szCs w:val="28"/>
        </w:rPr>
        <w:t>descenso</w:t>
      </w:r>
      <w:r w:rsidR="00E40398" w:rsidRPr="00C454A1">
        <w:rPr>
          <w:rFonts w:eastAsia="Times New Roman" w:cs="Times New Roman"/>
          <w:color w:val="000000" w:themeColor="text1"/>
          <w:szCs w:val="28"/>
        </w:rPr>
        <w:t>s</w:t>
      </w:r>
      <w:r w:rsidR="003B3426" w:rsidRPr="00C454A1">
        <w:rPr>
          <w:rFonts w:eastAsia="Times New Roman" w:cs="Times New Roman"/>
          <w:color w:val="000000" w:themeColor="text1"/>
          <w:szCs w:val="28"/>
        </w:rPr>
        <w:t xml:space="preserve"> en la</w:t>
      </w:r>
      <w:r w:rsidR="00C70571" w:rsidRPr="00C454A1">
        <w:rPr>
          <w:rFonts w:eastAsia="Times New Roman" w:cs="Times New Roman"/>
          <w:color w:val="000000" w:themeColor="text1"/>
          <w:szCs w:val="28"/>
        </w:rPr>
        <w:t>s</w:t>
      </w:r>
      <w:r w:rsidR="003B3426" w:rsidRPr="00C454A1">
        <w:rPr>
          <w:rFonts w:eastAsia="Times New Roman" w:cs="Times New Roman"/>
          <w:color w:val="000000" w:themeColor="text1"/>
          <w:szCs w:val="28"/>
        </w:rPr>
        <w:t xml:space="preserve"> cifra</w:t>
      </w:r>
      <w:r w:rsidR="00C70571" w:rsidRPr="00C454A1">
        <w:rPr>
          <w:rFonts w:eastAsia="Times New Roman" w:cs="Times New Roman"/>
          <w:color w:val="000000" w:themeColor="text1"/>
          <w:szCs w:val="28"/>
        </w:rPr>
        <w:t>s</w:t>
      </w:r>
      <w:r w:rsidR="003B3426" w:rsidRPr="00C454A1">
        <w:rPr>
          <w:rFonts w:eastAsia="Times New Roman" w:cs="Times New Roman"/>
          <w:color w:val="000000" w:themeColor="text1"/>
          <w:szCs w:val="28"/>
        </w:rPr>
        <w:t xml:space="preserve"> de personas en confinamiento se </w:t>
      </w:r>
      <w:r w:rsidR="00C70571" w:rsidRPr="00C454A1">
        <w:rPr>
          <w:rFonts w:eastAsia="Times New Roman" w:cs="Times New Roman"/>
          <w:color w:val="000000" w:themeColor="text1"/>
          <w:szCs w:val="28"/>
        </w:rPr>
        <w:t>debió a acciones</w:t>
      </w:r>
      <w:r w:rsidR="003B3426" w:rsidRPr="00C454A1">
        <w:rPr>
          <w:rFonts w:eastAsia="Times New Roman" w:cs="Times New Roman"/>
          <w:color w:val="000000" w:themeColor="text1"/>
          <w:szCs w:val="28"/>
        </w:rPr>
        <w:t xml:space="preserve"> </w:t>
      </w:r>
      <w:r w:rsidR="00C70571" w:rsidRPr="00C454A1">
        <w:rPr>
          <w:rFonts w:eastAsia="Times New Roman" w:cs="Times New Roman"/>
          <w:color w:val="000000" w:themeColor="text1"/>
          <w:szCs w:val="28"/>
        </w:rPr>
        <w:t>como las siguientes</w:t>
      </w:r>
      <w:r w:rsidR="003B3426" w:rsidRPr="00C454A1">
        <w:rPr>
          <w:rFonts w:eastAsia="Times New Roman" w:cs="Times New Roman"/>
          <w:color w:val="000000" w:themeColor="text1"/>
          <w:szCs w:val="28"/>
        </w:rPr>
        <w:t xml:space="preserve">: (i) el 22 de enero de 2025, la </w:t>
      </w:r>
      <w:r w:rsidR="00F858F2" w:rsidRPr="00C454A1">
        <w:rPr>
          <w:rFonts w:eastAsia="Times New Roman" w:cs="Times New Roman"/>
          <w:color w:val="000000" w:themeColor="text1"/>
          <w:szCs w:val="28"/>
        </w:rPr>
        <w:t>f</w:t>
      </w:r>
      <w:r w:rsidR="003B3426" w:rsidRPr="00C454A1">
        <w:rPr>
          <w:rFonts w:eastAsia="Times New Roman" w:cs="Times New Roman"/>
          <w:color w:val="000000" w:themeColor="text1"/>
          <w:szCs w:val="28"/>
        </w:rPr>
        <w:t xml:space="preserve">uerza </w:t>
      </w:r>
      <w:r w:rsidR="00F858F2" w:rsidRPr="00C454A1">
        <w:rPr>
          <w:rFonts w:eastAsia="Times New Roman" w:cs="Times New Roman"/>
          <w:color w:val="000000" w:themeColor="text1"/>
          <w:szCs w:val="28"/>
        </w:rPr>
        <w:t>p</w:t>
      </w:r>
      <w:r w:rsidR="003B3426" w:rsidRPr="00C454A1">
        <w:rPr>
          <w:rFonts w:eastAsia="Times New Roman" w:cs="Times New Roman"/>
          <w:color w:val="000000" w:themeColor="text1"/>
          <w:szCs w:val="28"/>
        </w:rPr>
        <w:t>ública evacuó 483 personas por la vía aérea y mediante helicópteros</w:t>
      </w:r>
      <w:r w:rsidR="003B3426" w:rsidRPr="00C454A1">
        <w:rPr>
          <w:rStyle w:val="Refdenotaalpie"/>
          <w:rFonts w:eastAsia="Times New Roman" w:cs="Times New Roman"/>
          <w:color w:val="000000" w:themeColor="text1"/>
          <w:szCs w:val="28"/>
        </w:rPr>
        <w:footnoteReference w:id="239"/>
      </w:r>
      <w:r w:rsidR="003B3426" w:rsidRPr="00C454A1">
        <w:rPr>
          <w:rFonts w:eastAsia="Times New Roman" w:cs="Times New Roman"/>
          <w:color w:val="000000" w:themeColor="text1"/>
          <w:szCs w:val="28"/>
        </w:rPr>
        <w:t>; (ii) el 23 de enero del mismo año, se llevó a cabo la evacuación de 540 personas en 37 vuelos de Naciones Unidas, el Ejército Nacional, la Policía Nacional y sociedades comerciales que brindaron apoyo</w:t>
      </w:r>
      <w:r w:rsidR="003B3426" w:rsidRPr="00C454A1">
        <w:rPr>
          <w:rStyle w:val="Refdenotaalpie"/>
          <w:rFonts w:eastAsia="Times New Roman" w:cs="Times New Roman"/>
          <w:color w:val="000000" w:themeColor="text1"/>
          <w:szCs w:val="28"/>
        </w:rPr>
        <w:footnoteReference w:id="240"/>
      </w:r>
      <w:r w:rsidR="00F31B98" w:rsidRPr="00C454A1">
        <w:rPr>
          <w:rFonts w:eastAsia="Times New Roman" w:cs="Times New Roman"/>
          <w:color w:val="000000" w:themeColor="text1"/>
          <w:szCs w:val="28"/>
        </w:rPr>
        <w:t>,</w:t>
      </w:r>
      <w:r w:rsidR="003B3426" w:rsidRPr="00C454A1">
        <w:rPr>
          <w:rFonts w:eastAsia="Times New Roman" w:cs="Times New Roman"/>
          <w:color w:val="000000" w:themeColor="text1"/>
          <w:szCs w:val="28"/>
        </w:rPr>
        <w:t xml:space="preserve"> y (iii)</w:t>
      </w:r>
      <w:r w:rsidR="003B3426" w:rsidRPr="00C454A1">
        <w:rPr>
          <w:rFonts w:eastAsia="Times New Roman" w:cs="Times New Roman"/>
          <w:i/>
          <w:iCs/>
          <w:color w:val="000000" w:themeColor="text1"/>
          <w:szCs w:val="28"/>
        </w:rPr>
        <w:t xml:space="preserve"> </w:t>
      </w:r>
      <w:r w:rsidR="003B3426" w:rsidRPr="00C454A1">
        <w:rPr>
          <w:rFonts w:eastAsia="Times New Roman" w:cs="Times New Roman"/>
          <w:color w:val="000000" w:themeColor="text1"/>
          <w:szCs w:val="28"/>
        </w:rPr>
        <w:t>entre el 22 y el 25 de enero, el Ejército Nacional evacuó 83 personas afectadas por la confrontación en el Catatumbo</w:t>
      </w:r>
      <w:r w:rsidR="003B3426" w:rsidRPr="00C454A1">
        <w:rPr>
          <w:rStyle w:val="Refdenotaalpie"/>
          <w:rFonts w:eastAsia="Times New Roman" w:cs="Times New Roman"/>
          <w:color w:val="000000" w:themeColor="text1"/>
          <w:szCs w:val="28"/>
        </w:rPr>
        <w:footnoteReference w:id="241"/>
      </w:r>
      <w:r w:rsidR="003B3426" w:rsidRPr="00C454A1">
        <w:rPr>
          <w:rFonts w:eastAsia="Times New Roman" w:cs="Times New Roman"/>
          <w:color w:val="000000" w:themeColor="text1"/>
          <w:szCs w:val="28"/>
        </w:rPr>
        <w:t xml:space="preserve">. El Comité Permanente por la Defensa de los Derechos Humanos, por su parte, indicó haber participado en la </w:t>
      </w:r>
      <w:r w:rsidR="003B3426" w:rsidRPr="00C454A1">
        <w:rPr>
          <w:rFonts w:cs="Times New Roman"/>
          <w:color w:val="000000" w:themeColor="text1"/>
          <w:szCs w:val="28"/>
          <w:lang w:eastAsia="es-ES"/>
        </w:rPr>
        <w:t>evacuación</w:t>
      </w:r>
      <w:r w:rsidR="003B3426" w:rsidRPr="00C454A1">
        <w:rPr>
          <w:rFonts w:eastAsia="Times New Roman" w:cs="Times New Roman"/>
          <w:color w:val="000000" w:themeColor="text1"/>
          <w:szCs w:val="28"/>
        </w:rPr>
        <w:t xml:space="preserve"> de 150 firmantes del AFP</w:t>
      </w:r>
      <w:r w:rsidR="003B3426" w:rsidRPr="00C454A1">
        <w:rPr>
          <w:rStyle w:val="Refdenotaalpie"/>
          <w:rFonts w:cs="Times New Roman"/>
          <w:color w:val="000000" w:themeColor="text1"/>
        </w:rPr>
        <w:footnoteReference w:id="242"/>
      </w:r>
      <w:r w:rsidR="003B3426" w:rsidRPr="00C454A1">
        <w:rPr>
          <w:rFonts w:eastAsia="Times New Roman" w:cs="Times New Roman"/>
          <w:color w:val="000000" w:themeColor="text1"/>
          <w:szCs w:val="28"/>
        </w:rPr>
        <w:t xml:space="preserve">. Por lo demás, la Corte advierte que en las sesiones técnicas de la Sala de Seguimiento a la Sentencia SU-020 de 2022, el </w:t>
      </w:r>
      <w:r w:rsidR="00FD6910" w:rsidRPr="00C454A1">
        <w:rPr>
          <w:rFonts w:eastAsia="Times New Roman" w:cs="Times New Roman"/>
          <w:color w:val="000000" w:themeColor="text1"/>
          <w:szCs w:val="28"/>
        </w:rPr>
        <w:t>MinDefensa</w:t>
      </w:r>
      <w:r w:rsidR="003B3426" w:rsidRPr="00C454A1">
        <w:rPr>
          <w:rFonts w:eastAsia="Times New Roman" w:cs="Times New Roman"/>
          <w:color w:val="000000" w:themeColor="text1"/>
          <w:szCs w:val="28"/>
        </w:rPr>
        <w:t xml:space="preserve"> informó que había logrado la evacuación de otros 32 firmantes y, además, señaló una cifra total de 588 personas “extraídas” de la Región del Catatumbo</w:t>
      </w:r>
      <w:r w:rsidR="003B3426" w:rsidRPr="00C454A1">
        <w:rPr>
          <w:rStyle w:val="Refdenotaalpie"/>
          <w:rFonts w:eastAsia="Times New Roman" w:cs="Times New Roman"/>
          <w:color w:val="000000" w:themeColor="text1"/>
          <w:szCs w:val="28"/>
        </w:rPr>
        <w:footnoteReference w:id="243"/>
      </w:r>
      <w:r w:rsidR="003B3426" w:rsidRPr="00C454A1">
        <w:rPr>
          <w:rFonts w:eastAsia="Times New Roman" w:cs="Times New Roman"/>
          <w:color w:val="000000" w:themeColor="text1"/>
          <w:szCs w:val="28"/>
        </w:rPr>
        <w:t>.</w:t>
      </w:r>
    </w:p>
    <w:p w14:paraId="2DC90056" w14:textId="77777777" w:rsidR="00FB0128" w:rsidRPr="00C454A1" w:rsidRDefault="00FB0128" w:rsidP="00FB0128">
      <w:pPr>
        <w:rPr>
          <w:rFonts w:eastAsia="Times New Roman" w:cs="Times New Roman"/>
          <w:color w:val="000000" w:themeColor="text1"/>
          <w:szCs w:val="28"/>
        </w:rPr>
      </w:pPr>
    </w:p>
    <w:p w14:paraId="3D24010F" w14:textId="55294E44" w:rsidR="00FB0128" w:rsidRPr="00C454A1" w:rsidRDefault="00FB0128" w:rsidP="000137DB">
      <w:pPr>
        <w:numPr>
          <w:ilvl w:val="0"/>
          <w:numId w:val="2"/>
        </w:numPr>
        <w:ind w:left="0" w:firstLine="0"/>
        <w:rPr>
          <w:rFonts w:eastAsia="Times New Roman" w:cs="Times New Roman"/>
          <w:color w:val="000000" w:themeColor="text1"/>
          <w:szCs w:val="28"/>
        </w:rPr>
      </w:pPr>
      <w:bookmarkStart w:id="176" w:name="_Ref219405261"/>
      <w:r w:rsidRPr="00C454A1">
        <w:rPr>
          <w:rFonts w:eastAsia="Times New Roman" w:cs="Times New Roman"/>
          <w:color w:val="000000" w:themeColor="text1"/>
          <w:szCs w:val="28"/>
        </w:rPr>
        <w:t xml:space="preserve">Los datos </w:t>
      </w:r>
      <w:r w:rsidR="000D191C" w:rsidRPr="00C454A1">
        <w:rPr>
          <w:rFonts w:eastAsia="Times New Roman" w:cs="Times New Roman"/>
          <w:color w:val="000000" w:themeColor="text1"/>
          <w:szCs w:val="28"/>
        </w:rPr>
        <w:t>sobre las</w:t>
      </w:r>
      <w:r w:rsidRPr="00C454A1">
        <w:rPr>
          <w:rFonts w:eastAsia="Times New Roman" w:cs="Times New Roman"/>
          <w:color w:val="000000" w:themeColor="text1"/>
          <w:szCs w:val="28"/>
        </w:rPr>
        <w:t xml:space="preserve"> personas confinadas </w:t>
      </w:r>
      <w:r w:rsidR="00936DCA" w:rsidRPr="00C454A1">
        <w:rPr>
          <w:rFonts w:eastAsia="Times New Roman" w:cs="Times New Roman"/>
          <w:color w:val="000000" w:themeColor="text1"/>
          <w:szCs w:val="28"/>
        </w:rPr>
        <w:t>en</w:t>
      </w:r>
      <w:r w:rsidR="000D191C" w:rsidRPr="00C454A1">
        <w:rPr>
          <w:rFonts w:eastAsia="Times New Roman" w:cs="Times New Roman"/>
          <w:color w:val="000000" w:themeColor="text1"/>
          <w:szCs w:val="28"/>
        </w:rPr>
        <w:t xml:space="preserve"> la región del</w:t>
      </w:r>
      <w:r w:rsidR="00936DCA" w:rsidRPr="00C454A1">
        <w:rPr>
          <w:rFonts w:eastAsia="Times New Roman" w:cs="Times New Roman"/>
          <w:color w:val="000000" w:themeColor="text1"/>
          <w:szCs w:val="28"/>
        </w:rPr>
        <w:t xml:space="preserve"> Catatumbo </w:t>
      </w:r>
      <w:r w:rsidR="000D191C" w:rsidRPr="00C454A1">
        <w:rPr>
          <w:rFonts w:eastAsia="Times New Roman" w:cs="Times New Roman"/>
          <w:color w:val="000000" w:themeColor="text1"/>
          <w:szCs w:val="28"/>
        </w:rPr>
        <w:t>reportados</w:t>
      </w:r>
      <w:r w:rsidRPr="00C454A1">
        <w:rPr>
          <w:rFonts w:eastAsia="Times New Roman" w:cs="Times New Roman"/>
          <w:color w:val="000000" w:themeColor="text1"/>
          <w:szCs w:val="28"/>
        </w:rPr>
        <w:t xml:space="preserve"> por los boletines “Balance PMU Catatumbo” </w:t>
      </w:r>
      <w:r w:rsidR="000D191C" w:rsidRPr="00C454A1">
        <w:rPr>
          <w:rFonts w:eastAsia="Times New Roman" w:cs="Times New Roman"/>
          <w:color w:val="000000" w:themeColor="text1"/>
          <w:szCs w:val="28"/>
        </w:rPr>
        <w:t>superan</w:t>
      </w:r>
      <w:r w:rsidR="00673481" w:rsidRPr="00C454A1">
        <w:rPr>
          <w:rFonts w:eastAsia="Times New Roman" w:cs="Times New Roman"/>
          <w:color w:val="000000" w:themeColor="text1"/>
          <w:szCs w:val="28"/>
        </w:rPr>
        <w:t xml:space="preserve"> significativamente </w:t>
      </w:r>
      <w:r w:rsidR="000D191C" w:rsidRPr="00C454A1">
        <w:rPr>
          <w:rFonts w:eastAsia="Times New Roman" w:cs="Times New Roman"/>
          <w:color w:val="000000" w:themeColor="text1"/>
          <w:szCs w:val="28"/>
        </w:rPr>
        <w:t>e</w:t>
      </w:r>
      <w:r w:rsidR="00893DB6" w:rsidRPr="00C454A1">
        <w:rPr>
          <w:rFonts w:eastAsia="Times New Roman" w:cs="Times New Roman"/>
          <w:color w:val="000000" w:themeColor="text1"/>
          <w:szCs w:val="28"/>
        </w:rPr>
        <w:t>l</w:t>
      </w:r>
      <w:r w:rsidR="00673481" w:rsidRPr="00C454A1">
        <w:rPr>
          <w:rFonts w:eastAsia="Times New Roman" w:cs="Times New Roman"/>
          <w:color w:val="000000" w:themeColor="text1"/>
          <w:szCs w:val="28"/>
        </w:rPr>
        <w:t xml:space="preserve"> </w:t>
      </w:r>
      <w:r w:rsidR="00893DB6" w:rsidRPr="00C454A1">
        <w:rPr>
          <w:rFonts w:eastAsia="Times New Roman" w:cs="Times New Roman"/>
          <w:color w:val="000000" w:themeColor="text1"/>
          <w:szCs w:val="28"/>
        </w:rPr>
        <w:t>total</w:t>
      </w:r>
      <w:r w:rsidR="00DF2AAB" w:rsidRPr="00C454A1">
        <w:rPr>
          <w:rFonts w:eastAsia="Times New Roman" w:cs="Times New Roman"/>
          <w:color w:val="000000" w:themeColor="text1"/>
          <w:szCs w:val="28"/>
        </w:rPr>
        <w:t xml:space="preserve"> de víctimas de este hecho victimizante registrado en el RUV</w:t>
      </w:r>
      <w:r w:rsidR="00893DB6" w:rsidRPr="00C454A1">
        <w:rPr>
          <w:rFonts w:eastAsia="Times New Roman" w:cs="Times New Roman"/>
          <w:color w:val="000000" w:themeColor="text1"/>
          <w:szCs w:val="28"/>
        </w:rPr>
        <w:t xml:space="preserve"> en 2024, el cual ascendió a 8443</w:t>
      </w:r>
      <w:r w:rsidR="000D191C" w:rsidRPr="00C454A1">
        <w:rPr>
          <w:rStyle w:val="Refdenotaalpie"/>
          <w:rFonts w:eastAsia="Times New Roman" w:cs="Times New Roman"/>
          <w:color w:val="000000" w:themeColor="text1"/>
          <w:szCs w:val="28"/>
        </w:rPr>
        <w:footnoteReference w:id="244"/>
      </w:r>
      <w:r w:rsidR="00893DB6" w:rsidRPr="00C454A1">
        <w:rPr>
          <w:rFonts w:eastAsia="Times New Roman" w:cs="Times New Roman"/>
          <w:color w:val="000000" w:themeColor="text1"/>
          <w:szCs w:val="28"/>
        </w:rPr>
        <w:t>.</w:t>
      </w:r>
      <w:r w:rsidR="00936DCA" w:rsidRPr="00C454A1">
        <w:rPr>
          <w:rFonts w:eastAsia="Times New Roman" w:cs="Times New Roman"/>
          <w:color w:val="000000" w:themeColor="text1"/>
          <w:szCs w:val="28"/>
        </w:rPr>
        <w:t xml:space="preserve"> </w:t>
      </w:r>
      <w:r w:rsidR="000D191C" w:rsidRPr="00C454A1">
        <w:rPr>
          <w:rFonts w:eastAsia="Times New Roman" w:cs="Times New Roman"/>
          <w:color w:val="000000" w:themeColor="text1"/>
          <w:szCs w:val="28"/>
        </w:rPr>
        <w:t>Además, l</w:t>
      </w:r>
      <w:r w:rsidR="00893DB6" w:rsidRPr="00C454A1">
        <w:rPr>
          <w:rFonts w:eastAsia="Times New Roman" w:cs="Times New Roman"/>
          <w:color w:val="000000" w:themeColor="text1"/>
          <w:szCs w:val="28"/>
        </w:rPr>
        <w:t>a cifra más alta registrada por el PMU –31.358 víctimas-</w:t>
      </w:r>
      <w:r w:rsidR="000D191C" w:rsidRPr="00C454A1">
        <w:rPr>
          <w:rFonts w:eastAsia="Times New Roman" w:cs="Times New Roman"/>
          <w:color w:val="000000" w:themeColor="text1"/>
          <w:szCs w:val="28"/>
        </w:rPr>
        <w:t>, según el</w:t>
      </w:r>
      <w:r w:rsidR="00893DB6" w:rsidRPr="00C454A1">
        <w:rPr>
          <w:rFonts w:eastAsia="Times New Roman" w:cs="Times New Roman"/>
          <w:color w:val="000000" w:themeColor="text1"/>
          <w:szCs w:val="28"/>
        </w:rPr>
        <w:t xml:space="preserve"> boletín del 31 de enero de 2025</w:t>
      </w:r>
      <w:r w:rsidR="000D191C" w:rsidRPr="00C454A1">
        <w:rPr>
          <w:rFonts w:eastAsia="Times New Roman" w:cs="Times New Roman"/>
          <w:color w:val="000000" w:themeColor="text1"/>
          <w:szCs w:val="28"/>
        </w:rPr>
        <w:t>-</w:t>
      </w:r>
      <w:r w:rsidR="00893DB6" w:rsidRPr="00C454A1">
        <w:rPr>
          <w:rFonts w:eastAsia="Times New Roman" w:cs="Times New Roman"/>
          <w:color w:val="000000" w:themeColor="text1"/>
          <w:szCs w:val="28"/>
        </w:rPr>
        <w:t xml:space="preserve">, </w:t>
      </w:r>
      <w:r w:rsidR="000D191C" w:rsidRPr="00C454A1">
        <w:rPr>
          <w:rFonts w:eastAsia="Times New Roman" w:cs="Times New Roman"/>
          <w:color w:val="000000" w:themeColor="text1"/>
          <w:szCs w:val="28"/>
        </w:rPr>
        <w:t>resulta comparable</w:t>
      </w:r>
      <w:r w:rsidR="00893DB6" w:rsidRPr="00C454A1">
        <w:rPr>
          <w:rFonts w:eastAsia="Times New Roman" w:cs="Times New Roman"/>
          <w:color w:val="000000" w:themeColor="text1"/>
          <w:szCs w:val="28"/>
        </w:rPr>
        <w:t xml:space="preserve"> al total de víctimas de confinamiento registrado por el RUV </w:t>
      </w:r>
      <w:r w:rsidR="00862798" w:rsidRPr="00C454A1">
        <w:rPr>
          <w:rFonts w:eastAsia="Times New Roman" w:cs="Times New Roman"/>
          <w:color w:val="000000" w:themeColor="text1"/>
          <w:szCs w:val="28"/>
        </w:rPr>
        <w:t xml:space="preserve">a nivel nacional </w:t>
      </w:r>
      <w:r w:rsidR="00893DB6" w:rsidRPr="00C454A1">
        <w:rPr>
          <w:rFonts w:eastAsia="Times New Roman" w:cs="Times New Roman"/>
          <w:color w:val="000000" w:themeColor="text1"/>
          <w:szCs w:val="28"/>
        </w:rPr>
        <w:t xml:space="preserve">en 2023, </w:t>
      </w:r>
      <w:r w:rsidR="000D191C" w:rsidRPr="00C454A1">
        <w:rPr>
          <w:rFonts w:eastAsia="Times New Roman" w:cs="Times New Roman"/>
          <w:color w:val="000000" w:themeColor="text1"/>
          <w:szCs w:val="28"/>
        </w:rPr>
        <w:t>que</w:t>
      </w:r>
      <w:r w:rsidR="00893DB6" w:rsidRPr="00C454A1">
        <w:rPr>
          <w:rFonts w:eastAsia="Times New Roman" w:cs="Times New Roman"/>
          <w:color w:val="000000" w:themeColor="text1"/>
          <w:szCs w:val="28"/>
        </w:rPr>
        <w:t xml:space="preserve"> fue 37.926 personas.</w:t>
      </w:r>
      <w:r w:rsidR="00862798" w:rsidRPr="00C454A1">
        <w:rPr>
          <w:rFonts w:eastAsia="Times New Roman" w:cs="Times New Roman"/>
          <w:color w:val="000000" w:themeColor="text1"/>
          <w:szCs w:val="28"/>
        </w:rPr>
        <w:t xml:space="preserve"> Estas comparaciones ponen de relieve la magnitud del aumento de los confinamientos en la región durante los primeros meses de 2025.</w:t>
      </w:r>
      <w:bookmarkEnd w:id="176"/>
    </w:p>
    <w:p w14:paraId="0CEB2FF1" w14:textId="77777777" w:rsidR="00967C55" w:rsidRPr="00C454A1" w:rsidRDefault="00967C55" w:rsidP="00967C55">
      <w:pPr>
        <w:rPr>
          <w:rFonts w:eastAsia="Times New Roman" w:cs="Times New Roman"/>
          <w:color w:val="000000" w:themeColor="text1"/>
          <w:szCs w:val="28"/>
        </w:rPr>
      </w:pPr>
    </w:p>
    <w:p w14:paraId="56F31AD6" w14:textId="5D0A4B23" w:rsidR="00967C55" w:rsidRPr="00C454A1" w:rsidRDefault="00967C55" w:rsidP="000137DB">
      <w:pPr>
        <w:numPr>
          <w:ilvl w:val="0"/>
          <w:numId w:val="2"/>
        </w:numPr>
        <w:ind w:left="0" w:firstLine="0"/>
        <w:rPr>
          <w:rFonts w:eastAsia="Times New Roman" w:cs="Times New Roman"/>
          <w:color w:val="000000" w:themeColor="text1"/>
          <w:szCs w:val="28"/>
        </w:rPr>
      </w:pPr>
      <w:bookmarkStart w:id="177" w:name="_Ref203401544"/>
      <w:r w:rsidRPr="00C454A1">
        <w:rPr>
          <w:rFonts w:eastAsia="Times New Roman" w:cs="Times New Roman"/>
          <w:color w:val="000000" w:themeColor="text1"/>
          <w:szCs w:val="28"/>
        </w:rPr>
        <w:t xml:space="preserve">Por otro lado, la Sala Plena advierte que la Defensoría del Pueblo resaltó la gravedad de las violaciones a los derechos de las mujeres, la población LGBTIQ+, los </w:t>
      </w:r>
      <w:r w:rsidRPr="00C454A1">
        <w:rPr>
          <w:rFonts w:cs="Times New Roman"/>
          <w:color w:val="000000" w:themeColor="text1"/>
          <w:szCs w:val="28"/>
          <w:lang w:eastAsia="es-ES"/>
        </w:rPr>
        <w:t>niños</w:t>
      </w:r>
      <w:r w:rsidRPr="00C454A1">
        <w:rPr>
          <w:rFonts w:eastAsia="Times New Roman" w:cs="Times New Roman"/>
          <w:color w:val="000000" w:themeColor="text1"/>
          <w:szCs w:val="28"/>
        </w:rPr>
        <w:t>, niñas y adolescentes</w:t>
      </w:r>
      <w:r w:rsidR="00CC5732" w:rsidRPr="00C454A1">
        <w:rPr>
          <w:rFonts w:eastAsia="Times New Roman" w:cs="Times New Roman"/>
          <w:color w:val="000000" w:themeColor="text1"/>
          <w:szCs w:val="28"/>
        </w:rPr>
        <w:t xml:space="preserve"> (NNA)</w:t>
      </w:r>
      <w:r w:rsidRPr="00C454A1">
        <w:rPr>
          <w:rFonts w:eastAsia="Times New Roman" w:cs="Times New Roman"/>
          <w:color w:val="000000" w:themeColor="text1"/>
          <w:szCs w:val="28"/>
        </w:rPr>
        <w:t xml:space="preserve"> y las comunidades indígenas:</w:t>
      </w:r>
      <w:bookmarkEnd w:id="177"/>
      <w:r w:rsidRPr="00C454A1">
        <w:rPr>
          <w:rFonts w:eastAsia="Times New Roman" w:cs="Times New Roman"/>
          <w:color w:val="000000" w:themeColor="text1"/>
          <w:szCs w:val="28"/>
        </w:rPr>
        <w:t xml:space="preserve"> </w:t>
      </w:r>
    </w:p>
    <w:p w14:paraId="475957D0" w14:textId="77777777" w:rsidR="00967C55" w:rsidRPr="00C454A1" w:rsidRDefault="00967C55" w:rsidP="00AE30AA">
      <w:pPr>
        <w:pStyle w:val="Prrafodelista"/>
        <w:ind w:left="0"/>
        <w:jc w:val="center"/>
        <w:rPr>
          <w:rFonts w:eastAsia="Times New Roman" w:cs="Times New Roman"/>
          <w:i/>
          <w:iCs/>
          <w:color w:val="000000" w:themeColor="text1"/>
          <w:sz w:val="22"/>
          <w:szCs w:val="22"/>
        </w:rPr>
      </w:pPr>
    </w:p>
    <w:p w14:paraId="36D62C67" w14:textId="453119ED" w:rsidR="004F2A42" w:rsidRPr="00C454A1" w:rsidRDefault="004F2A42" w:rsidP="00AE30AA">
      <w:pPr>
        <w:pStyle w:val="Prrafodelista"/>
        <w:ind w:left="0"/>
        <w:jc w:val="center"/>
        <w:rPr>
          <w:rFonts w:eastAsia="Times New Roman" w:cs="Times New Roman"/>
          <w:i/>
          <w:iCs/>
          <w:color w:val="000000" w:themeColor="text1"/>
          <w:sz w:val="22"/>
          <w:szCs w:val="22"/>
        </w:rPr>
      </w:pPr>
      <w:r w:rsidRPr="00C454A1">
        <w:rPr>
          <w:rFonts w:eastAsia="Times New Roman" w:cs="Times New Roman"/>
          <w:i/>
          <w:iCs/>
          <w:color w:val="000000" w:themeColor="text1"/>
          <w:sz w:val="22"/>
          <w:szCs w:val="22"/>
        </w:rPr>
        <w:lastRenderedPageBreak/>
        <w:t xml:space="preserve">Tabla 6: </w:t>
      </w:r>
      <w:r w:rsidR="00AE30AA" w:rsidRPr="00C454A1">
        <w:rPr>
          <w:rFonts w:eastAsia="Times New Roman" w:cs="Times New Roman"/>
          <w:i/>
          <w:iCs/>
          <w:color w:val="000000" w:themeColor="text1"/>
          <w:sz w:val="22"/>
          <w:szCs w:val="22"/>
        </w:rPr>
        <w:t>afectaciones a mujeres, población LGBTIQ+, NNA y comunidades indígenas</w:t>
      </w:r>
      <w:r w:rsidR="00853B3C" w:rsidRPr="00C454A1">
        <w:rPr>
          <w:rFonts w:eastAsia="Times New Roman" w:cs="Times New Roman"/>
          <w:i/>
          <w:iCs/>
          <w:color w:val="000000" w:themeColor="text1"/>
          <w:sz w:val="22"/>
          <w:szCs w:val="22"/>
        </w:rPr>
        <w:t xml:space="preserve"> según al Defensoría del Pueblo</w:t>
      </w:r>
    </w:p>
    <w:tbl>
      <w:tblPr>
        <w:tblStyle w:val="Tablaconcuadrcula"/>
        <w:tblW w:w="5000" w:type="pct"/>
        <w:tblLook w:val="04A0" w:firstRow="1" w:lastRow="0" w:firstColumn="1" w:lastColumn="0" w:noHBand="0" w:noVBand="1"/>
      </w:tblPr>
      <w:tblGrid>
        <w:gridCol w:w="1413"/>
        <w:gridCol w:w="7417"/>
      </w:tblGrid>
      <w:tr w:rsidR="00C454A1" w:rsidRPr="00C454A1" w14:paraId="3554E427" w14:textId="77777777" w:rsidTr="00792B82">
        <w:tc>
          <w:tcPr>
            <w:tcW w:w="800" w:type="pct"/>
            <w:shd w:val="clear" w:color="auto" w:fill="D9D9D9" w:themeFill="background1" w:themeFillShade="D9"/>
          </w:tcPr>
          <w:p w14:paraId="498A98C2" w14:textId="77777777" w:rsidR="00967C55" w:rsidRPr="00C454A1" w:rsidRDefault="00967C55" w:rsidP="00EE77DF">
            <w:pPr>
              <w:pStyle w:val="Prrafodelista"/>
              <w:ind w:left="0"/>
              <w:rPr>
                <w:rFonts w:eastAsia="Times New Roman" w:cs="Times New Roman"/>
                <w:b/>
                <w:bCs/>
                <w:color w:val="000000" w:themeColor="text1"/>
                <w:sz w:val="22"/>
                <w:szCs w:val="22"/>
              </w:rPr>
            </w:pPr>
          </w:p>
          <w:p w14:paraId="65132E47" w14:textId="77777777" w:rsidR="00967C55" w:rsidRPr="00C454A1" w:rsidRDefault="00967C55" w:rsidP="00EE77DF">
            <w:pPr>
              <w:pStyle w:val="Prrafodelista"/>
              <w:ind w:left="0"/>
              <w:rPr>
                <w:rFonts w:eastAsia="Times New Roman" w:cs="Times New Roman"/>
                <w:b/>
                <w:bCs/>
                <w:color w:val="000000" w:themeColor="text1"/>
                <w:sz w:val="22"/>
                <w:szCs w:val="22"/>
              </w:rPr>
            </w:pPr>
          </w:p>
          <w:p w14:paraId="2BE357E6" w14:textId="77777777" w:rsidR="00967C55" w:rsidRPr="00C454A1" w:rsidRDefault="00967C55" w:rsidP="00EE77DF">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Mujeres y LGBTIQ+</w:t>
            </w:r>
          </w:p>
        </w:tc>
        <w:tc>
          <w:tcPr>
            <w:tcW w:w="4200" w:type="pct"/>
          </w:tcPr>
          <w:p w14:paraId="4BAFE0EE" w14:textId="30BB5E14" w:rsidR="00967C55" w:rsidRPr="00C454A1" w:rsidRDefault="00967C55" w:rsidP="00EE77DF">
            <w:pPr>
              <w:pStyle w:val="Prrafodelista"/>
              <w:ind w:left="0"/>
              <w:rPr>
                <w:rFonts w:eastAsia="Times New Roman" w:cs="Times New Roman"/>
                <w:color w:val="000000" w:themeColor="text1"/>
                <w:sz w:val="22"/>
                <w:szCs w:val="22"/>
              </w:rPr>
            </w:pPr>
            <w:r w:rsidRPr="00C454A1">
              <w:rPr>
                <w:rFonts w:eastAsia="Times New Roman" w:cs="Times New Roman"/>
                <w:color w:val="000000" w:themeColor="text1"/>
                <w:sz w:val="22"/>
                <w:szCs w:val="22"/>
              </w:rPr>
              <w:t>62 mujeres denunciaron las redes de trata y explotación sexual operadas por grupos armados, de las cuales fueron víctimas en busca de oportunidades laborales. En el municipio de Tibú, a través de redes sociales</w:t>
            </w:r>
            <w:r w:rsidR="00F35AA5" w:rsidRPr="00C454A1">
              <w:rPr>
                <w:rFonts w:eastAsia="Times New Roman" w:cs="Times New Roman"/>
                <w:color w:val="000000" w:themeColor="text1"/>
                <w:sz w:val="22"/>
                <w:szCs w:val="22"/>
              </w:rPr>
              <w:t>,</w:t>
            </w:r>
            <w:r w:rsidRPr="00C454A1">
              <w:rPr>
                <w:rFonts w:eastAsia="Times New Roman" w:cs="Times New Roman"/>
                <w:color w:val="000000" w:themeColor="text1"/>
                <w:sz w:val="22"/>
                <w:szCs w:val="22"/>
              </w:rPr>
              <w:t xml:space="preserve"> se han divulgado las fotografías de más de 20 mujeres y 40 más han tenido que salir al ser señaladas de tener relacionamiento con los grupos armados. Al menos 30 personas LGBTQI+, además de haber sido desplazadas, han denunciado haber recibido amenazas contra su vida por los grupos armados del ELN y las disidencias de las FARC, que mantienen el control del territorio.</w:t>
            </w:r>
          </w:p>
        </w:tc>
      </w:tr>
      <w:tr w:rsidR="00C454A1" w:rsidRPr="00C454A1" w14:paraId="741038B2" w14:textId="77777777" w:rsidTr="00792B82">
        <w:tc>
          <w:tcPr>
            <w:tcW w:w="800" w:type="pct"/>
            <w:shd w:val="clear" w:color="auto" w:fill="D9D9D9" w:themeFill="background1" w:themeFillShade="D9"/>
            <w:vAlign w:val="center"/>
          </w:tcPr>
          <w:p w14:paraId="14C16FE8" w14:textId="77777777" w:rsidR="00967C55" w:rsidRPr="00C454A1" w:rsidRDefault="00967C55" w:rsidP="00EE77DF">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NNA</w:t>
            </w:r>
          </w:p>
        </w:tc>
        <w:tc>
          <w:tcPr>
            <w:tcW w:w="4200" w:type="pct"/>
          </w:tcPr>
          <w:p w14:paraId="5BEED28C" w14:textId="0F68DE05" w:rsidR="00967C55" w:rsidRPr="00C454A1" w:rsidRDefault="00967C55" w:rsidP="00EE77DF">
            <w:pPr>
              <w:pStyle w:val="Prrafodelista"/>
              <w:ind w:left="0"/>
              <w:rPr>
                <w:rFonts w:eastAsia="Times New Roman" w:cs="Times New Roman"/>
                <w:color w:val="000000" w:themeColor="text1"/>
                <w:sz w:val="22"/>
                <w:szCs w:val="22"/>
              </w:rPr>
            </w:pPr>
            <w:r w:rsidRPr="00C454A1">
              <w:rPr>
                <w:rFonts w:eastAsia="Times New Roman" w:cs="Times New Roman"/>
                <w:color w:val="000000" w:themeColor="text1"/>
                <w:sz w:val="22"/>
                <w:szCs w:val="22"/>
              </w:rPr>
              <w:t xml:space="preserve">La gobernación de Norte de Santander reportó que </w:t>
            </w:r>
            <w:r w:rsidR="0022279B" w:rsidRPr="00C454A1">
              <w:rPr>
                <w:rFonts w:eastAsia="Times New Roman" w:cs="Times New Roman"/>
                <w:color w:val="000000" w:themeColor="text1"/>
                <w:sz w:val="22"/>
                <w:szCs w:val="22"/>
              </w:rPr>
              <w:t>cuatro</w:t>
            </w:r>
            <w:r w:rsidRPr="00C454A1">
              <w:rPr>
                <w:rFonts w:eastAsia="Times New Roman" w:cs="Times New Roman"/>
                <w:color w:val="000000" w:themeColor="text1"/>
                <w:sz w:val="22"/>
                <w:szCs w:val="22"/>
              </w:rPr>
              <w:t xml:space="preserve"> menores de edad han sido víctimas de homicidio, se han recuperado a 20 adolescentes que se encontraban reclutados por los grupos a través de entregas voluntarias a las fuerzas militares y 15 adolescentes pertenecientes a las disidencias “Frente 33” fueron recibidos por la Defensoría del Pueblo y el ICBF en la ciudad de Cúcuta el 25 de enero de 2025 (</w:t>
            </w:r>
            <w:r w:rsidR="0022279B" w:rsidRPr="00C454A1">
              <w:rPr>
                <w:rFonts w:eastAsia="Times New Roman" w:cs="Times New Roman"/>
                <w:color w:val="000000" w:themeColor="text1"/>
                <w:sz w:val="22"/>
                <w:szCs w:val="22"/>
              </w:rPr>
              <w:t>nueve</w:t>
            </w:r>
            <w:r w:rsidRPr="00C454A1">
              <w:rPr>
                <w:rFonts w:eastAsia="Times New Roman" w:cs="Times New Roman"/>
                <w:color w:val="000000" w:themeColor="text1"/>
                <w:sz w:val="22"/>
                <w:szCs w:val="22"/>
              </w:rPr>
              <w:t xml:space="preserve"> </w:t>
            </w:r>
            <w:r w:rsidR="00026C28" w:rsidRPr="00C454A1">
              <w:rPr>
                <w:rFonts w:eastAsia="Times New Roman" w:cs="Times New Roman"/>
                <w:color w:val="000000" w:themeColor="text1"/>
                <w:sz w:val="22"/>
                <w:szCs w:val="22"/>
              </w:rPr>
              <w:t xml:space="preserve">de </w:t>
            </w:r>
            <w:r w:rsidRPr="00C454A1">
              <w:rPr>
                <w:rFonts w:eastAsia="Times New Roman" w:cs="Times New Roman"/>
                <w:color w:val="000000" w:themeColor="text1"/>
                <w:sz w:val="22"/>
                <w:szCs w:val="22"/>
              </w:rPr>
              <w:t xml:space="preserve">sexo masculino y </w:t>
            </w:r>
            <w:r w:rsidR="0022279B" w:rsidRPr="00C454A1">
              <w:rPr>
                <w:rFonts w:eastAsia="Times New Roman" w:cs="Times New Roman"/>
                <w:color w:val="000000" w:themeColor="text1"/>
                <w:sz w:val="22"/>
                <w:szCs w:val="22"/>
              </w:rPr>
              <w:t>seis</w:t>
            </w:r>
            <w:r w:rsidRPr="00C454A1">
              <w:rPr>
                <w:rFonts w:eastAsia="Times New Roman" w:cs="Times New Roman"/>
                <w:color w:val="000000" w:themeColor="text1"/>
                <w:sz w:val="22"/>
                <w:szCs w:val="22"/>
              </w:rPr>
              <w:t xml:space="preserve"> femenino con un rango de edad entre los 15 y 17 años).</w:t>
            </w:r>
          </w:p>
        </w:tc>
      </w:tr>
      <w:tr w:rsidR="00967C55" w:rsidRPr="00C454A1" w14:paraId="4001BAC4" w14:textId="77777777" w:rsidTr="00792B82">
        <w:tc>
          <w:tcPr>
            <w:tcW w:w="800" w:type="pct"/>
            <w:shd w:val="clear" w:color="auto" w:fill="D9D9D9" w:themeFill="background1" w:themeFillShade="D9"/>
          </w:tcPr>
          <w:p w14:paraId="2D5BFDD3" w14:textId="77777777" w:rsidR="00967C55" w:rsidRPr="00C454A1" w:rsidRDefault="00967C55" w:rsidP="00EE77DF">
            <w:pPr>
              <w:pStyle w:val="Prrafodelista"/>
              <w:ind w:left="0"/>
              <w:jc w:val="center"/>
              <w:rPr>
                <w:rFonts w:eastAsia="Times New Roman" w:cs="Times New Roman"/>
                <w:b/>
                <w:bCs/>
                <w:color w:val="000000" w:themeColor="text1"/>
                <w:sz w:val="22"/>
                <w:szCs w:val="22"/>
              </w:rPr>
            </w:pPr>
          </w:p>
          <w:p w14:paraId="3D25568D" w14:textId="77777777" w:rsidR="00967C55" w:rsidRPr="00C454A1" w:rsidRDefault="00967C55" w:rsidP="00EE77DF">
            <w:pPr>
              <w:pStyle w:val="Prrafodelista"/>
              <w:ind w:left="0"/>
              <w:jc w:val="center"/>
              <w:rPr>
                <w:rFonts w:eastAsia="Times New Roman" w:cs="Times New Roman"/>
                <w:b/>
                <w:bCs/>
                <w:color w:val="000000" w:themeColor="text1"/>
                <w:sz w:val="22"/>
                <w:szCs w:val="22"/>
              </w:rPr>
            </w:pPr>
            <w:r w:rsidRPr="00C454A1">
              <w:rPr>
                <w:rFonts w:eastAsia="Times New Roman" w:cs="Times New Roman"/>
                <w:b/>
                <w:bCs/>
                <w:color w:val="000000" w:themeColor="text1"/>
                <w:sz w:val="22"/>
                <w:szCs w:val="22"/>
              </w:rPr>
              <w:t>Pueblos indígenas</w:t>
            </w:r>
          </w:p>
        </w:tc>
        <w:tc>
          <w:tcPr>
            <w:tcW w:w="4200" w:type="pct"/>
          </w:tcPr>
          <w:p w14:paraId="5C764353" w14:textId="1A562900" w:rsidR="00967C55" w:rsidRPr="00C454A1" w:rsidRDefault="00967C55" w:rsidP="00EE77DF">
            <w:pPr>
              <w:pStyle w:val="Prrafodelista"/>
              <w:ind w:left="0"/>
              <w:rPr>
                <w:rFonts w:eastAsia="Times New Roman" w:cs="Times New Roman"/>
                <w:color w:val="000000" w:themeColor="text1"/>
                <w:sz w:val="22"/>
                <w:szCs w:val="22"/>
              </w:rPr>
            </w:pPr>
            <w:r w:rsidRPr="00C454A1">
              <w:rPr>
                <w:rFonts w:eastAsia="Times New Roman" w:cs="Times New Roman"/>
                <w:color w:val="000000" w:themeColor="text1"/>
                <w:sz w:val="22"/>
                <w:szCs w:val="22"/>
              </w:rPr>
              <w:t xml:space="preserve">La Asociación de Autoridades Tradicionales (ñatubay-caciques) del Pueblo Barí, que representa a las 23 comunidades del resguardo motilón Barí “ÑATUBAIYIBARI asentada en </w:t>
            </w:r>
            <w:r w:rsidR="0022279B" w:rsidRPr="00C454A1">
              <w:rPr>
                <w:rFonts w:eastAsia="Times New Roman" w:cs="Times New Roman"/>
                <w:color w:val="000000" w:themeColor="text1"/>
                <w:sz w:val="22"/>
                <w:szCs w:val="22"/>
              </w:rPr>
              <w:t>cinco</w:t>
            </w:r>
            <w:r w:rsidRPr="00C454A1">
              <w:rPr>
                <w:rFonts w:eastAsia="Times New Roman" w:cs="Times New Roman"/>
                <w:color w:val="000000" w:themeColor="text1"/>
                <w:sz w:val="22"/>
                <w:szCs w:val="22"/>
              </w:rPr>
              <w:t xml:space="preserve"> municipios (Tibú, El Tarra, Teorama, Convención, y El Carmen), ha sido víctima de graves situaciones presentadas en el territorio ancestral, como la estigmatización, las amenazas, el confinamientos, los desplazamientos, y restricciones de la libre movilidad, y prohibiciones al salir de la comunidad para desarrollar las actividades ancestrales.</w:t>
            </w:r>
          </w:p>
        </w:tc>
      </w:tr>
    </w:tbl>
    <w:p w14:paraId="767A37BC" w14:textId="77777777" w:rsidR="003B3426" w:rsidRPr="00C454A1" w:rsidRDefault="003B3426" w:rsidP="00967C55">
      <w:pPr>
        <w:rPr>
          <w:rFonts w:eastAsia="Times New Roman" w:cs="Times New Roman"/>
          <w:color w:val="000000" w:themeColor="text1"/>
          <w:szCs w:val="28"/>
        </w:rPr>
      </w:pPr>
    </w:p>
    <w:p w14:paraId="49B91A9C" w14:textId="180EF62F"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Con fundamento en las anteriores consideraciones, la Corte concluye que la perturbación del orden público en la región del Catatumbo, el área metropolitana </w:t>
      </w:r>
      <w:r w:rsidRPr="00C454A1">
        <w:rPr>
          <w:rFonts w:cs="Times New Roman"/>
          <w:color w:val="000000" w:themeColor="text1"/>
          <w:szCs w:val="28"/>
          <w:lang w:eastAsia="es-ES"/>
        </w:rPr>
        <w:t>de</w:t>
      </w:r>
      <w:r w:rsidRPr="00C454A1">
        <w:rPr>
          <w:rFonts w:eastAsia="Times New Roman" w:cs="Times New Roman"/>
          <w:color w:val="000000" w:themeColor="text1"/>
          <w:szCs w:val="28"/>
        </w:rPr>
        <w:t xml:space="preserve"> Cúcuta y los municipios de R</w:t>
      </w:r>
      <w:r w:rsidR="008E43C2" w:rsidRPr="00C454A1">
        <w:rPr>
          <w:rFonts w:eastAsia="Times New Roman" w:cs="Times New Roman"/>
          <w:color w:val="000000" w:themeColor="text1"/>
          <w:szCs w:val="28"/>
        </w:rPr>
        <w:t>í</w:t>
      </w:r>
      <w:r w:rsidRPr="00C454A1">
        <w:rPr>
          <w:rFonts w:eastAsia="Times New Roman" w:cs="Times New Roman"/>
          <w:color w:val="000000" w:themeColor="text1"/>
          <w:szCs w:val="28"/>
        </w:rPr>
        <w:t xml:space="preserve">o de Oro y González está probada. </w:t>
      </w:r>
    </w:p>
    <w:p w14:paraId="5D3EC17D" w14:textId="77777777" w:rsidR="003B3426" w:rsidRPr="00C454A1" w:rsidRDefault="003B3426" w:rsidP="003B3426">
      <w:pPr>
        <w:rPr>
          <w:rFonts w:eastAsia="Times New Roman" w:cs="Times New Roman"/>
          <w:color w:val="000000" w:themeColor="text1"/>
          <w:szCs w:val="28"/>
        </w:rPr>
      </w:pPr>
    </w:p>
    <w:p w14:paraId="4B91CB0D" w14:textId="77777777" w:rsidR="003B3426" w:rsidRPr="00C454A1" w:rsidRDefault="003B3426" w:rsidP="001C693F">
      <w:pPr>
        <w:pStyle w:val="Prrafodelista"/>
        <w:widowControl w:val="0"/>
        <w:numPr>
          <w:ilvl w:val="2"/>
          <w:numId w:val="3"/>
        </w:numPr>
        <w:ind w:left="709" w:hanging="709"/>
        <w:outlineLvl w:val="0"/>
        <w:rPr>
          <w:rFonts w:eastAsia="Times New Roman" w:cs="Times New Roman"/>
          <w:b/>
          <w:bCs/>
          <w:color w:val="000000" w:themeColor="text1"/>
          <w:szCs w:val="28"/>
        </w:rPr>
      </w:pPr>
      <w:bookmarkStart w:id="178" w:name="_Toc223979950"/>
      <w:r w:rsidRPr="00C454A1">
        <w:rPr>
          <w:rFonts w:eastAsia="Times New Roman" w:cs="Times New Roman"/>
          <w:b/>
          <w:bCs/>
          <w:color w:val="000000" w:themeColor="text1"/>
          <w:szCs w:val="28"/>
        </w:rPr>
        <w:t>Considerandos del acápite I de la parte motiva del decreto declaratorio que no se refieren a hechos concretos y verificables</w:t>
      </w:r>
      <w:bookmarkEnd w:id="178"/>
      <w:r w:rsidRPr="00C454A1">
        <w:rPr>
          <w:rFonts w:eastAsia="Times New Roman" w:cs="Times New Roman"/>
          <w:b/>
          <w:bCs/>
          <w:color w:val="000000" w:themeColor="text1"/>
          <w:szCs w:val="28"/>
        </w:rPr>
        <w:t xml:space="preserve"> </w:t>
      </w:r>
    </w:p>
    <w:p w14:paraId="3327881E" w14:textId="77777777" w:rsidR="003B3426" w:rsidRPr="00C454A1" w:rsidRDefault="003B3426" w:rsidP="003B3426">
      <w:pPr>
        <w:pStyle w:val="Prrafodelista"/>
        <w:ind w:left="0"/>
        <w:rPr>
          <w:rFonts w:eastAsia="Times New Roman" w:cs="Times New Roman"/>
          <w:color w:val="000000" w:themeColor="text1"/>
          <w:szCs w:val="28"/>
        </w:rPr>
      </w:pPr>
    </w:p>
    <w:p w14:paraId="0E9DAAF0" w14:textId="764FE0E0"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La Sala Plena reitera que el presupuesto fáctico es el punto de partida objetivo de la declaratoria de </w:t>
      </w:r>
      <w:r w:rsidR="003234D6" w:rsidRPr="00C454A1">
        <w:rPr>
          <w:rFonts w:eastAsia="Times New Roman" w:cs="Times New Roman"/>
          <w:color w:val="000000" w:themeColor="text1"/>
          <w:szCs w:val="28"/>
        </w:rPr>
        <w:t>c</w:t>
      </w:r>
      <w:r w:rsidRPr="00C454A1">
        <w:rPr>
          <w:rFonts w:eastAsia="Times New Roman" w:cs="Times New Roman"/>
          <w:color w:val="000000" w:themeColor="text1"/>
          <w:szCs w:val="28"/>
        </w:rPr>
        <w:t xml:space="preserve">onmoción </w:t>
      </w:r>
      <w:r w:rsidR="003234D6" w:rsidRPr="00C454A1">
        <w:rPr>
          <w:rFonts w:eastAsia="Times New Roman" w:cs="Times New Roman"/>
          <w:color w:val="000000" w:themeColor="text1"/>
          <w:szCs w:val="28"/>
        </w:rPr>
        <w:t>i</w:t>
      </w:r>
      <w:r w:rsidRPr="00C454A1">
        <w:rPr>
          <w:rFonts w:eastAsia="Times New Roman" w:cs="Times New Roman"/>
          <w:color w:val="000000" w:themeColor="text1"/>
          <w:szCs w:val="28"/>
        </w:rPr>
        <w:t>nterior</w:t>
      </w:r>
      <w:r w:rsidRPr="00C454A1">
        <w:rPr>
          <w:rFonts w:eastAsia="Times New Roman" w:cs="Times New Roman"/>
          <w:color w:val="000000" w:themeColor="text1"/>
          <w:szCs w:val="28"/>
          <w:vertAlign w:val="superscript"/>
        </w:rPr>
        <w:footnoteReference w:id="245"/>
      </w:r>
      <w:r w:rsidRPr="00C454A1">
        <w:rPr>
          <w:rFonts w:eastAsia="Times New Roman" w:cs="Times New Roman"/>
          <w:color w:val="000000" w:themeColor="text1"/>
          <w:szCs w:val="28"/>
        </w:rPr>
        <w:t>.  Esto es así, porque exige que los hechos en los que se fundamenta el decreto declaratorio sean susceptibles de demostración empírica</w:t>
      </w:r>
      <w:r w:rsidRPr="00C454A1">
        <w:rPr>
          <w:rFonts w:eastAsia="Times New Roman" w:cs="Times New Roman"/>
          <w:color w:val="000000" w:themeColor="text1"/>
          <w:szCs w:val="28"/>
          <w:vertAlign w:val="superscript"/>
        </w:rPr>
        <w:footnoteReference w:id="246"/>
      </w:r>
      <w:r w:rsidRPr="00C454A1">
        <w:rPr>
          <w:rFonts w:eastAsia="Times New Roman" w:cs="Times New Roman"/>
          <w:color w:val="000000" w:themeColor="text1"/>
          <w:szCs w:val="28"/>
        </w:rPr>
        <w:t>. En tales términos, la Corte Constitucional ha estimado que no constituyen hechos perturbadores del orden público: (i) las “hipótesis que teóricamente describen una determinada capacidad de alteración del orden público”</w:t>
      </w:r>
      <w:r w:rsidRPr="00C454A1">
        <w:rPr>
          <w:rFonts w:eastAsia="Times New Roman" w:cs="Times New Roman"/>
          <w:color w:val="000000" w:themeColor="text1"/>
          <w:szCs w:val="28"/>
          <w:vertAlign w:val="superscript"/>
        </w:rPr>
        <w:t xml:space="preserve"> </w:t>
      </w:r>
      <w:r w:rsidRPr="00C454A1">
        <w:rPr>
          <w:rFonts w:eastAsia="Times New Roman" w:cs="Times New Roman"/>
          <w:color w:val="000000" w:themeColor="text1"/>
          <w:szCs w:val="28"/>
          <w:vertAlign w:val="superscript"/>
        </w:rPr>
        <w:footnoteReference w:id="247"/>
      </w:r>
      <w:r w:rsidRPr="00C454A1">
        <w:rPr>
          <w:rFonts w:eastAsia="Times New Roman" w:cs="Times New Roman"/>
          <w:color w:val="000000" w:themeColor="text1"/>
          <w:szCs w:val="28"/>
        </w:rPr>
        <w:t>, (ii) las “afirmaciones de contenido exclusivamente retórico o político”</w:t>
      </w:r>
      <w:r w:rsidRPr="00C454A1">
        <w:rPr>
          <w:rFonts w:eastAsia="Times New Roman" w:cs="Times New Roman"/>
          <w:color w:val="000000" w:themeColor="text1"/>
          <w:szCs w:val="28"/>
          <w:vertAlign w:val="superscript"/>
        </w:rPr>
        <w:footnoteReference w:id="248"/>
      </w:r>
      <w:r w:rsidRPr="00C454A1">
        <w:rPr>
          <w:rFonts w:eastAsia="Times New Roman" w:cs="Times New Roman"/>
          <w:color w:val="000000" w:themeColor="text1"/>
          <w:szCs w:val="28"/>
        </w:rPr>
        <w:t xml:space="preserve"> contenidas en la parte motiva del decreto y (iii) los riesgos hipotéticos o eventuales de afectación del orden público.</w:t>
      </w:r>
    </w:p>
    <w:p w14:paraId="51B369F7" w14:textId="77777777" w:rsidR="003B3426" w:rsidRPr="00C454A1" w:rsidRDefault="003B3426" w:rsidP="003B3426">
      <w:pPr>
        <w:pStyle w:val="Prrafodelista"/>
        <w:ind w:left="0"/>
        <w:rPr>
          <w:rFonts w:eastAsia="Times New Roman" w:cs="Times New Roman"/>
          <w:color w:val="000000" w:themeColor="text1"/>
          <w:szCs w:val="28"/>
        </w:rPr>
      </w:pPr>
    </w:p>
    <w:p w14:paraId="6AF50C15" w14:textId="6692A64E"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Con fundamento en esta regla de decisión, en la </w:t>
      </w:r>
      <w:r w:rsidR="003234D6" w:rsidRPr="00C454A1">
        <w:rPr>
          <w:rFonts w:eastAsia="Times New Roman" w:cs="Times New Roman"/>
          <w:color w:val="000000" w:themeColor="text1"/>
          <w:szCs w:val="28"/>
        </w:rPr>
        <w:t>S</w:t>
      </w:r>
      <w:r w:rsidRPr="00C454A1">
        <w:rPr>
          <w:rFonts w:eastAsia="Times New Roman" w:cs="Times New Roman"/>
          <w:color w:val="000000" w:themeColor="text1"/>
          <w:szCs w:val="28"/>
        </w:rPr>
        <w:t xml:space="preserve">entencia C-802 de 2002 la Corte Constitucional identificó algunos considerandos del decreto declaratorio objeto de control </w:t>
      </w:r>
      <w:r w:rsidR="00F35AA5" w:rsidRPr="00C454A1">
        <w:rPr>
          <w:rFonts w:eastAsia="Times New Roman" w:cs="Times New Roman"/>
          <w:color w:val="000000" w:themeColor="text1"/>
          <w:szCs w:val="28"/>
        </w:rPr>
        <w:t xml:space="preserve">que no cumplían con </w:t>
      </w:r>
      <w:r w:rsidRPr="00C454A1">
        <w:rPr>
          <w:rFonts w:eastAsia="Times New Roman" w:cs="Times New Roman"/>
          <w:color w:val="000000" w:themeColor="text1"/>
          <w:szCs w:val="28"/>
        </w:rPr>
        <w:t>los presupuestos materiales</w:t>
      </w:r>
      <w:r w:rsidR="00F35AA5" w:rsidRPr="00C454A1">
        <w:rPr>
          <w:rFonts w:eastAsia="Times New Roman" w:cs="Times New Roman"/>
          <w:color w:val="000000" w:themeColor="text1"/>
          <w:szCs w:val="28"/>
        </w:rPr>
        <w:t xml:space="preserve"> de la conmoción interior</w:t>
      </w:r>
      <w:r w:rsidRPr="00C454A1">
        <w:rPr>
          <w:rFonts w:eastAsia="Times New Roman" w:cs="Times New Roman"/>
          <w:color w:val="000000" w:themeColor="text1"/>
          <w:szCs w:val="28"/>
        </w:rPr>
        <w:t xml:space="preserve">. </w:t>
      </w:r>
      <w:r w:rsidR="00F35AA5" w:rsidRPr="00C454A1">
        <w:rPr>
          <w:rFonts w:eastAsia="Times New Roman" w:cs="Times New Roman"/>
          <w:color w:val="000000" w:themeColor="text1"/>
          <w:szCs w:val="28"/>
        </w:rPr>
        <w:t>Por ello concluyó que esas consideraciones</w:t>
      </w:r>
      <w:r w:rsidRPr="00C454A1">
        <w:rPr>
          <w:rFonts w:eastAsia="Times New Roman" w:cs="Times New Roman"/>
          <w:color w:val="000000" w:themeColor="text1"/>
          <w:szCs w:val="28"/>
        </w:rPr>
        <w:t xml:space="preserve"> no </w:t>
      </w:r>
      <w:r w:rsidR="00F35AA5" w:rsidRPr="00C454A1">
        <w:rPr>
          <w:rFonts w:eastAsia="Times New Roman" w:cs="Times New Roman"/>
          <w:color w:val="000000" w:themeColor="text1"/>
          <w:szCs w:val="28"/>
        </w:rPr>
        <w:t xml:space="preserve">podían </w:t>
      </w:r>
      <w:r w:rsidR="00F35AA5" w:rsidRPr="00C454A1">
        <w:rPr>
          <w:rFonts w:eastAsia="Times New Roman" w:cs="Times New Roman"/>
          <w:color w:val="000000" w:themeColor="text1"/>
          <w:szCs w:val="28"/>
        </w:rPr>
        <w:lastRenderedPageBreak/>
        <w:t xml:space="preserve">fundamentar </w:t>
      </w:r>
      <w:r w:rsidRPr="00C454A1">
        <w:rPr>
          <w:rFonts w:eastAsia="Times New Roman" w:cs="Times New Roman"/>
          <w:color w:val="000000" w:themeColor="text1"/>
          <w:szCs w:val="28"/>
        </w:rPr>
        <w:t xml:space="preserve">la declaratoria y tampoco habilitaban al </w:t>
      </w:r>
      <w:r w:rsidR="003234D6" w:rsidRPr="00C454A1">
        <w:rPr>
          <w:rFonts w:eastAsia="Times New Roman" w:cs="Times New Roman"/>
          <w:color w:val="000000" w:themeColor="text1"/>
          <w:szCs w:val="28"/>
        </w:rPr>
        <w:t>p</w:t>
      </w:r>
      <w:r w:rsidRPr="00C454A1">
        <w:rPr>
          <w:rFonts w:eastAsia="Times New Roman" w:cs="Times New Roman"/>
          <w:color w:val="000000" w:themeColor="text1"/>
          <w:szCs w:val="28"/>
        </w:rPr>
        <w:t xml:space="preserve">residente de la República para </w:t>
      </w:r>
      <w:r w:rsidR="00F35AA5" w:rsidRPr="00C454A1">
        <w:rPr>
          <w:rFonts w:eastAsia="Times New Roman" w:cs="Times New Roman"/>
          <w:color w:val="000000" w:themeColor="text1"/>
          <w:szCs w:val="28"/>
        </w:rPr>
        <w:t>adoptar medidas extraordinarias</w:t>
      </w:r>
      <w:r w:rsidRPr="00C454A1">
        <w:rPr>
          <w:rFonts w:eastAsia="Times New Roman" w:cs="Times New Roman"/>
          <w:color w:val="000000" w:themeColor="text1"/>
          <w:szCs w:val="28"/>
        </w:rPr>
        <w:t xml:space="preserve">: </w:t>
      </w:r>
    </w:p>
    <w:p w14:paraId="55DD7C49" w14:textId="77777777" w:rsidR="003B3426" w:rsidRPr="00C454A1" w:rsidRDefault="003B3426" w:rsidP="003B3426">
      <w:pPr>
        <w:pStyle w:val="Prrafodelista"/>
        <w:ind w:left="737" w:right="567"/>
        <w:rPr>
          <w:rFonts w:eastAsia="Times New Roman" w:cs="Times New Roman"/>
          <w:color w:val="000000" w:themeColor="text1"/>
          <w:sz w:val="20"/>
          <w:szCs w:val="20"/>
        </w:rPr>
      </w:pPr>
    </w:p>
    <w:p w14:paraId="2CF5E3B3" w14:textId="77777777" w:rsidR="003B3426" w:rsidRPr="00C454A1" w:rsidRDefault="003B3426" w:rsidP="00AA181D">
      <w:pPr>
        <w:ind w:left="737" w:right="51"/>
        <w:rPr>
          <w:rFonts w:eastAsia="Times New Roman" w:cs="Times New Roman"/>
          <w:color w:val="000000" w:themeColor="text1"/>
          <w:kern w:val="0"/>
          <w:sz w:val="26"/>
          <w:szCs w:val="26"/>
          <w:lang w:eastAsia="es-CO"/>
          <w14:ligatures w14:val="none"/>
        </w:rPr>
      </w:pPr>
      <w:r w:rsidRPr="00C454A1">
        <w:rPr>
          <w:rFonts w:eastAsia="Times New Roman" w:cs="Times New Roman"/>
          <w:color w:val="000000" w:themeColor="text1"/>
          <w:kern w:val="0"/>
          <w:sz w:val="26"/>
          <w:szCs w:val="26"/>
          <w:lang w:eastAsia="es-CO"/>
          <w14:ligatures w14:val="none"/>
        </w:rPr>
        <w:t>“Con todo, aparte de ese contenido, la Corte observa que el decreto es defectuoso pues está redactado con una serie de afirmaciones generales que por sí mismas carecen de significado jurídico.  Así, por ejemplo, se utilizan varias metáforas, expresiones adverbiales y adjetivos que, si bien pueden tener una dimensión política o retórica, resultan sustancialmente inidóneas para habilitar al Gobierno para legislar.  Estos recursos lingüísticos, si bien le imprimen un particular estilo al decreto, en manera alguna lo fundamentan pues no se dirigen a la fijación de los hechos por los que se declara el estado de conmoción interior, ni a las implicaciones de esos hechos, ni tampoco a la insuficiencia de las atribuciones ordinarias de policía para conjurarlos.</w:t>
      </w:r>
    </w:p>
    <w:p w14:paraId="702D0212" w14:textId="77777777" w:rsidR="003B3426" w:rsidRPr="00C454A1" w:rsidRDefault="003B3426" w:rsidP="00AA181D">
      <w:pPr>
        <w:ind w:left="737" w:right="51"/>
        <w:rPr>
          <w:rFonts w:eastAsia="Times New Roman" w:cs="Times New Roman"/>
          <w:color w:val="000000" w:themeColor="text1"/>
          <w:kern w:val="0"/>
          <w:sz w:val="26"/>
          <w:szCs w:val="26"/>
          <w:lang w:eastAsia="es-CO"/>
          <w14:ligatures w14:val="none"/>
        </w:rPr>
      </w:pPr>
      <w:r w:rsidRPr="00C454A1">
        <w:rPr>
          <w:rFonts w:eastAsia="Times New Roman" w:cs="Times New Roman"/>
          <w:color w:val="000000" w:themeColor="text1"/>
          <w:kern w:val="0"/>
          <w:sz w:val="26"/>
          <w:szCs w:val="26"/>
          <w:lang w:eastAsia="es-CO"/>
          <w14:ligatures w14:val="none"/>
        </w:rPr>
        <w:t> </w:t>
      </w:r>
    </w:p>
    <w:p w14:paraId="09B567A6" w14:textId="77777777" w:rsidR="003B3426" w:rsidRPr="00C454A1" w:rsidRDefault="003B3426" w:rsidP="00AA181D">
      <w:pPr>
        <w:ind w:left="737" w:right="51"/>
        <w:rPr>
          <w:rFonts w:eastAsia="Times New Roman" w:cs="Times New Roman"/>
          <w:color w:val="000000" w:themeColor="text1"/>
          <w:kern w:val="0"/>
          <w:sz w:val="26"/>
          <w:szCs w:val="26"/>
          <w:lang w:eastAsia="es-CO"/>
          <w14:ligatures w14:val="none"/>
        </w:rPr>
      </w:pPr>
      <w:r w:rsidRPr="00C454A1">
        <w:rPr>
          <w:rFonts w:eastAsia="Times New Roman" w:cs="Times New Roman"/>
          <w:color w:val="000000" w:themeColor="text1"/>
          <w:kern w:val="0"/>
          <w:sz w:val="26"/>
          <w:szCs w:val="26"/>
          <w:lang w:eastAsia="es-CO"/>
          <w14:ligatures w14:val="none"/>
        </w:rPr>
        <w:t>Una motivación de esta índole es irrelevante para efectos de la justificación de la declaratoria del estado de conmoción interior pues su validez constitucional no está condicionada a su contenido retórico sino a la satisfacción de los presupuestos materiales fijados por el constituyente.  Con todo, no obstante el carácter irrelevante de ese tipo de afirmaciones, es necesario que la Corte las identifique pues, pese a que carecen de significado jurídico, existe la posibilidad que de ellas se deriven medidas que impliquen un riesgo para los derechos y garantías intangibles durante el régimen constitucional de excepción, como también para el normal funcionamiento de los poderes públicos.  Tal identificación impide que a su amparo se tomen medidas excepcionales que estarían desprovistas del fundamento fáctico y jurídico exigido por la Carta. </w:t>
      </w:r>
    </w:p>
    <w:p w14:paraId="0F560F91" w14:textId="77777777" w:rsidR="003B3426" w:rsidRPr="00C454A1" w:rsidRDefault="003B3426" w:rsidP="00AA181D">
      <w:pPr>
        <w:ind w:left="737" w:right="51"/>
        <w:rPr>
          <w:rFonts w:eastAsia="Times New Roman" w:cs="Times New Roman"/>
          <w:color w:val="000000" w:themeColor="text1"/>
          <w:kern w:val="0"/>
          <w:sz w:val="26"/>
          <w:szCs w:val="26"/>
          <w:lang w:eastAsia="es-CO"/>
          <w14:ligatures w14:val="none"/>
        </w:rPr>
      </w:pPr>
    </w:p>
    <w:p w14:paraId="739FF35B" w14:textId="034A8BC5" w:rsidR="003B3426" w:rsidRPr="00C454A1" w:rsidRDefault="003B3426" w:rsidP="00AA181D">
      <w:pPr>
        <w:ind w:left="737" w:right="51"/>
        <w:rPr>
          <w:rFonts w:eastAsia="Times New Roman" w:cs="Times New Roman"/>
          <w:color w:val="000000" w:themeColor="text1"/>
          <w:kern w:val="0"/>
          <w:sz w:val="26"/>
          <w:szCs w:val="26"/>
          <w:lang w:eastAsia="es-CO"/>
          <w14:ligatures w14:val="none"/>
        </w:rPr>
      </w:pPr>
      <w:r w:rsidRPr="00C454A1">
        <w:rPr>
          <w:rFonts w:eastAsia="Times New Roman" w:cs="Times New Roman"/>
          <w:color w:val="000000" w:themeColor="text1"/>
          <w:kern w:val="0"/>
          <w:sz w:val="26"/>
          <w:szCs w:val="26"/>
          <w:lang w:eastAsia="es-CO"/>
          <w14:ligatures w14:val="none"/>
        </w:rPr>
        <w:t>Del estudio del Decreto sometido a examen, la Corte infiere que las afirmaciones de contenido exclusivamente retórico o político que resultan irrelevantes para efectos de la declaratoria del estado de conmoción interior son las que aparecen en los considerandos 2° y 6°.  De acuerdo con ellas, por una parte, la Nación está sometida a un régimen de terror ‘</w:t>
      </w:r>
      <w:r w:rsidRPr="00C454A1">
        <w:rPr>
          <w:rFonts w:eastAsia="Times New Roman" w:cs="Times New Roman"/>
          <w:i/>
          <w:iCs/>
          <w:color w:val="000000" w:themeColor="text1"/>
          <w:kern w:val="0"/>
          <w:sz w:val="26"/>
          <w:szCs w:val="26"/>
          <w:lang w:eastAsia="es-CO"/>
          <w14:ligatures w14:val="none"/>
        </w:rPr>
        <w:t>en el que naufraga la autoridad democrática y hace cada vez más difícil y azarosa la actividad productiva, multiplicando el desempleo y la miseria de millones de compatriotas</w:t>
      </w:r>
      <w:r w:rsidR="00026C28" w:rsidRPr="00C454A1">
        <w:rPr>
          <w:rFonts w:eastAsia="Times New Roman" w:cs="Times New Roman"/>
          <w:color w:val="000000" w:themeColor="text1"/>
          <w:kern w:val="0"/>
          <w:sz w:val="26"/>
          <w:szCs w:val="26"/>
          <w:lang w:eastAsia="es-CO"/>
          <w14:ligatures w14:val="none"/>
        </w:rPr>
        <w:t>’</w:t>
      </w:r>
      <w:r w:rsidR="00026C28" w:rsidRPr="00C454A1">
        <w:rPr>
          <w:rFonts w:eastAsia="Times New Roman" w:cs="Times New Roman"/>
          <w:i/>
          <w:iCs/>
          <w:color w:val="000000" w:themeColor="text1"/>
          <w:kern w:val="0"/>
          <w:sz w:val="26"/>
          <w:szCs w:val="26"/>
          <w:lang w:eastAsia="es-CO"/>
          <w14:ligatures w14:val="none"/>
        </w:rPr>
        <w:t xml:space="preserve"> </w:t>
      </w:r>
      <w:r w:rsidRPr="00C454A1">
        <w:rPr>
          <w:rFonts w:eastAsia="Times New Roman" w:cs="Times New Roman"/>
          <w:color w:val="000000" w:themeColor="text1"/>
          <w:kern w:val="0"/>
          <w:sz w:val="26"/>
          <w:szCs w:val="26"/>
          <w:lang w:eastAsia="es-CO"/>
          <w14:ligatures w14:val="none"/>
        </w:rPr>
        <w:t>y, por otra, la situación de inseguridad ha generado ‘</w:t>
      </w:r>
      <w:r w:rsidRPr="00C454A1">
        <w:rPr>
          <w:rFonts w:eastAsia="Times New Roman" w:cs="Times New Roman"/>
          <w:i/>
          <w:iCs/>
          <w:color w:val="000000" w:themeColor="text1"/>
          <w:kern w:val="0"/>
          <w:sz w:val="26"/>
          <w:szCs w:val="26"/>
          <w:lang w:eastAsia="es-CO"/>
          <w14:ligatures w14:val="none"/>
        </w:rPr>
        <w:t>un deterioro adicional de las zonas rurales y particularmente de las condiciones y posibilidades de empleo de la población más pobre del país</w:t>
      </w:r>
      <w:r w:rsidRPr="00C454A1">
        <w:rPr>
          <w:rFonts w:eastAsia="Times New Roman" w:cs="Times New Roman"/>
          <w:color w:val="000000" w:themeColor="text1"/>
          <w:kern w:val="0"/>
          <w:sz w:val="26"/>
          <w:szCs w:val="26"/>
          <w:lang w:eastAsia="es-CO"/>
          <w14:ligatures w14:val="none"/>
        </w:rPr>
        <w:t>’.</w:t>
      </w:r>
    </w:p>
    <w:p w14:paraId="5A47E76A" w14:textId="77777777" w:rsidR="003B3426" w:rsidRPr="00C454A1" w:rsidRDefault="003B3426" w:rsidP="00AA181D">
      <w:pPr>
        <w:ind w:left="737" w:right="51"/>
        <w:rPr>
          <w:rFonts w:eastAsia="Times New Roman" w:cs="Times New Roman"/>
          <w:color w:val="000000" w:themeColor="text1"/>
          <w:kern w:val="0"/>
          <w:sz w:val="26"/>
          <w:szCs w:val="26"/>
          <w:lang w:eastAsia="es-CO"/>
          <w14:ligatures w14:val="none"/>
        </w:rPr>
      </w:pPr>
      <w:r w:rsidRPr="00C454A1">
        <w:rPr>
          <w:rFonts w:eastAsia="Times New Roman" w:cs="Times New Roman"/>
          <w:color w:val="000000" w:themeColor="text1"/>
          <w:kern w:val="0"/>
          <w:sz w:val="26"/>
          <w:szCs w:val="26"/>
          <w:lang w:eastAsia="es-CO"/>
          <w14:ligatures w14:val="none"/>
        </w:rPr>
        <w:t> </w:t>
      </w:r>
    </w:p>
    <w:p w14:paraId="1385A301" w14:textId="77777777" w:rsidR="003B3426" w:rsidRPr="00C454A1" w:rsidRDefault="003B3426" w:rsidP="00AA181D">
      <w:pPr>
        <w:ind w:left="737" w:right="51"/>
        <w:rPr>
          <w:rFonts w:eastAsia="Times New Roman" w:cs="Times New Roman"/>
          <w:color w:val="000000" w:themeColor="text1"/>
          <w:kern w:val="0"/>
          <w:sz w:val="26"/>
          <w:szCs w:val="26"/>
          <w:lang w:eastAsia="es-CO"/>
          <w14:ligatures w14:val="none"/>
        </w:rPr>
      </w:pPr>
      <w:r w:rsidRPr="00C454A1">
        <w:rPr>
          <w:rFonts w:eastAsia="Times New Roman" w:cs="Times New Roman"/>
          <w:color w:val="000000" w:themeColor="text1"/>
          <w:kern w:val="0"/>
          <w:sz w:val="26"/>
          <w:szCs w:val="26"/>
          <w:lang w:eastAsia="es-CO"/>
          <w14:ligatures w14:val="none"/>
        </w:rPr>
        <w:t xml:space="preserve">Debe entenderse, entonces, que estas afirmaciones de contenido retórico o político, por no orientarse al cumplimiento de los presupuestos materiales de la declaratoria de conmoción interior, no habilitan al gobierno para legislar”. </w:t>
      </w:r>
    </w:p>
    <w:p w14:paraId="08CB1A82" w14:textId="77777777" w:rsidR="003B3426" w:rsidRPr="00C454A1" w:rsidRDefault="003B3426" w:rsidP="003B3426">
      <w:pPr>
        <w:pStyle w:val="Prrafodelista"/>
        <w:ind w:left="0"/>
        <w:rPr>
          <w:rFonts w:eastAsia="Times New Roman" w:cs="Times New Roman"/>
          <w:color w:val="000000" w:themeColor="text1"/>
          <w:szCs w:val="28"/>
        </w:rPr>
      </w:pPr>
    </w:p>
    <w:p w14:paraId="72C4A917" w14:textId="2302E105" w:rsidR="003B3426" w:rsidRPr="00C454A1" w:rsidRDefault="003B3426" w:rsidP="000137DB">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La Corte considera que esta regla de decisión es aplicable a este caso. Como se expuso en la </w:t>
      </w:r>
      <w:r w:rsidRPr="00C454A1">
        <w:rPr>
          <w:rFonts w:cs="Times New Roman"/>
          <w:color w:val="000000" w:themeColor="text1"/>
          <w:szCs w:val="28"/>
          <w:lang w:eastAsia="es-ES"/>
        </w:rPr>
        <w:t>sección</w:t>
      </w:r>
      <w:r w:rsidRPr="00C454A1">
        <w:rPr>
          <w:rFonts w:eastAsia="Times New Roman" w:cs="Times New Roman"/>
          <w:color w:val="000000" w:themeColor="text1"/>
          <w:szCs w:val="28"/>
        </w:rPr>
        <w:t xml:space="preserve"> precedente, en el acápite I de la parte motiva del Decreto 62 de 2025</w:t>
      </w:r>
      <w:r w:rsidR="00FE146A"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refirió </w:t>
      </w:r>
      <w:r w:rsidR="00F61997" w:rsidRPr="00C454A1">
        <w:rPr>
          <w:rFonts w:eastAsia="Times New Roman" w:cs="Times New Roman"/>
          <w:color w:val="000000" w:themeColor="text1"/>
          <w:szCs w:val="28"/>
        </w:rPr>
        <w:t xml:space="preserve">a dos </w:t>
      </w:r>
      <w:r w:rsidRPr="00C454A1">
        <w:rPr>
          <w:rFonts w:eastAsia="Times New Roman" w:cs="Times New Roman"/>
          <w:color w:val="000000" w:themeColor="text1"/>
          <w:szCs w:val="28"/>
        </w:rPr>
        <w:t>grupos de hechos concretos y verificables que perturban el orden público</w:t>
      </w:r>
      <w:r w:rsidR="00FE146A" w:rsidRPr="00C454A1">
        <w:rPr>
          <w:rFonts w:eastAsia="Times New Roman" w:cs="Times New Roman"/>
          <w:color w:val="000000" w:themeColor="text1"/>
          <w:szCs w:val="28"/>
        </w:rPr>
        <w:t xml:space="preserve"> y respecto de ellos concluyó que se cumplían los elementos del presupuesto fáctico</w:t>
      </w:r>
      <w:r w:rsidRPr="00C454A1">
        <w:rPr>
          <w:rFonts w:eastAsia="Times New Roman" w:cs="Times New Roman"/>
          <w:color w:val="000000" w:themeColor="text1"/>
          <w:szCs w:val="28"/>
        </w:rPr>
        <w:t xml:space="preserve">. Sin embargo, la Corte advierte que en </w:t>
      </w:r>
      <w:r w:rsidR="00FE146A" w:rsidRPr="00C454A1">
        <w:rPr>
          <w:rFonts w:eastAsia="Times New Roman" w:cs="Times New Roman"/>
          <w:color w:val="000000" w:themeColor="text1"/>
          <w:szCs w:val="28"/>
        </w:rPr>
        <w:t xml:space="preserve">el </w:t>
      </w:r>
      <w:r w:rsidRPr="00C454A1">
        <w:rPr>
          <w:rFonts w:eastAsia="Times New Roman" w:cs="Times New Roman"/>
          <w:color w:val="000000" w:themeColor="text1"/>
          <w:szCs w:val="28"/>
        </w:rPr>
        <w:t xml:space="preserve">acápite </w:t>
      </w:r>
      <w:r w:rsidR="00FE146A" w:rsidRPr="00C454A1">
        <w:rPr>
          <w:rFonts w:eastAsia="Times New Roman" w:cs="Times New Roman"/>
          <w:color w:val="000000" w:themeColor="text1"/>
          <w:szCs w:val="28"/>
        </w:rPr>
        <w:t xml:space="preserve">I del decreto </w:t>
      </w:r>
      <w:r w:rsidRPr="00C454A1">
        <w:rPr>
          <w:rFonts w:eastAsia="Times New Roman" w:cs="Times New Roman"/>
          <w:color w:val="000000" w:themeColor="text1"/>
          <w:szCs w:val="28"/>
        </w:rPr>
        <w:t>también se incluyeron considerandos que se refieren a aspectos normativos y a políticas públicas o de Estado</w:t>
      </w:r>
      <w:r w:rsidR="00FE146A" w:rsidRPr="00C454A1">
        <w:rPr>
          <w:rFonts w:eastAsia="Times New Roman" w:cs="Times New Roman"/>
          <w:color w:val="000000" w:themeColor="text1"/>
          <w:szCs w:val="28"/>
        </w:rPr>
        <w:t xml:space="preserve"> y que no cumplen con los requisitos del presupuesto fáctico</w:t>
      </w:r>
      <w:r w:rsidRPr="00C454A1">
        <w:rPr>
          <w:rFonts w:eastAsia="Times New Roman" w:cs="Times New Roman"/>
          <w:color w:val="000000" w:themeColor="text1"/>
          <w:szCs w:val="28"/>
        </w:rPr>
        <w:t xml:space="preserve">. En este grupo están los considerandos 7 a 11, 14, 15, 17 a 19, 21 y 22, en los que el </w:t>
      </w:r>
      <w:r w:rsidR="007525E1" w:rsidRPr="00C454A1">
        <w:rPr>
          <w:rFonts w:eastAsia="Times New Roman" w:cs="Times New Roman"/>
          <w:color w:val="000000" w:themeColor="text1"/>
          <w:szCs w:val="28"/>
        </w:rPr>
        <w:lastRenderedPageBreak/>
        <w:t>Gobierno nacional</w:t>
      </w:r>
      <w:r w:rsidRPr="00C454A1">
        <w:rPr>
          <w:rFonts w:eastAsia="Times New Roman" w:cs="Times New Roman"/>
          <w:color w:val="000000" w:themeColor="text1"/>
          <w:szCs w:val="28"/>
        </w:rPr>
        <w:t xml:space="preserve"> se refiere a, entre otros</w:t>
      </w:r>
      <w:r w:rsidR="003E150A"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(i) los compromisos adquiridos tras la firma del </w:t>
      </w:r>
      <w:r w:rsidR="00B548CB" w:rsidRPr="00C454A1">
        <w:rPr>
          <w:rFonts w:eastAsia="Times New Roman" w:cs="Times New Roman"/>
          <w:color w:val="000000" w:themeColor="text1"/>
          <w:szCs w:val="28"/>
        </w:rPr>
        <w:t>AFP</w:t>
      </w:r>
      <w:r w:rsidRPr="00C454A1">
        <w:rPr>
          <w:rFonts w:eastAsia="Times New Roman" w:cs="Times New Roman"/>
          <w:color w:val="000000" w:themeColor="text1"/>
          <w:szCs w:val="28"/>
        </w:rPr>
        <w:t xml:space="preserve">, (ii) </w:t>
      </w:r>
      <w:r w:rsidR="00BC0F4B" w:rsidRPr="00C454A1">
        <w:rPr>
          <w:rFonts w:eastAsia="Times New Roman" w:cs="Times New Roman"/>
          <w:color w:val="000000" w:themeColor="text1"/>
          <w:szCs w:val="28"/>
        </w:rPr>
        <w:t>e</w:t>
      </w:r>
      <w:r w:rsidRPr="00C454A1">
        <w:rPr>
          <w:rFonts w:eastAsia="Times New Roman" w:cs="Times New Roman"/>
          <w:color w:val="000000" w:themeColor="text1"/>
          <w:szCs w:val="28"/>
        </w:rPr>
        <w:t xml:space="preserve">l contenido del Plan Nacional de Desarrollo 2022-2026, (iii) la sentencia SU-020 de 2022 y (iv) los “compromisos y políticas públicas” que el Gobierno habría incentivado con el objeto de promover “la presencia y las ofertas institucionales en la región del Catatumbo, mediante programas dirigidos a la sustitución de los cultivos ilícitos y la vinculación a actividades de economía productiva legal, entre otros”. Estos considerandos no refieren hechos concretos y verificables de perturbación del orden público y, por lo tanto, no constituyen fundamento para declarar el estado de conmoción interior ni para expedir decretos legislativos de desarrollo.  </w:t>
      </w:r>
    </w:p>
    <w:p w14:paraId="7D97DC93" w14:textId="77777777" w:rsidR="003B3426" w:rsidRPr="00C454A1" w:rsidRDefault="003B3426" w:rsidP="003B3426">
      <w:pPr>
        <w:pStyle w:val="Prrafodelista"/>
        <w:ind w:left="0"/>
        <w:rPr>
          <w:rFonts w:eastAsia="Times New Roman" w:cs="Times New Roman"/>
          <w:color w:val="000000" w:themeColor="text1"/>
          <w:szCs w:val="28"/>
        </w:rPr>
      </w:pPr>
    </w:p>
    <w:p w14:paraId="588D26A2" w14:textId="592CF051" w:rsidR="00321FAF" w:rsidRPr="00C454A1" w:rsidRDefault="0000561D" w:rsidP="001C693F">
      <w:pPr>
        <w:pStyle w:val="Prrafodelista"/>
        <w:numPr>
          <w:ilvl w:val="2"/>
          <w:numId w:val="3"/>
        </w:numPr>
        <w:ind w:left="567"/>
        <w:rPr>
          <w:rFonts w:eastAsia="Times New Roman" w:cs="Times New Roman"/>
          <w:b/>
          <w:bCs/>
          <w:color w:val="000000" w:themeColor="text1"/>
          <w:szCs w:val="28"/>
        </w:rPr>
      </w:pPr>
      <w:r w:rsidRPr="00C454A1">
        <w:rPr>
          <w:rFonts w:eastAsia="Times New Roman" w:cs="Times New Roman"/>
          <w:b/>
          <w:bCs/>
          <w:color w:val="000000" w:themeColor="text1"/>
          <w:szCs w:val="28"/>
        </w:rPr>
        <w:t xml:space="preserve"> </w:t>
      </w:r>
      <w:r w:rsidR="003B3426" w:rsidRPr="00C454A1">
        <w:rPr>
          <w:rFonts w:eastAsia="Times New Roman" w:cs="Times New Roman"/>
          <w:b/>
          <w:bCs/>
          <w:color w:val="000000" w:themeColor="text1"/>
          <w:szCs w:val="28"/>
        </w:rPr>
        <w:t>Conclusión</w:t>
      </w:r>
      <w:r w:rsidR="00321FAF" w:rsidRPr="00C454A1">
        <w:rPr>
          <w:rFonts w:eastAsia="Times New Roman" w:cs="Times New Roman"/>
          <w:b/>
          <w:bCs/>
          <w:color w:val="000000" w:themeColor="text1"/>
          <w:szCs w:val="28"/>
        </w:rPr>
        <w:t xml:space="preserve"> sobre el presupuesto fáctico</w:t>
      </w:r>
    </w:p>
    <w:p w14:paraId="3A0FF7D5" w14:textId="77777777" w:rsidR="00321FAF" w:rsidRPr="00C454A1" w:rsidRDefault="00321FAF" w:rsidP="00321FAF">
      <w:pPr>
        <w:pStyle w:val="Prrafodelista"/>
        <w:rPr>
          <w:rFonts w:eastAsia="Times New Roman" w:cs="Times New Roman"/>
          <w:color w:val="000000" w:themeColor="text1"/>
          <w:szCs w:val="28"/>
        </w:rPr>
      </w:pPr>
    </w:p>
    <w:p w14:paraId="45F5F21B" w14:textId="6C2288C0" w:rsidR="003B3426" w:rsidRPr="00C454A1" w:rsidRDefault="003B3426" w:rsidP="00321FAF">
      <w:pPr>
        <w:pStyle w:val="Prrafodelista"/>
        <w:numPr>
          <w:ilvl w:val="0"/>
          <w:numId w:val="2"/>
        </w:numPr>
        <w:ind w:left="0" w:firstLine="0"/>
        <w:rPr>
          <w:rFonts w:eastAsia="Times New Roman" w:cs="Times New Roman"/>
          <w:color w:val="000000" w:themeColor="text1"/>
          <w:szCs w:val="28"/>
        </w:rPr>
      </w:pPr>
      <w:bookmarkStart w:id="179" w:name="_Ref223678313"/>
      <w:r w:rsidRPr="00C454A1">
        <w:rPr>
          <w:rFonts w:eastAsia="Times New Roman" w:cs="Times New Roman"/>
          <w:color w:val="000000" w:themeColor="text1"/>
          <w:szCs w:val="28"/>
        </w:rPr>
        <w:t xml:space="preserve">En síntesis, </w:t>
      </w:r>
      <w:bookmarkStart w:id="180" w:name="_Hlk195259253"/>
      <w:r w:rsidRPr="00C454A1">
        <w:rPr>
          <w:rFonts w:eastAsia="Times New Roman" w:cs="Times New Roman"/>
          <w:color w:val="000000" w:themeColor="text1"/>
          <w:szCs w:val="28"/>
        </w:rPr>
        <w:t>la Corte concluye que</w:t>
      </w:r>
      <w:r w:rsidR="00F20471" w:rsidRPr="00C454A1">
        <w:rPr>
          <w:rFonts w:eastAsia="Times New Roman" w:cs="Times New Roman"/>
          <w:color w:val="000000" w:themeColor="text1"/>
          <w:szCs w:val="28"/>
        </w:rPr>
        <w:t>, en términos generales,</w:t>
      </w:r>
      <w:r w:rsidRPr="00C454A1">
        <w:rPr>
          <w:rFonts w:eastAsia="Times New Roman" w:cs="Times New Roman"/>
          <w:color w:val="000000" w:themeColor="text1"/>
          <w:szCs w:val="28"/>
        </w:rPr>
        <w:t xml:space="preserve"> el Decreto 62 de 2025</w:t>
      </w:r>
      <w:r w:rsidR="00FE146A" w:rsidRPr="00C454A1">
        <w:rPr>
          <w:rFonts w:eastAsia="Times New Roman" w:cs="Times New Roman"/>
          <w:color w:val="000000" w:themeColor="text1"/>
          <w:szCs w:val="28"/>
        </w:rPr>
        <w:t xml:space="preserve"> </w:t>
      </w:r>
      <w:r w:rsidRPr="00C454A1">
        <w:rPr>
          <w:rFonts w:eastAsia="Times New Roman" w:cs="Times New Roman"/>
          <w:color w:val="000000" w:themeColor="text1"/>
          <w:szCs w:val="28"/>
        </w:rPr>
        <w:t xml:space="preserve">satisface el presupuesto fáctico. Esto </w:t>
      </w:r>
      <w:r w:rsidRPr="00C454A1">
        <w:rPr>
          <w:rFonts w:cs="Times New Roman"/>
          <w:color w:val="000000" w:themeColor="text1"/>
          <w:szCs w:val="28"/>
          <w:lang w:eastAsia="es-ES"/>
        </w:rPr>
        <w:t>es</w:t>
      </w:r>
      <w:r w:rsidRPr="00C454A1">
        <w:rPr>
          <w:rFonts w:eastAsia="Times New Roman" w:cs="Times New Roman"/>
          <w:color w:val="000000" w:themeColor="text1"/>
          <w:szCs w:val="28"/>
        </w:rPr>
        <w:t xml:space="preserve"> así, porque el </w:t>
      </w:r>
      <w:r w:rsidR="002758EA" w:rsidRPr="00C454A1">
        <w:rPr>
          <w:rFonts w:eastAsia="Times New Roman" w:cs="Times New Roman"/>
          <w:color w:val="000000" w:themeColor="text1"/>
          <w:szCs w:val="28"/>
        </w:rPr>
        <w:t>p</w:t>
      </w:r>
      <w:r w:rsidRPr="00C454A1">
        <w:rPr>
          <w:rFonts w:eastAsia="Times New Roman" w:cs="Times New Roman"/>
          <w:color w:val="000000" w:themeColor="text1"/>
          <w:szCs w:val="28"/>
        </w:rPr>
        <w:t>residente de la República probó la existencia de una perturbación del orden público derivada de la</w:t>
      </w:r>
      <w:r w:rsidRPr="00C454A1">
        <w:rPr>
          <w:rFonts w:eastAsia="Times New Roman" w:cs="Times New Roman"/>
          <w:i/>
          <w:iCs/>
          <w:color w:val="000000" w:themeColor="text1"/>
          <w:szCs w:val="28"/>
        </w:rPr>
        <w:t xml:space="preserve"> </w:t>
      </w:r>
      <w:r w:rsidRPr="00C454A1">
        <w:rPr>
          <w:rFonts w:eastAsia="Times New Roman" w:cs="Times New Roman"/>
          <w:color w:val="000000" w:themeColor="text1"/>
          <w:szCs w:val="28"/>
        </w:rPr>
        <w:t>ocurrencia de hechos concretos, perceptibles y, en consecuencia, verificables, que objetivamente generan una alteración de las condiciones de seguridad y tranquilidad requeridas para el ejercicio de los derechos. Estos hechos son:</w:t>
      </w:r>
      <w:bookmarkEnd w:id="179"/>
      <w:r w:rsidRPr="00C454A1">
        <w:rPr>
          <w:rFonts w:eastAsia="Times New Roman" w:cs="Times New Roman"/>
          <w:color w:val="000000" w:themeColor="text1"/>
          <w:szCs w:val="28"/>
        </w:rPr>
        <w:t xml:space="preserve"> </w:t>
      </w:r>
    </w:p>
    <w:p w14:paraId="0755D5A5" w14:textId="77777777" w:rsidR="003B3426" w:rsidRPr="00C454A1" w:rsidRDefault="003B3426" w:rsidP="003B3426">
      <w:pPr>
        <w:rPr>
          <w:rFonts w:eastAsia="Times New Roman" w:cs="Times New Roman"/>
          <w:color w:val="000000" w:themeColor="text1"/>
          <w:szCs w:val="28"/>
        </w:rPr>
      </w:pPr>
    </w:p>
    <w:p w14:paraId="02F1DAA2" w14:textId="2F8D5662" w:rsidR="003B3426" w:rsidRPr="00C454A1" w:rsidRDefault="003B3426" w:rsidP="0057572D">
      <w:pPr>
        <w:numPr>
          <w:ilvl w:val="0"/>
          <w:numId w:val="17"/>
        </w:numPr>
        <w:spacing w:after="160"/>
        <w:ind w:left="426"/>
        <w:contextualSpacing/>
        <w:rPr>
          <w:rFonts w:eastAsia="Calibri" w:cs="Times New Roman"/>
          <w:color w:val="000000" w:themeColor="text1"/>
          <w:szCs w:val="28"/>
        </w:rPr>
      </w:pPr>
      <w:r w:rsidRPr="00C454A1">
        <w:rPr>
          <w:rFonts w:eastAsia="Calibri" w:cs="Times New Roman"/>
          <w:i/>
          <w:iCs/>
          <w:color w:val="000000" w:themeColor="text1"/>
          <w:szCs w:val="28"/>
        </w:rPr>
        <w:t>Grupo 1</w:t>
      </w:r>
      <w:r w:rsidRPr="00C454A1">
        <w:rPr>
          <w:rFonts w:eastAsia="Calibri" w:cs="Times New Roman"/>
          <w:color w:val="000000" w:themeColor="text1"/>
          <w:szCs w:val="28"/>
        </w:rPr>
        <w:t xml:space="preserve">: hechos asociados a la situación histórica </w:t>
      </w:r>
      <w:r w:rsidR="00FE146A" w:rsidRPr="00C454A1">
        <w:rPr>
          <w:rFonts w:eastAsia="Calibri" w:cs="Times New Roman"/>
          <w:color w:val="000000" w:themeColor="text1"/>
          <w:szCs w:val="28"/>
        </w:rPr>
        <w:t>de alteración del</w:t>
      </w:r>
      <w:r w:rsidRPr="00C454A1">
        <w:rPr>
          <w:rFonts w:eastAsia="Calibri" w:cs="Times New Roman"/>
          <w:color w:val="000000" w:themeColor="text1"/>
          <w:szCs w:val="28"/>
        </w:rPr>
        <w:t xml:space="preserve"> orden público en la región del Catatumbo. Estos hechos son: (i)</w:t>
      </w:r>
      <w:r w:rsidRPr="00C454A1">
        <w:rPr>
          <w:rFonts w:eastAsia="Calibri" w:cs="Times New Roman"/>
          <w:i/>
          <w:iCs/>
          <w:color w:val="000000" w:themeColor="text1"/>
          <w:szCs w:val="28"/>
        </w:rPr>
        <w:t xml:space="preserve"> </w:t>
      </w:r>
      <w:r w:rsidRPr="00C454A1">
        <w:rPr>
          <w:rFonts w:eastAsia="Calibri" w:cs="Times New Roman"/>
          <w:color w:val="000000" w:themeColor="text1"/>
          <w:szCs w:val="28"/>
        </w:rPr>
        <w:t xml:space="preserve">la histórica presencia del ELN, </w:t>
      </w:r>
      <w:r w:rsidR="00EE77DF" w:rsidRPr="00C454A1">
        <w:rPr>
          <w:rFonts w:eastAsia="Calibri" w:cs="Times New Roman"/>
          <w:color w:val="000000" w:themeColor="text1"/>
          <w:szCs w:val="28"/>
        </w:rPr>
        <w:t>GAO</w:t>
      </w:r>
      <w:r w:rsidRPr="00C454A1">
        <w:rPr>
          <w:rFonts w:eastAsia="Calibri" w:cs="Times New Roman"/>
          <w:color w:val="000000" w:themeColor="text1"/>
          <w:szCs w:val="28"/>
        </w:rPr>
        <w:t xml:space="preserve"> y GDO en la región del Catatumbo, (ii) concentración de cultivos ilícitos, (iii) cumplimiento deficiente del PNIS, y (iv)</w:t>
      </w:r>
      <w:r w:rsidRPr="00C454A1">
        <w:rPr>
          <w:rFonts w:eastAsia="Calibri" w:cs="Times New Roman"/>
          <w:i/>
          <w:iCs/>
          <w:color w:val="000000" w:themeColor="text1"/>
          <w:szCs w:val="28"/>
        </w:rPr>
        <w:t xml:space="preserve"> </w:t>
      </w:r>
      <w:r w:rsidRPr="00C454A1">
        <w:rPr>
          <w:rFonts w:eastAsia="Calibri" w:cs="Times New Roman"/>
          <w:color w:val="000000" w:themeColor="text1"/>
          <w:szCs w:val="28"/>
        </w:rPr>
        <w:t>precaria presencia institucional que se refleja en altos índices de pobreza multidimensional y de necesidades básicas insatisfechas de la población en materia de salud, educación y acceso a servicios públic</w:t>
      </w:r>
      <w:r w:rsidR="00C66334" w:rsidRPr="00C454A1">
        <w:rPr>
          <w:rFonts w:eastAsia="Calibri" w:cs="Times New Roman"/>
          <w:color w:val="000000" w:themeColor="text1"/>
          <w:szCs w:val="28"/>
        </w:rPr>
        <w:t>o</w:t>
      </w:r>
      <w:r w:rsidRPr="00C454A1">
        <w:rPr>
          <w:rFonts w:eastAsia="Calibri" w:cs="Times New Roman"/>
          <w:color w:val="000000" w:themeColor="text1"/>
          <w:szCs w:val="28"/>
        </w:rPr>
        <w:t xml:space="preserve">s básicos, entre otras. </w:t>
      </w:r>
    </w:p>
    <w:p w14:paraId="135D3B77" w14:textId="5C37C2F2" w:rsidR="003B3426" w:rsidRPr="00C454A1" w:rsidRDefault="003B3426" w:rsidP="0057572D">
      <w:pPr>
        <w:numPr>
          <w:ilvl w:val="0"/>
          <w:numId w:val="17"/>
        </w:numPr>
        <w:spacing w:after="160"/>
        <w:ind w:left="426"/>
        <w:contextualSpacing/>
        <w:rPr>
          <w:rFonts w:eastAsia="Calibri" w:cs="Times New Roman"/>
          <w:color w:val="000000" w:themeColor="text1"/>
          <w:szCs w:val="28"/>
        </w:rPr>
      </w:pPr>
      <w:r w:rsidRPr="00C454A1">
        <w:rPr>
          <w:rFonts w:eastAsia="Calibri" w:cs="Times New Roman"/>
          <w:i/>
          <w:iCs/>
          <w:color w:val="000000" w:themeColor="text1"/>
          <w:szCs w:val="28"/>
        </w:rPr>
        <w:t>Grupo 2</w:t>
      </w:r>
      <w:r w:rsidRPr="00C454A1">
        <w:rPr>
          <w:rFonts w:eastAsia="Calibri" w:cs="Times New Roman"/>
          <w:color w:val="000000" w:themeColor="text1"/>
          <w:szCs w:val="28"/>
        </w:rPr>
        <w:t xml:space="preserve">: hechos relacionados con el agravamiento inusitado de la </w:t>
      </w:r>
      <w:r w:rsidR="00FE146A" w:rsidRPr="00C454A1">
        <w:rPr>
          <w:rFonts w:eastAsia="Calibri" w:cs="Times New Roman"/>
          <w:color w:val="000000" w:themeColor="text1"/>
          <w:szCs w:val="28"/>
        </w:rPr>
        <w:t xml:space="preserve">perturbación </w:t>
      </w:r>
      <w:r w:rsidRPr="00C454A1">
        <w:rPr>
          <w:rFonts w:eastAsia="Calibri" w:cs="Times New Roman"/>
          <w:color w:val="000000" w:themeColor="text1"/>
          <w:szCs w:val="28"/>
        </w:rPr>
        <w:t>de</w:t>
      </w:r>
      <w:r w:rsidR="00FE146A" w:rsidRPr="00C454A1">
        <w:rPr>
          <w:rFonts w:eastAsia="Calibri" w:cs="Times New Roman"/>
          <w:color w:val="000000" w:themeColor="text1"/>
          <w:szCs w:val="28"/>
        </w:rPr>
        <w:t>l</w:t>
      </w:r>
      <w:r w:rsidRPr="00C454A1">
        <w:rPr>
          <w:rFonts w:eastAsia="Calibri" w:cs="Times New Roman"/>
          <w:color w:val="000000" w:themeColor="text1"/>
          <w:szCs w:val="28"/>
        </w:rPr>
        <w:t xml:space="preserve"> orden público en la región del Catatumbo, a partir de enero de 2025. Estos hechos son: (i) la intensificación de los enfrentamientos entre el ELN y otros </w:t>
      </w:r>
      <w:r w:rsidR="00EE77DF" w:rsidRPr="00C454A1">
        <w:rPr>
          <w:rFonts w:eastAsia="Calibri" w:cs="Times New Roman"/>
          <w:color w:val="000000" w:themeColor="text1"/>
          <w:szCs w:val="28"/>
        </w:rPr>
        <w:t>GAO</w:t>
      </w:r>
      <w:r w:rsidRPr="00C454A1">
        <w:rPr>
          <w:rFonts w:eastAsia="Calibri" w:cs="Times New Roman"/>
          <w:color w:val="000000" w:themeColor="text1"/>
          <w:szCs w:val="28"/>
        </w:rPr>
        <w:t>, así como los ataques y hostilidades dirigidas de forma indiscriminada contra la población civil, y (ii) la crisis humanitaria que se derivó del desplazamiento forzado interno y transfronterizo</w:t>
      </w:r>
      <w:r w:rsidR="00C66334" w:rsidRPr="00C454A1">
        <w:rPr>
          <w:rFonts w:eastAsia="Calibri" w:cs="Times New Roman"/>
          <w:color w:val="000000" w:themeColor="text1"/>
          <w:szCs w:val="28"/>
        </w:rPr>
        <w:t xml:space="preserve"> y</w:t>
      </w:r>
      <w:r w:rsidRPr="00C454A1">
        <w:rPr>
          <w:rFonts w:eastAsia="Calibri" w:cs="Times New Roman"/>
          <w:color w:val="000000" w:themeColor="text1"/>
          <w:szCs w:val="28"/>
        </w:rPr>
        <w:t xml:space="preserve"> confinamientos masivos, los cuales produjeron desbordamiento institucional. </w:t>
      </w:r>
    </w:p>
    <w:p w14:paraId="7ABF0A10" w14:textId="77777777" w:rsidR="003B3426" w:rsidRPr="00C454A1" w:rsidRDefault="003B3426" w:rsidP="003B3426">
      <w:pPr>
        <w:rPr>
          <w:rFonts w:eastAsia="Times New Roman" w:cs="Times New Roman"/>
          <w:color w:val="000000" w:themeColor="text1"/>
          <w:szCs w:val="28"/>
        </w:rPr>
      </w:pPr>
    </w:p>
    <w:p w14:paraId="0DF203BF" w14:textId="5AEE0A0A" w:rsidR="003B3426" w:rsidRPr="00C454A1" w:rsidRDefault="00FE146A" w:rsidP="00321FAF">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No obstante</w:t>
      </w:r>
      <w:r w:rsidR="003B3426" w:rsidRPr="00C454A1">
        <w:rPr>
          <w:rFonts w:eastAsia="Times New Roman" w:cs="Times New Roman"/>
          <w:color w:val="000000" w:themeColor="text1"/>
          <w:szCs w:val="28"/>
        </w:rPr>
        <w:t xml:space="preserve">, la Sala Plena advierte que el acápite I “Presupuesto fáctico” de la parte motiva del Decreto 62 de 2025 contiene considerandos que se refieren al contexto </w:t>
      </w:r>
      <w:r w:rsidR="003B3426" w:rsidRPr="00C454A1">
        <w:rPr>
          <w:rFonts w:cs="Times New Roman"/>
          <w:color w:val="000000" w:themeColor="text1"/>
          <w:szCs w:val="28"/>
          <w:lang w:eastAsia="es-ES"/>
        </w:rPr>
        <w:t>geográfico</w:t>
      </w:r>
      <w:r w:rsidR="003B3426" w:rsidRPr="00C454A1">
        <w:rPr>
          <w:rFonts w:eastAsia="Times New Roman" w:cs="Times New Roman"/>
          <w:color w:val="000000" w:themeColor="text1"/>
          <w:szCs w:val="28"/>
        </w:rPr>
        <w:t xml:space="preserve"> de la Región del Catatumbo, así como a aspectos normativos y de políticas públicas. Estos considerandos no constituyen hechos concretos y verificables de perturbación del orden público por lo que no </w:t>
      </w:r>
      <w:r w:rsidRPr="00C454A1">
        <w:rPr>
          <w:rFonts w:eastAsia="Times New Roman" w:cs="Times New Roman"/>
          <w:color w:val="000000" w:themeColor="text1"/>
          <w:szCs w:val="28"/>
        </w:rPr>
        <w:t>hacen parte d</w:t>
      </w:r>
      <w:r w:rsidR="003B3426" w:rsidRPr="00C454A1">
        <w:rPr>
          <w:rFonts w:eastAsia="Times New Roman" w:cs="Times New Roman"/>
          <w:color w:val="000000" w:themeColor="text1"/>
          <w:szCs w:val="28"/>
        </w:rPr>
        <w:t xml:space="preserve">el fundamento fáctico de la declaratoria. </w:t>
      </w:r>
    </w:p>
    <w:bookmarkEnd w:id="180"/>
    <w:p w14:paraId="606327E4" w14:textId="77777777" w:rsidR="002E5B8C" w:rsidRPr="00C454A1" w:rsidRDefault="002E5B8C" w:rsidP="002E5B8C">
      <w:pPr>
        <w:rPr>
          <w:rFonts w:eastAsia="Times New Roman" w:cs="Times New Roman"/>
          <w:color w:val="000000" w:themeColor="text1"/>
          <w:szCs w:val="28"/>
        </w:rPr>
      </w:pPr>
    </w:p>
    <w:p w14:paraId="1D9BF809" w14:textId="4F6154CC" w:rsidR="00006522" w:rsidRPr="00C454A1" w:rsidRDefault="00006522" w:rsidP="001C693F">
      <w:pPr>
        <w:pStyle w:val="Prrafodelista"/>
        <w:widowControl w:val="0"/>
        <w:numPr>
          <w:ilvl w:val="1"/>
          <w:numId w:val="3"/>
        </w:numPr>
        <w:ind w:left="567"/>
        <w:outlineLvl w:val="0"/>
        <w:rPr>
          <w:rFonts w:cs="Times New Roman"/>
          <w:b/>
          <w:bCs/>
          <w:color w:val="000000" w:themeColor="text1"/>
          <w:szCs w:val="28"/>
          <w:lang w:eastAsia="es-ES"/>
        </w:rPr>
      </w:pPr>
      <w:bookmarkStart w:id="181" w:name="_Ref203397057"/>
      <w:bookmarkStart w:id="182" w:name="_Toc223979951"/>
      <w:r w:rsidRPr="00C454A1">
        <w:rPr>
          <w:rFonts w:cs="Times New Roman"/>
          <w:b/>
          <w:bCs/>
          <w:color w:val="000000" w:themeColor="text1"/>
          <w:szCs w:val="28"/>
          <w:lang w:eastAsia="es-ES"/>
        </w:rPr>
        <w:t>Presupuesto valorativo</w:t>
      </w:r>
      <w:bookmarkEnd w:id="181"/>
      <w:bookmarkEnd w:id="182"/>
      <w:r w:rsidRPr="00C454A1">
        <w:rPr>
          <w:rFonts w:cs="Times New Roman"/>
          <w:b/>
          <w:bCs/>
          <w:color w:val="000000" w:themeColor="text1"/>
          <w:szCs w:val="28"/>
          <w:lang w:eastAsia="es-ES"/>
        </w:rPr>
        <w:t xml:space="preserve"> </w:t>
      </w:r>
    </w:p>
    <w:p w14:paraId="0F9C4BA9" w14:textId="77777777" w:rsidR="00794C58" w:rsidRPr="00C454A1" w:rsidRDefault="00794C58" w:rsidP="003140ED">
      <w:pPr>
        <w:rPr>
          <w:color w:val="000000" w:themeColor="text1"/>
          <w:lang w:eastAsia="es-ES"/>
        </w:rPr>
      </w:pPr>
    </w:p>
    <w:p w14:paraId="7DEC1172" w14:textId="4E330BE8" w:rsidR="00A51FDD" w:rsidRPr="00C454A1" w:rsidRDefault="00F94D21" w:rsidP="00321FAF">
      <w:pPr>
        <w:numPr>
          <w:ilvl w:val="0"/>
          <w:numId w:val="2"/>
        </w:numPr>
        <w:ind w:left="0" w:firstLine="0"/>
        <w:rPr>
          <w:color w:val="000000" w:themeColor="text1"/>
          <w:lang w:eastAsia="es-ES"/>
        </w:rPr>
      </w:pPr>
      <w:r w:rsidRPr="00C454A1">
        <w:rPr>
          <w:color w:val="000000" w:themeColor="text1"/>
          <w:lang w:eastAsia="es-ES"/>
        </w:rPr>
        <w:lastRenderedPageBreak/>
        <w:t xml:space="preserve">Como se analizó en los fundamentos </w:t>
      </w:r>
      <w:r w:rsidR="00394921" w:rsidRPr="00C454A1">
        <w:rPr>
          <w:color w:val="000000" w:themeColor="text1"/>
          <w:lang w:eastAsia="es-ES"/>
        </w:rPr>
        <w:fldChar w:fldCharType="begin"/>
      </w:r>
      <w:r w:rsidR="00394921" w:rsidRPr="00C454A1">
        <w:rPr>
          <w:color w:val="000000" w:themeColor="text1"/>
          <w:lang w:eastAsia="es-ES"/>
        </w:rPr>
        <w:instrText xml:space="preserve"> REF _Ref219308483 \r \h </w:instrText>
      </w:r>
      <w:r w:rsidR="00DD0E75" w:rsidRPr="00C454A1">
        <w:rPr>
          <w:color w:val="000000" w:themeColor="text1"/>
          <w:lang w:eastAsia="es-ES"/>
        </w:rPr>
        <w:instrText xml:space="preserve"> \* MERGEFORMAT </w:instrText>
      </w:r>
      <w:r w:rsidR="00394921" w:rsidRPr="00C454A1">
        <w:rPr>
          <w:color w:val="000000" w:themeColor="text1"/>
          <w:lang w:eastAsia="es-ES"/>
        </w:rPr>
      </w:r>
      <w:r w:rsidR="00394921" w:rsidRPr="00C454A1">
        <w:rPr>
          <w:color w:val="000000" w:themeColor="text1"/>
          <w:lang w:eastAsia="es-ES"/>
        </w:rPr>
        <w:fldChar w:fldCharType="separate"/>
      </w:r>
      <w:r w:rsidR="00881E6A">
        <w:rPr>
          <w:color w:val="000000" w:themeColor="text1"/>
          <w:lang w:eastAsia="es-ES"/>
        </w:rPr>
        <w:t>74</w:t>
      </w:r>
      <w:r w:rsidR="00394921" w:rsidRPr="00C454A1">
        <w:rPr>
          <w:color w:val="000000" w:themeColor="text1"/>
          <w:lang w:eastAsia="es-ES"/>
        </w:rPr>
        <w:fldChar w:fldCharType="end"/>
      </w:r>
      <w:r w:rsidR="00D7126C" w:rsidRPr="00C454A1">
        <w:rPr>
          <w:color w:val="000000" w:themeColor="text1"/>
          <w:lang w:eastAsia="es-ES"/>
        </w:rPr>
        <w:t xml:space="preserve"> a </w:t>
      </w:r>
      <w:r w:rsidR="007A3782" w:rsidRPr="00C454A1">
        <w:rPr>
          <w:color w:val="000000" w:themeColor="text1"/>
          <w:lang w:eastAsia="es-ES"/>
        </w:rPr>
        <w:fldChar w:fldCharType="begin"/>
      </w:r>
      <w:r w:rsidR="007A3782" w:rsidRPr="00C454A1">
        <w:rPr>
          <w:color w:val="000000" w:themeColor="text1"/>
          <w:lang w:eastAsia="es-ES"/>
        </w:rPr>
        <w:instrText xml:space="preserve"> REF _Ref223705259 \r \h </w:instrText>
      </w:r>
      <w:r w:rsidR="00DD0E75" w:rsidRPr="00C454A1">
        <w:rPr>
          <w:color w:val="000000" w:themeColor="text1"/>
          <w:lang w:eastAsia="es-ES"/>
        </w:rPr>
        <w:instrText xml:space="preserve"> \* MERGEFORMAT </w:instrText>
      </w:r>
      <w:r w:rsidR="007A3782" w:rsidRPr="00C454A1">
        <w:rPr>
          <w:color w:val="000000" w:themeColor="text1"/>
          <w:lang w:eastAsia="es-ES"/>
        </w:rPr>
      </w:r>
      <w:r w:rsidR="007A3782" w:rsidRPr="00C454A1">
        <w:rPr>
          <w:color w:val="000000" w:themeColor="text1"/>
          <w:lang w:eastAsia="es-ES"/>
        </w:rPr>
        <w:fldChar w:fldCharType="separate"/>
      </w:r>
      <w:r w:rsidR="00881E6A">
        <w:rPr>
          <w:color w:val="000000" w:themeColor="text1"/>
          <w:lang w:eastAsia="es-ES"/>
        </w:rPr>
        <w:t>88</w:t>
      </w:r>
      <w:r w:rsidR="007A3782" w:rsidRPr="00C454A1">
        <w:rPr>
          <w:color w:val="000000" w:themeColor="text1"/>
          <w:lang w:eastAsia="es-ES"/>
        </w:rPr>
        <w:fldChar w:fldCharType="end"/>
      </w:r>
      <w:r w:rsidRPr="00C454A1">
        <w:rPr>
          <w:color w:val="000000" w:themeColor="text1"/>
          <w:lang w:eastAsia="es-ES"/>
        </w:rPr>
        <w:t xml:space="preserve">, conforme </w:t>
      </w:r>
      <w:r w:rsidR="00950ED9" w:rsidRPr="00C454A1">
        <w:rPr>
          <w:color w:val="000000" w:themeColor="text1"/>
          <w:lang w:eastAsia="es-ES"/>
        </w:rPr>
        <w:t xml:space="preserve">a la Constitución Política y la LEEE, el presupuesto valorativo </w:t>
      </w:r>
      <w:r w:rsidR="00D7126C" w:rsidRPr="00C454A1">
        <w:rPr>
          <w:color w:val="000000" w:themeColor="text1"/>
          <w:lang w:eastAsia="es-ES"/>
        </w:rPr>
        <w:t xml:space="preserve">del estado de conmoción interior </w:t>
      </w:r>
      <w:r w:rsidR="00950ED9" w:rsidRPr="00C454A1">
        <w:rPr>
          <w:color w:val="000000" w:themeColor="text1"/>
          <w:lang w:eastAsia="es-ES"/>
        </w:rPr>
        <w:t xml:space="preserve">exige que </w:t>
      </w:r>
      <w:r w:rsidR="00D7126C" w:rsidRPr="00C454A1">
        <w:rPr>
          <w:color w:val="000000" w:themeColor="text1"/>
          <w:lang w:eastAsia="es-ES"/>
        </w:rPr>
        <w:t xml:space="preserve">el presidente de la República justifique que tiene razones fundadas para concluir que una </w:t>
      </w:r>
      <w:r w:rsidR="00950ED9" w:rsidRPr="00C454A1">
        <w:rPr>
          <w:color w:val="000000" w:themeColor="text1"/>
          <w:lang w:eastAsia="es-ES"/>
        </w:rPr>
        <w:t xml:space="preserve">perturbación del orden público </w:t>
      </w:r>
      <w:r w:rsidR="00D7126C" w:rsidRPr="00C454A1">
        <w:rPr>
          <w:color w:val="000000" w:themeColor="text1"/>
          <w:lang w:eastAsia="es-ES"/>
        </w:rPr>
        <w:t xml:space="preserve">es </w:t>
      </w:r>
      <w:r w:rsidR="00950ED9" w:rsidRPr="00C454A1">
        <w:rPr>
          <w:color w:val="000000" w:themeColor="text1"/>
          <w:lang w:eastAsia="es-ES"/>
        </w:rPr>
        <w:t xml:space="preserve">(i) grave, (ii) extraordinaria y (iii) </w:t>
      </w:r>
      <w:r w:rsidR="00D7126C" w:rsidRPr="00C454A1">
        <w:rPr>
          <w:color w:val="000000" w:themeColor="text1"/>
          <w:lang w:eastAsia="es-ES"/>
        </w:rPr>
        <w:t>atenta</w:t>
      </w:r>
      <w:r w:rsidR="00950ED9" w:rsidRPr="00C454A1">
        <w:rPr>
          <w:color w:val="000000" w:themeColor="text1"/>
          <w:lang w:eastAsia="es-ES"/>
        </w:rPr>
        <w:t xml:space="preserve"> de forma inminente contra la estabilidad institucional, la seguridad del Estado </w:t>
      </w:r>
      <w:r w:rsidR="00C66334" w:rsidRPr="00C454A1">
        <w:rPr>
          <w:color w:val="000000" w:themeColor="text1"/>
          <w:lang w:eastAsia="es-ES"/>
        </w:rPr>
        <w:t>o</w:t>
      </w:r>
      <w:r w:rsidR="00950ED9" w:rsidRPr="00C454A1">
        <w:rPr>
          <w:color w:val="000000" w:themeColor="text1"/>
          <w:lang w:eastAsia="es-ES"/>
        </w:rPr>
        <w:t xml:space="preserve"> la convivencia ciudadana.</w:t>
      </w:r>
      <w:r w:rsidR="00950ED9" w:rsidRPr="00C454A1">
        <w:rPr>
          <w:color w:val="000000" w:themeColor="text1"/>
          <w:vertAlign w:val="superscript"/>
          <w:lang w:eastAsia="es-ES"/>
        </w:rPr>
        <w:footnoteReference w:id="249"/>
      </w:r>
      <w:r w:rsidR="00950ED9" w:rsidRPr="00C454A1">
        <w:rPr>
          <w:color w:val="000000" w:themeColor="text1"/>
          <w:lang w:eastAsia="es-ES"/>
        </w:rPr>
        <w:t xml:space="preserve">. </w:t>
      </w:r>
    </w:p>
    <w:p w14:paraId="3ED1FEB4" w14:textId="77777777" w:rsidR="00A51FDD" w:rsidRPr="00C454A1" w:rsidRDefault="00A51FDD" w:rsidP="00A51FDD">
      <w:pPr>
        <w:rPr>
          <w:color w:val="000000" w:themeColor="text1"/>
          <w:lang w:eastAsia="es-ES"/>
        </w:rPr>
      </w:pPr>
    </w:p>
    <w:p w14:paraId="526C3733" w14:textId="556C524C"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La Corte Constitucional ha reconocido que el </w:t>
      </w:r>
      <w:r w:rsidR="002758EA" w:rsidRPr="00C454A1">
        <w:rPr>
          <w:color w:val="000000" w:themeColor="text1"/>
          <w:lang w:eastAsia="es-ES"/>
        </w:rPr>
        <w:t>p</w:t>
      </w:r>
      <w:r w:rsidRPr="00C454A1">
        <w:rPr>
          <w:color w:val="000000" w:themeColor="text1"/>
          <w:lang w:eastAsia="es-ES"/>
        </w:rPr>
        <w:t xml:space="preserve">residente de la República cuenta con un margen amplio de discrecionalidad </w:t>
      </w:r>
      <w:r w:rsidR="006C3669" w:rsidRPr="00C454A1">
        <w:rPr>
          <w:color w:val="000000" w:themeColor="text1"/>
          <w:lang w:eastAsia="es-ES"/>
        </w:rPr>
        <w:t xml:space="preserve">para valorar </w:t>
      </w:r>
      <w:r w:rsidRPr="00C454A1">
        <w:rPr>
          <w:color w:val="000000" w:themeColor="text1"/>
          <w:lang w:eastAsia="es-ES"/>
        </w:rPr>
        <w:t xml:space="preserve">el </w:t>
      </w:r>
      <w:r w:rsidR="00ED2943" w:rsidRPr="00C454A1">
        <w:rPr>
          <w:color w:val="000000" w:themeColor="text1"/>
          <w:lang w:eastAsia="es-ES"/>
        </w:rPr>
        <w:t xml:space="preserve">cumplimiento del </w:t>
      </w:r>
      <w:r w:rsidRPr="00C454A1">
        <w:rPr>
          <w:color w:val="000000" w:themeColor="text1"/>
          <w:lang w:eastAsia="es-ES"/>
        </w:rPr>
        <w:t xml:space="preserve">presupuesto valorativo. Este margen, sin embargo, no es absoluto. La valoración </w:t>
      </w:r>
      <w:r w:rsidR="006C3669" w:rsidRPr="00C454A1">
        <w:rPr>
          <w:color w:val="000000" w:themeColor="text1"/>
          <w:lang w:eastAsia="es-ES"/>
        </w:rPr>
        <w:t>que realice</w:t>
      </w:r>
      <w:r w:rsidRPr="00C454A1">
        <w:rPr>
          <w:color w:val="000000" w:themeColor="text1"/>
          <w:lang w:eastAsia="es-ES"/>
        </w:rPr>
        <w:t xml:space="preserve"> sobre la intensidad, la naturaleza y el potencial lesivo de la perturbación del orden público está jurídicamente reglada y debe respetar los límites semánticos y axiológicos que la Constitución Política y la LEEE instituyen. </w:t>
      </w:r>
      <w:r w:rsidR="006C3669" w:rsidRPr="00C454A1">
        <w:rPr>
          <w:color w:val="000000" w:themeColor="text1"/>
          <w:lang w:eastAsia="es-ES"/>
        </w:rPr>
        <w:t xml:space="preserve">Además, pese </w:t>
      </w:r>
      <w:r w:rsidRPr="00C454A1">
        <w:rPr>
          <w:color w:val="000000" w:themeColor="text1"/>
          <w:lang w:eastAsia="es-ES"/>
        </w:rPr>
        <w:t xml:space="preserve">a tener un componente apreciativo, el presupuesto valorativo no es un asunto de mera voluntad política; por el contrario, </w:t>
      </w:r>
      <w:r w:rsidR="006C3669" w:rsidRPr="00C454A1">
        <w:rPr>
          <w:color w:val="000000" w:themeColor="text1"/>
          <w:lang w:eastAsia="es-ES"/>
        </w:rPr>
        <w:t xml:space="preserve">debe tener </w:t>
      </w:r>
      <w:r w:rsidRPr="00C454A1">
        <w:rPr>
          <w:color w:val="000000" w:themeColor="text1"/>
          <w:lang w:eastAsia="es-ES"/>
        </w:rPr>
        <w:t xml:space="preserve">referentes empíricos verificables. En este sentido, </w:t>
      </w:r>
      <w:r w:rsidR="006C3669" w:rsidRPr="00C454A1">
        <w:rPr>
          <w:color w:val="000000" w:themeColor="text1"/>
          <w:lang w:eastAsia="es-ES"/>
        </w:rPr>
        <w:t>en el fundamento</w:t>
      </w:r>
      <w:r w:rsidR="00371281" w:rsidRPr="00C454A1">
        <w:rPr>
          <w:color w:val="000000" w:themeColor="text1"/>
          <w:lang w:eastAsia="es-ES"/>
        </w:rPr>
        <w:t xml:space="preserve"> jurídico</w:t>
      </w:r>
      <w:r w:rsidR="006C3669" w:rsidRPr="00C454A1">
        <w:rPr>
          <w:color w:val="000000" w:themeColor="text1"/>
          <w:lang w:eastAsia="es-ES"/>
        </w:rPr>
        <w:t xml:space="preserve"> </w:t>
      </w:r>
      <w:r w:rsidR="00371281" w:rsidRPr="00C454A1">
        <w:rPr>
          <w:color w:val="000000" w:themeColor="text1"/>
          <w:lang w:eastAsia="es-ES"/>
        </w:rPr>
        <w:fldChar w:fldCharType="begin"/>
      </w:r>
      <w:r w:rsidR="00371281" w:rsidRPr="00C454A1">
        <w:rPr>
          <w:color w:val="000000" w:themeColor="text1"/>
          <w:lang w:eastAsia="es-ES"/>
        </w:rPr>
        <w:instrText xml:space="preserve"> REF _Ref219308598 \r \h </w:instrText>
      </w:r>
      <w:r w:rsidR="00DD0E75" w:rsidRPr="00C454A1">
        <w:rPr>
          <w:color w:val="000000" w:themeColor="text1"/>
          <w:lang w:eastAsia="es-ES"/>
        </w:rPr>
        <w:instrText xml:space="preserve"> \* MERGEFORMAT </w:instrText>
      </w:r>
      <w:r w:rsidR="00371281" w:rsidRPr="00C454A1">
        <w:rPr>
          <w:color w:val="000000" w:themeColor="text1"/>
          <w:lang w:eastAsia="es-ES"/>
        </w:rPr>
      </w:r>
      <w:r w:rsidR="00371281" w:rsidRPr="00C454A1">
        <w:rPr>
          <w:color w:val="000000" w:themeColor="text1"/>
          <w:lang w:eastAsia="es-ES"/>
        </w:rPr>
        <w:fldChar w:fldCharType="separate"/>
      </w:r>
      <w:r w:rsidR="00881E6A">
        <w:rPr>
          <w:color w:val="000000" w:themeColor="text1"/>
          <w:lang w:eastAsia="es-ES"/>
        </w:rPr>
        <w:t>83</w:t>
      </w:r>
      <w:r w:rsidR="00371281" w:rsidRPr="00C454A1">
        <w:rPr>
          <w:color w:val="000000" w:themeColor="text1"/>
          <w:lang w:eastAsia="es-ES"/>
        </w:rPr>
        <w:fldChar w:fldCharType="end"/>
      </w:r>
      <w:r w:rsidR="006C3669" w:rsidRPr="00C454A1">
        <w:rPr>
          <w:color w:val="000000" w:themeColor="text1"/>
          <w:lang w:eastAsia="es-ES"/>
        </w:rPr>
        <w:t xml:space="preserve"> se indicó que</w:t>
      </w:r>
      <w:r w:rsidR="00C729C1" w:rsidRPr="00C454A1">
        <w:rPr>
          <w:color w:val="000000" w:themeColor="text1"/>
          <w:lang w:eastAsia="es-ES"/>
        </w:rPr>
        <w:t>,</w:t>
      </w:r>
      <w:r w:rsidR="006C3669" w:rsidRPr="00C454A1">
        <w:rPr>
          <w:color w:val="000000" w:themeColor="text1"/>
          <w:lang w:eastAsia="es-ES"/>
        </w:rPr>
        <w:t xml:space="preserve"> para satisfacer el presupuesto valorativo, el presidente de la República está llamado a cumplir dos obligaciones: una de índole argumentativa y otra de naturaleza probatoria. La primera exige que en la parte motiva del decreto declaratorio, el Gobierno nacional consigne una apreciación justificada sobre la gravedad de los hechos, su naturaleza excepcional y la inminencia de la afectación de la estabilidad institucional, la seguridad del Estado o la convivencia ciudadana. El incumplimiento de este deber convierte en arbitraria la declaración del estado de conmoción interior, pues significa una elusión de las cargas argumentativas mínimas a cargo del Gobierno nacional. La segunda obligación se refiere al deber del Gobierno nacional de aportar pruebas objetivas que respalden su apreciación de los hechos.</w:t>
      </w:r>
    </w:p>
    <w:p w14:paraId="1C8E7360" w14:textId="77777777" w:rsidR="00950ED9" w:rsidRPr="00C454A1" w:rsidRDefault="00950ED9" w:rsidP="00631C27">
      <w:pPr>
        <w:rPr>
          <w:color w:val="000000" w:themeColor="text1"/>
          <w:lang w:eastAsia="es-ES"/>
        </w:rPr>
      </w:pPr>
    </w:p>
    <w:p w14:paraId="1FECE72B" w14:textId="02D511FE"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El presupuesto valorativo de la declaratoria está sujeto a un juicio de mera razonabilidad</w:t>
      </w:r>
      <w:r w:rsidRPr="00C454A1">
        <w:rPr>
          <w:color w:val="000000" w:themeColor="text1"/>
          <w:vertAlign w:val="superscript"/>
          <w:lang w:eastAsia="es-ES"/>
        </w:rPr>
        <w:footnoteReference w:id="250"/>
      </w:r>
      <w:r w:rsidR="00E95E15" w:rsidRPr="00C454A1">
        <w:rPr>
          <w:color w:val="000000" w:themeColor="text1"/>
          <w:lang w:eastAsia="es-ES"/>
        </w:rPr>
        <w:t xml:space="preserve"> (ver </w:t>
      </w:r>
      <w:r w:rsidR="00E95E15" w:rsidRPr="00C454A1">
        <w:rPr>
          <w:i/>
          <w:iCs/>
          <w:color w:val="000000" w:themeColor="text1"/>
          <w:lang w:eastAsia="es-ES"/>
        </w:rPr>
        <w:t>supra</w:t>
      </w:r>
      <w:r w:rsidR="00E95E15" w:rsidRPr="00C454A1">
        <w:rPr>
          <w:color w:val="000000" w:themeColor="text1"/>
          <w:lang w:eastAsia="es-ES"/>
        </w:rPr>
        <w:t xml:space="preserve"> fundamentos </w:t>
      </w:r>
      <w:r w:rsidR="007A3782" w:rsidRPr="00C454A1">
        <w:rPr>
          <w:color w:val="000000" w:themeColor="text1"/>
          <w:lang w:eastAsia="es-ES"/>
        </w:rPr>
        <w:fldChar w:fldCharType="begin"/>
      </w:r>
      <w:r w:rsidR="007A3782" w:rsidRPr="00C454A1">
        <w:rPr>
          <w:color w:val="000000" w:themeColor="text1"/>
          <w:lang w:eastAsia="es-ES"/>
        </w:rPr>
        <w:instrText xml:space="preserve"> REF _Ref223705484 \r \h </w:instrText>
      </w:r>
      <w:r w:rsidR="00DD0E75" w:rsidRPr="00C454A1">
        <w:rPr>
          <w:color w:val="000000" w:themeColor="text1"/>
          <w:lang w:eastAsia="es-ES"/>
        </w:rPr>
        <w:instrText xml:space="preserve"> \* MERGEFORMAT </w:instrText>
      </w:r>
      <w:r w:rsidR="007A3782" w:rsidRPr="00C454A1">
        <w:rPr>
          <w:color w:val="000000" w:themeColor="text1"/>
          <w:lang w:eastAsia="es-ES"/>
        </w:rPr>
      </w:r>
      <w:r w:rsidR="007A3782" w:rsidRPr="00C454A1">
        <w:rPr>
          <w:color w:val="000000" w:themeColor="text1"/>
          <w:lang w:eastAsia="es-ES"/>
        </w:rPr>
        <w:fldChar w:fldCharType="separate"/>
      </w:r>
      <w:r w:rsidR="00881E6A">
        <w:rPr>
          <w:color w:val="000000" w:themeColor="text1"/>
          <w:lang w:eastAsia="es-ES"/>
        </w:rPr>
        <w:t>85</w:t>
      </w:r>
      <w:r w:rsidR="007A3782" w:rsidRPr="00C454A1">
        <w:rPr>
          <w:color w:val="000000" w:themeColor="text1"/>
          <w:lang w:eastAsia="es-ES"/>
        </w:rPr>
        <w:fldChar w:fldCharType="end"/>
      </w:r>
      <w:r w:rsidR="00E95E15" w:rsidRPr="00C454A1">
        <w:rPr>
          <w:color w:val="000000" w:themeColor="text1"/>
          <w:lang w:eastAsia="es-ES"/>
        </w:rPr>
        <w:t xml:space="preserve"> </w:t>
      </w:r>
      <w:r w:rsidR="007A3782" w:rsidRPr="00C454A1">
        <w:rPr>
          <w:color w:val="000000" w:themeColor="text1"/>
          <w:lang w:eastAsia="es-ES"/>
        </w:rPr>
        <w:t xml:space="preserve">a </w:t>
      </w:r>
      <w:r w:rsidR="007A3782" w:rsidRPr="00C454A1">
        <w:rPr>
          <w:color w:val="000000" w:themeColor="text1"/>
          <w:lang w:eastAsia="es-ES"/>
        </w:rPr>
        <w:fldChar w:fldCharType="begin"/>
      </w:r>
      <w:r w:rsidR="007A3782" w:rsidRPr="00C454A1">
        <w:rPr>
          <w:color w:val="000000" w:themeColor="text1"/>
          <w:lang w:eastAsia="es-ES"/>
        </w:rPr>
        <w:instrText xml:space="preserve"> REF _Ref223705514 \r \h </w:instrText>
      </w:r>
      <w:r w:rsidR="00DD0E75" w:rsidRPr="00C454A1">
        <w:rPr>
          <w:color w:val="000000" w:themeColor="text1"/>
          <w:lang w:eastAsia="es-ES"/>
        </w:rPr>
        <w:instrText xml:space="preserve"> \* MERGEFORMAT </w:instrText>
      </w:r>
      <w:r w:rsidR="007A3782" w:rsidRPr="00C454A1">
        <w:rPr>
          <w:color w:val="000000" w:themeColor="text1"/>
          <w:lang w:eastAsia="es-ES"/>
        </w:rPr>
      </w:r>
      <w:r w:rsidR="007A3782" w:rsidRPr="00C454A1">
        <w:rPr>
          <w:color w:val="000000" w:themeColor="text1"/>
          <w:lang w:eastAsia="es-ES"/>
        </w:rPr>
        <w:fldChar w:fldCharType="separate"/>
      </w:r>
      <w:r w:rsidR="00881E6A">
        <w:rPr>
          <w:color w:val="000000" w:themeColor="text1"/>
          <w:lang w:eastAsia="es-ES"/>
        </w:rPr>
        <w:t>87</w:t>
      </w:r>
      <w:r w:rsidR="007A3782" w:rsidRPr="00C454A1">
        <w:rPr>
          <w:color w:val="000000" w:themeColor="text1"/>
          <w:lang w:eastAsia="es-ES"/>
        </w:rPr>
        <w:fldChar w:fldCharType="end"/>
      </w:r>
      <w:r w:rsidR="00E95E15" w:rsidRPr="00C454A1">
        <w:rPr>
          <w:color w:val="000000" w:themeColor="text1"/>
          <w:lang w:eastAsia="es-ES"/>
        </w:rPr>
        <w:t>)</w:t>
      </w:r>
      <w:r w:rsidRPr="00C454A1">
        <w:rPr>
          <w:color w:val="000000" w:themeColor="text1"/>
          <w:lang w:eastAsia="es-ES"/>
        </w:rPr>
        <w:t xml:space="preserve">. Por medio de este juicio, la Corte Constitucional constata si la valoración que el </w:t>
      </w:r>
      <w:r w:rsidR="002758EA" w:rsidRPr="00C454A1">
        <w:rPr>
          <w:color w:val="000000" w:themeColor="text1"/>
          <w:lang w:eastAsia="es-ES"/>
        </w:rPr>
        <w:t>p</w:t>
      </w:r>
      <w:r w:rsidRPr="00C454A1">
        <w:rPr>
          <w:color w:val="000000" w:themeColor="text1"/>
          <w:lang w:eastAsia="es-ES"/>
        </w:rPr>
        <w:t>residente de la República efectuó respecto de la gravedad, carácter extraordinario e inminencia de los efectos de la perturbación del orden público “es o no arbitraria y si en ella incurrió o no en un error manifiesto de apreciación”</w:t>
      </w:r>
      <w:r w:rsidRPr="00C454A1">
        <w:rPr>
          <w:color w:val="000000" w:themeColor="text1"/>
          <w:vertAlign w:val="superscript"/>
          <w:lang w:eastAsia="es-ES"/>
        </w:rPr>
        <w:footnoteReference w:id="251"/>
      </w:r>
      <w:r w:rsidRPr="00C454A1">
        <w:rPr>
          <w:color w:val="000000" w:themeColor="text1"/>
          <w:lang w:eastAsia="es-ES"/>
        </w:rPr>
        <w:t xml:space="preserve">. </w:t>
      </w:r>
    </w:p>
    <w:p w14:paraId="5E6D266D" w14:textId="77777777" w:rsidR="00950ED9" w:rsidRPr="00C454A1" w:rsidRDefault="00950ED9" w:rsidP="00631C27">
      <w:pPr>
        <w:rPr>
          <w:color w:val="000000" w:themeColor="text1"/>
          <w:lang w:eastAsia="es-ES"/>
        </w:rPr>
      </w:pPr>
    </w:p>
    <w:p w14:paraId="1C67FA38" w14:textId="31BD819A"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 </w:t>
      </w:r>
      <w:r w:rsidR="00E95E15" w:rsidRPr="00C454A1">
        <w:rPr>
          <w:color w:val="000000" w:themeColor="text1"/>
          <w:lang w:eastAsia="es-ES"/>
        </w:rPr>
        <w:t>A la luz de estos estándares</w:t>
      </w:r>
      <w:r w:rsidRPr="00C454A1">
        <w:rPr>
          <w:color w:val="000000" w:themeColor="text1"/>
          <w:lang w:eastAsia="es-ES"/>
        </w:rPr>
        <w:t xml:space="preserve">, la Sala Plena </w:t>
      </w:r>
      <w:r w:rsidR="00E95E15" w:rsidRPr="00C454A1">
        <w:rPr>
          <w:color w:val="000000" w:themeColor="text1"/>
          <w:lang w:eastAsia="es-ES"/>
        </w:rPr>
        <w:t xml:space="preserve">observa que el Decreto 62 de 2025 </w:t>
      </w:r>
      <w:r w:rsidR="00384826" w:rsidRPr="00C454A1">
        <w:rPr>
          <w:color w:val="000000" w:themeColor="text1"/>
          <w:lang w:eastAsia="es-ES"/>
        </w:rPr>
        <w:t>satisface</w:t>
      </w:r>
      <w:r w:rsidR="00E95E15" w:rsidRPr="00C454A1">
        <w:rPr>
          <w:color w:val="000000" w:themeColor="text1"/>
          <w:lang w:eastAsia="es-ES"/>
        </w:rPr>
        <w:t xml:space="preserve"> parcialmente el presupuesto valorativo. </w:t>
      </w:r>
      <w:r w:rsidR="00DD6E1C" w:rsidRPr="00C454A1">
        <w:rPr>
          <w:color w:val="000000" w:themeColor="text1"/>
          <w:lang w:eastAsia="es-ES"/>
        </w:rPr>
        <w:t>Si bien la categorización del Gobierno nacional de los hechos invocados como graves está debidamente justificada y respaldada probatoriamente, no ocurre lo mismo con su valoración como extraordinarios</w:t>
      </w:r>
      <w:r w:rsidR="00384826" w:rsidRPr="00C454A1">
        <w:rPr>
          <w:color w:val="000000" w:themeColor="text1"/>
          <w:lang w:eastAsia="es-ES"/>
        </w:rPr>
        <w:t xml:space="preserve">. Para la Sala Plena, el </w:t>
      </w:r>
      <w:r w:rsidR="006B162C" w:rsidRPr="00C454A1">
        <w:rPr>
          <w:color w:val="000000" w:themeColor="text1"/>
          <w:lang w:eastAsia="es-ES"/>
        </w:rPr>
        <w:t xml:space="preserve">Gobierno nacional justificó el </w:t>
      </w:r>
      <w:r w:rsidR="00384826" w:rsidRPr="00C454A1">
        <w:rPr>
          <w:color w:val="000000" w:themeColor="text1"/>
          <w:lang w:eastAsia="es-ES"/>
        </w:rPr>
        <w:t xml:space="preserve">carácter extraordinario </w:t>
      </w:r>
      <w:r w:rsidR="006B162C" w:rsidRPr="00C454A1">
        <w:rPr>
          <w:color w:val="000000" w:themeColor="text1"/>
          <w:lang w:eastAsia="es-ES"/>
        </w:rPr>
        <w:t>de los</w:t>
      </w:r>
      <w:r w:rsidR="00384826" w:rsidRPr="00C454A1">
        <w:rPr>
          <w:color w:val="000000" w:themeColor="text1"/>
          <w:lang w:eastAsia="es-ES"/>
        </w:rPr>
        <w:t xml:space="preserve"> siguientes hechos</w:t>
      </w:r>
      <w:r w:rsidR="005A2397" w:rsidRPr="00C454A1">
        <w:rPr>
          <w:color w:val="000000" w:themeColor="text1"/>
          <w:lang w:eastAsia="es-ES"/>
        </w:rPr>
        <w:t xml:space="preserve"> -los hechos del grupo 2 definidos en el fundamento jurídico</w:t>
      </w:r>
      <w:r w:rsidR="00ED3F10" w:rsidRPr="00C454A1">
        <w:rPr>
          <w:color w:val="000000" w:themeColor="text1"/>
          <w:lang w:eastAsia="es-ES"/>
        </w:rPr>
        <w:t xml:space="preserve"> </w:t>
      </w:r>
      <w:r w:rsidR="00ED3F10" w:rsidRPr="00C454A1">
        <w:rPr>
          <w:color w:val="000000" w:themeColor="text1"/>
          <w:lang w:eastAsia="es-ES"/>
        </w:rPr>
        <w:fldChar w:fldCharType="begin"/>
      </w:r>
      <w:r w:rsidR="00ED3F10" w:rsidRPr="00C454A1">
        <w:rPr>
          <w:color w:val="000000" w:themeColor="text1"/>
          <w:lang w:eastAsia="es-ES"/>
        </w:rPr>
        <w:instrText xml:space="preserve"> REF _Ref223678313 \r \h  \* MERGEFORMAT </w:instrText>
      </w:r>
      <w:r w:rsidR="00ED3F10" w:rsidRPr="00C454A1">
        <w:rPr>
          <w:color w:val="000000" w:themeColor="text1"/>
          <w:lang w:eastAsia="es-ES"/>
        </w:rPr>
      </w:r>
      <w:r w:rsidR="00ED3F10" w:rsidRPr="00C454A1">
        <w:rPr>
          <w:color w:val="000000" w:themeColor="text1"/>
          <w:lang w:eastAsia="es-ES"/>
        </w:rPr>
        <w:fldChar w:fldCharType="separate"/>
      </w:r>
      <w:r w:rsidR="00881E6A">
        <w:rPr>
          <w:color w:val="000000" w:themeColor="text1"/>
          <w:lang w:eastAsia="es-ES"/>
        </w:rPr>
        <w:t>186</w:t>
      </w:r>
      <w:r w:rsidR="00ED3F10" w:rsidRPr="00C454A1">
        <w:rPr>
          <w:color w:val="000000" w:themeColor="text1"/>
          <w:lang w:eastAsia="es-ES"/>
        </w:rPr>
        <w:fldChar w:fldCharType="end"/>
      </w:r>
      <w:r w:rsidR="00384826" w:rsidRPr="00C454A1">
        <w:rPr>
          <w:color w:val="000000" w:themeColor="text1"/>
          <w:lang w:eastAsia="es-ES"/>
        </w:rPr>
        <w:t xml:space="preserve">: </w:t>
      </w:r>
      <w:r w:rsidR="00384826" w:rsidRPr="00C454A1">
        <w:rPr>
          <w:rFonts w:cs="Times New Roman"/>
          <w:color w:val="000000" w:themeColor="text1"/>
          <w:szCs w:val="28"/>
          <w:bdr w:val="none" w:sz="0" w:space="0" w:color="auto" w:frame="1"/>
        </w:rPr>
        <w:t xml:space="preserve">(i) la intensificación de los enfrentamientos entre el ELN y otros </w:t>
      </w:r>
      <w:r w:rsidR="00EE77DF" w:rsidRPr="00C454A1">
        <w:rPr>
          <w:rFonts w:cs="Times New Roman"/>
          <w:color w:val="000000" w:themeColor="text1"/>
          <w:szCs w:val="28"/>
          <w:bdr w:val="none" w:sz="0" w:space="0" w:color="auto" w:frame="1"/>
        </w:rPr>
        <w:t>GAO</w:t>
      </w:r>
      <w:r w:rsidR="00384826" w:rsidRPr="00C454A1">
        <w:rPr>
          <w:rFonts w:cs="Times New Roman"/>
          <w:color w:val="000000" w:themeColor="text1"/>
          <w:szCs w:val="28"/>
          <w:bdr w:val="none" w:sz="0" w:space="0" w:color="auto" w:frame="1"/>
        </w:rPr>
        <w:t xml:space="preserve">, así como los ataques y hostilidades dirigidos de forma indiscriminada contra la población civil y los firmantes del </w:t>
      </w:r>
      <w:r w:rsidR="00F35A90" w:rsidRPr="00C454A1">
        <w:rPr>
          <w:rFonts w:cs="Times New Roman"/>
          <w:color w:val="000000" w:themeColor="text1"/>
          <w:szCs w:val="28"/>
          <w:bdr w:val="none" w:sz="0" w:space="0" w:color="auto" w:frame="1"/>
        </w:rPr>
        <w:lastRenderedPageBreak/>
        <w:t>AFP</w:t>
      </w:r>
      <w:r w:rsidR="00384826" w:rsidRPr="00C454A1">
        <w:rPr>
          <w:rFonts w:cs="Times New Roman"/>
          <w:color w:val="000000" w:themeColor="text1"/>
          <w:szCs w:val="28"/>
          <w:bdr w:val="none" w:sz="0" w:space="0" w:color="auto" w:frame="1"/>
        </w:rPr>
        <w:t xml:space="preserve"> y (ii) la crisis humanitaria derivada de desplazamientos forzados -internos y transfronterizos- y confinamientos masivos que ha desbordado la capacidad institucional del Estado para atenderla.</w:t>
      </w:r>
      <w:r w:rsidR="006B162C" w:rsidRPr="00C454A1">
        <w:rPr>
          <w:rFonts w:cs="Times New Roman"/>
          <w:color w:val="000000" w:themeColor="text1"/>
          <w:szCs w:val="28"/>
          <w:bdr w:val="none" w:sz="0" w:space="0" w:color="auto" w:frame="1"/>
        </w:rPr>
        <w:t xml:space="preserve"> No ocurrió lo mismo </w:t>
      </w:r>
      <w:r w:rsidR="00E15C05" w:rsidRPr="00C454A1">
        <w:rPr>
          <w:rFonts w:cs="Times New Roman"/>
          <w:color w:val="000000" w:themeColor="text1"/>
          <w:szCs w:val="28"/>
          <w:bdr w:val="none" w:sz="0" w:space="0" w:color="auto" w:frame="1"/>
        </w:rPr>
        <w:t>con</w:t>
      </w:r>
      <w:r w:rsidR="006B162C" w:rsidRPr="00C454A1">
        <w:rPr>
          <w:rFonts w:cs="Times New Roman"/>
          <w:color w:val="000000" w:themeColor="text1"/>
          <w:szCs w:val="28"/>
          <w:bdr w:val="none" w:sz="0" w:space="0" w:color="auto" w:frame="1"/>
        </w:rPr>
        <w:t xml:space="preserve"> los demás hechos</w:t>
      </w:r>
      <w:r w:rsidR="00ED3F10" w:rsidRPr="00C454A1">
        <w:rPr>
          <w:rFonts w:cs="Times New Roman"/>
          <w:color w:val="000000" w:themeColor="text1"/>
          <w:szCs w:val="28"/>
          <w:bdr w:val="none" w:sz="0" w:space="0" w:color="auto" w:frame="1"/>
        </w:rPr>
        <w:t xml:space="preserve"> -los del grupo 1-</w:t>
      </w:r>
      <w:r w:rsidR="00E15C05" w:rsidRPr="00C454A1">
        <w:rPr>
          <w:rFonts w:cs="Times New Roman"/>
          <w:color w:val="000000" w:themeColor="text1"/>
          <w:szCs w:val="28"/>
          <w:bdr w:val="none" w:sz="0" w:space="0" w:color="auto" w:frame="1"/>
        </w:rPr>
        <w:t>.</w:t>
      </w:r>
      <w:r w:rsidR="006B162C" w:rsidRPr="00C454A1">
        <w:rPr>
          <w:rFonts w:cs="Times New Roman"/>
          <w:color w:val="000000" w:themeColor="text1"/>
          <w:szCs w:val="28"/>
          <w:bdr w:val="none" w:sz="0" w:space="0" w:color="auto" w:frame="1"/>
        </w:rPr>
        <w:t xml:space="preserve"> </w:t>
      </w:r>
      <w:r w:rsidR="00E15C05" w:rsidRPr="00C454A1">
        <w:rPr>
          <w:rFonts w:cs="Times New Roman"/>
          <w:color w:val="000000" w:themeColor="text1"/>
          <w:szCs w:val="28"/>
          <w:bdr w:val="none" w:sz="0" w:space="0" w:color="auto" w:frame="1"/>
        </w:rPr>
        <w:t>Respecto a ellos, la Corte considera que existen elementos que desacreditan su carácter extraordinario y, por el contrario, sugieren su naturaleza crónica y estructural.</w:t>
      </w:r>
      <w:r w:rsidR="006B162C" w:rsidRPr="00C454A1">
        <w:rPr>
          <w:rFonts w:cs="Times New Roman"/>
          <w:color w:val="000000" w:themeColor="text1"/>
          <w:szCs w:val="28"/>
          <w:bdr w:val="none" w:sz="0" w:space="0" w:color="auto" w:frame="1"/>
        </w:rPr>
        <w:t xml:space="preserve"> </w:t>
      </w:r>
      <w:r w:rsidR="00E15C05" w:rsidRPr="00C454A1">
        <w:rPr>
          <w:rFonts w:cs="Times New Roman"/>
          <w:color w:val="000000" w:themeColor="text1"/>
          <w:szCs w:val="28"/>
          <w:bdr w:val="none" w:sz="0" w:space="0" w:color="auto" w:frame="1"/>
        </w:rPr>
        <w:t xml:space="preserve">Sobre </w:t>
      </w:r>
      <w:r w:rsidR="006B162C" w:rsidRPr="00C454A1">
        <w:rPr>
          <w:rFonts w:cs="Times New Roman"/>
          <w:color w:val="000000" w:themeColor="text1"/>
          <w:szCs w:val="28"/>
          <w:bdr w:val="none" w:sz="0" w:space="0" w:color="auto" w:frame="1"/>
        </w:rPr>
        <w:t>el primer grupo de hechos</w:t>
      </w:r>
      <w:r w:rsidR="00ED3F10" w:rsidRPr="00C454A1">
        <w:rPr>
          <w:rFonts w:cs="Times New Roman"/>
          <w:color w:val="000000" w:themeColor="text1"/>
          <w:szCs w:val="28"/>
          <w:bdr w:val="none" w:sz="0" w:space="0" w:color="auto" w:frame="1"/>
        </w:rPr>
        <w:t xml:space="preserve"> -los del grupo 2-</w:t>
      </w:r>
      <w:r w:rsidR="006B162C" w:rsidRPr="00C454A1">
        <w:rPr>
          <w:rFonts w:cs="Times New Roman"/>
          <w:color w:val="000000" w:themeColor="text1"/>
          <w:szCs w:val="28"/>
          <w:bdr w:val="none" w:sz="0" w:space="0" w:color="auto" w:frame="1"/>
        </w:rPr>
        <w:t xml:space="preserve">, la Sala Plena también observa que el Gobierno nacional valoró razonablemente que atentan de forma inminente contra </w:t>
      </w:r>
      <w:r w:rsidR="006B162C" w:rsidRPr="00C454A1">
        <w:rPr>
          <w:color w:val="000000" w:themeColor="text1"/>
          <w:lang w:eastAsia="es-ES"/>
        </w:rPr>
        <w:t>la estabilidad institucional, la seguridad del Estado y la convivencia ciudadana</w:t>
      </w:r>
      <w:r w:rsidR="00ED2943" w:rsidRPr="00C454A1">
        <w:rPr>
          <w:color w:val="000000" w:themeColor="text1"/>
          <w:lang w:eastAsia="es-ES"/>
        </w:rPr>
        <w:t>.</w:t>
      </w:r>
      <w:r w:rsidR="006B162C" w:rsidRPr="00C454A1">
        <w:rPr>
          <w:color w:val="000000" w:themeColor="text1"/>
          <w:lang w:eastAsia="es-ES"/>
        </w:rPr>
        <w:t xml:space="preserve"> </w:t>
      </w:r>
      <w:r w:rsidR="00ED2943" w:rsidRPr="00C454A1">
        <w:rPr>
          <w:color w:val="000000" w:themeColor="text1"/>
          <w:lang w:eastAsia="es-ES"/>
        </w:rPr>
        <w:t>P</w:t>
      </w:r>
      <w:r w:rsidR="006B162C" w:rsidRPr="00C454A1">
        <w:rPr>
          <w:color w:val="000000" w:themeColor="text1"/>
          <w:lang w:eastAsia="es-ES"/>
        </w:rPr>
        <w:t>or ello</w:t>
      </w:r>
      <w:r w:rsidR="00E15C05" w:rsidRPr="00C454A1">
        <w:rPr>
          <w:color w:val="000000" w:themeColor="text1"/>
          <w:lang w:eastAsia="es-ES"/>
        </w:rPr>
        <w:t>,</w:t>
      </w:r>
      <w:r w:rsidR="006B162C" w:rsidRPr="00C454A1">
        <w:rPr>
          <w:color w:val="000000" w:themeColor="text1"/>
          <w:lang w:eastAsia="es-ES"/>
        </w:rPr>
        <w:t xml:space="preserve"> en la sección </w:t>
      </w:r>
      <w:r w:rsidR="003220DA" w:rsidRPr="00C454A1">
        <w:rPr>
          <w:color w:val="000000" w:themeColor="text1"/>
          <w:lang w:eastAsia="es-ES"/>
        </w:rPr>
        <w:fldChar w:fldCharType="begin"/>
      </w:r>
      <w:r w:rsidR="003220DA" w:rsidRPr="00C454A1">
        <w:rPr>
          <w:color w:val="000000" w:themeColor="text1"/>
          <w:lang w:eastAsia="es-ES"/>
        </w:rPr>
        <w:instrText xml:space="preserve"> REF _Ref203393486 \r \h </w:instrText>
      </w:r>
      <w:r w:rsidR="009421B8" w:rsidRPr="00C454A1">
        <w:rPr>
          <w:color w:val="000000" w:themeColor="text1"/>
          <w:lang w:eastAsia="es-ES"/>
        </w:rPr>
        <w:instrText xml:space="preserve"> \* MERGEFORMAT </w:instrText>
      </w:r>
      <w:r w:rsidR="003220DA" w:rsidRPr="00C454A1">
        <w:rPr>
          <w:color w:val="000000" w:themeColor="text1"/>
          <w:lang w:eastAsia="es-ES"/>
        </w:rPr>
      </w:r>
      <w:r w:rsidR="003220DA" w:rsidRPr="00C454A1">
        <w:rPr>
          <w:color w:val="000000" w:themeColor="text1"/>
          <w:lang w:eastAsia="es-ES"/>
        </w:rPr>
        <w:fldChar w:fldCharType="separate"/>
      </w:r>
      <w:r w:rsidR="00881E6A">
        <w:rPr>
          <w:color w:val="000000" w:themeColor="text1"/>
          <w:lang w:eastAsia="es-ES"/>
        </w:rPr>
        <w:t>6.3</w:t>
      </w:r>
      <w:r w:rsidR="003220DA" w:rsidRPr="00C454A1">
        <w:rPr>
          <w:color w:val="000000" w:themeColor="text1"/>
          <w:lang w:eastAsia="es-ES"/>
        </w:rPr>
        <w:fldChar w:fldCharType="end"/>
      </w:r>
      <w:r w:rsidR="00E15C05" w:rsidRPr="00C454A1">
        <w:rPr>
          <w:color w:val="000000" w:themeColor="text1"/>
          <w:lang w:eastAsia="es-ES"/>
        </w:rPr>
        <w:t xml:space="preserve"> </w:t>
      </w:r>
      <w:r w:rsidR="00ED2943" w:rsidRPr="00C454A1">
        <w:rPr>
          <w:color w:val="000000" w:themeColor="text1"/>
          <w:lang w:eastAsia="es-ES"/>
        </w:rPr>
        <w:t>continuará con el estudio d</w:t>
      </w:r>
      <w:r w:rsidR="00E15C05" w:rsidRPr="00C454A1">
        <w:rPr>
          <w:color w:val="000000" w:themeColor="text1"/>
          <w:lang w:eastAsia="es-ES"/>
        </w:rPr>
        <w:t>e</w:t>
      </w:r>
      <w:r w:rsidR="00ED2943" w:rsidRPr="00C454A1">
        <w:rPr>
          <w:color w:val="000000" w:themeColor="text1"/>
          <w:lang w:eastAsia="es-ES"/>
        </w:rPr>
        <w:t xml:space="preserve"> si satisfacen el</w:t>
      </w:r>
      <w:r w:rsidR="006B162C" w:rsidRPr="00C454A1">
        <w:rPr>
          <w:color w:val="000000" w:themeColor="text1"/>
          <w:lang w:eastAsia="es-ES"/>
        </w:rPr>
        <w:t xml:space="preserve"> presupuesto de suficiencia. </w:t>
      </w:r>
      <w:r w:rsidR="00390126" w:rsidRPr="00C454A1">
        <w:rPr>
          <w:color w:val="000000" w:themeColor="text1"/>
          <w:lang w:eastAsia="es-ES"/>
        </w:rPr>
        <w:t>Las razones</w:t>
      </w:r>
      <w:r w:rsidR="006B162C" w:rsidRPr="00C454A1">
        <w:rPr>
          <w:color w:val="000000" w:themeColor="text1"/>
          <w:lang w:eastAsia="es-ES"/>
        </w:rPr>
        <w:t xml:space="preserve"> de estas conclusiones se desarrollan a continuación:</w:t>
      </w:r>
    </w:p>
    <w:p w14:paraId="5BF6E8EB" w14:textId="77777777" w:rsidR="00950ED9" w:rsidRPr="00C454A1" w:rsidRDefault="00950ED9" w:rsidP="00631C27">
      <w:pPr>
        <w:rPr>
          <w:color w:val="000000" w:themeColor="text1"/>
          <w:lang w:eastAsia="es-ES"/>
        </w:rPr>
      </w:pPr>
    </w:p>
    <w:p w14:paraId="2A527084" w14:textId="7F7E1B2A" w:rsidR="00950ED9" w:rsidRPr="00C454A1" w:rsidRDefault="00950ED9" w:rsidP="001C693F">
      <w:pPr>
        <w:pStyle w:val="Prrafodelista"/>
        <w:widowControl w:val="0"/>
        <w:numPr>
          <w:ilvl w:val="2"/>
          <w:numId w:val="3"/>
        </w:numPr>
        <w:outlineLvl w:val="0"/>
        <w:rPr>
          <w:b/>
          <w:bCs/>
          <w:color w:val="000000" w:themeColor="text1"/>
          <w:lang w:eastAsia="es-ES"/>
        </w:rPr>
      </w:pPr>
      <w:bookmarkStart w:id="183" w:name="_Toc223979952"/>
      <w:r w:rsidRPr="00C454A1">
        <w:rPr>
          <w:b/>
          <w:bCs/>
          <w:color w:val="000000" w:themeColor="text1"/>
          <w:lang w:eastAsia="es-ES"/>
        </w:rPr>
        <w:t xml:space="preserve">La </w:t>
      </w:r>
      <w:r w:rsidRPr="00C454A1">
        <w:rPr>
          <w:b/>
          <w:bCs/>
          <w:i/>
          <w:iCs/>
          <w:color w:val="000000" w:themeColor="text1"/>
          <w:lang w:eastAsia="es-ES"/>
        </w:rPr>
        <w:t>gravedad</w:t>
      </w:r>
      <w:r w:rsidRPr="00C454A1">
        <w:rPr>
          <w:b/>
          <w:bCs/>
          <w:color w:val="000000" w:themeColor="text1"/>
          <w:lang w:eastAsia="es-ES"/>
        </w:rPr>
        <w:t xml:space="preserve"> de la perturbación del orden público</w:t>
      </w:r>
      <w:bookmarkEnd w:id="183"/>
      <w:r w:rsidRPr="00C454A1">
        <w:rPr>
          <w:b/>
          <w:bCs/>
          <w:color w:val="000000" w:themeColor="text1"/>
          <w:lang w:eastAsia="es-ES"/>
        </w:rPr>
        <w:t xml:space="preserve"> </w:t>
      </w:r>
    </w:p>
    <w:p w14:paraId="37B33612" w14:textId="77777777" w:rsidR="00950ED9" w:rsidRPr="00C454A1" w:rsidRDefault="00950ED9" w:rsidP="00631C27">
      <w:pPr>
        <w:rPr>
          <w:color w:val="000000" w:themeColor="text1"/>
          <w:lang w:eastAsia="es-ES"/>
        </w:rPr>
      </w:pPr>
    </w:p>
    <w:p w14:paraId="75537986" w14:textId="00E07908" w:rsidR="00903462" w:rsidRPr="00C454A1" w:rsidRDefault="00BC0044" w:rsidP="00321FAF">
      <w:pPr>
        <w:numPr>
          <w:ilvl w:val="0"/>
          <w:numId w:val="2"/>
        </w:numPr>
        <w:ind w:left="0" w:firstLine="0"/>
        <w:rPr>
          <w:color w:val="000000" w:themeColor="text1"/>
          <w:lang w:eastAsia="es-ES"/>
        </w:rPr>
      </w:pPr>
      <w:r w:rsidRPr="00C454A1">
        <w:rPr>
          <w:color w:val="000000" w:themeColor="text1"/>
          <w:lang w:eastAsia="es-ES"/>
        </w:rPr>
        <w:t>El</w:t>
      </w:r>
      <w:r w:rsidR="00903462" w:rsidRPr="00C454A1">
        <w:rPr>
          <w:color w:val="000000" w:themeColor="text1"/>
          <w:lang w:eastAsia="es-ES"/>
        </w:rPr>
        <w:t xml:space="preserve"> adjetivo </w:t>
      </w:r>
      <w:r w:rsidRPr="00C454A1">
        <w:rPr>
          <w:i/>
          <w:iCs/>
          <w:color w:val="000000" w:themeColor="text1"/>
          <w:lang w:eastAsia="es-ES"/>
        </w:rPr>
        <w:t>gravedad</w:t>
      </w:r>
      <w:r w:rsidRPr="00C454A1">
        <w:rPr>
          <w:color w:val="000000" w:themeColor="text1"/>
          <w:lang w:eastAsia="es-ES"/>
        </w:rPr>
        <w:t xml:space="preserve"> </w:t>
      </w:r>
      <w:r w:rsidR="00903462" w:rsidRPr="00C454A1">
        <w:rPr>
          <w:color w:val="000000" w:themeColor="text1"/>
          <w:lang w:eastAsia="es-ES"/>
        </w:rPr>
        <w:t>denota “alta envergadura, magnitud o alcance”</w:t>
      </w:r>
      <w:r w:rsidR="00903462" w:rsidRPr="00C454A1">
        <w:rPr>
          <w:color w:val="000000" w:themeColor="text1"/>
          <w:vertAlign w:val="superscript"/>
          <w:lang w:eastAsia="es-ES"/>
        </w:rPr>
        <w:footnoteReference w:id="252"/>
      </w:r>
      <w:r w:rsidR="00903462" w:rsidRPr="00C454A1">
        <w:rPr>
          <w:color w:val="000000" w:themeColor="text1"/>
          <w:lang w:eastAsia="es-ES"/>
        </w:rPr>
        <w:t>. En este sentido, la Corte Constitucional ha estimado que la exigencia constitucional y estatutaria de gravedad demanda que la perturbación del orden público tenga un significativo “poder expansivo”, “capacidad desestabilizadora”, “potencial lesivo” y “cobertura”</w:t>
      </w:r>
      <w:r w:rsidR="00903462" w:rsidRPr="00C454A1">
        <w:rPr>
          <w:color w:val="000000" w:themeColor="text1"/>
          <w:vertAlign w:val="superscript"/>
          <w:lang w:eastAsia="es-ES"/>
        </w:rPr>
        <w:footnoteReference w:id="253"/>
      </w:r>
      <w:r w:rsidR="00903462" w:rsidRPr="00C454A1">
        <w:rPr>
          <w:color w:val="000000" w:themeColor="text1"/>
          <w:lang w:eastAsia="es-ES"/>
        </w:rPr>
        <w:t>. La gravedad debe examinarse a partir de criterios no sólo cuantitativos, sino también cualitativos</w:t>
      </w:r>
      <w:r w:rsidR="00052427" w:rsidRPr="00C454A1">
        <w:rPr>
          <w:color w:val="000000" w:themeColor="text1"/>
          <w:lang w:eastAsia="es-ES"/>
        </w:rPr>
        <w:t xml:space="preserve"> (ver </w:t>
      </w:r>
      <w:r w:rsidR="00052427" w:rsidRPr="00C454A1">
        <w:rPr>
          <w:i/>
          <w:iCs/>
          <w:color w:val="000000" w:themeColor="text1"/>
          <w:lang w:eastAsia="es-ES"/>
        </w:rPr>
        <w:t>supra</w:t>
      </w:r>
      <w:r w:rsidR="00052427" w:rsidRPr="00C454A1">
        <w:rPr>
          <w:color w:val="000000" w:themeColor="text1"/>
          <w:lang w:eastAsia="es-ES"/>
        </w:rPr>
        <w:t xml:space="preserve"> fundamento</w:t>
      </w:r>
      <w:r w:rsidR="00346B6C" w:rsidRPr="00C454A1">
        <w:rPr>
          <w:color w:val="000000" w:themeColor="text1"/>
          <w:lang w:eastAsia="es-ES"/>
        </w:rPr>
        <w:t xml:space="preserve"> </w:t>
      </w:r>
      <w:r w:rsidR="00346B6C" w:rsidRPr="00C454A1">
        <w:rPr>
          <w:color w:val="000000" w:themeColor="text1"/>
          <w:lang w:eastAsia="es-ES"/>
        </w:rPr>
        <w:fldChar w:fldCharType="begin"/>
      </w:r>
      <w:r w:rsidR="00346B6C" w:rsidRPr="00C454A1">
        <w:rPr>
          <w:color w:val="000000" w:themeColor="text1"/>
          <w:lang w:eastAsia="es-ES"/>
        </w:rPr>
        <w:instrText xml:space="preserve"> REF _Ref203394942 \r \h </w:instrText>
      </w:r>
      <w:r w:rsidR="00DD0E75" w:rsidRPr="00C454A1">
        <w:rPr>
          <w:color w:val="000000" w:themeColor="text1"/>
          <w:lang w:eastAsia="es-ES"/>
        </w:rPr>
        <w:instrText xml:space="preserve"> \* MERGEFORMAT </w:instrText>
      </w:r>
      <w:r w:rsidR="00346B6C" w:rsidRPr="00C454A1">
        <w:rPr>
          <w:color w:val="000000" w:themeColor="text1"/>
          <w:lang w:eastAsia="es-ES"/>
        </w:rPr>
      </w:r>
      <w:r w:rsidR="00346B6C" w:rsidRPr="00C454A1">
        <w:rPr>
          <w:color w:val="000000" w:themeColor="text1"/>
          <w:lang w:eastAsia="es-ES"/>
        </w:rPr>
        <w:fldChar w:fldCharType="separate"/>
      </w:r>
      <w:r w:rsidR="00881E6A">
        <w:rPr>
          <w:color w:val="000000" w:themeColor="text1"/>
          <w:lang w:eastAsia="es-ES"/>
        </w:rPr>
        <w:t>75</w:t>
      </w:r>
      <w:r w:rsidR="00346B6C" w:rsidRPr="00C454A1">
        <w:rPr>
          <w:color w:val="000000" w:themeColor="text1"/>
          <w:lang w:eastAsia="es-ES"/>
        </w:rPr>
        <w:fldChar w:fldCharType="end"/>
      </w:r>
      <w:r w:rsidR="00052427" w:rsidRPr="00C454A1">
        <w:rPr>
          <w:color w:val="000000" w:themeColor="text1"/>
          <w:lang w:eastAsia="es-ES"/>
        </w:rPr>
        <w:t>)</w:t>
      </w:r>
      <w:r w:rsidR="00903462" w:rsidRPr="00C454A1">
        <w:rPr>
          <w:color w:val="000000" w:themeColor="text1"/>
          <w:lang w:eastAsia="es-ES"/>
        </w:rPr>
        <w:t xml:space="preserve">. </w:t>
      </w:r>
    </w:p>
    <w:p w14:paraId="59899ECD" w14:textId="77777777" w:rsidR="00950ED9" w:rsidRPr="00C454A1" w:rsidRDefault="00950ED9" w:rsidP="00631C27">
      <w:pPr>
        <w:rPr>
          <w:color w:val="000000" w:themeColor="text1"/>
          <w:lang w:eastAsia="es-ES"/>
        </w:rPr>
      </w:pPr>
    </w:p>
    <w:p w14:paraId="5E4AFF19" w14:textId="7FA704CD" w:rsidR="00BB27D7" w:rsidRPr="00C454A1" w:rsidRDefault="00BB27D7" w:rsidP="00321FAF">
      <w:pPr>
        <w:numPr>
          <w:ilvl w:val="0"/>
          <w:numId w:val="2"/>
        </w:numPr>
        <w:ind w:left="0" w:firstLine="0"/>
        <w:rPr>
          <w:color w:val="000000" w:themeColor="text1"/>
          <w:lang w:eastAsia="es-ES"/>
        </w:rPr>
      </w:pPr>
      <w:r w:rsidRPr="00C454A1">
        <w:rPr>
          <w:color w:val="000000" w:themeColor="text1"/>
          <w:lang w:eastAsia="es-ES"/>
        </w:rPr>
        <w:t xml:space="preserve">La Corte Constitucional considera que el </w:t>
      </w:r>
      <w:r w:rsidR="00564A29" w:rsidRPr="00C454A1">
        <w:rPr>
          <w:color w:val="000000" w:themeColor="text1"/>
          <w:lang w:eastAsia="es-ES"/>
        </w:rPr>
        <w:t>p</w:t>
      </w:r>
      <w:r w:rsidRPr="00C454A1">
        <w:rPr>
          <w:color w:val="000000" w:themeColor="text1"/>
          <w:lang w:eastAsia="es-ES"/>
        </w:rPr>
        <w:t xml:space="preserve">residente de la República no incurrió en arbitrariedad ni </w:t>
      </w:r>
      <w:r w:rsidR="00220DE2" w:rsidRPr="00C454A1">
        <w:rPr>
          <w:color w:val="000000" w:themeColor="text1"/>
          <w:lang w:eastAsia="es-ES"/>
        </w:rPr>
        <w:t xml:space="preserve">en </w:t>
      </w:r>
      <w:r w:rsidRPr="00C454A1">
        <w:rPr>
          <w:color w:val="000000" w:themeColor="text1"/>
          <w:lang w:eastAsia="es-ES"/>
        </w:rPr>
        <w:t>error manifiesto al calificar como grave la perturbación del orden público en la región del Catatumbo, el área metropolitana de Cúcuta y los municipios de Río de Oro y González. Las pruebas que reposan en el expediente, así como los escritos de intervención y los informes de la Defensoría del Pueblo radicados en el presente proceso, demuestran que la gravedad de la crisis de orden público es incontrovertible. Esto es así, por al menos tres razones de orden cualitativo y cuantitativo:</w:t>
      </w:r>
    </w:p>
    <w:p w14:paraId="7E293A1F" w14:textId="77777777" w:rsidR="00BB27D7" w:rsidRPr="00C454A1" w:rsidRDefault="00BB27D7" w:rsidP="00BB27D7">
      <w:pPr>
        <w:rPr>
          <w:color w:val="000000" w:themeColor="text1"/>
          <w:lang w:eastAsia="es-ES"/>
        </w:rPr>
      </w:pPr>
    </w:p>
    <w:p w14:paraId="0EA7A183" w14:textId="3AB9BEF4" w:rsidR="00BB27D7" w:rsidRPr="00C454A1" w:rsidRDefault="00BB27D7" w:rsidP="00321FAF">
      <w:pPr>
        <w:numPr>
          <w:ilvl w:val="0"/>
          <w:numId w:val="2"/>
        </w:numPr>
        <w:ind w:left="0" w:firstLine="0"/>
        <w:rPr>
          <w:color w:val="000000" w:themeColor="text1"/>
          <w:lang w:eastAsia="es-ES"/>
        </w:rPr>
      </w:pPr>
      <w:r w:rsidRPr="00C454A1">
        <w:rPr>
          <w:color w:val="000000" w:themeColor="text1"/>
          <w:lang w:eastAsia="es-ES"/>
        </w:rPr>
        <w:t xml:space="preserve">En primer lugar, los enfrentamientos entre el ELN, los </w:t>
      </w:r>
      <w:r w:rsidR="00EE77DF" w:rsidRPr="00C454A1">
        <w:rPr>
          <w:color w:val="000000" w:themeColor="text1"/>
          <w:lang w:eastAsia="es-ES"/>
        </w:rPr>
        <w:t>GAO</w:t>
      </w:r>
      <w:r w:rsidRPr="00C454A1">
        <w:rPr>
          <w:color w:val="000000" w:themeColor="text1"/>
          <w:lang w:eastAsia="es-ES"/>
        </w:rPr>
        <w:t xml:space="preserve"> y GDO en la región del Catatumbo han tenido un potencial lesivo</w:t>
      </w:r>
      <w:r w:rsidR="00220DE2" w:rsidRPr="00C454A1">
        <w:rPr>
          <w:color w:val="000000" w:themeColor="text1"/>
          <w:lang w:eastAsia="es-ES"/>
        </w:rPr>
        <w:t xml:space="preserve"> significativo</w:t>
      </w:r>
      <w:r w:rsidRPr="00C454A1">
        <w:rPr>
          <w:color w:val="000000" w:themeColor="text1"/>
          <w:lang w:eastAsia="es-ES"/>
        </w:rPr>
        <w:t xml:space="preserve"> y una capacidad desestabilizadora en la zona </w:t>
      </w:r>
      <w:r w:rsidR="00220DE2" w:rsidRPr="00C454A1">
        <w:rPr>
          <w:color w:val="000000" w:themeColor="text1"/>
          <w:lang w:eastAsia="es-ES"/>
        </w:rPr>
        <w:t xml:space="preserve">bajo </w:t>
      </w:r>
      <w:r w:rsidRPr="00C454A1">
        <w:rPr>
          <w:color w:val="000000" w:themeColor="text1"/>
          <w:lang w:eastAsia="es-ES"/>
        </w:rPr>
        <w:t>la conmoción interior. Estos enfrentamientos se han traducido en afectaciones directas a la población civil. Las alcaldías municipales de Hacarí</w:t>
      </w:r>
      <w:r w:rsidRPr="00C454A1">
        <w:rPr>
          <w:color w:val="000000" w:themeColor="text1"/>
          <w:vertAlign w:val="superscript"/>
          <w:lang w:eastAsia="es-ES"/>
        </w:rPr>
        <w:footnoteReference w:id="254"/>
      </w:r>
      <w:r w:rsidRPr="00C454A1">
        <w:rPr>
          <w:color w:val="000000" w:themeColor="text1"/>
          <w:lang w:eastAsia="es-ES"/>
        </w:rPr>
        <w:t>, San Calixto</w:t>
      </w:r>
      <w:r w:rsidRPr="00C454A1">
        <w:rPr>
          <w:color w:val="000000" w:themeColor="text1"/>
          <w:vertAlign w:val="superscript"/>
          <w:lang w:eastAsia="es-ES"/>
        </w:rPr>
        <w:footnoteReference w:id="255"/>
      </w:r>
      <w:r w:rsidRPr="00C454A1">
        <w:rPr>
          <w:color w:val="000000" w:themeColor="text1"/>
          <w:lang w:eastAsia="es-ES"/>
        </w:rPr>
        <w:t>, Tibú</w:t>
      </w:r>
      <w:r w:rsidRPr="00C454A1">
        <w:rPr>
          <w:color w:val="000000" w:themeColor="text1"/>
          <w:vertAlign w:val="superscript"/>
          <w:lang w:eastAsia="es-ES"/>
        </w:rPr>
        <w:footnoteReference w:id="256"/>
      </w:r>
      <w:r w:rsidRPr="00C454A1">
        <w:rPr>
          <w:color w:val="000000" w:themeColor="text1"/>
          <w:lang w:eastAsia="es-ES"/>
        </w:rPr>
        <w:t>, El Carmen</w:t>
      </w:r>
      <w:r w:rsidRPr="00C454A1">
        <w:rPr>
          <w:color w:val="000000" w:themeColor="text1"/>
          <w:vertAlign w:val="superscript"/>
          <w:lang w:eastAsia="es-ES"/>
        </w:rPr>
        <w:footnoteReference w:id="257"/>
      </w:r>
      <w:r w:rsidRPr="00C454A1">
        <w:rPr>
          <w:color w:val="000000" w:themeColor="text1"/>
          <w:lang w:eastAsia="es-ES"/>
        </w:rPr>
        <w:t xml:space="preserve">, </w:t>
      </w:r>
      <w:r w:rsidRPr="00C454A1">
        <w:rPr>
          <w:color w:val="000000" w:themeColor="text1"/>
          <w:lang w:eastAsia="es-ES"/>
        </w:rPr>
        <w:lastRenderedPageBreak/>
        <w:t>Ábrego</w:t>
      </w:r>
      <w:r w:rsidRPr="00C454A1">
        <w:rPr>
          <w:color w:val="000000" w:themeColor="text1"/>
          <w:vertAlign w:val="superscript"/>
          <w:lang w:eastAsia="es-ES"/>
        </w:rPr>
        <w:footnoteReference w:id="258"/>
      </w:r>
      <w:r w:rsidRPr="00C454A1">
        <w:rPr>
          <w:color w:val="000000" w:themeColor="text1"/>
          <w:lang w:eastAsia="es-ES"/>
        </w:rPr>
        <w:t>, La Playa</w:t>
      </w:r>
      <w:r w:rsidRPr="00C454A1">
        <w:rPr>
          <w:color w:val="000000" w:themeColor="text1"/>
          <w:vertAlign w:val="superscript"/>
          <w:lang w:eastAsia="es-ES"/>
        </w:rPr>
        <w:footnoteReference w:id="259"/>
      </w:r>
      <w:r w:rsidRPr="00C454A1">
        <w:rPr>
          <w:color w:val="000000" w:themeColor="text1"/>
          <w:lang w:eastAsia="es-ES"/>
        </w:rPr>
        <w:t>, Teorama</w:t>
      </w:r>
      <w:r w:rsidRPr="00C454A1">
        <w:rPr>
          <w:color w:val="000000" w:themeColor="text1"/>
          <w:vertAlign w:val="superscript"/>
          <w:lang w:eastAsia="es-ES"/>
        </w:rPr>
        <w:footnoteReference w:id="260"/>
      </w:r>
      <w:r w:rsidRPr="00C454A1">
        <w:rPr>
          <w:color w:val="000000" w:themeColor="text1"/>
          <w:lang w:eastAsia="es-ES"/>
        </w:rPr>
        <w:t xml:space="preserve"> y Sardinata</w:t>
      </w:r>
      <w:r w:rsidRPr="00C454A1">
        <w:rPr>
          <w:color w:val="000000" w:themeColor="text1"/>
          <w:vertAlign w:val="superscript"/>
          <w:lang w:eastAsia="es-ES"/>
        </w:rPr>
        <w:footnoteReference w:id="261"/>
      </w:r>
      <w:r w:rsidRPr="00C454A1">
        <w:rPr>
          <w:color w:val="000000" w:themeColor="text1"/>
          <w:lang w:eastAsia="es-ES"/>
        </w:rPr>
        <w:t xml:space="preserve"> informaron que, entre 2022 y 2025, </w:t>
      </w:r>
      <w:bookmarkStart w:id="184" w:name="_Hlk195163244"/>
      <w:r w:rsidRPr="00C454A1">
        <w:rPr>
          <w:color w:val="000000" w:themeColor="text1"/>
          <w:lang w:eastAsia="es-ES"/>
        </w:rPr>
        <w:t xml:space="preserve">estos enfrentamientos han </w:t>
      </w:r>
      <w:r w:rsidR="00220DE2" w:rsidRPr="00C454A1">
        <w:rPr>
          <w:color w:val="000000" w:themeColor="text1"/>
          <w:lang w:eastAsia="es-ES"/>
        </w:rPr>
        <w:t xml:space="preserve">derivado </w:t>
      </w:r>
      <w:r w:rsidRPr="00C454A1">
        <w:rPr>
          <w:color w:val="000000" w:themeColor="text1"/>
          <w:lang w:eastAsia="es-ES"/>
        </w:rPr>
        <w:t xml:space="preserve">en homicidios, desplazamientos masivos forzados, confinamientos temporales, restricciones de movilidad, extorsiones y amenazas </w:t>
      </w:r>
      <w:r w:rsidR="00220DE2" w:rsidRPr="00C454A1">
        <w:rPr>
          <w:color w:val="000000" w:themeColor="text1"/>
          <w:lang w:eastAsia="es-ES"/>
        </w:rPr>
        <w:t>contr</w:t>
      </w:r>
      <w:r w:rsidRPr="00C454A1">
        <w:rPr>
          <w:color w:val="000000" w:themeColor="text1"/>
          <w:lang w:eastAsia="es-ES"/>
        </w:rPr>
        <w:t>a la población civil</w:t>
      </w:r>
      <w:bookmarkEnd w:id="184"/>
      <w:r w:rsidRPr="00C454A1">
        <w:rPr>
          <w:color w:val="000000" w:themeColor="text1"/>
          <w:lang w:eastAsia="es-ES"/>
        </w:rPr>
        <w:t xml:space="preserve">. </w:t>
      </w:r>
    </w:p>
    <w:p w14:paraId="4FEBE7F2" w14:textId="77777777" w:rsidR="00BB27D7" w:rsidRPr="00C454A1" w:rsidRDefault="00BB27D7" w:rsidP="00BB27D7">
      <w:pPr>
        <w:rPr>
          <w:color w:val="000000" w:themeColor="text1"/>
          <w:lang w:eastAsia="es-ES"/>
        </w:rPr>
      </w:pPr>
    </w:p>
    <w:p w14:paraId="282E0216" w14:textId="2E25F4EA" w:rsidR="00BB27D7" w:rsidRPr="00C454A1" w:rsidRDefault="00BB27D7" w:rsidP="00321FAF">
      <w:pPr>
        <w:numPr>
          <w:ilvl w:val="0"/>
          <w:numId w:val="2"/>
        </w:numPr>
        <w:ind w:left="0" w:firstLine="0"/>
        <w:rPr>
          <w:color w:val="000000" w:themeColor="text1"/>
          <w:lang w:eastAsia="es-ES"/>
        </w:rPr>
      </w:pPr>
      <w:r w:rsidRPr="00C454A1">
        <w:rPr>
          <w:color w:val="000000" w:themeColor="text1"/>
          <w:lang w:eastAsia="es-ES"/>
        </w:rPr>
        <w:t xml:space="preserve">En segundo lugar, el </w:t>
      </w:r>
      <w:r w:rsidR="007525E1" w:rsidRPr="00C454A1">
        <w:rPr>
          <w:color w:val="000000" w:themeColor="text1"/>
          <w:lang w:eastAsia="es-ES"/>
        </w:rPr>
        <w:t>Gobierno nacional</w:t>
      </w:r>
      <w:r w:rsidRPr="00C454A1">
        <w:rPr>
          <w:color w:val="000000" w:themeColor="text1"/>
          <w:lang w:eastAsia="es-ES"/>
        </w:rPr>
        <w:t xml:space="preserve"> demostró que, </w:t>
      </w:r>
      <w:bookmarkStart w:id="185" w:name="_Hlk195163308"/>
      <w:r w:rsidRPr="00C454A1">
        <w:rPr>
          <w:color w:val="000000" w:themeColor="text1"/>
          <w:lang w:eastAsia="es-ES"/>
        </w:rPr>
        <w:t xml:space="preserve">en un periodo muy corto de tiempo, el ELN </w:t>
      </w:r>
      <w:r w:rsidR="00F35A90" w:rsidRPr="00C454A1">
        <w:rPr>
          <w:color w:val="000000" w:themeColor="text1"/>
          <w:lang w:eastAsia="es-ES"/>
        </w:rPr>
        <w:t>intensificó los</w:t>
      </w:r>
      <w:r w:rsidRPr="00C454A1">
        <w:rPr>
          <w:color w:val="000000" w:themeColor="text1"/>
          <w:lang w:eastAsia="es-ES"/>
        </w:rPr>
        <w:t xml:space="preserve"> ataques y hostilidades contra la población civil y, en particular, contra grupos de sujetos de especial protección constitucional: (i) firmantes del AFP, (ii) </w:t>
      </w:r>
      <w:r w:rsidR="00CC5732" w:rsidRPr="00C454A1">
        <w:rPr>
          <w:color w:val="000000" w:themeColor="text1"/>
          <w:lang w:eastAsia="es-ES"/>
        </w:rPr>
        <w:t>NNA</w:t>
      </w:r>
      <w:r w:rsidRPr="00C454A1">
        <w:rPr>
          <w:color w:val="000000" w:themeColor="text1"/>
          <w:lang w:eastAsia="es-ES"/>
        </w:rPr>
        <w:t xml:space="preserve">, (iii) mujeres y población LGBTQI+, (iv) pueblos indígenas y (v) poblaciones rurales. El ELN ha perpetrado estos ataques </w:t>
      </w:r>
      <w:bookmarkEnd w:id="185"/>
      <w:r w:rsidRPr="00C454A1">
        <w:rPr>
          <w:color w:val="000000" w:themeColor="text1"/>
          <w:lang w:eastAsia="es-ES"/>
        </w:rPr>
        <w:t xml:space="preserve">con total desconocimiento del Derecho Internacional Humanitario. </w:t>
      </w:r>
    </w:p>
    <w:p w14:paraId="0812D14D" w14:textId="77777777" w:rsidR="00BB27D7" w:rsidRPr="00C454A1" w:rsidRDefault="00BB27D7" w:rsidP="00BB27D7">
      <w:pPr>
        <w:rPr>
          <w:color w:val="000000" w:themeColor="text1"/>
          <w:lang w:eastAsia="es-ES"/>
        </w:rPr>
      </w:pPr>
    </w:p>
    <w:p w14:paraId="54F41924" w14:textId="07ADD8F6" w:rsidR="00BB27D7" w:rsidRPr="00C454A1" w:rsidRDefault="00BB27D7" w:rsidP="00321FAF">
      <w:pPr>
        <w:numPr>
          <w:ilvl w:val="0"/>
          <w:numId w:val="2"/>
        </w:numPr>
        <w:ind w:left="0" w:firstLine="0"/>
        <w:rPr>
          <w:color w:val="000000" w:themeColor="text1"/>
          <w:lang w:eastAsia="es-ES"/>
        </w:rPr>
      </w:pPr>
      <w:r w:rsidRPr="00C454A1">
        <w:rPr>
          <w:color w:val="000000" w:themeColor="text1"/>
          <w:lang w:eastAsia="es-ES"/>
        </w:rPr>
        <w:t xml:space="preserve">En tercer lugar, de acuerdo con cifras de la UARIV y la Defensoría del Pueblo, los enfrentamientos entre los </w:t>
      </w:r>
      <w:r w:rsidR="00EE77DF" w:rsidRPr="00C454A1">
        <w:rPr>
          <w:color w:val="000000" w:themeColor="text1"/>
          <w:lang w:eastAsia="es-ES"/>
        </w:rPr>
        <w:t>GAO</w:t>
      </w:r>
      <w:r w:rsidRPr="00C454A1">
        <w:rPr>
          <w:color w:val="000000" w:themeColor="text1"/>
          <w:lang w:eastAsia="es-ES"/>
        </w:rPr>
        <w:t xml:space="preserve">, así como los ataques y hostilidades del ELN, causaron desplazamientos forzados y confinamientos masivos sin precedentes que condujeron a una emergencia humanitaria en la región que sobrepasa los registros históricos del mismo territorio. Esto ha producido un desbordamiento institucional, masivas violaciones de derechos fundamentales, así como múltiples restricciones a bienes y servicios básicos (ver sección (iii) </w:t>
      </w:r>
      <w:r w:rsidRPr="00C454A1">
        <w:rPr>
          <w:i/>
          <w:iCs/>
          <w:color w:val="000000" w:themeColor="text1"/>
          <w:lang w:eastAsia="es-ES"/>
        </w:rPr>
        <w:t>infra</w:t>
      </w:r>
      <w:r w:rsidRPr="00C454A1">
        <w:rPr>
          <w:color w:val="000000" w:themeColor="text1"/>
          <w:lang w:eastAsia="es-ES"/>
        </w:rPr>
        <w:t xml:space="preserve">). </w:t>
      </w:r>
    </w:p>
    <w:p w14:paraId="33754D53" w14:textId="77777777" w:rsidR="00BB27D7" w:rsidRPr="00C454A1" w:rsidRDefault="00BB27D7" w:rsidP="00BB27D7">
      <w:pPr>
        <w:rPr>
          <w:color w:val="000000" w:themeColor="text1"/>
          <w:lang w:eastAsia="es-ES"/>
        </w:rPr>
      </w:pPr>
    </w:p>
    <w:p w14:paraId="36243B6D" w14:textId="23292104" w:rsidR="00BB27D7" w:rsidRPr="00C454A1" w:rsidRDefault="00BB27D7" w:rsidP="00321FAF">
      <w:pPr>
        <w:numPr>
          <w:ilvl w:val="0"/>
          <w:numId w:val="2"/>
        </w:numPr>
        <w:ind w:left="0" w:firstLine="0"/>
        <w:rPr>
          <w:color w:val="000000" w:themeColor="text1"/>
          <w:lang w:eastAsia="es-ES"/>
        </w:rPr>
      </w:pPr>
      <w:r w:rsidRPr="00C454A1">
        <w:rPr>
          <w:color w:val="000000" w:themeColor="text1"/>
          <w:lang w:eastAsia="es-ES"/>
        </w:rPr>
        <w:t xml:space="preserve">En tales términos, la Corte concluye que el </w:t>
      </w:r>
      <w:r w:rsidR="00376B4C" w:rsidRPr="00C454A1">
        <w:rPr>
          <w:color w:val="000000" w:themeColor="text1"/>
          <w:lang w:eastAsia="es-ES"/>
        </w:rPr>
        <w:t>p</w:t>
      </w:r>
      <w:r w:rsidRPr="00C454A1">
        <w:rPr>
          <w:color w:val="000000" w:themeColor="text1"/>
          <w:lang w:eastAsia="es-ES"/>
        </w:rPr>
        <w:t xml:space="preserve">residente de la República no incurrió en arbitrariedad o en un error manifiesto de apreciación al calificar la gravedad de la perturbación del orden público. </w:t>
      </w:r>
    </w:p>
    <w:p w14:paraId="45CEAF0C" w14:textId="77777777" w:rsidR="005B7B97" w:rsidRPr="00C454A1" w:rsidRDefault="005B7B97" w:rsidP="00631C27">
      <w:pPr>
        <w:rPr>
          <w:color w:val="000000" w:themeColor="text1"/>
          <w:lang w:eastAsia="es-ES"/>
        </w:rPr>
      </w:pPr>
    </w:p>
    <w:p w14:paraId="68BF7594" w14:textId="52A6F035" w:rsidR="00D56C94" w:rsidRPr="00C454A1" w:rsidRDefault="00950ED9" w:rsidP="001C693F">
      <w:pPr>
        <w:pStyle w:val="Prrafodelista"/>
        <w:widowControl w:val="0"/>
        <w:numPr>
          <w:ilvl w:val="2"/>
          <w:numId w:val="3"/>
        </w:numPr>
        <w:outlineLvl w:val="0"/>
        <w:rPr>
          <w:b/>
          <w:bCs/>
          <w:color w:val="000000" w:themeColor="text1"/>
          <w:lang w:eastAsia="es-ES"/>
        </w:rPr>
      </w:pPr>
      <w:bookmarkStart w:id="186" w:name="_Toc223979953"/>
      <w:r w:rsidRPr="00C454A1">
        <w:rPr>
          <w:b/>
          <w:bCs/>
          <w:color w:val="000000" w:themeColor="text1"/>
          <w:lang w:eastAsia="es-ES"/>
        </w:rPr>
        <w:t xml:space="preserve">El carácter </w:t>
      </w:r>
      <w:r w:rsidRPr="00C454A1">
        <w:rPr>
          <w:b/>
          <w:bCs/>
          <w:i/>
          <w:iCs/>
          <w:color w:val="000000" w:themeColor="text1"/>
          <w:lang w:eastAsia="es-ES"/>
        </w:rPr>
        <w:t>extraordinario</w:t>
      </w:r>
      <w:r w:rsidRPr="00C454A1">
        <w:rPr>
          <w:b/>
          <w:bCs/>
          <w:color w:val="000000" w:themeColor="text1"/>
          <w:lang w:eastAsia="es-ES"/>
        </w:rPr>
        <w:t xml:space="preserve"> de la perturbación del orden público</w:t>
      </w:r>
      <w:bookmarkEnd w:id="186"/>
      <w:r w:rsidRPr="00C454A1">
        <w:rPr>
          <w:b/>
          <w:bCs/>
          <w:color w:val="000000" w:themeColor="text1"/>
          <w:lang w:eastAsia="es-ES"/>
        </w:rPr>
        <w:t xml:space="preserve"> </w:t>
      </w:r>
    </w:p>
    <w:p w14:paraId="0BEB6CF4" w14:textId="77777777" w:rsidR="00ED35A1" w:rsidRPr="00C454A1" w:rsidRDefault="00ED35A1" w:rsidP="00ED35A1">
      <w:pPr>
        <w:rPr>
          <w:color w:val="000000" w:themeColor="text1"/>
          <w:lang w:eastAsia="es-ES"/>
        </w:rPr>
      </w:pPr>
    </w:p>
    <w:p w14:paraId="568F3442" w14:textId="5B748A36" w:rsidR="00ED35A1" w:rsidRPr="00C454A1" w:rsidRDefault="00376B4C" w:rsidP="00321FAF">
      <w:pPr>
        <w:numPr>
          <w:ilvl w:val="0"/>
          <w:numId w:val="2"/>
        </w:numPr>
        <w:ind w:left="0" w:firstLine="0"/>
        <w:rPr>
          <w:color w:val="000000" w:themeColor="text1"/>
          <w:lang w:eastAsia="es-ES"/>
        </w:rPr>
      </w:pPr>
      <w:r w:rsidRPr="00C454A1">
        <w:rPr>
          <w:rFonts w:cs="Times New Roman"/>
          <w:color w:val="000000" w:themeColor="text1"/>
          <w:szCs w:val="28"/>
        </w:rPr>
        <w:t>Como se analizó en los fundamentos</w:t>
      </w:r>
      <w:r w:rsidR="008700F3" w:rsidRPr="00C454A1">
        <w:rPr>
          <w:rFonts w:cs="Times New Roman"/>
          <w:color w:val="000000" w:themeColor="text1"/>
          <w:szCs w:val="28"/>
        </w:rPr>
        <w:t xml:space="preserve"> jurídicos</w:t>
      </w:r>
      <w:r w:rsidRPr="00C454A1">
        <w:rPr>
          <w:rFonts w:cs="Times New Roman"/>
          <w:color w:val="000000" w:themeColor="text1"/>
          <w:szCs w:val="28"/>
        </w:rPr>
        <w:t xml:space="preserve"> </w:t>
      </w:r>
      <w:r w:rsidR="00774297" w:rsidRPr="00C454A1">
        <w:rPr>
          <w:rFonts w:cs="Times New Roman"/>
          <w:color w:val="000000" w:themeColor="text1"/>
          <w:szCs w:val="28"/>
        </w:rPr>
        <w:fldChar w:fldCharType="begin"/>
      </w:r>
      <w:r w:rsidR="00774297" w:rsidRPr="00C454A1">
        <w:rPr>
          <w:rFonts w:cs="Times New Roman"/>
          <w:color w:val="000000" w:themeColor="text1"/>
          <w:szCs w:val="28"/>
        </w:rPr>
        <w:instrText xml:space="preserve"> REF _Ref219309233 \r \h </w:instrText>
      </w:r>
      <w:r w:rsidR="00DD0E75" w:rsidRPr="00C454A1">
        <w:rPr>
          <w:rFonts w:cs="Times New Roman"/>
          <w:color w:val="000000" w:themeColor="text1"/>
          <w:szCs w:val="28"/>
        </w:rPr>
        <w:instrText xml:space="preserve"> \* MERGEFORMAT </w:instrText>
      </w:r>
      <w:r w:rsidR="00774297" w:rsidRPr="00C454A1">
        <w:rPr>
          <w:rFonts w:cs="Times New Roman"/>
          <w:color w:val="000000" w:themeColor="text1"/>
          <w:szCs w:val="28"/>
        </w:rPr>
      </w:r>
      <w:r w:rsidR="00774297" w:rsidRPr="00C454A1">
        <w:rPr>
          <w:rFonts w:cs="Times New Roman"/>
          <w:color w:val="000000" w:themeColor="text1"/>
          <w:szCs w:val="28"/>
        </w:rPr>
        <w:fldChar w:fldCharType="separate"/>
      </w:r>
      <w:r w:rsidR="00881E6A">
        <w:rPr>
          <w:rFonts w:cs="Times New Roman"/>
          <w:color w:val="000000" w:themeColor="text1"/>
          <w:szCs w:val="28"/>
        </w:rPr>
        <w:t>76</w:t>
      </w:r>
      <w:r w:rsidR="00774297" w:rsidRPr="00C454A1">
        <w:rPr>
          <w:rFonts w:cs="Times New Roman"/>
          <w:color w:val="000000" w:themeColor="text1"/>
          <w:szCs w:val="28"/>
        </w:rPr>
        <w:fldChar w:fldCharType="end"/>
      </w:r>
      <w:r w:rsidRPr="00C454A1">
        <w:rPr>
          <w:rFonts w:cs="Times New Roman"/>
          <w:color w:val="000000" w:themeColor="text1"/>
          <w:szCs w:val="28"/>
        </w:rPr>
        <w:t xml:space="preserve"> a </w:t>
      </w:r>
      <w:r w:rsidR="008700F3" w:rsidRPr="00C454A1">
        <w:rPr>
          <w:rFonts w:cs="Times New Roman"/>
          <w:color w:val="000000" w:themeColor="text1"/>
          <w:szCs w:val="28"/>
        </w:rPr>
        <w:fldChar w:fldCharType="begin"/>
      </w:r>
      <w:r w:rsidR="008700F3" w:rsidRPr="00C454A1">
        <w:rPr>
          <w:rFonts w:cs="Times New Roman"/>
          <w:color w:val="000000" w:themeColor="text1"/>
          <w:szCs w:val="28"/>
        </w:rPr>
        <w:instrText xml:space="preserve"> REF _Ref203391032 \r \h </w:instrText>
      </w:r>
      <w:r w:rsidR="00DD0E75" w:rsidRPr="00C454A1">
        <w:rPr>
          <w:rFonts w:cs="Times New Roman"/>
          <w:color w:val="000000" w:themeColor="text1"/>
          <w:szCs w:val="28"/>
        </w:rPr>
        <w:instrText xml:space="preserve"> \* MERGEFORMAT </w:instrText>
      </w:r>
      <w:r w:rsidR="008700F3" w:rsidRPr="00C454A1">
        <w:rPr>
          <w:rFonts w:cs="Times New Roman"/>
          <w:color w:val="000000" w:themeColor="text1"/>
          <w:szCs w:val="28"/>
        </w:rPr>
      </w:r>
      <w:r w:rsidR="008700F3" w:rsidRPr="00C454A1">
        <w:rPr>
          <w:rFonts w:cs="Times New Roman"/>
          <w:color w:val="000000" w:themeColor="text1"/>
          <w:szCs w:val="28"/>
        </w:rPr>
        <w:fldChar w:fldCharType="separate"/>
      </w:r>
      <w:r w:rsidR="00881E6A">
        <w:rPr>
          <w:rFonts w:cs="Times New Roman"/>
          <w:color w:val="000000" w:themeColor="text1"/>
          <w:szCs w:val="28"/>
        </w:rPr>
        <w:t>79</w:t>
      </w:r>
      <w:r w:rsidR="008700F3" w:rsidRPr="00C454A1">
        <w:rPr>
          <w:rFonts w:cs="Times New Roman"/>
          <w:color w:val="000000" w:themeColor="text1"/>
          <w:szCs w:val="28"/>
        </w:rPr>
        <w:fldChar w:fldCharType="end"/>
      </w:r>
      <w:r w:rsidR="008700F3" w:rsidRPr="00C454A1">
        <w:rPr>
          <w:rFonts w:cs="Times New Roman"/>
          <w:color w:val="000000" w:themeColor="text1"/>
          <w:szCs w:val="28"/>
        </w:rPr>
        <w:t xml:space="preserve"> </w:t>
      </w:r>
      <w:r w:rsidR="00BE4CCD" w:rsidRPr="00C454A1">
        <w:rPr>
          <w:rFonts w:cs="Times New Roman"/>
          <w:color w:val="000000" w:themeColor="text1"/>
          <w:szCs w:val="28"/>
        </w:rPr>
        <w:t xml:space="preserve">y </w:t>
      </w:r>
      <w:r w:rsidR="00C65E55" w:rsidRPr="00C454A1">
        <w:rPr>
          <w:rFonts w:cs="Times New Roman"/>
          <w:color w:val="000000" w:themeColor="text1"/>
          <w:szCs w:val="28"/>
        </w:rPr>
        <w:fldChar w:fldCharType="begin"/>
      </w:r>
      <w:r w:rsidR="00C65E55" w:rsidRPr="00C454A1">
        <w:rPr>
          <w:rFonts w:cs="Times New Roman"/>
          <w:color w:val="000000" w:themeColor="text1"/>
          <w:szCs w:val="28"/>
        </w:rPr>
        <w:instrText xml:space="preserve"> REF _Ref219309860 \r \h </w:instrText>
      </w:r>
      <w:r w:rsidR="00DD0E75" w:rsidRPr="00C454A1">
        <w:rPr>
          <w:rFonts w:cs="Times New Roman"/>
          <w:color w:val="000000" w:themeColor="text1"/>
          <w:szCs w:val="28"/>
        </w:rPr>
        <w:instrText xml:space="preserve"> \* MERGEFORMAT </w:instrText>
      </w:r>
      <w:r w:rsidR="00C65E55" w:rsidRPr="00C454A1">
        <w:rPr>
          <w:rFonts w:cs="Times New Roman"/>
          <w:color w:val="000000" w:themeColor="text1"/>
          <w:szCs w:val="28"/>
        </w:rPr>
      </w:r>
      <w:r w:rsidR="00C65E55" w:rsidRPr="00C454A1">
        <w:rPr>
          <w:rFonts w:cs="Times New Roman"/>
          <w:color w:val="000000" w:themeColor="text1"/>
          <w:szCs w:val="28"/>
        </w:rPr>
        <w:fldChar w:fldCharType="separate"/>
      </w:r>
      <w:r w:rsidR="00881E6A">
        <w:rPr>
          <w:rFonts w:cs="Times New Roman"/>
          <w:color w:val="000000" w:themeColor="text1"/>
          <w:szCs w:val="28"/>
        </w:rPr>
        <w:t>101</w:t>
      </w:r>
      <w:r w:rsidR="00C65E55" w:rsidRPr="00C454A1">
        <w:rPr>
          <w:rFonts w:cs="Times New Roman"/>
          <w:color w:val="000000" w:themeColor="text1"/>
          <w:szCs w:val="28"/>
        </w:rPr>
        <w:fldChar w:fldCharType="end"/>
      </w:r>
      <w:r w:rsidR="00ED2943" w:rsidRPr="00C454A1">
        <w:rPr>
          <w:rFonts w:cs="Times New Roman"/>
          <w:color w:val="000000" w:themeColor="text1"/>
          <w:szCs w:val="28"/>
        </w:rPr>
        <w:t xml:space="preserve"> a </w:t>
      </w:r>
      <w:r w:rsidR="00DA04A5" w:rsidRPr="00C454A1">
        <w:rPr>
          <w:rFonts w:cs="Times New Roman"/>
          <w:color w:val="000000" w:themeColor="text1"/>
          <w:szCs w:val="28"/>
        </w:rPr>
        <w:fldChar w:fldCharType="begin"/>
      </w:r>
      <w:r w:rsidR="00DA04A5" w:rsidRPr="00C454A1">
        <w:rPr>
          <w:rFonts w:cs="Times New Roman"/>
          <w:color w:val="000000" w:themeColor="text1"/>
          <w:szCs w:val="28"/>
        </w:rPr>
        <w:instrText xml:space="preserve"> REF _Ref203395013 \r \h </w:instrText>
      </w:r>
      <w:r w:rsidR="009421B8" w:rsidRPr="00C454A1">
        <w:rPr>
          <w:rFonts w:cs="Times New Roman"/>
          <w:color w:val="000000" w:themeColor="text1"/>
          <w:szCs w:val="28"/>
        </w:rPr>
        <w:instrText xml:space="preserve"> \* MERGEFORMAT </w:instrText>
      </w:r>
      <w:r w:rsidR="00DA04A5" w:rsidRPr="00C454A1">
        <w:rPr>
          <w:rFonts w:cs="Times New Roman"/>
          <w:color w:val="000000" w:themeColor="text1"/>
          <w:szCs w:val="28"/>
        </w:rPr>
      </w:r>
      <w:r w:rsidR="00DA04A5" w:rsidRPr="00C454A1">
        <w:rPr>
          <w:rFonts w:cs="Times New Roman"/>
          <w:color w:val="000000" w:themeColor="text1"/>
          <w:szCs w:val="28"/>
        </w:rPr>
        <w:fldChar w:fldCharType="separate"/>
      </w:r>
      <w:r w:rsidR="00881E6A">
        <w:rPr>
          <w:rFonts w:cs="Times New Roman"/>
          <w:color w:val="000000" w:themeColor="text1"/>
          <w:szCs w:val="28"/>
        </w:rPr>
        <w:t>126</w:t>
      </w:r>
      <w:r w:rsidR="00DA04A5" w:rsidRPr="00C454A1">
        <w:rPr>
          <w:rFonts w:cs="Times New Roman"/>
          <w:color w:val="000000" w:themeColor="text1"/>
          <w:szCs w:val="28"/>
        </w:rPr>
        <w:fldChar w:fldCharType="end"/>
      </w:r>
      <w:r w:rsidR="00341978" w:rsidRPr="00C454A1">
        <w:rPr>
          <w:rFonts w:cs="Times New Roman"/>
          <w:color w:val="000000" w:themeColor="text1"/>
          <w:szCs w:val="28"/>
        </w:rPr>
        <w:t xml:space="preserve">, el principio de excepcionalidad de los estados de excepción exige que la declaración de un estado de conmoción interior se fundamente en hechos indicativos de </w:t>
      </w:r>
      <w:r w:rsidR="0031129C" w:rsidRPr="00C454A1">
        <w:rPr>
          <w:rFonts w:cs="Times New Roman"/>
          <w:color w:val="000000" w:themeColor="text1"/>
          <w:szCs w:val="28"/>
        </w:rPr>
        <w:t>una</w:t>
      </w:r>
      <w:r w:rsidR="00341978" w:rsidRPr="00C454A1">
        <w:rPr>
          <w:rFonts w:cs="Times New Roman"/>
          <w:color w:val="000000" w:themeColor="text1"/>
          <w:szCs w:val="28"/>
        </w:rPr>
        <w:t xml:space="preserve"> perturbación extraordinaria del orden público. </w:t>
      </w:r>
      <w:r w:rsidR="0031129C" w:rsidRPr="00C454A1">
        <w:rPr>
          <w:rFonts w:cs="Times New Roman"/>
          <w:color w:val="000000" w:themeColor="text1"/>
          <w:szCs w:val="28"/>
        </w:rPr>
        <w:t xml:space="preserve">Este tipo de perturbación se opone a una problemática crónica, endémica o estructural. Por ello, esta Corte ha señalado </w:t>
      </w:r>
      <w:r w:rsidR="00052427" w:rsidRPr="00C454A1">
        <w:rPr>
          <w:rFonts w:cs="Times New Roman"/>
          <w:color w:val="000000" w:themeColor="text1"/>
          <w:szCs w:val="28"/>
        </w:rPr>
        <w:t>que, por regla general,</w:t>
      </w:r>
      <w:r w:rsidR="0031129C" w:rsidRPr="00C454A1">
        <w:rPr>
          <w:rFonts w:cs="Times New Roman"/>
          <w:color w:val="000000" w:themeColor="text1"/>
          <w:szCs w:val="28"/>
        </w:rPr>
        <w:t xml:space="preserve"> cuando el Gobierno nacional invoca hechos que d</w:t>
      </w:r>
      <w:r w:rsidR="00C65E55" w:rsidRPr="00C454A1">
        <w:rPr>
          <w:rFonts w:cs="Times New Roman"/>
          <w:color w:val="000000" w:themeColor="text1"/>
          <w:szCs w:val="28"/>
        </w:rPr>
        <w:t>e</w:t>
      </w:r>
      <w:r w:rsidR="0031129C" w:rsidRPr="00C454A1">
        <w:rPr>
          <w:rFonts w:cs="Times New Roman"/>
          <w:color w:val="000000" w:themeColor="text1"/>
          <w:szCs w:val="28"/>
        </w:rPr>
        <w:t>n cuenta de problemas de e</w:t>
      </w:r>
      <w:r w:rsidR="009F792C" w:rsidRPr="00C454A1">
        <w:rPr>
          <w:rFonts w:cs="Times New Roman"/>
          <w:color w:val="000000" w:themeColor="text1"/>
          <w:szCs w:val="28"/>
        </w:rPr>
        <w:t xml:space="preserve">sa índole, la declaración de una conmoción interior </w:t>
      </w:r>
      <w:r w:rsidR="00C65E55" w:rsidRPr="00C454A1">
        <w:rPr>
          <w:rFonts w:cs="Times New Roman"/>
          <w:color w:val="000000" w:themeColor="text1"/>
          <w:szCs w:val="28"/>
        </w:rPr>
        <w:t>resulta</w:t>
      </w:r>
      <w:r w:rsidR="009F792C" w:rsidRPr="00C454A1">
        <w:rPr>
          <w:rFonts w:cs="Times New Roman"/>
          <w:color w:val="000000" w:themeColor="text1"/>
          <w:szCs w:val="28"/>
        </w:rPr>
        <w:t xml:space="preserve"> inconstitucional</w:t>
      </w:r>
      <w:r w:rsidR="00052427" w:rsidRPr="00C454A1">
        <w:rPr>
          <w:rFonts w:cs="Times New Roman"/>
          <w:color w:val="000000" w:themeColor="text1"/>
          <w:szCs w:val="28"/>
        </w:rPr>
        <w:t>. Sin embargo</w:t>
      </w:r>
      <w:r w:rsidR="009F792C" w:rsidRPr="00C454A1">
        <w:rPr>
          <w:rFonts w:cs="Times New Roman"/>
          <w:color w:val="000000" w:themeColor="text1"/>
          <w:szCs w:val="28"/>
        </w:rPr>
        <w:t xml:space="preserve">, </w:t>
      </w:r>
      <w:r w:rsidR="00052427" w:rsidRPr="00C454A1">
        <w:rPr>
          <w:rFonts w:cs="Times New Roman"/>
          <w:color w:val="000000" w:themeColor="text1"/>
          <w:szCs w:val="28"/>
        </w:rPr>
        <w:t xml:space="preserve">excepcionalmente, cuando un problema crónico, estructural o endémico </w:t>
      </w:r>
      <w:r w:rsidR="00932089" w:rsidRPr="00C454A1">
        <w:rPr>
          <w:rFonts w:cs="Times New Roman"/>
          <w:color w:val="000000" w:themeColor="text1"/>
          <w:szCs w:val="28"/>
        </w:rPr>
        <w:t xml:space="preserve">que ya había sido advertido </w:t>
      </w:r>
      <w:r w:rsidR="00052427" w:rsidRPr="00C454A1">
        <w:rPr>
          <w:rFonts w:cs="Times New Roman"/>
          <w:color w:val="000000" w:themeColor="text1"/>
          <w:szCs w:val="28"/>
        </w:rPr>
        <w:t xml:space="preserve">se agrava o agudiza de forma rápida, imprevisible e inusitada, es decir, </w:t>
      </w:r>
      <w:r w:rsidR="00052427" w:rsidRPr="00C454A1">
        <w:rPr>
          <w:rFonts w:cs="Times New Roman"/>
          <w:color w:val="000000" w:themeColor="text1"/>
          <w:lang w:eastAsia="es-ES"/>
        </w:rPr>
        <w:t>de una manera que excede el desarrollo esperado de un fenómeno</w:t>
      </w:r>
      <w:r w:rsidR="00932089" w:rsidRPr="00C454A1">
        <w:rPr>
          <w:rFonts w:cs="Times New Roman"/>
          <w:color w:val="000000" w:themeColor="text1"/>
          <w:lang w:eastAsia="es-ES"/>
        </w:rPr>
        <w:t xml:space="preserve"> y que desborda la capacidad institucional para atenderlo</w:t>
      </w:r>
      <w:r w:rsidR="00052427" w:rsidRPr="00C454A1">
        <w:rPr>
          <w:rFonts w:cs="Times New Roman"/>
          <w:color w:val="000000" w:themeColor="text1"/>
          <w:lang w:eastAsia="es-ES"/>
        </w:rPr>
        <w:t xml:space="preserve">, </w:t>
      </w:r>
      <w:r w:rsidR="00052427" w:rsidRPr="00C454A1">
        <w:rPr>
          <w:rFonts w:cs="Times New Roman"/>
          <w:color w:val="000000" w:themeColor="text1"/>
          <w:szCs w:val="28"/>
        </w:rPr>
        <w:t>es posible que el Gobierno nacional acuda al régimen de excepción de la conmoción interior</w:t>
      </w:r>
      <w:r w:rsidR="009F792C" w:rsidRPr="00C454A1">
        <w:rPr>
          <w:rFonts w:cs="Times New Roman"/>
          <w:color w:val="000000" w:themeColor="text1"/>
          <w:szCs w:val="28"/>
        </w:rPr>
        <w:t xml:space="preserve">. </w:t>
      </w:r>
      <w:r w:rsidR="005D4323" w:rsidRPr="00C454A1">
        <w:rPr>
          <w:rFonts w:cs="Times New Roman"/>
          <w:color w:val="000000" w:themeColor="text1"/>
          <w:szCs w:val="28"/>
        </w:rPr>
        <w:t xml:space="preserve">La jurisprudencia constitucional no exige sorpresa absoluta ni imprevisibilidad </w:t>
      </w:r>
      <w:r w:rsidR="005D4323" w:rsidRPr="00C454A1">
        <w:rPr>
          <w:rFonts w:cs="Times New Roman"/>
          <w:color w:val="000000" w:themeColor="text1"/>
          <w:szCs w:val="28"/>
        </w:rPr>
        <w:lastRenderedPageBreak/>
        <w:t>total, sino que la perturbación sea objetivamente excepcional en relación con el contexto previo, y que produzca un impacto inminente y grave en el funcionamiento de las instituciones y en el goce efectivo de los derechos.</w:t>
      </w:r>
    </w:p>
    <w:p w14:paraId="27621925" w14:textId="77777777" w:rsidR="00855D49" w:rsidRPr="00C454A1" w:rsidRDefault="00855D49" w:rsidP="00855D49">
      <w:pPr>
        <w:rPr>
          <w:color w:val="000000" w:themeColor="text1"/>
          <w:lang w:eastAsia="es-ES"/>
        </w:rPr>
      </w:pPr>
    </w:p>
    <w:p w14:paraId="5CFE9BF8" w14:textId="09FF1D2F" w:rsidR="00855D49" w:rsidRPr="00C454A1" w:rsidRDefault="00855D49" w:rsidP="00321FAF">
      <w:pPr>
        <w:numPr>
          <w:ilvl w:val="0"/>
          <w:numId w:val="2"/>
        </w:numPr>
        <w:ind w:left="0" w:firstLine="0"/>
        <w:rPr>
          <w:color w:val="000000" w:themeColor="text1"/>
          <w:lang w:eastAsia="es-ES"/>
        </w:rPr>
      </w:pPr>
      <w:r w:rsidRPr="00C454A1">
        <w:rPr>
          <w:rFonts w:cs="Times New Roman"/>
          <w:color w:val="000000" w:themeColor="text1"/>
          <w:szCs w:val="28"/>
        </w:rPr>
        <w:t xml:space="preserve">La jurisprudencia constitucional (ver </w:t>
      </w:r>
      <w:r w:rsidRPr="00C454A1">
        <w:rPr>
          <w:rFonts w:cs="Times New Roman"/>
          <w:i/>
          <w:iCs/>
          <w:color w:val="000000" w:themeColor="text1"/>
          <w:szCs w:val="28"/>
        </w:rPr>
        <w:t>supra</w:t>
      </w:r>
      <w:r w:rsidRPr="00C454A1">
        <w:rPr>
          <w:rFonts w:cs="Times New Roman"/>
          <w:color w:val="000000" w:themeColor="text1"/>
          <w:szCs w:val="28"/>
        </w:rPr>
        <w:t xml:space="preserve"> fundamento</w:t>
      </w:r>
      <w:r w:rsidR="001F007E" w:rsidRPr="00C454A1">
        <w:rPr>
          <w:rFonts w:cs="Times New Roman"/>
          <w:color w:val="000000" w:themeColor="text1"/>
          <w:szCs w:val="28"/>
        </w:rPr>
        <w:t>s</w:t>
      </w:r>
      <w:r w:rsidRPr="00C454A1">
        <w:rPr>
          <w:rFonts w:cs="Times New Roman"/>
          <w:color w:val="000000" w:themeColor="text1"/>
          <w:szCs w:val="28"/>
        </w:rPr>
        <w:t xml:space="preserve"> jurídico</w:t>
      </w:r>
      <w:r w:rsidR="001F007E" w:rsidRPr="00C454A1">
        <w:rPr>
          <w:rFonts w:cs="Times New Roman"/>
          <w:color w:val="000000" w:themeColor="text1"/>
          <w:szCs w:val="28"/>
        </w:rPr>
        <w:t>s</w:t>
      </w:r>
      <w:r w:rsidRPr="00C454A1">
        <w:rPr>
          <w:rFonts w:cs="Times New Roman"/>
          <w:color w:val="000000" w:themeColor="text1"/>
          <w:szCs w:val="28"/>
        </w:rPr>
        <w:t xml:space="preserve"> </w:t>
      </w:r>
      <w:r w:rsidRPr="00C454A1">
        <w:rPr>
          <w:rFonts w:cs="Times New Roman"/>
          <w:color w:val="000000" w:themeColor="text1"/>
          <w:szCs w:val="28"/>
        </w:rPr>
        <w:fldChar w:fldCharType="begin"/>
      </w:r>
      <w:r w:rsidRPr="00C454A1">
        <w:rPr>
          <w:rFonts w:cs="Times New Roman"/>
          <w:color w:val="000000" w:themeColor="text1"/>
          <w:szCs w:val="28"/>
        </w:rPr>
        <w:instrText xml:space="preserve"> REF _Ref203394997 \r \h </w:instrText>
      </w:r>
      <w:r w:rsidR="00EF0F2B" w:rsidRPr="00C454A1">
        <w:rPr>
          <w:rFonts w:cs="Times New Roman"/>
          <w:color w:val="000000" w:themeColor="text1"/>
          <w:szCs w:val="28"/>
        </w:rPr>
        <w:instrText xml:space="preserve"> \* MERGEFORMAT </w:instrText>
      </w:r>
      <w:r w:rsidRPr="00C454A1">
        <w:rPr>
          <w:rFonts w:cs="Times New Roman"/>
          <w:color w:val="000000" w:themeColor="text1"/>
          <w:szCs w:val="28"/>
        </w:rPr>
      </w:r>
      <w:r w:rsidRPr="00C454A1">
        <w:rPr>
          <w:rFonts w:cs="Times New Roman"/>
          <w:color w:val="000000" w:themeColor="text1"/>
          <w:szCs w:val="28"/>
        </w:rPr>
        <w:fldChar w:fldCharType="separate"/>
      </w:r>
      <w:r w:rsidR="00881E6A">
        <w:rPr>
          <w:rFonts w:cs="Times New Roman"/>
          <w:color w:val="000000" w:themeColor="text1"/>
          <w:szCs w:val="28"/>
        </w:rPr>
        <w:t>102</w:t>
      </w:r>
      <w:r w:rsidRPr="00C454A1">
        <w:rPr>
          <w:rFonts w:cs="Times New Roman"/>
          <w:color w:val="000000" w:themeColor="text1"/>
          <w:szCs w:val="28"/>
        </w:rPr>
        <w:fldChar w:fldCharType="end"/>
      </w:r>
      <w:r w:rsidR="001F007E" w:rsidRPr="00C454A1">
        <w:rPr>
          <w:rFonts w:cs="Times New Roman"/>
          <w:color w:val="000000" w:themeColor="text1"/>
          <w:szCs w:val="28"/>
        </w:rPr>
        <w:t xml:space="preserve"> y </w:t>
      </w:r>
      <w:r w:rsidR="001F007E" w:rsidRPr="00C454A1">
        <w:rPr>
          <w:rFonts w:cs="Times New Roman"/>
          <w:color w:val="000000" w:themeColor="text1"/>
          <w:szCs w:val="28"/>
        </w:rPr>
        <w:fldChar w:fldCharType="begin"/>
      </w:r>
      <w:r w:rsidR="001F007E" w:rsidRPr="00C454A1">
        <w:rPr>
          <w:rFonts w:cs="Times New Roman"/>
          <w:color w:val="000000" w:themeColor="text1"/>
          <w:szCs w:val="28"/>
        </w:rPr>
        <w:instrText xml:space="preserve"> REF _Ref219315288 \r \h </w:instrText>
      </w:r>
      <w:r w:rsidR="00F20471" w:rsidRPr="00C454A1">
        <w:rPr>
          <w:rFonts w:cs="Times New Roman"/>
          <w:color w:val="000000" w:themeColor="text1"/>
          <w:szCs w:val="28"/>
        </w:rPr>
        <w:instrText xml:space="preserve"> \* MERGEFORMAT </w:instrText>
      </w:r>
      <w:r w:rsidR="001F007E" w:rsidRPr="00C454A1">
        <w:rPr>
          <w:rFonts w:cs="Times New Roman"/>
          <w:color w:val="000000" w:themeColor="text1"/>
          <w:szCs w:val="28"/>
        </w:rPr>
      </w:r>
      <w:r w:rsidR="001F007E" w:rsidRPr="00C454A1">
        <w:rPr>
          <w:rFonts w:cs="Times New Roman"/>
          <w:color w:val="000000" w:themeColor="text1"/>
          <w:szCs w:val="28"/>
        </w:rPr>
        <w:fldChar w:fldCharType="separate"/>
      </w:r>
      <w:r w:rsidR="00881E6A">
        <w:rPr>
          <w:rFonts w:cs="Times New Roman"/>
          <w:color w:val="000000" w:themeColor="text1"/>
          <w:szCs w:val="28"/>
        </w:rPr>
        <w:t>110</w:t>
      </w:r>
      <w:r w:rsidR="001F007E" w:rsidRPr="00C454A1">
        <w:rPr>
          <w:rFonts w:cs="Times New Roman"/>
          <w:color w:val="000000" w:themeColor="text1"/>
          <w:szCs w:val="28"/>
        </w:rPr>
        <w:fldChar w:fldCharType="end"/>
      </w:r>
      <w:r w:rsidRPr="00C454A1">
        <w:rPr>
          <w:rFonts w:cs="Times New Roman"/>
          <w:color w:val="000000" w:themeColor="text1"/>
          <w:szCs w:val="28"/>
        </w:rPr>
        <w:t>) ha identificado algunos ind</w:t>
      </w:r>
      <w:r w:rsidR="00836B04" w:rsidRPr="00C454A1">
        <w:rPr>
          <w:rFonts w:cs="Times New Roman"/>
          <w:color w:val="000000" w:themeColor="text1"/>
          <w:szCs w:val="28"/>
        </w:rPr>
        <w:t>i</w:t>
      </w:r>
      <w:r w:rsidRPr="00C454A1">
        <w:rPr>
          <w:rFonts w:cs="Times New Roman"/>
          <w:color w:val="000000" w:themeColor="text1"/>
          <w:szCs w:val="28"/>
        </w:rPr>
        <w:t>cadores que ayudan a determinar cuando el agravamiento de una problemática crónica, endémica o estructural adqu</w:t>
      </w:r>
      <w:r w:rsidR="00836B04" w:rsidRPr="00C454A1">
        <w:rPr>
          <w:rFonts w:cs="Times New Roman"/>
          <w:color w:val="000000" w:themeColor="text1"/>
          <w:szCs w:val="28"/>
        </w:rPr>
        <w:t>i</w:t>
      </w:r>
      <w:r w:rsidRPr="00C454A1">
        <w:rPr>
          <w:rFonts w:cs="Times New Roman"/>
          <w:color w:val="000000" w:themeColor="text1"/>
          <w:szCs w:val="28"/>
        </w:rPr>
        <w:t xml:space="preserve">ere un carácter extraordinario, a saber: (i) </w:t>
      </w:r>
      <w:r w:rsidR="00057B78" w:rsidRPr="00C454A1">
        <w:rPr>
          <w:rFonts w:cs="Times New Roman"/>
          <w:color w:val="000000" w:themeColor="text1"/>
          <w:szCs w:val="28"/>
        </w:rPr>
        <w:t>la rápida</w:t>
      </w:r>
      <w:r w:rsidRPr="00C454A1">
        <w:rPr>
          <w:rFonts w:cs="Times New Roman"/>
          <w:color w:val="000000" w:themeColor="text1"/>
          <w:szCs w:val="28"/>
        </w:rPr>
        <w:t xml:space="preserve"> intensificación </w:t>
      </w:r>
      <w:r w:rsidR="00EF0F2B" w:rsidRPr="00C454A1">
        <w:rPr>
          <w:rFonts w:cs="Times New Roman"/>
          <w:color w:val="000000" w:themeColor="text1"/>
          <w:szCs w:val="28"/>
        </w:rPr>
        <w:t>en</w:t>
      </w:r>
      <w:r w:rsidRPr="00C454A1">
        <w:rPr>
          <w:rFonts w:cs="Times New Roman"/>
          <w:color w:val="000000" w:themeColor="text1"/>
          <w:szCs w:val="28"/>
        </w:rPr>
        <w:t xml:space="preserve"> un </w:t>
      </w:r>
      <w:r w:rsidR="00EF0F2B" w:rsidRPr="00C454A1">
        <w:rPr>
          <w:rFonts w:cs="Times New Roman"/>
          <w:color w:val="000000" w:themeColor="text1"/>
          <w:szCs w:val="28"/>
        </w:rPr>
        <w:t>periodo</w:t>
      </w:r>
      <w:r w:rsidRPr="00C454A1">
        <w:rPr>
          <w:rFonts w:cs="Times New Roman"/>
          <w:color w:val="000000" w:themeColor="text1"/>
          <w:szCs w:val="28"/>
        </w:rPr>
        <w:t xml:space="preserve"> cercano a la declaració</w:t>
      </w:r>
      <w:r w:rsidR="00057B78" w:rsidRPr="00C454A1">
        <w:rPr>
          <w:rFonts w:cs="Times New Roman"/>
          <w:color w:val="000000" w:themeColor="text1"/>
          <w:szCs w:val="28"/>
        </w:rPr>
        <w:t>n</w:t>
      </w:r>
      <w:r w:rsidRPr="00C454A1">
        <w:rPr>
          <w:rFonts w:cs="Times New Roman"/>
          <w:color w:val="000000" w:themeColor="text1"/>
          <w:szCs w:val="28"/>
        </w:rPr>
        <w:t xml:space="preserve"> de</w:t>
      </w:r>
      <w:r w:rsidR="00057B78" w:rsidRPr="00C454A1">
        <w:rPr>
          <w:rFonts w:cs="Times New Roman"/>
          <w:color w:val="000000" w:themeColor="text1"/>
          <w:szCs w:val="28"/>
        </w:rPr>
        <w:t>l estado de excepción</w:t>
      </w:r>
      <w:r w:rsidRPr="00C454A1">
        <w:rPr>
          <w:rFonts w:cs="Times New Roman"/>
          <w:color w:val="000000" w:themeColor="text1"/>
          <w:szCs w:val="28"/>
        </w:rPr>
        <w:t>, (ii) un agravamiento derivado de hechos excepcionales o extraordinarios</w:t>
      </w:r>
      <w:r w:rsidR="00057B78" w:rsidRPr="00C454A1">
        <w:rPr>
          <w:rFonts w:cs="Times New Roman"/>
          <w:color w:val="000000" w:themeColor="text1"/>
          <w:szCs w:val="28"/>
        </w:rPr>
        <w:t>,</w:t>
      </w:r>
      <w:r w:rsidRPr="00C454A1">
        <w:rPr>
          <w:rFonts w:cs="Times New Roman"/>
          <w:color w:val="000000" w:themeColor="text1"/>
          <w:szCs w:val="28"/>
        </w:rPr>
        <w:t xml:space="preserve"> (iii) una intensificación cualitativa o cuantitativa notoriamente significativa </w:t>
      </w:r>
      <w:r w:rsidR="00057B78" w:rsidRPr="00C454A1">
        <w:rPr>
          <w:rFonts w:cs="Times New Roman"/>
          <w:color w:val="000000" w:themeColor="text1"/>
          <w:szCs w:val="28"/>
        </w:rPr>
        <w:t>que excede las progresiones esperadas del fenómeno y (iv) la imprevisibilidad del agravamiento</w:t>
      </w:r>
      <w:r w:rsidRPr="00C454A1">
        <w:rPr>
          <w:rFonts w:cs="Times New Roman"/>
          <w:color w:val="000000" w:themeColor="text1"/>
          <w:szCs w:val="28"/>
        </w:rPr>
        <w:t>.</w:t>
      </w:r>
    </w:p>
    <w:p w14:paraId="1036B069" w14:textId="77777777" w:rsidR="007802E3" w:rsidRPr="00C454A1" w:rsidRDefault="007802E3" w:rsidP="00631C27">
      <w:pPr>
        <w:rPr>
          <w:color w:val="000000" w:themeColor="text1"/>
          <w:lang w:eastAsia="es-ES"/>
        </w:rPr>
      </w:pPr>
    </w:p>
    <w:p w14:paraId="35E10FD3" w14:textId="77777777" w:rsidR="009F5D75" w:rsidRPr="00C454A1" w:rsidRDefault="005A06FD" w:rsidP="00321FAF">
      <w:pPr>
        <w:numPr>
          <w:ilvl w:val="0"/>
          <w:numId w:val="2"/>
        </w:numPr>
        <w:ind w:left="0" w:firstLine="0"/>
        <w:rPr>
          <w:color w:val="000000" w:themeColor="text1"/>
          <w:lang w:eastAsia="es-ES"/>
        </w:rPr>
      </w:pPr>
      <w:r w:rsidRPr="00C454A1">
        <w:rPr>
          <w:color w:val="000000" w:themeColor="text1"/>
          <w:lang w:eastAsia="es-ES"/>
        </w:rPr>
        <w:t>Con fundamento en la anterior consideración y p</w:t>
      </w:r>
      <w:r w:rsidR="00950ED9" w:rsidRPr="00C454A1">
        <w:rPr>
          <w:color w:val="000000" w:themeColor="text1"/>
          <w:lang w:eastAsia="es-ES"/>
        </w:rPr>
        <w:t xml:space="preserve">or las razones que a continuación se exponen, la Corte encuentra que los hechos que el </w:t>
      </w:r>
      <w:r w:rsidR="007525E1" w:rsidRPr="00C454A1">
        <w:rPr>
          <w:color w:val="000000" w:themeColor="text1"/>
          <w:lang w:eastAsia="es-ES"/>
        </w:rPr>
        <w:t>Gobierno nacional</w:t>
      </w:r>
      <w:r w:rsidR="00950ED9" w:rsidRPr="00C454A1">
        <w:rPr>
          <w:color w:val="000000" w:themeColor="text1"/>
          <w:lang w:eastAsia="es-ES"/>
        </w:rPr>
        <w:t xml:space="preserve"> invocó como fundamento de la declaratoria </w:t>
      </w:r>
      <w:r w:rsidRPr="00C454A1">
        <w:rPr>
          <w:color w:val="000000" w:themeColor="text1"/>
          <w:lang w:eastAsia="es-ES"/>
        </w:rPr>
        <w:t xml:space="preserve">de conmoción interior en este caso </w:t>
      </w:r>
      <w:r w:rsidR="00950ED9" w:rsidRPr="00C454A1">
        <w:rPr>
          <w:color w:val="000000" w:themeColor="text1"/>
          <w:lang w:eastAsia="es-ES"/>
        </w:rPr>
        <w:t>pueden ser clasificados en dos grupos: (i) hechos perturbadores del orden público que no tienen carácter extraordinario</w:t>
      </w:r>
      <w:r w:rsidRPr="00C454A1">
        <w:rPr>
          <w:color w:val="000000" w:themeColor="text1"/>
          <w:lang w:eastAsia="es-ES"/>
        </w:rPr>
        <w:t xml:space="preserve"> y (ii) hechos que tienen carácter extraordinario, esto es, hechos coyunturales, episódicos y excepcionales que generaron una intensificación y agravamiento inusitado y repentino de la violencia y crisis humanitaria en la región del Catatumbo, el área metropolitana de Cúcuta y los municipios de Río de Oro y González. </w:t>
      </w:r>
    </w:p>
    <w:p w14:paraId="1628F370" w14:textId="77777777" w:rsidR="009F5D75" w:rsidRPr="00C454A1" w:rsidRDefault="009F5D75" w:rsidP="009F5D75">
      <w:pPr>
        <w:pStyle w:val="Prrafodelista"/>
        <w:rPr>
          <w:color w:val="000000" w:themeColor="text1"/>
          <w:lang w:eastAsia="es-ES"/>
        </w:rPr>
      </w:pPr>
    </w:p>
    <w:p w14:paraId="1B677A8F" w14:textId="34EAF5E1" w:rsidR="009F5D75" w:rsidRPr="00C454A1" w:rsidRDefault="005A06FD" w:rsidP="00321FAF">
      <w:pPr>
        <w:numPr>
          <w:ilvl w:val="0"/>
          <w:numId w:val="2"/>
        </w:numPr>
        <w:ind w:left="0" w:firstLine="0"/>
        <w:rPr>
          <w:color w:val="000000" w:themeColor="text1"/>
          <w:lang w:eastAsia="es-ES"/>
        </w:rPr>
      </w:pPr>
      <w:r w:rsidRPr="00C454A1">
        <w:rPr>
          <w:color w:val="000000" w:themeColor="text1"/>
          <w:lang w:eastAsia="es-ES"/>
        </w:rPr>
        <w:t xml:space="preserve">En el primer grupo se hallan los hechos relativos a </w:t>
      </w:r>
      <w:r w:rsidRPr="00C454A1">
        <w:rPr>
          <w:rFonts w:cs="Times New Roman"/>
          <w:color w:val="000000" w:themeColor="text1"/>
          <w:szCs w:val="28"/>
        </w:rPr>
        <w:t xml:space="preserve">(a) la presencia histórica del ELN, los </w:t>
      </w:r>
      <w:r w:rsidR="00EE77DF" w:rsidRPr="00C454A1">
        <w:rPr>
          <w:rFonts w:cs="Times New Roman"/>
          <w:color w:val="000000" w:themeColor="text1"/>
          <w:szCs w:val="28"/>
        </w:rPr>
        <w:t>GAO</w:t>
      </w:r>
      <w:r w:rsidRPr="00C454A1">
        <w:rPr>
          <w:rFonts w:cs="Times New Roman"/>
          <w:color w:val="000000" w:themeColor="text1"/>
          <w:szCs w:val="28"/>
        </w:rPr>
        <w:t xml:space="preserve"> y GDO, (b) </w:t>
      </w:r>
      <w:r w:rsidRPr="00C454A1">
        <w:rPr>
          <w:color w:val="000000" w:themeColor="text1"/>
          <w:lang w:eastAsia="es-ES"/>
        </w:rPr>
        <w:t>la concentración e incremento de cultivos ilícitos</w:t>
      </w:r>
      <w:r w:rsidRPr="00C454A1">
        <w:rPr>
          <w:rFonts w:cs="Times New Roman"/>
          <w:color w:val="000000" w:themeColor="text1"/>
          <w:szCs w:val="28"/>
        </w:rPr>
        <w:t xml:space="preserve">, (b) las deficiencias e incumplimientos en la implementación del PNIS, (d) </w:t>
      </w:r>
      <w:r w:rsidRPr="00C454A1">
        <w:rPr>
          <w:color w:val="000000" w:themeColor="text1"/>
          <w:lang w:eastAsia="es-ES"/>
        </w:rPr>
        <w:t xml:space="preserve">las necesidades básicas insatisfechas de la población del Catatumbo por la insuficiencia en la política social y la precaria oferta de servicios estatales </w:t>
      </w:r>
      <w:r w:rsidRPr="00C454A1">
        <w:rPr>
          <w:rFonts w:cs="Times New Roman"/>
          <w:color w:val="000000" w:themeColor="text1"/>
          <w:szCs w:val="28"/>
        </w:rPr>
        <w:t>y (e) los daños a la infraestructura energética y vial, así como las afectaciones a las operaciones del sector de hidrocarburos, no se fundaron en hechos extraordinarios</w:t>
      </w:r>
      <w:r w:rsidR="00905A43" w:rsidRPr="00C454A1">
        <w:rPr>
          <w:rFonts w:cs="Times New Roman"/>
          <w:color w:val="000000" w:themeColor="text1"/>
          <w:szCs w:val="28"/>
        </w:rPr>
        <w:t xml:space="preserve"> -se trata de los hechos que corresponden al grupo 1 al que alude el fundamento jurídico </w:t>
      </w:r>
      <w:r w:rsidR="00905A43" w:rsidRPr="00C454A1">
        <w:rPr>
          <w:rFonts w:cs="Times New Roman"/>
          <w:color w:val="000000" w:themeColor="text1"/>
          <w:szCs w:val="28"/>
        </w:rPr>
        <w:fldChar w:fldCharType="begin"/>
      </w:r>
      <w:r w:rsidR="00905A43" w:rsidRPr="00C454A1">
        <w:rPr>
          <w:rFonts w:cs="Times New Roman"/>
          <w:color w:val="000000" w:themeColor="text1"/>
          <w:szCs w:val="28"/>
        </w:rPr>
        <w:instrText xml:space="preserve"> REF _Ref223678313 \r \h  \* MERGEFORMAT </w:instrText>
      </w:r>
      <w:r w:rsidR="00905A43" w:rsidRPr="00C454A1">
        <w:rPr>
          <w:rFonts w:cs="Times New Roman"/>
          <w:color w:val="000000" w:themeColor="text1"/>
          <w:szCs w:val="28"/>
        </w:rPr>
      </w:r>
      <w:r w:rsidR="00905A43" w:rsidRPr="00C454A1">
        <w:rPr>
          <w:rFonts w:cs="Times New Roman"/>
          <w:color w:val="000000" w:themeColor="text1"/>
          <w:szCs w:val="28"/>
        </w:rPr>
        <w:fldChar w:fldCharType="separate"/>
      </w:r>
      <w:r w:rsidR="00881E6A">
        <w:rPr>
          <w:rFonts w:cs="Times New Roman"/>
          <w:color w:val="000000" w:themeColor="text1"/>
          <w:szCs w:val="28"/>
        </w:rPr>
        <w:t>186</w:t>
      </w:r>
      <w:r w:rsidR="00905A43" w:rsidRPr="00C454A1">
        <w:rPr>
          <w:rFonts w:cs="Times New Roman"/>
          <w:color w:val="000000" w:themeColor="text1"/>
          <w:szCs w:val="28"/>
        </w:rPr>
        <w:fldChar w:fldCharType="end"/>
      </w:r>
      <w:r w:rsidR="00905A43" w:rsidRPr="00C454A1">
        <w:rPr>
          <w:rFonts w:cs="Times New Roman"/>
          <w:color w:val="000000" w:themeColor="text1"/>
          <w:szCs w:val="28"/>
        </w:rPr>
        <w:t xml:space="preserve">-. </w:t>
      </w:r>
      <w:r w:rsidRPr="00C454A1">
        <w:rPr>
          <w:rFonts w:cs="Times New Roman"/>
          <w:color w:val="000000" w:themeColor="text1"/>
          <w:szCs w:val="28"/>
        </w:rPr>
        <w:t xml:space="preserve"> </w:t>
      </w:r>
      <w:r w:rsidRPr="00C454A1">
        <w:rPr>
          <w:color w:val="000000" w:themeColor="text1"/>
          <w:lang w:eastAsia="es-ES"/>
        </w:rPr>
        <w:t>Estos hechos son</w:t>
      </w:r>
      <w:r w:rsidR="00950ED9" w:rsidRPr="00C454A1">
        <w:rPr>
          <w:color w:val="000000" w:themeColor="text1"/>
          <w:lang w:eastAsia="es-ES"/>
        </w:rPr>
        <w:t xml:space="preserve"> manifestaciones de las problemáticas estructurales de orden público en la región del Catatumbo, que no justifican la declaratoria de </w:t>
      </w:r>
      <w:r w:rsidR="00E06FC8" w:rsidRPr="00C454A1">
        <w:rPr>
          <w:color w:val="000000" w:themeColor="text1"/>
          <w:lang w:eastAsia="es-ES"/>
        </w:rPr>
        <w:t xml:space="preserve">conmoción interior </w:t>
      </w:r>
      <w:r w:rsidR="00950ED9" w:rsidRPr="00C454A1">
        <w:rPr>
          <w:color w:val="000000" w:themeColor="text1"/>
          <w:lang w:eastAsia="es-ES"/>
        </w:rPr>
        <w:t xml:space="preserve">y no habilitan al </w:t>
      </w:r>
      <w:r w:rsidRPr="00C454A1">
        <w:rPr>
          <w:color w:val="000000" w:themeColor="text1"/>
          <w:lang w:eastAsia="es-ES"/>
        </w:rPr>
        <w:t>p</w:t>
      </w:r>
      <w:r w:rsidR="00950ED9" w:rsidRPr="00C454A1">
        <w:rPr>
          <w:color w:val="000000" w:themeColor="text1"/>
          <w:lang w:eastAsia="es-ES"/>
        </w:rPr>
        <w:t>residente de la República a adoptar medidas legislativas excepcionales</w:t>
      </w:r>
      <w:r w:rsidRPr="00C454A1">
        <w:rPr>
          <w:color w:val="000000" w:themeColor="text1"/>
          <w:lang w:eastAsia="es-ES"/>
        </w:rPr>
        <w:t xml:space="preserve">. </w:t>
      </w:r>
    </w:p>
    <w:p w14:paraId="6BD56FAD" w14:textId="77777777" w:rsidR="009F5D75" w:rsidRPr="00C454A1" w:rsidRDefault="009F5D75" w:rsidP="009F5D75">
      <w:pPr>
        <w:pStyle w:val="Prrafodelista"/>
        <w:rPr>
          <w:color w:val="000000" w:themeColor="text1"/>
          <w:lang w:eastAsia="es-ES"/>
        </w:rPr>
      </w:pPr>
    </w:p>
    <w:p w14:paraId="0BAF1D23" w14:textId="2F1235ED" w:rsidR="007802E3" w:rsidRPr="00C454A1" w:rsidRDefault="005A06FD" w:rsidP="00321FAF">
      <w:pPr>
        <w:numPr>
          <w:ilvl w:val="0"/>
          <w:numId w:val="2"/>
        </w:numPr>
        <w:ind w:left="0" w:firstLine="0"/>
        <w:rPr>
          <w:color w:val="000000" w:themeColor="text1"/>
          <w:lang w:eastAsia="es-ES"/>
        </w:rPr>
      </w:pPr>
      <w:r w:rsidRPr="00C454A1">
        <w:rPr>
          <w:color w:val="000000" w:themeColor="text1"/>
          <w:lang w:eastAsia="es-ES"/>
        </w:rPr>
        <w:t>E</w:t>
      </w:r>
      <w:r w:rsidR="003B44EA" w:rsidRPr="00C454A1">
        <w:rPr>
          <w:color w:val="000000" w:themeColor="text1"/>
          <w:lang w:eastAsia="es-ES"/>
        </w:rPr>
        <w:t xml:space="preserve">n el segundo grupo se encuentran los hechos relacionados con </w:t>
      </w:r>
      <w:r w:rsidR="003B44EA" w:rsidRPr="00C454A1">
        <w:rPr>
          <w:rFonts w:cs="Times New Roman"/>
          <w:color w:val="000000" w:themeColor="text1"/>
          <w:szCs w:val="28"/>
          <w:bdr w:val="none" w:sz="0" w:space="0" w:color="auto" w:frame="1"/>
        </w:rPr>
        <w:t>(</w:t>
      </w:r>
      <w:r w:rsidR="00DA04A5" w:rsidRPr="00C454A1">
        <w:rPr>
          <w:rFonts w:cs="Times New Roman"/>
          <w:color w:val="000000" w:themeColor="text1"/>
          <w:szCs w:val="28"/>
          <w:bdr w:val="none" w:sz="0" w:space="0" w:color="auto" w:frame="1"/>
        </w:rPr>
        <w:t>a</w:t>
      </w:r>
      <w:r w:rsidR="003B44EA" w:rsidRPr="00C454A1">
        <w:rPr>
          <w:rFonts w:cs="Times New Roman"/>
          <w:color w:val="000000" w:themeColor="text1"/>
          <w:szCs w:val="28"/>
          <w:bdr w:val="none" w:sz="0" w:space="0" w:color="auto" w:frame="1"/>
        </w:rPr>
        <w:t xml:space="preserve">) la intensificación de los enfrentamientos entre el ELN y otros </w:t>
      </w:r>
      <w:r w:rsidR="00EE77DF" w:rsidRPr="00C454A1">
        <w:rPr>
          <w:rFonts w:cs="Times New Roman"/>
          <w:color w:val="000000" w:themeColor="text1"/>
          <w:szCs w:val="28"/>
          <w:bdr w:val="none" w:sz="0" w:space="0" w:color="auto" w:frame="1"/>
        </w:rPr>
        <w:t>GAO</w:t>
      </w:r>
      <w:r w:rsidR="003B44EA" w:rsidRPr="00C454A1">
        <w:rPr>
          <w:rFonts w:cs="Times New Roman"/>
          <w:color w:val="000000" w:themeColor="text1"/>
          <w:szCs w:val="28"/>
          <w:bdr w:val="none" w:sz="0" w:space="0" w:color="auto" w:frame="1"/>
        </w:rPr>
        <w:t xml:space="preserve">, así como los ataques y hostilidades dirigidos de forma indiscriminada contra la población civil y los firmantes del </w:t>
      </w:r>
      <w:r w:rsidR="00B63A07" w:rsidRPr="00C454A1">
        <w:rPr>
          <w:rFonts w:cs="Times New Roman"/>
          <w:color w:val="000000" w:themeColor="text1"/>
          <w:szCs w:val="28"/>
          <w:bdr w:val="none" w:sz="0" w:space="0" w:color="auto" w:frame="1"/>
        </w:rPr>
        <w:t>AFP</w:t>
      </w:r>
      <w:r w:rsidR="003B44EA" w:rsidRPr="00C454A1">
        <w:rPr>
          <w:rFonts w:cs="Times New Roman"/>
          <w:color w:val="000000" w:themeColor="text1"/>
          <w:szCs w:val="28"/>
          <w:bdr w:val="none" w:sz="0" w:space="0" w:color="auto" w:frame="1"/>
        </w:rPr>
        <w:t xml:space="preserve"> y (</w:t>
      </w:r>
      <w:r w:rsidR="00DA04A5" w:rsidRPr="00C454A1">
        <w:rPr>
          <w:rFonts w:cs="Times New Roman"/>
          <w:color w:val="000000" w:themeColor="text1"/>
          <w:szCs w:val="28"/>
          <w:bdr w:val="none" w:sz="0" w:space="0" w:color="auto" w:frame="1"/>
        </w:rPr>
        <w:t>b</w:t>
      </w:r>
      <w:r w:rsidR="003B44EA" w:rsidRPr="00C454A1">
        <w:rPr>
          <w:rFonts w:cs="Times New Roman"/>
          <w:color w:val="000000" w:themeColor="text1"/>
          <w:szCs w:val="28"/>
          <w:bdr w:val="none" w:sz="0" w:space="0" w:color="auto" w:frame="1"/>
        </w:rPr>
        <w:t>) la crisis humanitaria derivada de desplazamientos forzados -internos y transfronterizos- y confinamientos masivos que ha desbordado la capacidad institucional del Estado para atenderla</w:t>
      </w:r>
      <w:r w:rsidR="00905A43" w:rsidRPr="00C454A1">
        <w:rPr>
          <w:rFonts w:cs="Times New Roman"/>
          <w:color w:val="000000" w:themeColor="text1"/>
          <w:szCs w:val="28"/>
          <w:bdr w:val="none" w:sz="0" w:space="0" w:color="auto" w:frame="1"/>
        </w:rPr>
        <w:t xml:space="preserve"> -se trata de los hechos del grupo 2 que menciona el fundamento </w:t>
      </w:r>
      <w:r w:rsidR="00905A43" w:rsidRPr="00C454A1">
        <w:rPr>
          <w:rFonts w:cs="Times New Roman"/>
          <w:color w:val="000000" w:themeColor="text1"/>
          <w:szCs w:val="28"/>
          <w:bdr w:val="none" w:sz="0" w:space="0" w:color="auto" w:frame="1"/>
        </w:rPr>
        <w:fldChar w:fldCharType="begin"/>
      </w:r>
      <w:r w:rsidR="00905A43" w:rsidRPr="00C454A1">
        <w:rPr>
          <w:rFonts w:cs="Times New Roman"/>
          <w:color w:val="000000" w:themeColor="text1"/>
          <w:szCs w:val="28"/>
          <w:bdr w:val="none" w:sz="0" w:space="0" w:color="auto" w:frame="1"/>
        </w:rPr>
        <w:instrText xml:space="preserve"> REF _Ref223678313 \r \h  \* MERGEFORMAT </w:instrText>
      </w:r>
      <w:r w:rsidR="00905A43" w:rsidRPr="00C454A1">
        <w:rPr>
          <w:rFonts w:cs="Times New Roman"/>
          <w:color w:val="000000" w:themeColor="text1"/>
          <w:szCs w:val="28"/>
          <w:bdr w:val="none" w:sz="0" w:space="0" w:color="auto" w:frame="1"/>
        </w:rPr>
      </w:r>
      <w:r w:rsidR="00905A43" w:rsidRPr="00C454A1">
        <w:rPr>
          <w:rFonts w:cs="Times New Roman"/>
          <w:color w:val="000000" w:themeColor="text1"/>
          <w:szCs w:val="28"/>
          <w:bdr w:val="none" w:sz="0" w:space="0" w:color="auto" w:frame="1"/>
        </w:rPr>
        <w:fldChar w:fldCharType="separate"/>
      </w:r>
      <w:r w:rsidR="00881E6A">
        <w:rPr>
          <w:rFonts w:cs="Times New Roman"/>
          <w:color w:val="000000" w:themeColor="text1"/>
          <w:szCs w:val="28"/>
          <w:bdr w:val="none" w:sz="0" w:space="0" w:color="auto" w:frame="1"/>
        </w:rPr>
        <w:t>186</w:t>
      </w:r>
      <w:r w:rsidR="00905A43" w:rsidRPr="00C454A1">
        <w:rPr>
          <w:rFonts w:cs="Times New Roman"/>
          <w:color w:val="000000" w:themeColor="text1"/>
          <w:szCs w:val="28"/>
          <w:bdr w:val="none" w:sz="0" w:space="0" w:color="auto" w:frame="1"/>
        </w:rPr>
        <w:fldChar w:fldCharType="end"/>
      </w:r>
      <w:r w:rsidR="00905A43" w:rsidRPr="00C454A1">
        <w:rPr>
          <w:rFonts w:cs="Times New Roman"/>
          <w:color w:val="000000" w:themeColor="text1"/>
          <w:szCs w:val="28"/>
          <w:bdr w:val="none" w:sz="0" w:space="0" w:color="auto" w:frame="1"/>
        </w:rPr>
        <w:t>-</w:t>
      </w:r>
      <w:r w:rsidRPr="00C454A1">
        <w:rPr>
          <w:color w:val="000000" w:themeColor="text1"/>
          <w:lang w:eastAsia="es-ES"/>
        </w:rPr>
        <w:t xml:space="preserve">. </w:t>
      </w:r>
      <w:r w:rsidR="003B44EA" w:rsidRPr="00C454A1">
        <w:rPr>
          <w:color w:val="000000" w:themeColor="text1"/>
          <w:lang w:eastAsia="es-ES"/>
        </w:rPr>
        <w:t xml:space="preserve">Para la Sala, el Gobierno nacional acreditó el carácter extraordinario de estos hechos y por ello sólo respecto de este grupo continuará el estudio de </w:t>
      </w:r>
      <w:r w:rsidR="009F5D75" w:rsidRPr="00C454A1">
        <w:rPr>
          <w:color w:val="000000" w:themeColor="text1"/>
          <w:lang w:eastAsia="es-ES"/>
        </w:rPr>
        <w:t xml:space="preserve">constitucionalidad del Decreto 62 de 2025. </w:t>
      </w:r>
      <w:r w:rsidRPr="00C454A1">
        <w:rPr>
          <w:color w:val="000000" w:themeColor="text1"/>
          <w:lang w:eastAsia="es-ES"/>
        </w:rPr>
        <w:t>A continuación</w:t>
      </w:r>
      <w:r w:rsidR="004E2FD4" w:rsidRPr="00C454A1">
        <w:rPr>
          <w:color w:val="000000" w:themeColor="text1"/>
          <w:lang w:eastAsia="es-ES"/>
        </w:rPr>
        <w:t>,</w:t>
      </w:r>
      <w:r w:rsidR="009F5D75" w:rsidRPr="00C454A1">
        <w:rPr>
          <w:color w:val="000000" w:themeColor="text1"/>
          <w:lang w:eastAsia="es-ES"/>
        </w:rPr>
        <w:t xml:space="preserve"> se exponen las razones de estas conclusiones:</w:t>
      </w:r>
    </w:p>
    <w:p w14:paraId="06761309" w14:textId="77777777" w:rsidR="005A06FD" w:rsidRPr="00C454A1" w:rsidRDefault="005A06FD" w:rsidP="005A06FD">
      <w:pPr>
        <w:rPr>
          <w:color w:val="000000" w:themeColor="text1"/>
          <w:lang w:eastAsia="es-ES"/>
        </w:rPr>
      </w:pPr>
    </w:p>
    <w:p w14:paraId="20E91969" w14:textId="11EFDBBC" w:rsidR="00950ED9" w:rsidRPr="00C454A1" w:rsidRDefault="00950ED9" w:rsidP="00307F2C">
      <w:pPr>
        <w:numPr>
          <w:ilvl w:val="0"/>
          <w:numId w:val="10"/>
        </w:numPr>
        <w:rPr>
          <w:color w:val="000000" w:themeColor="text1"/>
          <w:lang w:eastAsia="es-ES"/>
        </w:rPr>
      </w:pPr>
      <w:r w:rsidRPr="00C454A1">
        <w:rPr>
          <w:b/>
          <w:bCs/>
          <w:color w:val="000000" w:themeColor="text1"/>
          <w:lang w:eastAsia="es-ES"/>
        </w:rPr>
        <w:lastRenderedPageBreak/>
        <w:t xml:space="preserve">Hechos </w:t>
      </w:r>
      <w:r w:rsidR="00FE092E" w:rsidRPr="00C454A1">
        <w:rPr>
          <w:b/>
          <w:bCs/>
          <w:color w:val="000000" w:themeColor="text1"/>
          <w:lang w:eastAsia="es-ES"/>
        </w:rPr>
        <w:t xml:space="preserve">perturbadores del orden público </w:t>
      </w:r>
      <w:r w:rsidRPr="00C454A1">
        <w:rPr>
          <w:b/>
          <w:bCs/>
          <w:color w:val="000000" w:themeColor="text1"/>
          <w:lang w:eastAsia="es-ES"/>
        </w:rPr>
        <w:t>que no tienen carácter extraordinario</w:t>
      </w:r>
    </w:p>
    <w:p w14:paraId="0050E595" w14:textId="77777777" w:rsidR="00A1776C" w:rsidRPr="00C454A1" w:rsidRDefault="00A1776C" w:rsidP="00631C27">
      <w:pPr>
        <w:rPr>
          <w:color w:val="000000" w:themeColor="text1"/>
          <w:lang w:eastAsia="es-ES"/>
        </w:rPr>
      </w:pPr>
    </w:p>
    <w:p w14:paraId="51BBB913" w14:textId="7804FBB0" w:rsidR="00D94F1D" w:rsidRPr="00C454A1" w:rsidRDefault="00A1776C" w:rsidP="00321FAF">
      <w:pPr>
        <w:numPr>
          <w:ilvl w:val="0"/>
          <w:numId w:val="2"/>
        </w:numPr>
        <w:ind w:left="0" w:firstLine="0"/>
        <w:rPr>
          <w:color w:val="000000" w:themeColor="text1"/>
          <w:lang w:eastAsia="es-ES"/>
        </w:rPr>
      </w:pPr>
      <w:r w:rsidRPr="00C454A1">
        <w:rPr>
          <w:rFonts w:cs="Times New Roman"/>
          <w:color w:val="000000" w:themeColor="text1"/>
          <w:szCs w:val="28"/>
        </w:rPr>
        <w:t>La Sala Plena advierte que los hechos y consideraciones invocados en el Decreto Legislativo 062 de 2025 sobre: (</w:t>
      </w:r>
      <w:r w:rsidR="00B554D4" w:rsidRPr="00C454A1">
        <w:rPr>
          <w:rFonts w:cs="Times New Roman"/>
          <w:color w:val="000000" w:themeColor="text1"/>
          <w:szCs w:val="28"/>
        </w:rPr>
        <w:t>a</w:t>
      </w:r>
      <w:r w:rsidRPr="00C454A1">
        <w:rPr>
          <w:rFonts w:cs="Times New Roman"/>
          <w:color w:val="000000" w:themeColor="text1"/>
          <w:szCs w:val="28"/>
        </w:rPr>
        <w:t xml:space="preserve">) la presencia histórica del ELN, los </w:t>
      </w:r>
      <w:r w:rsidR="00EE77DF" w:rsidRPr="00C454A1">
        <w:rPr>
          <w:rFonts w:cs="Times New Roman"/>
          <w:color w:val="000000" w:themeColor="text1"/>
          <w:szCs w:val="28"/>
        </w:rPr>
        <w:t>GAO</w:t>
      </w:r>
      <w:r w:rsidRPr="00C454A1">
        <w:rPr>
          <w:rFonts w:cs="Times New Roman"/>
          <w:color w:val="000000" w:themeColor="text1"/>
          <w:szCs w:val="28"/>
        </w:rPr>
        <w:t xml:space="preserve"> y GDO, (</w:t>
      </w:r>
      <w:r w:rsidR="00B554D4" w:rsidRPr="00C454A1">
        <w:rPr>
          <w:rFonts w:cs="Times New Roman"/>
          <w:color w:val="000000" w:themeColor="text1"/>
          <w:szCs w:val="28"/>
        </w:rPr>
        <w:t>b</w:t>
      </w:r>
      <w:r w:rsidRPr="00C454A1">
        <w:rPr>
          <w:rFonts w:cs="Times New Roman"/>
          <w:color w:val="000000" w:themeColor="text1"/>
          <w:szCs w:val="28"/>
        </w:rPr>
        <w:t xml:space="preserve">) </w:t>
      </w:r>
      <w:r w:rsidR="00BB3724" w:rsidRPr="00C454A1">
        <w:rPr>
          <w:color w:val="000000" w:themeColor="text1"/>
          <w:lang w:eastAsia="es-ES"/>
        </w:rPr>
        <w:t>la concentración e incremento de cultivos ilícitos</w:t>
      </w:r>
      <w:r w:rsidRPr="00C454A1">
        <w:rPr>
          <w:rFonts w:cs="Times New Roman"/>
          <w:color w:val="000000" w:themeColor="text1"/>
          <w:szCs w:val="28"/>
        </w:rPr>
        <w:t>, (</w:t>
      </w:r>
      <w:r w:rsidR="00B554D4" w:rsidRPr="00C454A1">
        <w:rPr>
          <w:rFonts w:cs="Times New Roman"/>
          <w:color w:val="000000" w:themeColor="text1"/>
          <w:szCs w:val="28"/>
        </w:rPr>
        <w:t>b</w:t>
      </w:r>
      <w:r w:rsidRPr="00C454A1">
        <w:rPr>
          <w:rFonts w:cs="Times New Roman"/>
          <w:color w:val="000000" w:themeColor="text1"/>
          <w:szCs w:val="28"/>
        </w:rPr>
        <w:t>) las deficiencias e incumplimientos en la implementación del PNIS, (</w:t>
      </w:r>
      <w:r w:rsidR="00B554D4" w:rsidRPr="00C454A1">
        <w:rPr>
          <w:rFonts w:cs="Times New Roman"/>
          <w:color w:val="000000" w:themeColor="text1"/>
          <w:szCs w:val="28"/>
        </w:rPr>
        <w:t>d</w:t>
      </w:r>
      <w:r w:rsidRPr="00C454A1">
        <w:rPr>
          <w:rFonts w:cs="Times New Roman"/>
          <w:color w:val="000000" w:themeColor="text1"/>
          <w:szCs w:val="28"/>
        </w:rPr>
        <w:t xml:space="preserve">) </w:t>
      </w:r>
      <w:r w:rsidR="00BB3724" w:rsidRPr="00C454A1">
        <w:rPr>
          <w:color w:val="000000" w:themeColor="text1"/>
          <w:lang w:eastAsia="es-ES"/>
        </w:rPr>
        <w:t xml:space="preserve">las necesidades básicas insatisfechas de la población del Catatumbo por la insuficiencia en la política social y la precaria oferta de servicios estatales </w:t>
      </w:r>
      <w:r w:rsidRPr="00C454A1">
        <w:rPr>
          <w:rFonts w:cs="Times New Roman"/>
          <w:color w:val="000000" w:themeColor="text1"/>
          <w:szCs w:val="28"/>
        </w:rPr>
        <w:t>y (</w:t>
      </w:r>
      <w:r w:rsidR="00B554D4" w:rsidRPr="00C454A1">
        <w:rPr>
          <w:rFonts w:cs="Times New Roman"/>
          <w:color w:val="000000" w:themeColor="text1"/>
          <w:szCs w:val="28"/>
        </w:rPr>
        <w:t>e</w:t>
      </w:r>
      <w:r w:rsidRPr="00C454A1">
        <w:rPr>
          <w:rFonts w:cs="Times New Roman"/>
          <w:color w:val="000000" w:themeColor="text1"/>
          <w:szCs w:val="28"/>
        </w:rPr>
        <w:t xml:space="preserve">) los daños a la infraestructura energética y vial, así como las afectaciones a las operaciones del sector de hidrocarburos, no </w:t>
      </w:r>
      <w:r w:rsidR="009F5D75" w:rsidRPr="00C454A1">
        <w:rPr>
          <w:rFonts w:cs="Times New Roman"/>
          <w:color w:val="000000" w:themeColor="text1"/>
          <w:szCs w:val="28"/>
        </w:rPr>
        <w:t>revisten el carácter de</w:t>
      </w:r>
      <w:r w:rsidRPr="00C454A1">
        <w:rPr>
          <w:rFonts w:cs="Times New Roman"/>
          <w:color w:val="000000" w:themeColor="text1"/>
          <w:szCs w:val="28"/>
        </w:rPr>
        <w:t xml:space="preserve"> extraordinarios. </w:t>
      </w:r>
      <w:r w:rsidR="00D94F1D" w:rsidRPr="00C454A1">
        <w:rPr>
          <w:color w:val="000000" w:themeColor="text1"/>
          <w:lang w:eastAsia="es-ES"/>
        </w:rPr>
        <w:t xml:space="preserve"> Estos hechos son graves y perturbadores del orden público. Sin embargo, </w:t>
      </w:r>
      <w:r w:rsidR="00D94F1D" w:rsidRPr="00C454A1">
        <w:rPr>
          <w:rFonts w:cs="Times New Roman"/>
          <w:color w:val="000000" w:themeColor="text1"/>
          <w:szCs w:val="28"/>
        </w:rPr>
        <w:t>no surgieron de manera repentina</w:t>
      </w:r>
      <w:r w:rsidR="00836B04" w:rsidRPr="00C454A1">
        <w:rPr>
          <w:rFonts w:cs="Times New Roman"/>
          <w:color w:val="000000" w:themeColor="text1"/>
          <w:szCs w:val="28"/>
        </w:rPr>
        <w:t xml:space="preserve"> ni se agravaron de forma inusitada</w:t>
      </w:r>
      <w:r w:rsidR="00D94F1D" w:rsidRPr="00C454A1">
        <w:rPr>
          <w:rFonts w:cs="Times New Roman"/>
          <w:color w:val="000000" w:themeColor="text1"/>
          <w:szCs w:val="28"/>
        </w:rPr>
        <w:t xml:space="preserve">, sino que </w:t>
      </w:r>
      <w:r w:rsidR="00D94F1D" w:rsidRPr="00C454A1">
        <w:rPr>
          <w:color w:val="000000" w:themeColor="text1"/>
          <w:lang w:eastAsia="es-ES"/>
        </w:rPr>
        <w:t xml:space="preserve">son manifestaciones de viejas patologías sociales y problemáticas estructurales que históricamente han afectado a la población que habita la región del Catatumbo.  </w:t>
      </w:r>
      <w:r w:rsidR="00D94F1D" w:rsidRPr="00C454A1">
        <w:rPr>
          <w:rFonts w:cs="Times New Roman"/>
          <w:color w:val="000000" w:themeColor="text1"/>
          <w:szCs w:val="28"/>
        </w:rPr>
        <w:t>De ahí que la respuesta a dichos problemas deba buscarse a través de los mecanismos ordinarios y en las instancias democráticas y participativas.</w:t>
      </w:r>
    </w:p>
    <w:p w14:paraId="073E19CF" w14:textId="77777777" w:rsidR="00A1776C" w:rsidRPr="00C454A1" w:rsidRDefault="00A1776C" w:rsidP="00631C27">
      <w:pPr>
        <w:rPr>
          <w:color w:val="000000" w:themeColor="text1"/>
          <w:lang w:eastAsia="es-ES"/>
        </w:rPr>
      </w:pPr>
    </w:p>
    <w:p w14:paraId="06D37D04" w14:textId="5D95D61C" w:rsidR="00950ED9" w:rsidRPr="00C454A1" w:rsidRDefault="00950ED9" w:rsidP="00307F2C">
      <w:pPr>
        <w:numPr>
          <w:ilvl w:val="0"/>
          <w:numId w:val="11"/>
        </w:numPr>
        <w:rPr>
          <w:color w:val="000000" w:themeColor="text1"/>
          <w:u w:val="single"/>
          <w:lang w:eastAsia="es-ES"/>
        </w:rPr>
      </w:pPr>
      <w:r w:rsidRPr="00C454A1">
        <w:rPr>
          <w:color w:val="000000" w:themeColor="text1"/>
          <w:u w:val="single"/>
          <w:lang w:eastAsia="es-ES"/>
        </w:rPr>
        <w:t xml:space="preserve">La presencia del ELN, los </w:t>
      </w:r>
      <w:r w:rsidR="00EE77DF" w:rsidRPr="00C454A1">
        <w:rPr>
          <w:color w:val="000000" w:themeColor="text1"/>
          <w:u w:val="single"/>
          <w:lang w:eastAsia="es-ES"/>
        </w:rPr>
        <w:t>GAO</w:t>
      </w:r>
      <w:r w:rsidRPr="00C454A1">
        <w:rPr>
          <w:color w:val="000000" w:themeColor="text1"/>
          <w:u w:val="single"/>
          <w:lang w:eastAsia="es-ES"/>
        </w:rPr>
        <w:t xml:space="preserve"> y GDO en la región del Catatumbo</w:t>
      </w:r>
    </w:p>
    <w:p w14:paraId="7A6FA72A" w14:textId="77777777" w:rsidR="00950ED9" w:rsidRPr="00C454A1" w:rsidRDefault="00950ED9" w:rsidP="00631C27">
      <w:pPr>
        <w:rPr>
          <w:color w:val="000000" w:themeColor="text1"/>
          <w:lang w:eastAsia="es-ES"/>
        </w:rPr>
      </w:pPr>
    </w:p>
    <w:p w14:paraId="286CF69D" w14:textId="1834413D"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La Corte considera que la presencia de grupos delictivos en el territorio objeto de la </w:t>
      </w:r>
      <w:r w:rsidR="002462D4" w:rsidRPr="00C454A1">
        <w:rPr>
          <w:color w:val="000000" w:themeColor="text1"/>
          <w:lang w:eastAsia="es-ES"/>
        </w:rPr>
        <w:t xml:space="preserve">conmoción interior </w:t>
      </w:r>
      <w:r w:rsidRPr="00C454A1">
        <w:rPr>
          <w:color w:val="000000" w:themeColor="text1"/>
          <w:lang w:eastAsia="es-ES"/>
        </w:rPr>
        <w:t>constituye una problemática crónica y estructural de orden público en el Catatumbo. La Comisión de la Verdad</w:t>
      </w:r>
      <w:r w:rsidRPr="00C454A1">
        <w:rPr>
          <w:color w:val="000000" w:themeColor="text1"/>
          <w:vertAlign w:val="superscript"/>
          <w:lang w:eastAsia="es-ES"/>
        </w:rPr>
        <w:footnoteReference w:id="262"/>
      </w:r>
      <w:r w:rsidR="002761CB" w:rsidRPr="00C454A1">
        <w:rPr>
          <w:color w:val="000000" w:themeColor="text1"/>
          <w:lang w:eastAsia="es-ES"/>
        </w:rPr>
        <w:t xml:space="preserve"> y</w:t>
      </w:r>
      <w:r w:rsidRPr="00C454A1">
        <w:rPr>
          <w:color w:val="000000" w:themeColor="text1"/>
          <w:lang w:eastAsia="es-ES"/>
        </w:rPr>
        <w:t xml:space="preserve"> el Centro Nacional de Memoria Histórica</w:t>
      </w:r>
      <w:r w:rsidRPr="00C454A1">
        <w:rPr>
          <w:color w:val="000000" w:themeColor="text1"/>
          <w:vertAlign w:val="superscript"/>
          <w:lang w:eastAsia="es-ES"/>
        </w:rPr>
        <w:footnoteReference w:id="263"/>
      </w:r>
      <w:r w:rsidRPr="00C454A1">
        <w:rPr>
          <w:color w:val="000000" w:themeColor="text1"/>
          <w:lang w:eastAsia="es-ES"/>
        </w:rPr>
        <w:t xml:space="preserve"> han documentado que, </w:t>
      </w:r>
      <w:r w:rsidR="002761CB" w:rsidRPr="00C454A1">
        <w:rPr>
          <w:color w:val="000000" w:themeColor="text1"/>
          <w:lang w:eastAsia="es-ES"/>
        </w:rPr>
        <w:t xml:space="preserve">desde </w:t>
      </w:r>
      <w:r w:rsidRPr="00C454A1">
        <w:rPr>
          <w:color w:val="000000" w:themeColor="text1"/>
          <w:lang w:eastAsia="es-ES"/>
        </w:rPr>
        <w:t xml:space="preserve">finales </w:t>
      </w:r>
      <w:r w:rsidR="009F5D75" w:rsidRPr="00C454A1">
        <w:rPr>
          <w:color w:val="000000" w:themeColor="text1"/>
          <w:lang w:eastAsia="es-ES"/>
        </w:rPr>
        <w:t>de la década de 1970</w:t>
      </w:r>
      <w:r w:rsidRPr="00C454A1">
        <w:rPr>
          <w:color w:val="000000" w:themeColor="text1"/>
          <w:lang w:eastAsia="es-ES"/>
        </w:rPr>
        <w:t>, las guerrillas del ELN, el EPL y, más adelante, las FARC</w:t>
      </w:r>
      <w:r w:rsidR="00836B04" w:rsidRPr="00C454A1">
        <w:rPr>
          <w:color w:val="000000" w:themeColor="text1"/>
          <w:lang w:eastAsia="es-ES"/>
        </w:rPr>
        <w:t>-EP</w:t>
      </w:r>
      <w:r w:rsidRPr="00C454A1">
        <w:rPr>
          <w:color w:val="000000" w:themeColor="text1"/>
          <w:lang w:eastAsia="es-ES"/>
        </w:rPr>
        <w:t xml:space="preserve">, han hecho presencia en el territorio del Catatumbo. Desde entonces, estos grupos han llevado a cabo acciones como tomas </w:t>
      </w:r>
      <w:r w:rsidR="00836B04" w:rsidRPr="00C454A1">
        <w:rPr>
          <w:color w:val="000000" w:themeColor="text1"/>
          <w:lang w:eastAsia="es-ES"/>
        </w:rPr>
        <w:t>de</w:t>
      </w:r>
      <w:r w:rsidRPr="00C454A1">
        <w:rPr>
          <w:color w:val="000000" w:themeColor="text1"/>
          <w:lang w:eastAsia="es-ES"/>
        </w:rPr>
        <w:t xml:space="preserve"> centros poblados, extorsiones y secuestros, así como han regulado el diario vivir de la población. </w:t>
      </w:r>
    </w:p>
    <w:p w14:paraId="773D9E5A" w14:textId="77777777" w:rsidR="00950ED9" w:rsidRPr="00C454A1" w:rsidRDefault="00950ED9" w:rsidP="00631C27">
      <w:pPr>
        <w:rPr>
          <w:color w:val="000000" w:themeColor="text1"/>
          <w:lang w:eastAsia="es-ES"/>
        </w:rPr>
      </w:pPr>
    </w:p>
    <w:p w14:paraId="11F0E12D" w14:textId="552E6ED4"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Recientemente, la Defensoría del Pueblo ha registrado la presencia de estos y otros </w:t>
      </w:r>
      <w:r w:rsidR="00EE77DF" w:rsidRPr="00C454A1">
        <w:rPr>
          <w:color w:val="000000" w:themeColor="text1"/>
          <w:lang w:eastAsia="es-ES"/>
        </w:rPr>
        <w:t>GAO</w:t>
      </w:r>
      <w:r w:rsidRPr="00C454A1">
        <w:rPr>
          <w:color w:val="000000" w:themeColor="text1"/>
          <w:lang w:eastAsia="es-ES"/>
        </w:rPr>
        <w:t xml:space="preserve"> y GDO en la región del Catatumbo, por medio de</w:t>
      </w:r>
      <w:r w:rsidR="00D512F9" w:rsidRPr="00C454A1">
        <w:rPr>
          <w:color w:val="000000" w:themeColor="text1"/>
          <w:lang w:eastAsia="es-ES"/>
        </w:rPr>
        <w:t>,</w:t>
      </w:r>
      <w:r w:rsidRPr="00C454A1">
        <w:rPr>
          <w:color w:val="000000" w:themeColor="text1"/>
          <w:lang w:eastAsia="es-ES"/>
        </w:rPr>
        <w:t xml:space="preserve"> por lo menos</w:t>
      </w:r>
      <w:r w:rsidR="00D512F9" w:rsidRPr="00C454A1">
        <w:rPr>
          <w:color w:val="000000" w:themeColor="text1"/>
          <w:lang w:eastAsia="es-ES"/>
        </w:rPr>
        <w:t>,</w:t>
      </w:r>
      <w:r w:rsidRPr="00C454A1">
        <w:rPr>
          <w:color w:val="000000" w:themeColor="text1"/>
          <w:lang w:eastAsia="es-ES"/>
        </w:rPr>
        <w:t xml:space="preserve"> tres alertas tempranas de inminencia: AT 011-2019 El Tarra (N.S.), </w:t>
      </w:r>
      <w:r w:rsidRPr="00C454A1">
        <w:rPr>
          <w:rFonts w:ascii="Segoe UI Symbol" w:hAnsi="Segoe UI Symbol" w:cs="Segoe UI Symbol"/>
          <w:color w:val="000000" w:themeColor="text1"/>
          <w:lang w:eastAsia="es-ES"/>
        </w:rPr>
        <w:t>⁠</w:t>
      </w:r>
      <w:r w:rsidRPr="00C454A1">
        <w:rPr>
          <w:color w:val="000000" w:themeColor="text1"/>
          <w:lang w:eastAsia="es-ES"/>
        </w:rPr>
        <w:t xml:space="preserve">AT 004-2021 Convención, El Carmen, Teorama (N.S.) y AT 026-2024 González, Río de Oro (Cesar), Abrego, Convención, El Carmen, La Playa, Ocaña, Teorama (N.S.). Estas alertas reflejan que, si bien las dinámicas del conflicto, control territorial y confrontaciones entre estos grupos </w:t>
      </w:r>
      <w:r w:rsidR="00836B04" w:rsidRPr="00C454A1">
        <w:rPr>
          <w:color w:val="000000" w:themeColor="text1"/>
          <w:lang w:eastAsia="es-ES"/>
        </w:rPr>
        <w:t>son</w:t>
      </w:r>
      <w:r w:rsidRPr="00C454A1">
        <w:rPr>
          <w:color w:val="000000" w:themeColor="text1"/>
          <w:lang w:eastAsia="es-ES"/>
        </w:rPr>
        <w:t xml:space="preserve"> cambiante</w:t>
      </w:r>
      <w:r w:rsidR="00836B04" w:rsidRPr="00C454A1">
        <w:rPr>
          <w:color w:val="000000" w:themeColor="text1"/>
          <w:lang w:eastAsia="es-ES"/>
        </w:rPr>
        <w:t>s</w:t>
      </w:r>
      <w:r w:rsidRPr="00C454A1">
        <w:rPr>
          <w:color w:val="000000" w:themeColor="text1"/>
          <w:lang w:eastAsia="es-ES"/>
        </w:rPr>
        <w:t>, su presencia en la región del Catatumbo es una constante histórica</w:t>
      </w:r>
      <w:r w:rsidR="009F5D75" w:rsidRPr="00C454A1">
        <w:rPr>
          <w:color w:val="000000" w:themeColor="text1"/>
          <w:lang w:eastAsia="es-ES"/>
        </w:rPr>
        <w:t xml:space="preserve"> de las décadas recientes</w:t>
      </w:r>
      <w:r w:rsidRPr="00C454A1">
        <w:rPr>
          <w:color w:val="000000" w:themeColor="text1"/>
          <w:lang w:eastAsia="es-ES"/>
        </w:rPr>
        <w:t xml:space="preserve">. </w:t>
      </w:r>
    </w:p>
    <w:p w14:paraId="60FB4633" w14:textId="77777777" w:rsidR="00950ED9" w:rsidRPr="00C454A1" w:rsidRDefault="00950ED9" w:rsidP="00631C27">
      <w:pPr>
        <w:rPr>
          <w:color w:val="000000" w:themeColor="text1"/>
          <w:lang w:eastAsia="es-ES"/>
        </w:rPr>
      </w:pPr>
    </w:p>
    <w:p w14:paraId="22C0FDFA" w14:textId="549E25F0"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lastRenderedPageBreak/>
        <w:t>La Corte Constitucional ha corroborado esta situación. En particular, en los autos 811 de 2021, 894 de 2022 y 244 de 2025</w:t>
      </w:r>
      <w:r w:rsidR="009F5D75" w:rsidRPr="00C454A1">
        <w:rPr>
          <w:color w:val="000000" w:themeColor="text1"/>
          <w:lang w:eastAsia="es-ES"/>
        </w:rPr>
        <w:t>,</w:t>
      </w:r>
      <w:r w:rsidRPr="00C454A1">
        <w:rPr>
          <w:color w:val="000000" w:themeColor="text1"/>
          <w:lang w:eastAsia="es-ES"/>
        </w:rPr>
        <w:t xml:space="preserve"> la Sala </w:t>
      </w:r>
      <w:r w:rsidR="009F5D75" w:rsidRPr="00C454A1">
        <w:rPr>
          <w:color w:val="000000" w:themeColor="text1"/>
          <w:lang w:eastAsia="es-ES"/>
        </w:rPr>
        <w:t xml:space="preserve">Especial </w:t>
      </w:r>
      <w:r w:rsidRPr="00C454A1">
        <w:rPr>
          <w:color w:val="000000" w:themeColor="text1"/>
          <w:lang w:eastAsia="es-ES"/>
        </w:rPr>
        <w:t xml:space="preserve">de Seguimiento a la </w:t>
      </w:r>
      <w:r w:rsidR="00836B04" w:rsidRPr="00C454A1">
        <w:rPr>
          <w:color w:val="000000" w:themeColor="text1"/>
          <w:lang w:eastAsia="es-ES"/>
        </w:rPr>
        <w:t>S</w:t>
      </w:r>
      <w:r w:rsidRPr="00C454A1">
        <w:rPr>
          <w:color w:val="000000" w:themeColor="text1"/>
          <w:lang w:eastAsia="es-ES"/>
        </w:rPr>
        <w:t>entencia T-025 de 2004 ha constatado que la situación de orden públic</w:t>
      </w:r>
      <w:r w:rsidR="00EA18C2" w:rsidRPr="00C454A1">
        <w:rPr>
          <w:color w:val="000000" w:themeColor="text1"/>
          <w:lang w:eastAsia="es-ES"/>
        </w:rPr>
        <w:t>o</w:t>
      </w:r>
      <w:r w:rsidRPr="00C454A1">
        <w:rPr>
          <w:color w:val="000000" w:themeColor="text1"/>
          <w:lang w:eastAsia="es-ES"/>
        </w:rPr>
        <w:t xml:space="preserve"> en la región del Catatumbo “refleja la persistencia de la violencia y sus impactos en la población desplazada y confinada”</w:t>
      </w:r>
      <w:r w:rsidRPr="00C454A1">
        <w:rPr>
          <w:color w:val="000000" w:themeColor="text1"/>
          <w:vertAlign w:val="superscript"/>
          <w:lang w:eastAsia="es-ES"/>
        </w:rPr>
        <w:footnoteReference w:id="264"/>
      </w:r>
      <w:r w:rsidRPr="00C454A1">
        <w:rPr>
          <w:color w:val="000000" w:themeColor="text1"/>
          <w:lang w:eastAsia="es-ES"/>
        </w:rPr>
        <w:t>. Asimismo, ha corroborado que tras la firma del AFP “se configuró un nuevo escenario de confrontación entre múltiples actores armados, lo que ha intensificado las dinámicas de desplazamiento forzado y confinamiento”</w:t>
      </w:r>
      <w:r w:rsidRPr="00C454A1">
        <w:rPr>
          <w:color w:val="000000" w:themeColor="text1"/>
          <w:vertAlign w:val="superscript"/>
          <w:lang w:eastAsia="es-ES"/>
        </w:rPr>
        <w:footnoteReference w:id="265"/>
      </w:r>
      <w:r w:rsidRPr="00C454A1">
        <w:rPr>
          <w:color w:val="000000" w:themeColor="text1"/>
          <w:lang w:eastAsia="es-ES"/>
        </w:rPr>
        <w:t xml:space="preserve"> en el territorio. También ha indicado que, producto de la presencia de grupos armados, la “región del Catatumbo fue identificada como uno de los principales focos de emergencias humanitarias recurrentes”</w:t>
      </w:r>
      <w:r w:rsidRPr="00C454A1">
        <w:rPr>
          <w:color w:val="000000" w:themeColor="text1"/>
          <w:vertAlign w:val="superscript"/>
          <w:lang w:eastAsia="es-ES"/>
        </w:rPr>
        <w:footnoteReference w:id="266"/>
      </w:r>
      <w:r w:rsidRPr="00C454A1">
        <w:rPr>
          <w:color w:val="000000" w:themeColor="text1"/>
          <w:lang w:eastAsia="es-ES"/>
        </w:rPr>
        <w:t xml:space="preserve">. </w:t>
      </w:r>
    </w:p>
    <w:p w14:paraId="60DC256D" w14:textId="77777777" w:rsidR="00950ED9" w:rsidRPr="00C454A1" w:rsidRDefault="00950ED9" w:rsidP="00631C27">
      <w:pPr>
        <w:rPr>
          <w:color w:val="000000" w:themeColor="text1"/>
          <w:lang w:eastAsia="es-ES"/>
        </w:rPr>
      </w:pPr>
    </w:p>
    <w:p w14:paraId="7894BCFB" w14:textId="631534D0"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este contexto, la Corte considera que la presencia de estos grupos armados al margen de la ley en la región del Catatumbo constituye un problema estructural de orden público que se ha mantenido de forma constante y permanente en el tiempo, por lo que forma parte </w:t>
      </w:r>
      <w:r w:rsidR="00F14B29" w:rsidRPr="00C454A1">
        <w:rPr>
          <w:color w:val="000000" w:themeColor="text1"/>
          <w:lang w:eastAsia="es-ES"/>
        </w:rPr>
        <w:t xml:space="preserve">de </w:t>
      </w:r>
      <w:r w:rsidRPr="00C454A1">
        <w:rPr>
          <w:color w:val="000000" w:themeColor="text1"/>
          <w:lang w:eastAsia="es-ES"/>
        </w:rPr>
        <w:t>la “normalidad-anormal”</w:t>
      </w:r>
      <w:r w:rsidRPr="00C454A1">
        <w:rPr>
          <w:color w:val="000000" w:themeColor="text1"/>
          <w:vertAlign w:val="superscript"/>
          <w:lang w:eastAsia="es-ES"/>
        </w:rPr>
        <w:footnoteReference w:id="267"/>
      </w:r>
      <w:r w:rsidRPr="00C454A1">
        <w:rPr>
          <w:color w:val="000000" w:themeColor="text1"/>
          <w:lang w:eastAsia="es-ES"/>
        </w:rPr>
        <w:t xml:space="preserve"> </w:t>
      </w:r>
      <w:r w:rsidR="00836B04" w:rsidRPr="00C454A1">
        <w:rPr>
          <w:color w:val="000000" w:themeColor="text1"/>
          <w:lang w:eastAsia="es-ES"/>
        </w:rPr>
        <w:t>de</w:t>
      </w:r>
      <w:r w:rsidRPr="00C454A1">
        <w:rPr>
          <w:color w:val="000000" w:themeColor="text1"/>
          <w:lang w:eastAsia="es-ES"/>
        </w:rPr>
        <w:t xml:space="preserve"> dicha región. Es una manifestación reiterada de viejas y arraigadas patologías sociales que aquejan al país. En tales términos, no tiene carácter extraordinario y no satisface el criterio de excepcionalidad requerido para declarar un </w:t>
      </w:r>
      <w:r w:rsidR="009F5D75" w:rsidRPr="00C454A1">
        <w:rPr>
          <w:color w:val="000000" w:themeColor="text1"/>
          <w:lang w:eastAsia="es-ES"/>
        </w:rPr>
        <w:t>e</w:t>
      </w:r>
      <w:r w:rsidRPr="00C454A1">
        <w:rPr>
          <w:color w:val="000000" w:themeColor="text1"/>
          <w:lang w:eastAsia="es-ES"/>
        </w:rPr>
        <w:t xml:space="preserve">stado de </w:t>
      </w:r>
      <w:r w:rsidR="009F5D75" w:rsidRPr="00C454A1">
        <w:rPr>
          <w:color w:val="000000" w:themeColor="text1"/>
          <w:lang w:eastAsia="es-ES"/>
        </w:rPr>
        <w:t>c</w:t>
      </w:r>
      <w:r w:rsidRPr="00C454A1">
        <w:rPr>
          <w:color w:val="000000" w:themeColor="text1"/>
          <w:lang w:eastAsia="es-ES"/>
        </w:rPr>
        <w:t xml:space="preserve">onmoción </w:t>
      </w:r>
      <w:r w:rsidR="009F5D75" w:rsidRPr="00C454A1">
        <w:rPr>
          <w:color w:val="000000" w:themeColor="text1"/>
          <w:lang w:eastAsia="es-ES"/>
        </w:rPr>
        <w:t>i</w:t>
      </w:r>
      <w:r w:rsidRPr="00C454A1">
        <w:rPr>
          <w:color w:val="000000" w:themeColor="text1"/>
          <w:lang w:eastAsia="es-ES"/>
        </w:rPr>
        <w:t>nterior.</w:t>
      </w:r>
    </w:p>
    <w:p w14:paraId="7D22E915" w14:textId="77777777" w:rsidR="00950ED9" w:rsidRPr="00C454A1" w:rsidRDefault="00950ED9" w:rsidP="00631C27">
      <w:pPr>
        <w:rPr>
          <w:color w:val="000000" w:themeColor="text1"/>
          <w:lang w:eastAsia="es-ES"/>
        </w:rPr>
      </w:pPr>
    </w:p>
    <w:p w14:paraId="3F54CD3B" w14:textId="77777777" w:rsidR="00950ED9" w:rsidRPr="00C454A1" w:rsidRDefault="00950ED9" w:rsidP="00307F2C">
      <w:pPr>
        <w:numPr>
          <w:ilvl w:val="0"/>
          <w:numId w:val="11"/>
        </w:numPr>
        <w:rPr>
          <w:color w:val="000000" w:themeColor="text1"/>
          <w:u w:val="single"/>
          <w:lang w:eastAsia="es-ES"/>
        </w:rPr>
      </w:pPr>
      <w:r w:rsidRPr="00C454A1">
        <w:rPr>
          <w:color w:val="000000" w:themeColor="text1"/>
          <w:u w:val="single"/>
          <w:lang w:eastAsia="es-ES"/>
        </w:rPr>
        <w:t>La concentración de cultivos ilícitos en Norte de Santander</w:t>
      </w:r>
    </w:p>
    <w:p w14:paraId="33521AFD" w14:textId="77777777" w:rsidR="00950ED9" w:rsidRPr="00C454A1" w:rsidRDefault="00950ED9" w:rsidP="00631C27">
      <w:pPr>
        <w:rPr>
          <w:color w:val="000000" w:themeColor="text1"/>
          <w:lang w:eastAsia="es-ES"/>
        </w:rPr>
      </w:pPr>
    </w:p>
    <w:p w14:paraId="6FE22B7B" w14:textId="40E32422"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La Sala Plena estima que la concentración de cultivos ilícitos en Norte de Santander</w:t>
      </w:r>
      <w:r w:rsidR="00836B04" w:rsidRPr="00C454A1">
        <w:rPr>
          <w:color w:val="000000" w:themeColor="text1"/>
          <w:lang w:eastAsia="es-ES"/>
        </w:rPr>
        <w:t>,</w:t>
      </w:r>
      <w:r w:rsidRPr="00C454A1">
        <w:rPr>
          <w:color w:val="000000" w:themeColor="text1"/>
          <w:lang w:eastAsia="es-ES"/>
        </w:rPr>
        <w:t xml:space="preserve"> y en concreto en la región del Catatumbo, no constituye un hecho extraordinario. </w:t>
      </w:r>
      <w:r w:rsidR="00E04E95" w:rsidRPr="00C454A1">
        <w:rPr>
          <w:color w:val="000000" w:themeColor="text1"/>
          <w:lang w:eastAsia="es-ES"/>
        </w:rPr>
        <w:t>E</w:t>
      </w:r>
      <w:r w:rsidRPr="00C454A1">
        <w:rPr>
          <w:color w:val="000000" w:themeColor="text1"/>
          <w:lang w:eastAsia="es-ES"/>
        </w:rPr>
        <w:t xml:space="preserve">l </w:t>
      </w:r>
      <w:r w:rsidR="007525E1" w:rsidRPr="00C454A1">
        <w:rPr>
          <w:color w:val="000000" w:themeColor="text1"/>
          <w:lang w:eastAsia="es-ES"/>
        </w:rPr>
        <w:t>Gobierno nacional</w:t>
      </w:r>
      <w:r w:rsidRPr="00C454A1">
        <w:rPr>
          <w:color w:val="000000" w:themeColor="text1"/>
          <w:lang w:eastAsia="es-ES"/>
        </w:rPr>
        <w:t xml:space="preserve"> no dio cuenta de un incremento excepcional o inusitado de estos cultivos vinculad</w:t>
      </w:r>
      <w:r w:rsidR="00D512F9" w:rsidRPr="00C454A1">
        <w:rPr>
          <w:color w:val="000000" w:themeColor="text1"/>
          <w:lang w:eastAsia="es-ES"/>
        </w:rPr>
        <w:t>o</w:t>
      </w:r>
      <w:r w:rsidRPr="00C454A1">
        <w:rPr>
          <w:color w:val="000000" w:themeColor="text1"/>
          <w:lang w:eastAsia="es-ES"/>
        </w:rPr>
        <w:t xml:space="preserve"> a las causas específicas que motivaron la declaratoria de </w:t>
      </w:r>
      <w:r w:rsidR="00D512F9" w:rsidRPr="00C454A1">
        <w:rPr>
          <w:color w:val="000000" w:themeColor="text1"/>
          <w:lang w:eastAsia="es-ES"/>
        </w:rPr>
        <w:t>conmoción interior</w:t>
      </w:r>
      <w:r w:rsidRPr="00C454A1">
        <w:rPr>
          <w:color w:val="000000" w:themeColor="text1"/>
          <w:lang w:eastAsia="es-ES"/>
        </w:rPr>
        <w:t xml:space="preserve">. Por el contrario, la Corte advierte que los informes que el </w:t>
      </w:r>
      <w:r w:rsidR="007525E1" w:rsidRPr="00C454A1">
        <w:rPr>
          <w:color w:val="000000" w:themeColor="text1"/>
          <w:lang w:eastAsia="es-ES"/>
        </w:rPr>
        <w:t>Gobierno nacional</w:t>
      </w:r>
      <w:r w:rsidRPr="00C454A1">
        <w:rPr>
          <w:color w:val="000000" w:themeColor="text1"/>
          <w:lang w:eastAsia="es-ES"/>
        </w:rPr>
        <w:t xml:space="preserve"> aportó evidencian que la concentración e incremento paulatino de cultivos ilícitos constituye</w:t>
      </w:r>
      <w:r w:rsidR="00F14B29" w:rsidRPr="00C454A1">
        <w:rPr>
          <w:color w:val="000000" w:themeColor="text1"/>
          <w:lang w:eastAsia="es-ES"/>
        </w:rPr>
        <w:t>n</w:t>
      </w:r>
      <w:r w:rsidRPr="00C454A1">
        <w:rPr>
          <w:color w:val="000000" w:themeColor="text1"/>
          <w:lang w:eastAsia="es-ES"/>
        </w:rPr>
        <w:t xml:space="preserve"> una problemática crónica, endémica y estructural que aqueja al departamento de Norte de Santander desde hace varios años.</w:t>
      </w:r>
    </w:p>
    <w:p w14:paraId="52AB0A24" w14:textId="77777777" w:rsidR="00950ED9" w:rsidRPr="00C454A1" w:rsidRDefault="00950ED9" w:rsidP="00631C27">
      <w:pPr>
        <w:rPr>
          <w:color w:val="000000" w:themeColor="text1"/>
          <w:lang w:eastAsia="es-ES"/>
        </w:rPr>
      </w:pPr>
    </w:p>
    <w:p w14:paraId="06B0D5AF" w14:textId="3934E42C"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De conformidad con la información remitida por el Gobierno</w:t>
      </w:r>
      <w:r w:rsidRPr="00C454A1">
        <w:rPr>
          <w:color w:val="000000" w:themeColor="text1"/>
          <w:vertAlign w:val="superscript"/>
          <w:lang w:eastAsia="es-ES"/>
        </w:rPr>
        <w:footnoteReference w:id="268"/>
      </w:r>
      <w:r w:rsidRPr="00C454A1">
        <w:rPr>
          <w:color w:val="000000" w:themeColor="text1"/>
          <w:lang w:eastAsia="es-ES"/>
        </w:rPr>
        <w:t>, en 2022 y 2023 Norte de Santander ocupó el tercer lugar en</w:t>
      </w:r>
      <w:r w:rsidR="00B92F1B" w:rsidRPr="00C454A1">
        <w:rPr>
          <w:color w:val="000000" w:themeColor="text1"/>
          <w:lang w:eastAsia="es-ES"/>
        </w:rPr>
        <w:t>tre</w:t>
      </w:r>
      <w:r w:rsidRPr="00C454A1">
        <w:rPr>
          <w:color w:val="000000" w:themeColor="text1"/>
          <w:lang w:eastAsia="es-ES"/>
        </w:rPr>
        <w:t xml:space="preserve"> los departamentos con más áreas de cultivo de coca. En 2023, aportó el 17% </w:t>
      </w:r>
      <w:r w:rsidR="00F14B29" w:rsidRPr="00C454A1">
        <w:rPr>
          <w:color w:val="000000" w:themeColor="text1"/>
          <w:lang w:eastAsia="es-ES"/>
        </w:rPr>
        <w:t xml:space="preserve">del </w:t>
      </w:r>
      <w:r w:rsidRPr="00C454A1">
        <w:rPr>
          <w:color w:val="000000" w:themeColor="text1"/>
          <w:lang w:eastAsia="es-ES"/>
        </w:rPr>
        <w:t>total nacional</w:t>
      </w:r>
      <w:r w:rsidR="00F14B29" w:rsidRPr="00C454A1">
        <w:rPr>
          <w:color w:val="000000" w:themeColor="text1"/>
          <w:lang w:eastAsia="es-ES"/>
        </w:rPr>
        <w:t>,</w:t>
      </w:r>
      <w:r w:rsidRPr="00C454A1">
        <w:rPr>
          <w:color w:val="000000" w:themeColor="text1"/>
          <w:lang w:eastAsia="es-ES"/>
        </w:rPr>
        <w:t xml:space="preserve"> con 43.867 hectáreas. En ese año hubo un incremento del 4% respecto a 2022. Según el Ministerio de Justicia y del Derecho, Tibú, Sardinata y El Tarra son los municipios con mayor “cantidad y tendencia al aumento de cultivos de coca”. El 52% de los cultivos del departamento se concentraron en Tibú, </w:t>
      </w:r>
      <w:r w:rsidR="00B92F1B" w:rsidRPr="00C454A1">
        <w:rPr>
          <w:color w:val="000000" w:themeColor="text1"/>
          <w:lang w:eastAsia="es-ES"/>
        </w:rPr>
        <w:t xml:space="preserve">el </w:t>
      </w:r>
      <w:r w:rsidRPr="00C454A1">
        <w:rPr>
          <w:color w:val="000000" w:themeColor="text1"/>
          <w:lang w:eastAsia="es-ES"/>
        </w:rPr>
        <w:t xml:space="preserve">municipio con más hectáreas cultivadas </w:t>
      </w:r>
      <w:r w:rsidR="00B92F1B" w:rsidRPr="00C454A1">
        <w:rPr>
          <w:color w:val="000000" w:themeColor="text1"/>
          <w:lang w:eastAsia="es-ES"/>
        </w:rPr>
        <w:t>d</w:t>
      </w:r>
      <w:r w:rsidRPr="00C454A1">
        <w:rPr>
          <w:color w:val="000000" w:themeColor="text1"/>
          <w:lang w:eastAsia="es-ES"/>
        </w:rPr>
        <w:t xml:space="preserve">el país. Por su parte, Sardinata representó el 10% </w:t>
      </w:r>
      <w:r w:rsidRPr="00C454A1">
        <w:rPr>
          <w:color w:val="000000" w:themeColor="text1"/>
          <w:lang w:eastAsia="es-ES"/>
        </w:rPr>
        <w:lastRenderedPageBreak/>
        <w:t>del total de hectáreas de Norte de Santander y El Tarra ocupó el octavo lugar dentro de los 10 municipios “con mayor cantidad de coca y ascendió una posición con respecto a 2023”</w:t>
      </w:r>
      <w:r w:rsidRPr="00C454A1">
        <w:rPr>
          <w:color w:val="000000" w:themeColor="text1"/>
          <w:vertAlign w:val="superscript"/>
          <w:lang w:eastAsia="es-ES"/>
        </w:rPr>
        <w:footnoteReference w:id="269"/>
      </w:r>
      <w:r w:rsidRPr="00C454A1">
        <w:rPr>
          <w:color w:val="000000" w:themeColor="text1"/>
          <w:lang w:eastAsia="es-ES"/>
        </w:rPr>
        <w:t xml:space="preserve">. </w:t>
      </w:r>
    </w:p>
    <w:p w14:paraId="49023C71" w14:textId="77777777" w:rsidR="00950ED9" w:rsidRPr="00C454A1" w:rsidRDefault="00950ED9" w:rsidP="00631C27">
      <w:pPr>
        <w:rPr>
          <w:color w:val="000000" w:themeColor="text1"/>
          <w:lang w:eastAsia="es-ES"/>
        </w:rPr>
      </w:pPr>
    </w:p>
    <w:p w14:paraId="75D598C8" w14:textId="07A3C5A0"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El </w:t>
      </w:r>
      <w:r w:rsidR="007525E1" w:rsidRPr="00C454A1">
        <w:rPr>
          <w:color w:val="000000" w:themeColor="text1"/>
          <w:lang w:eastAsia="es-ES"/>
        </w:rPr>
        <w:t>Gobierno nacional</w:t>
      </w:r>
      <w:r w:rsidRPr="00C454A1">
        <w:rPr>
          <w:color w:val="000000" w:themeColor="text1"/>
          <w:lang w:eastAsia="es-ES"/>
        </w:rPr>
        <w:t xml:space="preserve"> aportó información estadística que demuestra que en la región del Catatumbo los cultivos ilícitos han </w:t>
      </w:r>
      <w:r w:rsidR="00B92F1B" w:rsidRPr="00C454A1">
        <w:rPr>
          <w:color w:val="000000" w:themeColor="text1"/>
          <w:lang w:eastAsia="es-ES"/>
        </w:rPr>
        <w:t>aumentado</w:t>
      </w:r>
      <w:r w:rsidRPr="00C454A1">
        <w:rPr>
          <w:color w:val="000000" w:themeColor="text1"/>
          <w:lang w:eastAsia="es-ES"/>
        </w:rPr>
        <w:t xml:space="preserve"> paulatina</w:t>
      </w:r>
      <w:r w:rsidR="00B92F1B" w:rsidRPr="00C454A1">
        <w:rPr>
          <w:color w:val="000000" w:themeColor="text1"/>
          <w:lang w:eastAsia="es-ES"/>
        </w:rPr>
        <w:t>mente</w:t>
      </w:r>
      <w:r w:rsidRPr="00C454A1">
        <w:rPr>
          <w:color w:val="000000" w:themeColor="text1"/>
          <w:lang w:eastAsia="es-ES"/>
        </w:rPr>
        <w:t xml:space="preserve">, </w:t>
      </w:r>
      <w:r w:rsidR="00B92F1B" w:rsidRPr="00C454A1">
        <w:rPr>
          <w:color w:val="000000" w:themeColor="text1"/>
          <w:lang w:eastAsia="es-ES"/>
        </w:rPr>
        <w:t>al</w:t>
      </w:r>
      <w:r w:rsidRPr="00C454A1">
        <w:rPr>
          <w:color w:val="000000" w:themeColor="text1"/>
          <w:lang w:eastAsia="es-ES"/>
        </w:rPr>
        <w:t xml:space="preserve"> menos desde el año 2022. Al respecto, el DAPRE allegó los siguientes datos que corresponden a la evolución del número de hectáreas de cultivos de coca en Norte de Santander</w:t>
      </w:r>
      <w:r w:rsidRPr="00C454A1">
        <w:rPr>
          <w:color w:val="000000" w:themeColor="text1"/>
          <w:vertAlign w:val="superscript"/>
          <w:lang w:eastAsia="es-ES"/>
        </w:rPr>
        <w:footnoteReference w:id="270"/>
      </w:r>
      <w:r w:rsidRPr="00C454A1">
        <w:rPr>
          <w:color w:val="000000" w:themeColor="text1"/>
          <w:lang w:eastAsia="es-ES"/>
        </w:rPr>
        <w:t>:</w:t>
      </w:r>
    </w:p>
    <w:p w14:paraId="1E5339C7" w14:textId="77777777" w:rsidR="00950ED9" w:rsidRPr="00C454A1" w:rsidRDefault="00950ED9" w:rsidP="00631C27">
      <w:pPr>
        <w:rPr>
          <w:color w:val="000000" w:themeColor="text1"/>
          <w:lang w:eastAsia="es-ES"/>
        </w:rPr>
      </w:pPr>
    </w:p>
    <w:p w14:paraId="74CAA2B8" w14:textId="7FD79B3C" w:rsidR="00866A6A" w:rsidRPr="00C454A1" w:rsidRDefault="00866A6A" w:rsidP="00866A6A">
      <w:pPr>
        <w:ind w:left="708" w:hanging="708"/>
        <w:jc w:val="center"/>
        <w:rPr>
          <w:i/>
          <w:iCs/>
          <w:color w:val="000000" w:themeColor="text1"/>
          <w:sz w:val="22"/>
          <w:szCs w:val="22"/>
          <w:lang w:eastAsia="es-ES"/>
        </w:rPr>
      </w:pPr>
      <w:r w:rsidRPr="00C454A1">
        <w:rPr>
          <w:i/>
          <w:iCs/>
          <w:color w:val="000000" w:themeColor="text1"/>
          <w:sz w:val="22"/>
          <w:szCs w:val="22"/>
          <w:lang w:eastAsia="es-ES"/>
        </w:rPr>
        <w:t>Tabla 7: aumento de cultivos ilícitos en la región del Catatumbo</w:t>
      </w:r>
    </w:p>
    <w:tbl>
      <w:tblPr>
        <w:tblStyle w:val="Tablaconcuadrcula"/>
        <w:tblW w:w="8830" w:type="dxa"/>
        <w:jc w:val="center"/>
        <w:tblLook w:val="04A0" w:firstRow="1" w:lastRow="0" w:firstColumn="1" w:lastColumn="0" w:noHBand="0" w:noVBand="1"/>
      </w:tblPr>
      <w:tblGrid>
        <w:gridCol w:w="901"/>
        <w:gridCol w:w="923"/>
        <w:gridCol w:w="925"/>
        <w:gridCol w:w="1145"/>
        <w:gridCol w:w="919"/>
        <w:gridCol w:w="930"/>
        <w:gridCol w:w="1145"/>
        <w:gridCol w:w="921"/>
        <w:gridCol w:w="1021"/>
      </w:tblGrid>
      <w:tr w:rsidR="00C454A1" w:rsidRPr="00C454A1" w14:paraId="21787B9A" w14:textId="77777777" w:rsidTr="00332287">
        <w:trPr>
          <w:jc w:val="center"/>
        </w:trPr>
        <w:tc>
          <w:tcPr>
            <w:tcW w:w="822" w:type="dxa"/>
            <w:vAlign w:val="center"/>
          </w:tcPr>
          <w:p w14:paraId="79DC4A5A"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Periodo</w:t>
            </w:r>
          </w:p>
        </w:tc>
        <w:tc>
          <w:tcPr>
            <w:tcW w:w="945" w:type="dxa"/>
            <w:vAlign w:val="center"/>
          </w:tcPr>
          <w:p w14:paraId="131D4E57"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Abril 2022</w:t>
            </w:r>
          </w:p>
        </w:tc>
        <w:tc>
          <w:tcPr>
            <w:tcW w:w="940" w:type="dxa"/>
            <w:vAlign w:val="center"/>
          </w:tcPr>
          <w:p w14:paraId="66532BF5"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Agosto 2022</w:t>
            </w:r>
          </w:p>
        </w:tc>
        <w:tc>
          <w:tcPr>
            <w:tcW w:w="1118" w:type="dxa"/>
            <w:vAlign w:val="center"/>
          </w:tcPr>
          <w:p w14:paraId="1FCA335E"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Diciembre 2022</w:t>
            </w:r>
          </w:p>
        </w:tc>
        <w:tc>
          <w:tcPr>
            <w:tcW w:w="941" w:type="dxa"/>
            <w:vAlign w:val="center"/>
          </w:tcPr>
          <w:p w14:paraId="2B215D10"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Abril 2023</w:t>
            </w:r>
          </w:p>
        </w:tc>
        <w:tc>
          <w:tcPr>
            <w:tcW w:w="947" w:type="dxa"/>
            <w:vAlign w:val="center"/>
          </w:tcPr>
          <w:p w14:paraId="39FC0654"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Agosto 2023</w:t>
            </w:r>
          </w:p>
        </w:tc>
        <w:tc>
          <w:tcPr>
            <w:tcW w:w="1118" w:type="dxa"/>
            <w:vAlign w:val="center"/>
          </w:tcPr>
          <w:p w14:paraId="148BA45A"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Diciembre 2023</w:t>
            </w:r>
          </w:p>
        </w:tc>
        <w:tc>
          <w:tcPr>
            <w:tcW w:w="942" w:type="dxa"/>
            <w:vAlign w:val="center"/>
          </w:tcPr>
          <w:p w14:paraId="4C2CD062"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Abril 2024</w:t>
            </w:r>
          </w:p>
        </w:tc>
        <w:tc>
          <w:tcPr>
            <w:tcW w:w="1057" w:type="dxa"/>
            <w:vAlign w:val="center"/>
          </w:tcPr>
          <w:p w14:paraId="6E432893"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Agosto 2024</w:t>
            </w:r>
          </w:p>
        </w:tc>
      </w:tr>
      <w:tr w:rsidR="00950ED9" w:rsidRPr="00C454A1" w14:paraId="35E07DD9" w14:textId="77777777" w:rsidTr="00332287">
        <w:trPr>
          <w:jc w:val="center"/>
        </w:trPr>
        <w:tc>
          <w:tcPr>
            <w:tcW w:w="822" w:type="dxa"/>
            <w:vAlign w:val="center"/>
          </w:tcPr>
          <w:p w14:paraId="262A8183"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Ha.</w:t>
            </w:r>
          </w:p>
        </w:tc>
        <w:tc>
          <w:tcPr>
            <w:tcW w:w="945" w:type="dxa"/>
            <w:vAlign w:val="center"/>
          </w:tcPr>
          <w:p w14:paraId="47B74BC4"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35.376</w:t>
            </w:r>
          </w:p>
        </w:tc>
        <w:tc>
          <w:tcPr>
            <w:tcW w:w="940" w:type="dxa"/>
            <w:vAlign w:val="center"/>
          </w:tcPr>
          <w:p w14:paraId="5DE27B7D"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41.876</w:t>
            </w:r>
          </w:p>
        </w:tc>
        <w:tc>
          <w:tcPr>
            <w:tcW w:w="1118" w:type="dxa"/>
            <w:vAlign w:val="center"/>
          </w:tcPr>
          <w:p w14:paraId="54A849B8"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45.260</w:t>
            </w:r>
          </w:p>
        </w:tc>
        <w:tc>
          <w:tcPr>
            <w:tcW w:w="941" w:type="dxa"/>
            <w:vAlign w:val="center"/>
          </w:tcPr>
          <w:p w14:paraId="5720F37B"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51.311</w:t>
            </w:r>
          </w:p>
        </w:tc>
        <w:tc>
          <w:tcPr>
            <w:tcW w:w="947" w:type="dxa"/>
            <w:vAlign w:val="center"/>
          </w:tcPr>
          <w:p w14:paraId="26299525"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48.818</w:t>
            </w:r>
          </w:p>
        </w:tc>
        <w:tc>
          <w:tcPr>
            <w:tcW w:w="1118" w:type="dxa"/>
            <w:vAlign w:val="center"/>
          </w:tcPr>
          <w:p w14:paraId="244B6FA7"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52.683</w:t>
            </w:r>
          </w:p>
        </w:tc>
        <w:tc>
          <w:tcPr>
            <w:tcW w:w="942" w:type="dxa"/>
            <w:vAlign w:val="center"/>
          </w:tcPr>
          <w:p w14:paraId="7D0730E2"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53.882</w:t>
            </w:r>
          </w:p>
        </w:tc>
        <w:tc>
          <w:tcPr>
            <w:tcW w:w="1057" w:type="dxa"/>
            <w:vAlign w:val="center"/>
          </w:tcPr>
          <w:p w14:paraId="17EB386D"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kern w:val="2"/>
                <w:sz w:val="22"/>
                <w:szCs w:val="22"/>
                <w:lang w:eastAsia="es-ES"/>
                <w14:ligatures w14:val="standardContextual"/>
              </w:rPr>
              <w:t>53.812</w:t>
            </w:r>
          </w:p>
        </w:tc>
      </w:tr>
    </w:tbl>
    <w:p w14:paraId="0077A1D0" w14:textId="77777777" w:rsidR="00950ED9" w:rsidRPr="00C454A1" w:rsidRDefault="00950ED9" w:rsidP="00631C27">
      <w:pPr>
        <w:rPr>
          <w:color w:val="000000" w:themeColor="text1"/>
          <w:lang w:eastAsia="es-ES"/>
        </w:rPr>
      </w:pPr>
    </w:p>
    <w:p w14:paraId="088746D7" w14:textId="4B10848F"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particular, respecto de 2024, el </w:t>
      </w:r>
      <w:r w:rsidR="007525E1" w:rsidRPr="00C454A1">
        <w:rPr>
          <w:color w:val="000000" w:themeColor="text1"/>
          <w:lang w:eastAsia="es-ES"/>
        </w:rPr>
        <w:t>Gobierno nacional</w:t>
      </w:r>
      <w:r w:rsidRPr="00C454A1">
        <w:rPr>
          <w:color w:val="000000" w:themeColor="text1"/>
          <w:lang w:eastAsia="es-ES"/>
        </w:rPr>
        <w:t xml:space="preserve"> reportó la siguiente información sobre las hectáreas de cultivos ilícitos de coca</w:t>
      </w:r>
      <w:r w:rsidRPr="00C454A1">
        <w:rPr>
          <w:color w:val="000000" w:themeColor="text1"/>
          <w:vertAlign w:val="superscript"/>
          <w:lang w:eastAsia="es-ES"/>
        </w:rPr>
        <w:footnoteReference w:id="271"/>
      </w:r>
      <w:r w:rsidRPr="00C454A1">
        <w:rPr>
          <w:color w:val="000000" w:themeColor="text1"/>
          <w:lang w:eastAsia="es-ES"/>
        </w:rPr>
        <w:t xml:space="preserve">: </w:t>
      </w:r>
    </w:p>
    <w:p w14:paraId="48B55047" w14:textId="77777777" w:rsidR="00950ED9" w:rsidRPr="00C454A1" w:rsidRDefault="00950ED9" w:rsidP="00631C27">
      <w:pPr>
        <w:rPr>
          <w:color w:val="000000" w:themeColor="text1"/>
          <w:lang w:eastAsia="es-ES"/>
        </w:rPr>
      </w:pPr>
    </w:p>
    <w:p w14:paraId="72D16966" w14:textId="5E3DEDE6" w:rsidR="000F7594" w:rsidRPr="00C454A1" w:rsidRDefault="000F7594" w:rsidP="000F7594">
      <w:pPr>
        <w:jc w:val="center"/>
        <w:rPr>
          <w:i/>
          <w:iCs/>
          <w:color w:val="000000" w:themeColor="text1"/>
          <w:sz w:val="22"/>
          <w:szCs w:val="22"/>
          <w:lang w:eastAsia="es-ES"/>
        </w:rPr>
      </w:pPr>
      <w:r w:rsidRPr="00C454A1">
        <w:rPr>
          <w:i/>
          <w:iCs/>
          <w:color w:val="000000" w:themeColor="text1"/>
          <w:sz w:val="22"/>
          <w:szCs w:val="22"/>
          <w:lang w:eastAsia="es-ES"/>
        </w:rPr>
        <w:t>Tabla 8: número de hectáreas de cultivos ilícitos de coca en 2024</w:t>
      </w:r>
    </w:p>
    <w:tbl>
      <w:tblPr>
        <w:tblStyle w:val="Tablaconcuadrcula"/>
        <w:tblW w:w="0" w:type="auto"/>
        <w:tblLook w:val="04A0" w:firstRow="1" w:lastRow="0" w:firstColumn="1" w:lastColumn="0" w:noHBand="0" w:noVBand="1"/>
      </w:tblPr>
      <w:tblGrid>
        <w:gridCol w:w="614"/>
        <w:gridCol w:w="1821"/>
        <w:gridCol w:w="989"/>
        <w:gridCol w:w="1975"/>
        <w:gridCol w:w="2116"/>
        <w:gridCol w:w="1315"/>
      </w:tblGrid>
      <w:tr w:rsidR="00C454A1" w:rsidRPr="00C454A1" w14:paraId="092E71AF" w14:textId="77777777" w:rsidTr="00EE77DF">
        <w:tc>
          <w:tcPr>
            <w:tcW w:w="579" w:type="dxa"/>
            <w:vAlign w:val="center"/>
          </w:tcPr>
          <w:p w14:paraId="6ED58C5B"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Nro.</w:t>
            </w:r>
          </w:p>
        </w:tc>
        <w:tc>
          <w:tcPr>
            <w:tcW w:w="1826" w:type="dxa"/>
            <w:vAlign w:val="center"/>
          </w:tcPr>
          <w:p w14:paraId="117673BA"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Departamento</w:t>
            </w:r>
          </w:p>
        </w:tc>
        <w:tc>
          <w:tcPr>
            <w:tcW w:w="992" w:type="dxa"/>
            <w:vAlign w:val="center"/>
          </w:tcPr>
          <w:p w14:paraId="08425302"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PNIS</w:t>
            </w:r>
          </w:p>
        </w:tc>
        <w:tc>
          <w:tcPr>
            <w:tcW w:w="1985" w:type="dxa"/>
            <w:vAlign w:val="center"/>
          </w:tcPr>
          <w:p w14:paraId="73771C2F"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Zonas con restricción</w:t>
            </w:r>
          </w:p>
        </w:tc>
        <w:tc>
          <w:tcPr>
            <w:tcW w:w="2126" w:type="dxa"/>
            <w:vAlign w:val="center"/>
          </w:tcPr>
          <w:p w14:paraId="3B813A93"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Susceptibles para erradicar</w:t>
            </w:r>
          </w:p>
        </w:tc>
        <w:tc>
          <w:tcPr>
            <w:tcW w:w="1320" w:type="dxa"/>
            <w:vAlign w:val="center"/>
          </w:tcPr>
          <w:p w14:paraId="67B0EAD9"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Total general</w:t>
            </w:r>
          </w:p>
        </w:tc>
      </w:tr>
      <w:tr w:rsidR="00950ED9" w:rsidRPr="00C454A1" w14:paraId="5B79850F" w14:textId="77777777" w:rsidTr="00EE77DF">
        <w:tc>
          <w:tcPr>
            <w:tcW w:w="579" w:type="dxa"/>
          </w:tcPr>
          <w:p w14:paraId="55CBFACC"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w:t>
            </w:r>
          </w:p>
        </w:tc>
        <w:tc>
          <w:tcPr>
            <w:tcW w:w="1826" w:type="dxa"/>
          </w:tcPr>
          <w:p w14:paraId="0D61551B"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Norte de Santander</w:t>
            </w:r>
          </w:p>
        </w:tc>
        <w:tc>
          <w:tcPr>
            <w:tcW w:w="992" w:type="dxa"/>
          </w:tcPr>
          <w:p w14:paraId="6A0A9CFC"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7.924</w:t>
            </w:r>
          </w:p>
        </w:tc>
        <w:tc>
          <w:tcPr>
            <w:tcW w:w="1985" w:type="dxa"/>
          </w:tcPr>
          <w:p w14:paraId="343567E2"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15.607</w:t>
            </w:r>
          </w:p>
        </w:tc>
        <w:tc>
          <w:tcPr>
            <w:tcW w:w="2126" w:type="dxa"/>
          </w:tcPr>
          <w:p w14:paraId="7FDF17FF"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30.280</w:t>
            </w:r>
          </w:p>
        </w:tc>
        <w:tc>
          <w:tcPr>
            <w:tcW w:w="1320" w:type="dxa"/>
          </w:tcPr>
          <w:p w14:paraId="2CA89C1B"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53.811</w:t>
            </w:r>
          </w:p>
        </w:tc>
      </w:tr>
    </w:tbl>
    <w:p w14:paraId="5FF274B4" w14:textId="77777777" w:rsidR="00950ED9" w:rsidRPr="00C454A1" w:rsidRDefault="00950ED9" w:rsidP="00631C27">
      <w:pPr>
        <w:rPr>
          <w:rFonts w:cs="Times New Roman"/>
          <w:color w:val="000000" w:themeColor="text1"/>
          <w:sz w:val="20"/>
          <w:szCs w:val="20"/>
          <w:lang w:eastAsia="es-ES"/>
        </w:rPr>
      </w:pPr>
    </w:p>
    <w:tbl>
      <w:tblPr>
        <w:tblStyle w:val="Tablaconcuadrcula"/>
        <w:tblW w:w="0" w:type="auto"/>
        <w:tblLook w:val="04A0" w:firstRow="1" w:lastRow="0" w:firstColumn="1" w:lastColumn="0" w:noHBand="0" w:noVBand="1"/>
      </w:tblPr>
      <w:tblGrid>
        <w:gridCol w:w="614"/>
        <w:gridCol w:w="1821"/>
        <w:gridCol w:w="989"/>
        <w:gridCol w:w="1975"/>
        <w:gridCol w:w="2160"/>
        <w:gridCol w:w="1271"/>
      </w:tblGrid>
      <w:tr w:rsidR="00C454A1" w:rsidRPr="00C454A1" w14:paraId="24B25371" w14:textId="77777777" w:rsidTr="00EE77DF">
        <w:tc>
          <w:tcPr>
            <w:tcW w:w="578" w:type="dxa"/>
            <w:vAlign w:val="center"/>
          </w:tcPr>
          <w:p w14:paraId="7373F893"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Nro.</w:t>
            </w:r>
          </w:p>
        </w:tc>
        <w:tc>
          <w:tcPr>
            <w:tcW w:w="1827" w:type="dxa"/>
            <w:vAlign w:val="center"/>
          </w:tcPr>
          <w:p w14:paraId="431421C7"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Municipios</w:t>
            </w:r>
          </w:p>
        </w:tc>
        <w:tc>
          <w:tcPr>
            <w:tcW w:w="992" w:type="dxa"/>
            <w:vAlign w:val="center"/>
          </w:tcPr>
          <w:p w14:paraId="7660AB3A"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PNIS</w:t>
            </w:r>
          </w:p>
        </w:tc>
        <w:tc>
          <w:tcPr>
            <w:tcW w:w="1985" w:type="dxa"/>
            <w:vAlign w:val="center"/>
          </w:tcPr>
          <w:p w14:paraId="7595CB66"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Zonas con restricción</w:t>
            </w:r>
          </w:p>
        </w:tc>
        <w:tc>
          <w:tcPr>
            <w:tcW w:w="2170" w:type="dxa"/>
            <w:vAlign w:val="center"/>
          </w:tcPr>
          <w:p w14:paraId="0EA907A9"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Susceptibles para erradicar</w:t>
            </w:r>
          </w:p>
        </w:tc>
        <w:tc>
          <w:tcPr>
            <w:tcW w:w="1276" w:type="dxa"/>
            <w:vAlign w:val="center"/>
          </w:tcPr>
          <w:p w14:paraId="05979EC3" w14:textId="77777777" w:rsidR="00950ED9" w:rsidRPr="00C454A1" w:rsidRDefault="00950ED9" w:rsidP="00E53F28">
            <w:pPr>
              <w:jc w:val="cente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Total general</w:t>
            </w:r>
          </w:p>
        </w:tc>
      </w:tr>
      <w:tr w:rsidR="00C454A1" w:rsidRPr="00C454A1" w14:paraId="6B630EE5" w14:textId="77777777" w:rsidTr="00EE77DF">
        <w:tc>
          <w:tcPr>
            <w:tcW w:w="578" w:type="dxa"/>
          </w:tcPr>
          <w:p w14:paraId="6837DD28"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w:t>
            </w:r>
          </w:p>
        </w:tc>
        <w:tc>
          <w:tcPr>
            <w:tcW w:w="1827" w:type="dxa"/>
          </w:tcPr>
          <w:p w14:paraId="422C2FD5"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Tibú</w:t>
            </w:r>
          </w:p>
        </w:tc>
        <w:tc>
          <w:tcPr>
            <w:tcW w:w="992" w:type="dxa"/>
          </w:tcPr>
          <w:p w14:paraId="3433D23A"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4.015</w:t>
            </w:r>
          </w:p>
        </w:tc>
        <w:tc>
          <w:tcPr>
            <w:tcW w:w="1985" w:type="dxa"/>
          </w:tcPr>
          <w:p w14:paraId="4314B85D"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6.979</w:t>
            </w:r>
          </w:p>
        </w:tc>
        <w:tc>
          <w:tcPr>
            <w:tcW w:w="2170" w:type="dxa"/>
          </w:tcPr>
          <w:p w14:paraId="0CF19198"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15.941</w:t>
            </w:r>
          </w:p>
        </w:tc>
        <w:tc>
          <w:tcPr>
            <w:tcW w:w="1276" w:type="dxa"/>
          </w:tcPr>
          <w:p w14:paraId="2A6B2479"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26.935</w:t>
            </w:r>
          </w:p>
        </w:tc>
      </w:tr>
      <w:tr w:rsidR="00C454A1" w:rsidRPr="00C454A1" w14:paraId="5900D7E0" w14:textId="77777777" w:rsidTr="00EE77DF">
        <w:tc>
          <w:tcPr>
            <w:tcW w:w="578" w:type="dxa"/>
          </w:tcPr>
          <w:p w14:paraId="523F5855"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2</w:t>
            </w:r>
          </w:p>
        </w:tc>
        <w:tc>
          <w:tcPr>
            <w:tcW w:w="1827" w:type="dxa"/>
          </w:tcPr>
          <w:p w14:paraId="632C9981"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El Tarra</w:t>
            </w:r>
          </w:p>
        </w:tc>
        <w:tc>
          <w:tcPr>
            <w:tcW w:w="992" w:type="dxa"/>
          </w:tcPr>
          <w:p w14:paraId="4109E7E5"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0</w:t>
            </w:r>
          </w:p>
        </w:tc>
        <w:tc>
          <w:tcPr>
            <w:tcW w:w="1985" w:type="dxa"/>
          </w:tcPr>
          <w:p w14:paraId="34120399"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3.848</w:t>
            </w:r>
          </w:p>
        </w:tc>
        <w:tc>
          <w:tcPr>
            <w:tcW w:w="2170" w:type="dxa"/>
          </w:tcPr>
          <w:p w14:paraId="3220E265"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3.942</w:t>
            </w:r>
          </w:p>
        </w:tc>
        <w:tc>
          <w:tcPr>
            <w:tcW w:w="1276" w:type="dxa"/>
          </w:tcPr>
          <w:p w14:paraId="329A000E"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7.790</w:t>
            </w:r>
          </w:p>
        </w:tc>
      </w:tr>
      <w:tr w:rsidR="00C454A1" w:rsidRPr="00C454A1" w14:paraId="60ED3863" w14:textId="77777777" w:rsidTr="00EE77DF">
        <w:tc>
          <w:tcPr>
            <w:tcW w:w="578" w:type="dxa"/>
          </w:tcPr>
          <w:p w14:paraId="10668E76"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3</w:t>
            </w:r>
          </w:p>
        </w:tc>
        <w:tc>
          <w:tcPr>
            <w:tcW w:w="1827" w:type="dxa"/>
          </w:tcPr>
          <w:p w14:paraId="4973EF6D"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Sardinata</w:t>
            </w:r>
          </w:p>
        </w:tc>
        <w:tc>
          <w:tcPr>
            <w:tcW w:w="992" w:type="dxa"/>
          </w:tcPr>
          <w:p w14:paraId="7FB50907"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2.865</w:t>
            </w:r>
          </w:p>
        </w:tc>
        <w:tc>
          <w:tcPr>
            <w:tcW w:w="1985" w:type="dxa"/>
          </w:tcPr>
          <w:p w14:paraId="5F2848FA"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0</w:t>
            </w:r>
          </w:p>
        </w:tc>
        <w:tc>
          <w:tcPr>
            <w:tcW w:w="2170" w:type="dxa"/>
          </w:tcPr>
          <w:p w14:paraId="27848D57"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2.817</w:t>
            </w:r>
          </w:p>
        </w:tc>
        <w:tc>
          <w:tcPr>
            <w:tcW w:w="1276" w:type="dxa"/>
          </w:tcPr>
          <w:p w14:paraId="232F1960"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5.682</w:t>
            </w:r>
          </w:p>
        </w:tc>
      </w:tr>
      <w:tr w:rsidR="00C454A1" w:rsidRPr="00C454A1" w14:paraId="196D0A69" w14:textId="77777777" w:rsidTr="00EE77DF">
        <w:tc>
          <w:tcPr>
            <w:tcW w:w="578" w:type="dxa"/>
          </w:tcPr>
          <w:p w14:paraId="079916DE"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4</w:t>
            </w:r>
          </w:p>
        </w:tc>
        <w:tc>
          <w:tcPr>
            <w:tcW w:w="1827" w:type="dxa"/>
          </w:tcPr>
          <w:p w14:paraId="170F0184"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Teorama</w:t>
            </w:r>
          </w:p>
        </w:tc>
        <w:tc>
          <w:tcPr>
            <w:tcW w:w="992" w:type="dxa"/>
          </w:tcPr>
          <w:p w14:paraId="35B9E7A4"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6</w:t>
            </w:r>
          </w:p>
        </w:tc>
        <w:tc>
          <w:tcPr>
            <w:tcW w:w="1985" w:type="dxa"/>
          </w:tcPr>
          <w:p w14:paraId="37F84B61"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2.986</w:t>
            </w:r>
          </w:p>
        </w:tc>
        <w:tc>
          <w:tcPr>
            <w:tcW w:w="2170" w:type="dxa"/>
          </w:tcPr>
          <w:p w14:paraId="4B70A90C"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1.978</w:t>
            </w:r>
          </w:p>
        </w:tc>
        <w:tc>
          <w:tcPr>
            <w:tcW w:w="1276" w:type="dxa"/>
          </w:tcPr>
          <w:p w14:paraId="3C11FEE9"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4.970</w:t>
            </w:r>
          </w:p>
        </w:tc>
      </w:tr>
      <w:tr w:rsidR="00C454A1" w:rsidRPr="00C454A1" w14:paraId="419B7470" w14:textId="77777777" w:rsidTr="00EE77DF">
        <w:tc>
          <w:tcPr>
            <w:tcW w:w="578" w:type="dxa"/>
          </w:tcPr>
          <w:p w14:paraId="073528DA"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5</w:t>
            </w:r>
          </w:p>
        </w:tc>
        <w:tc>
          <w:tcPr>
            <w:tcW w:w="1827" w:type="dxa"/>
          </w:tcPr>
          <w:p w14:paraId="1D6CEA58"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Convención</w:t>
            </w:r>
          </w:p>
        </w:tc>
        <w:tc>
          <w:tcPr>
            <w:tcW w:w="992" w:type="dxa"/>
          </w:tcPr>
          <w:p w14:paraId="7666FFD1"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1.917</w:t>
            </w:r>
          </w:p>
        </w:tc>
        <w:tc>
          <w:tcPr>
            <w:tcW w:w="1985" w:type="dxa"/>
          </w:tcPr>
          <w:p w14:paraId="6870EA90"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636</w:t>
            </w:r>
          </w:p>
        </w:tc>
        <w:tc>
          <w:tcPr>
            <w:tcW w:w="2170" w:type="dxa"/>
          </w:tcPr>
          <w:p w14:paraId="4EE3770B"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1.405</w:t>
            </w:r>
          </w:p>
        </w:tc>
        <w:tc>
          <w:tcPr>
            <w:tcW w:w="1276" w:type="dxa"/>
          </w:tcPr>
          <w:p w14:paraId="075ACDF2"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3.058</w:t>
            </w:r>
          </w:p>
        </w:tc>
      </w:tr>
      <w:tr w:rsidR="00C454A1" w:rsidRPr="00C454A1" w14:paraId="3EADBB75" w14:textId="77777777" w:rsidTr="00EE77DF">
        <w:tc>
          <w:tcPr>
            <w:tcW w:w="578" w:type="dxa"/>
          </w:tcPr>
          <w:p w14:paraId="03CEB705"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6</w:t>
            </w:r>
          </w:p>
        </w:tc>
        <w:tc>
          <w:tcPr>
            <w:tcW w:w="1827" w:type="dxa"/>
          </w:tcPr>
          <w:p w14:paraId="2C4FF57D"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Hacarí</w:t>
            </w:r>
          </w:p>
        </w:tc>
        <w:tc>
          <w:tcPr>
            <w:tcW w:w="992" w:type="dxa"/>
          </w:tcPr>
          <w:p w14:paraId="12897881"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0</w:t>
            </w:r>
          </w:p>
        </w:tc>
        <w:tc>
          <w:tcPr>
            <w:tcW w:w="1985" w:type="dxa"/>
          </w:tcPr>
          <w:p w14:paraId="3EE0BA44"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0</w:t>
            </w:r>
          </w:p>
        </w:tc>
        <w:tc>
          <w:tcPr>
            <w:tcW w:w="2170" w:type="dxa"/>
          </w:tcPr>
          <w:p w14:paraId="4E568E88"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1.631</w:t>
            </w:r>
          </w:p>
        </w:tc>
        <w:tc>
          <w:tcPr>
            <w:tcW w:w="1276" w:type="dxa"/>
          </w:tcPr>
          <w:p w14:paraId="69A6CA5A"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1.631</w:t>
            </w:r>
          </w:p>
        </w:tc>
      </w:tr>
      <w:tr w:rsidR="00C454A1" w:rsidRPr="00C454A1" w14:paraId="42523FD9" w14:textId="77777777" w:rsidTr="00EE77DF">
        <w:tc>
          <w:tcPr>
            <w:tcW w:w="578" w:type="dxa"/>
          </w:tcPr>
          <w:p w14:paraId="29FD4C66"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7</w:t>
            </w:r>
          </w:p>
        </w:tc>
        <w:tc>
          <w:tcPr>
            <w:tcW w:w="1827" w:type="dxa"/>
          </w:tcPr>
          <w:p w14:paraId="7568B72C"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 xml:space="preserve">El Carmen </w:t>
            </w:r>
          </w:p>
        </w:tc>
        <w:tc>
          <w:tcPr>
            <w:tcW w:w="992" w:type="dxa"/>
          </w:tcPr>
          <w:p w14:paraId="4D48162F"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5</w:t>
            </w:r>
          </w:p>
        </w:tc>
        <w:tc>
          <w:tcPr>
            <w:tcW w:w="1985" w:type="dxa"/>
          </w:tcPr>
          <w:p w14:paraId="6187E502"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1.159</w:t>
            </w:r>
          </w:p>
        </w:tc>
        <w:tc>
          <w:tcPr>
            <w:tcW w:w="2170" w:type="dxa"/>
          </w:tcPr>
          <w:p w14:paraId="3569790F"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344</w:t>
            </w:r>
          </w:p>
        </w:tc>
        <w:tc>
          <w:tcPr>
            <w:tcW w:w="1276" w:type="dxa"/>
          </w:tcPr>
          <w:p w14:paraId="2A560D8A"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1.508</w:t>
            </w:r>
          </w:p>
        </w:tc>
      </w:tr>
      <w:tr w:rsidR="00C454A1" w:rsidRPr="00C454A1" w14:paraId="510B7D2E" w14:textId="77777777" w:rsidTr="00EE77DF">
        <w:tc>
          <w:tcPr>
            <w:tcW w:w="578" w:type="dxa"/>
          </w:tcPr>
          <w:p w14:paraId="68684411"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8</w:t>
            </w:r>
          </w:p>
        </w:tc>
        <w:tc>
          <w:tcPr>
            <w:tcW w:w="1827" w:type="dxa"/>
          </w:tcPr>
          <w:p w14:paraId="03083106"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San Calixto</w:t>
            </w:r>
          </w:p>
        </w:tc>
        <w:tc>
          <w:tcPr>
            <w:tcW w:w="992" w:type="dxa"/>
          </w:tcPr>
          <w:p w14:paraId="6C4D556B"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0</w:t>
            </w:r>
          </w:p>
        </w:tc>
        <w:tc>
          <w:tcPr>
            <w:tcW w:w="1985" w:type="dxa"/>
          </w:tcPr>
          <w:p w14:paraId="6DD2EA73"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0</w:t>
            </w:r>
          </w:p>
        </w:tc>
        <w:tc>
          <w:tcPr>
            <w:tcW w:w="2170" w:type="dxa"/>
          </w:tcPr>
          <w:p w14:paraId="4F792301"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1.212</w:t>
            </w:r>
          </w:p>
        </w:tc>
        <w:tc>
          <w:tcPr>
            <w:tcW w:w="1276" w:type="dxa"/>
          </w:tcPr>
          <w:p w14:paraId="7540C67C"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1.212</w:t>
            </w:r>
          </w:p>
        </w:tc>
      </w:tr>
      <w:tr w:rsidR="00950ED9" w:rsidRPr="00C454A1" w14:paraId="401292CC" w14:textId="77777777" w:rsidTr="00EE77DF">
        <w:tc>
          <w:tcPr>
            <w:tcW w:w="2405" w:type="dxa"/>
            <w:gridSpan w:val="2"/>
          </w:tcPr>
          <w:p w14:paraId="40CE2A8C" w14:textId="1AF71D5F" w:rsidR="00950ED9" w:rsidRPr="00C454A1" w:rsidRDefault="00625DC8"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 xml:space="preserve">Total </w:t>
            </w:r>
            <w:r w:rsidR="00950ED9" w:rsidRPr="00C454A1">
              <w:rPr>
                <w:rFonts w:cs="Times New Roman"/>
                <w:color w:val="000000" w:themeColor="text1"/>
                <w:kern w:val="2"/>
                <w:sz w:val="22"/>
                <w:szCs w:val="22"/>
                <w:lang w:eastAsia="es-ES"/>
                <w14:ligatures w14:val="standardContextual"/>
              </w:rPr>
              <w:t>General</w:t>
            </w:r>
          </w:p>
        </w:tc>
        <w:tc>
          <w:tcPr>
            <w:tcW w:w="992" w:type="dxa"/>
          </w:tcPr>
          <w:p w14:paraId="404318B9"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7.908</w:t>
            </w:r>
          </w:p>
        </w:tc>
        <w:tc>
          <w:tcPr>
            <w:tcW w:w="1985" w:type="dxa"/>
          </w:tcPr>
          <w:p w14:paraId="69183F35"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15.608</w:t>
            </w:r>
          </w:p>
        </w:tc>
        <w:tc>
          <w:tcPr>
            <w:tcW w:w="2170" w:type="dxa"/>
          </w:tcPr>
          <w:p w14:paraId="623DB177"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29.270</w:t>
            </w:r>
          </w:p>
        </w:tc>
        <w:tc>
          <w:tcPr>
            <w:tcW w:w="1276" w:type="dxa"/>
          </w:tcPr>
          <w:p w14:paraId="73CDFA91" w14:textId="77777777" w:rsidR="00950ED9" w:rsidRPr="00C454A1" w:rsidRDefault="00950ED9" w:rsidP="00631C27">
            <w:pPr>
              <w:rPr>
                <w:rFonts w:cs="Times New Roman"/>
                <w:color w:val="000000" w:themeColor="text1"/>
                <w:kern w:val="2"/>
                <w:sz w:val="22"/>
                <w:szCs w:val="22"/>
                <w:lang w:eastAsia="es-ES"/>
                <w14:ligatures w14:val="standardContextual"/>
              </w:rPr>
            </w:pPr>
            <w:r w:rsidRPr="00C454A1">
              <w:rPr>
                <w:rFonts w:cs="Times New Roman"/>
                <w:color w:val="000000" w:themeColor="text1"/>
                <w:kern w:val="2"/>
                <w:sz w:val="22"/>
                <w:szCs w:val="22"/>
                <w:lang w:eastAsia="es-ES"/>
                <w14:ligatures w14:val="standardContextual"/>
              </w:rPr>
              <w:t>52.786</w:t>
            </w:r>
          </w:p>
        </w:tc>
      </w:tr>
    </w:tbl>
    <w:p w14:paraId="5F06B3A3" w14:textId="77777777" w:rsidR="00950ED9" w:rsidRPr="00C454A1" w:rsidRDefault="00950ED9" w:rsidP="00631C27">
      <w:pPr>
        <w:rPr>
          <w:color w:val="000000" w:themeColor="text1"/>
          <w:lang w:eastAsia="es-ES"/>
        </w:rPr>
      </w:pPr>
    </w:p>
    <w:p w14:paraId="1F2657CC" w14:textId="77777777"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De manera específica, respecto de la región del Catatumbo, el Ministerio de Defensa advirtió que existe una “tendencia </w:t>
      </w:r>
      <w:r w:rsidRPr="00C454A1">
        <w:rPr>
          <w:i/>
          <w:iCs/>
          <w:color w:val="000000" w:themeColor="text1"/>
          <w:lang w:eastAsia="es-ES"/>
        </w:rPr>
        <w:t>histórica</w:t>
      </w:r>
      <w:r w:rsidRPr="00C454A1">
        <w:rPr>
          <w:color w:val="000000" w:themeColor="text1"/>
          <w:lang w:eastAsia="es-ES"/>
        </w:rPr>
        <w:t xml:space="preserve"> de aumento en el potencial” de producción de hoja fresca, “que alcanzó en 2023 un total de 262.162 toneladas métricas”</w:t>
      </w:r>
      <w:r w:rsidRPr="00C454A1">
        <w:rPr>
          <w:color w:val="000000" w:themeColor="text1"/>
          <w:vertAlign w:val="superscript"/>
          <w:lang w:eastAsia="es-ES"/>
        </w:rPr>
        <w:footnoteReference w:id="272"/>
      </w:r>
      <w:r w:rsidRPr="00C454A1">
        <w:rPr>
          <w:color w:val="000000" w:themeColor="text1"/>
          <w:lang w:eastAsia="es-ES"/>
        </w:rPr>
        <w:t xml:space="preserve"> (énfasis original). Agregó que esta región “ha venido mostrando una tendencia de aumento en el rendimiento de la hoja de coca fresca al pasar de 4.600 kg/ha/año en 2005 a 5.400 kg/ha/año entre 2015 y 2018 y finalmente de 5.900 kg/ha/año entre 2020 y 2023”</w:t>
      </w:r>
      <w:r w:rsidRPr="00C454A1">
        <w:rPr>
          <w:color w:val="000000" w:themeColor="text1"/>
          <w:vertAlign w:val="superscript"/>
          <w:lang w:eastAsia="es-ES"/>
        </w:rPr>
        <w:footnoteReference w:id="273"/>
      </w:r>
      <w:r w:rsidRPr="00C454A1">
        <w:rPr>
          <w:color w:val="000000" w:themeColor="text1"/>
          <w:lang w:eastAsia="es-ES"/>
        </w:rPr>
        <w:t xml:space="preserve">. Por último, puso de presente que, según el Observatorio de Drogas de Colombia, “de la hoja de coca que se produce en la región de Catatumbo, se calcula en 2023 un potencial </w:t>
      </w:r>
      <w:r w:rsidRPr="00C454A1">
        <w:rPr>
          <w:color w:val="000000" w:themeColor="text1"/>
          <w:lang w:eastAsia="es-ES"/>
        </w:rPr>
        <w:lastRenderedPageBreak/>
        <w:t>de producción de base de coca de 394 toneladas. El segundo registro histórico más alto después del de 2022 que fue de 409 toneladas”</w:t>
      </w:r>
      <w:r w:rsidRPr="00C454A1">
        <w:rPr>
          <w:color w:val="000000" w:themeColor="text1"/>
          <w:vertAlign w:val="superscript"/>
          <w:lang w:eastAsia="es-ES"/>
        </w:rPr>
        <w:footnoteReference w:id="274"/>
      </w:r>
      <w:r w:rsidRPr="00C454A1">
        <w:rPr>
          <w:color w:val="000000" w:themeColor="text1"/>
          <w:lang w:eastAsia="es-ES"/>
        </w:rPr>
        <w:t xml:space="preserve">. </w:t>
      </w:r>
    </w:p>
    <w:p w14:paraId="1D02EFF3" w14:textId="77777777" w:rsidR="00950ED9" w:rsidRPr="00C454A1" w:rsidRDefault="00950ED9" w:rsidP="00631C27">
      <w:pPr>
        <w:rPr>
          <w:color w:val="000000" w:themeColor="text1"/>
          <w:lang w:eastAsia="es-ES"/>
        </w:rPr>
      </w:pPr>
    </w:p>
    <w:p w14:paraId="14BBF1A8" w14:textId="77777777"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A juicio de la Corte, esta información no evidencia que, a partir de enero de 2025, haya tenido lugar un incremento excepcional e inusitado de los cultivos ilícitos en la región del Catatumbo y, en general, en el departamento de Norte de Santander. Esto es así, por tres razones: </w:t>
      </w:r>
    </w:p>
    <w:p w14:paraId="09326C3D" w14:textId="77777777" w:rsidR="00950ED9" w:rsidRPr="00C454A1" w:rsidRDefault="00950ED9" w:rsidP="00631C27">
      <w:pPr>
        <w:rPr>
          <w:color w:val="000000" w:themeColor="text1"/>
          <w:lang w:eastAsia="es-ES"/>
        </w:rPr>
      </w:pPr>
    </w:p>
    <w:p w14:paraId="6E6F0818" w14:textId="746A68BE" w:rsidR="00950ED9" w:rsidRPr="00C454A1" w:rsidRDefault="00950ED9" w:rsidP="00321FAF">
      <w:pPr>
        <w:numPr>
          <w:ilvl w:val="0"/>
          <w:numId w:val="2"/>
        </w:numPr>
        <w:ind w:left="0" w:firstLine="0"/>
        <w:rPr>
          <w:color w:val="000000" w:themeColor="text1"/>
          <w:lang w:eastAsia="es-ES"/>
        </w:rPr>
      </w:pPr>
      <w:r w:rsidRPr="00C454A1">
        <w:rPr>
          <w:i/>
          <w:iCs/>
          <w:color w:val="000000" w:themeColor="text1"/>
          <w:lang w:eastAsia="es-ES"/>
        </w:rPr>
        <w:t>Primero.</w:t>
      </w:r>
      <w:r w:rsidRPr="00C454A1">
        <w:rPr>
          <w:color w:val="000000" w:themeColor="text1"/>
          <w:lang w:eastAsia="es-ES"/>
        </w:rPr>
        <w:t xml:space="preserve"> La información </w:t>
      </w:r>
      <w:r w:rsidR="00B92F1B" w:rsidRPr="00C454A1">
        <w:rPr>
          <w:color w:val="000000" w:themeColor="text1"/>
          <w:lang w:eastAsia="es-ES"/>
        </w:rPr>
        <w:t>sobre</w:t>
      </w:r>
      <w:r w:rsidRPr="00C454A1">
        <w:rPr>
          <w:color w:val="000000" w:themeColor="text1"/>
          <w:lang w:eastAsia="es-ES"/>
        </w:rPr>
        <w:t xml:space="preserve"> el incremento de esos cultivos tiene como fecha de corte el año 2024</w:t>
      </w:r>
      <w:r w:rsidRPr="00C454A1">
        <w:rPr>
          <w:color w:val="000000" w:themeColor="text1"/>
          <w:vertAlign w:val="superscript"/>
          <w:lang w:eastAsia="es-ES"/>
        </w:rPr>
        <w:footnoteReference w:id="275"/>
      </w:r>
      <w:r w:rsidRPr="00C454A1">
        <w:rPr>
          <w:color w:val="000000" w:themeColor="text1"/>
          <w:lang w:eastAsia="es-ES"/>
        </w:rPr>
        <w:t xml:space="preserve">. No existe ninguna prueba en el expediente que dé cuenta de un incremento inusitado de los cultivos ilícitos a partir de enero de 2025, fecha a partir de la cual habría tenido lugar el agravamiento de la situación de orden público en la región del Catatumbo. </w:t>
      </w:r>
    </w:p>
    <w:p w14:paraId="349679CE" w14:textId="77777777" w:rsidR="00950ED9" w:rsidRPr="00C454A1" w:rsidRDefault="00950ED9" w:rsidP="00631C27">
      <w:pPr>
        <w:rPr>
          <w:color w:val="000000" w:themeColor="text1"/>
          <w:lang w:eastAsia="es-ES"/>
        </w:rPr>
      </w:pPr>
    </w:p>
    <w:p w14:paraId="0BCB9BB2" w14:textId="0ACAD847" w:rsidR="00950ED9" w:rsidRPr="00C454A1" w:rsidRDefault="00950ED9" w:rsidP="00321FAF">
      <w:pPr>
        <w:numPr>
          <w:ilvl w:val="0"/>
          <w:numId w:val="2"/>
        </w:numPr>
        <w:ind w:left="0" w:firstLine="0"/>
        <w:rPr>
          <w:color w:val="000000" w:themeColor="text1"/>
          <w:lang w:eastAsia="es-ES"/>
        </w:rPr>
      </w:pPr>
      <w:r w:rsidRPr="00C454A1">
        <w:rPr>
          <w:i/>
          <w:iCs/>
          <w:color w:val="000000" w:themeColor="text1"/>
          <w:lang w:eastAsia="es-ES"/>
        </w:rPr>
        <w:t>Segundo</w:t>
      </w:r>
      <w:r w:rsidRPr="00C454A1">
        <w:rPr>
          <w:color w:val="000000" w:themeColor="text1"/>
          <w:lang w:eastAsia="es-ES"/>
        </w:rPr>
        <w:t xml:space="preserve">. La Sala Plena reconoce que el DAPRE allegó información correspondiente al periodo comprendido entre el 15 de noviembre de 2024 y el 22 de enero de 2025, relacionada con el clorhidrato de cocaína, la hoja de coca, la pasta de coca y </w:t>
      </w:r>
      <w:r w:rsidR="00F14B29" w:rsidRPr="00C454A1">
        <w:rPr>
          <w:color w:val="000000" w:themeColor="text1"/>
          <w:lang w:eastAsia="es-ES"/>
        </w:rPr>
        <w:t xml:space="preserve">la </w:t>
      </w:r>
      <w:r w:rsidRPr="00C454A1">
        <w:rPr>
          <w:color w:val="000000" w:themeColor="text1"/>
          <w:lang w:eastAsia="es-ES"/>
        </w:rPr>
        <w:t>marihuana</w:t>
      </w:r>
      <w:r w:rsidRPr="00C454A1">
        <w:rPr>
          <w:color w:val="000000" w:themeColor="text1"/>
          <w:vertAlign w:val="superscript"/>
          <w:lang w:eastAsia="es-ES"/>
        </w:rPr>
        <w:footnoteReference w:id="276"/>
      </w:r>
      <w:r w:rsidRPr="00C454A1">
        <w:rPr>
          <w:color w:val="000000" w:themeColor="text1"/>
          <w:lang w:eastAsia="es-ES"/>
        </w:rPr>
        <w:t xml:space="preserve">. No obstante, esta información fue reportada en kilos, lo que impide su contrastación con la información histórica de las hectáreas de cultivos de coca en la región. En cualquier caso, esta información tampoco permite efectuar un examen comparativo con años anteriores, lo que impide acreditar que sea una cifra excepcional. </w:t>
      </w:r>
    </w:p>
    <w:p w14:paraId="1D20B68F" w14:textId="77777777" w:rsidR="00950ED9" w:rsidRPr="00C454A1" w:rsidRDefault="00950ED9" w:rsidP="00631C27">
      <w:pPr>
        <w:rPr>
          <w:color w:val="000000" w:themeColor="text1"/>
          <w:lang w:eastAsia="es-ES"/>
        </w:rPr>
      </w:pPr>
    </w:p>
    <w:p w14:paraId="0B085CF3" w14:textId="2CF191FE" w:rsidR="00950ED9" w:rsidRPr="00C454A1" w:rsidRDefault="00950ED9" w:rsidP="00321FAF">
      <w:pPr>
        <w:numPr>
          <w:ilvl w:val="0"/>
          <w:numId w:val="2"/>
        </w:numPr>
        <w:ind w:left="0" w:firstLine="0"/>
        <w:rPr>
          <w:color w:val="000000" w:themeColor="text1"/>
          <w:lang w:eastAsia="es-ES"/>
        </w:rPr>
      </w:pPr>
      <w:r w:rsidRPr="00C454A1">
        <w:rPr>
          <w:i/>
          <w:iCs/>
          <w:color w:val="000000" w:themeColor="text1"/>
          <w:lang w:eastAsia="es-ES"/>
        </w:rPr>
        <w:t>Tercero</w:t>
      </w:r>
      <w:r w:rsidRPr="00C454A1">
        <w:rPr>
          <w:color w:val="000000" w:themeColor="text1"/>
          <w:lang w:eastAsia="es-ES"/>
        </w:rPr>
        <w:t xml:space="preserve">. Los datos allegados por el Gobierno </w:t>
      </w:r>
      <w:r w:rsidR="00F14B29" w:rsidRPr="00C454A1">
        <w:rPr>
          <w:color w:val="000000" w:themeColor="text1"/>
          <w:lang w:eastAsia="es-ES"/>
        </w:rPr>
        <w:t xml:space="preserve">nacional </w:t>
      </w:r>
      <w:r w:rsidRPr="00C454A1">
        <w:rPr>
          <w:color w:val="000000" w:themeColor="text1"/>
          <w:lang w:eastAsia="es-ES"/>
        </w:rPr>
        <w:t xml:space="preserve">permiten concluir que desde el año 2022, existe una tendencia de crecimiento más o menos estable, lo que refleja que el incremento invocado por el </w:t>
      </w:r>
      <w:r w:rsidR="007525E1" w:rsidRPr="00C454A1">
        <w:rPr>
          <w:color w:val="000000" w:themeColor="text1"/>
          <w:lang w:eastAsia="es-ES"/>
        </w:rPr>
        <w:t>Gobierno nacional</w:t>
      </w:r>
      <w:r w:rsidRPr="00C454A1">
        <w:rPr>
          <w:color w:val="000000" w:themeColor="text1"/>
          <w:lang w:eastAsia="es-ES"/>
        </w:rPr>
        <w:t xml:space="preserve"> es una problemática estructural, no coyuntural o episódica. Además, tal como refieren algunos intervinientes, el incremento de los cultivos ilícitos en Colombia también se </w:t>
      </w:r>
      <w:r w:rsidR="00B92F1B" w:rsidRPr="00C454A1">
        <w:rPr>
          <w:color w:val="000000" w:themeColor="text1"/>
          <w:lang w:eastAsia="es-ES"/>
        </w:rPr>
        <w:t>observ</w:t>
      </w:r>
      <w:r w:rsidRPr="00C454A1">
        <w:rPr>
          <w:color w:val="000000" w:themeColor="text1"/>
          <w:lang w:eastAsia="es-ES"/>
        </w:rPr>
        <w:t xml:space="preserve">a en otras regiones del país. En efecto, el último informe del </w:t>
      </w:r>
      <w:r w:rsidR="00793304" w:rsidRPr="00C454A1">
        <w:rPr>
          <w:color w:val="000000" w:themeColor="text1"/>
          <w:lang w:eastAsia="es-ES"/>
        </w:rPr>
        <w:t>SIMCI</w:t>
      </w:r>
      <w:r w:rsidRPr="00C454A1">
        <w:rPr>
          <w:color w:val="000000" w:themeColor="text1"/>
          <w:lang w:eastAsia="es-ES"/>
        </w:rPr>
        <w:t xml:space="preserve"> refleja que “a diferencia del incremento entre 2021 y 2022, que estuvo fuertemente concentrado en el departamento de Putumayo, en este periodo el crecimiento fue más generalizado”. Este incremento se ha registrado en quince regiones o “enclaves productivos” que “concentran el 39% del área con coca en tan solo 14% del territorio”</w:t>
      </w:r>
      <w:r w:rsidR="00793304" w:rsidRPr="00C454A1">
        <w:rPr>
          <w:color w:val="000000" w:themeColor="text1"/>
          <w:vertAlign w:val="superscript"/>
          <w:lang w:eastAsia="es-ES"/>
        </w:rPr>
        <w:t xml:space="preserve"> </w:t>
      </w:r>
      <w:r w:rsidR="00793304" w:rsidRPr="00C454A1">
        <w:rPr>
          <w:color w:val="000000" w:themeColor="text1"/>
          <w:vertAlign w:val="superscript"/>
          <w:lang w:eastAsia="es-ES"/>
        </w:rPr>
        <w:footnoteReference w:id="277"/>
      </w:r>
      <w:r w:rsidRPr="00C454A1">
        <w:rPr>
          <w:color w:val="000000" w:themeColor="text1"/>
          <w:lang w:eastAsia="es-ES"/>
        </w:rPr>
        <w:t xml:space="preserve">. </w:t>
      </w:r>
    </w:p>
    <w:p w14:paraId="5AE29750" w14:textId="77777777" w:rsidR="00950ED9" w:rsidRPr="00C454A1" w:rsidRDefault="00950ED9" w:rsidP="00631C27">
      <w:pPr>
        <w:rPr>
          <w:color w:val="000000" w:themeColor="text1"/>
          <w:lang w:eastAsia="es-ES"/>
        </w:rPr>
      </w:pPr>
    </w:p>
    <w:p w14:paraId="757C403D" w14:textId="5713A803" w:rsidR="005247FE" w:rsidRPr="00C454A1" w:rsidRDefault="005247FE" w:rsidP="005247FE">
      <w:pPr>
        <w:jc w:val="center"/>
        <w:rPr>
          <w:i/>
          <w:iCs/>
          <w:color w:val="000000" w:themeColor="text1"/>
          <w:sz w:val="22"/>
          <w:szCs w:val="22"/>
          <w:lang w:eastAsia="es-ES"/>
        </w:rPr>
      </w:pPr>
      <w:r w:rsidRPr="00C454A1">
        <w:rPr>
          <w:i/>
          <w:iCs/>
          <w:color w:val="000000" w:themeColor="text1"/>
          <w:sz w:val="22"/>
          <w:szCs w:val="22"/>
          <w:lang w:eastAsia="es-ES"/>
        </w:rPr>
        <w:t>Gráfica 7: comportamiento de los cultivos de coca y la producción de clorhidr</w:t>
      </w:r>
      <w:r w:rsidR="0088058C" w:rsidRPr="00C454A1">
        <w:rPr>
          <w:i/>
          <w:iCs/>
          <w:color w:val="000000" w:themeColor="text1"/>
          <w:sz w:val="22"/>
          <w:szCs w:val="22"/>
          <w:lang w:eastAsia="es-ES"/>
        </w:rPr>
        <w:t>at</w:t>
      </w:r>
      <w:r w:rsidRPr="00C454A1">
        <w:rPr>
          <w:i/>
          <w:iCs/>
          <w:color w:val="000000" w:themeColor="text1"/>
          <w:sz w:val="22"/>
          <w:szCs w:val="22"/>
          <w:lang w:eastAsia="es-ES"/>
        </w:rPr>
        <w:t>o de c</w:t>
      </w:r>
      <w:r w:rsidR="00FE0257" w:rsidRPr="00C454A1">
        <w:rPr>
          <w:i/>
          <w:iCs/>
          <w:color w:val="000000" w:themeColor="text1"/>
          <w:sz w:val="22"/>
          <w:szCs w:val="22"/>
          <w:lang w:eastAsia="es-ES"/>
        </w:rPr>
        <w:t>ocaína</w:t>
      </w:r>
      <w:r w:rsidRPr="00C454A1">
        <w:rPr>
          <w:i/>
          <w:iCs/>
          <w:color w:val="000000" w:themeColor="text1"/>
          <w:sz w:val="22"/>
          <w:szCs w:val="22"/>
          <w:lang w:eastAsia="es-ES"/>
        </w:rPr>
        <w:t xml:space="preserve"> entre 2005 y 2023 a nivel nacional</w:t>
      </w:r>
    </w:p>
    <w:p w14:paraId="41D3CB61" w14:textId="77777777" w:rsidR="00950ED9" w:rsidRPr="00C454A1" w:rsidRDefault="00950ED9" w:rsidP="00631C27">
      <w:pPr>
        <w:jc w:val="center"/>
        <w:rPr>
          <w:color w:val="000000" w:themeColor="text1"/>
          <w:lang w:eastAsia="es-ES"/>
        </w:rPr>
      </w:pPr>
      <w:r w:rsidRPr="00C454A1">
        <w:rPr>
          <w:noProof/>
          <w:color w:val="000000" w:themeColor="text1"/>
          <w:lang w:val="en-US"/>
        </w:rPr>
        <w:lastRenderedPageBreak/>
        <w:drawing>
          <wp:inline distT="0" distB="0" distL="0" distR="0" wp14:anchorId="7AF7108F" wp14:editId="734328B8">
            <wp:extent cx="3814762" cy="2116675"/>
            <wp:effectExtent l="0" t="0" r="0" b="0"/>
            <wp:docPr id="731522068" name="Imagen 73152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22839" cy="2121156"/>
                    </a:xfrm>
                    <a:prstGeom prst="rect">
                      <a:avLst/>
                    </a:prstGeom>
                  </pic:spPr>
                </pic:pic>
              </a:graphicData>
            </a:graphic>
          </wp:inline>
        </w:drawing>
      </w:r>
    </w:p>
    <w:p w14:paraId="03406913" w14:textId="06241217" w:rsidR="00950ED9" w:rsidRPr="00C454A1" w:rsidRDefault="0088058C" w:rsidP="0088058C">
      <w:pPr>
        <w:jc w:val="center"/>
        <w:rPr>
          <w:color w:val="000000" w:themeColor="text1"/>
          <w:sz w:val="20"/>
          <w:szCs w:val="20"/>
          <w:lang w:eastAsia="es-ES"/>
        </w:rPr>
      </w:pPr>
      <w:r w:rsidRPr="00C454A1">
        <w:rPr>
          <w:color w:val="000000" w:themeColor="text1"/>
          <w:sz w:val="20"/>
          <w:szCs w:val="20"/>
          <w:lang w:eastAsia="es-ES"/>
        </w:rPr>
        <w:t xml:space="preserve">Fuente: </w:t>
      </w:r>
      <w:r w:rsidRPr="00C454A1">
        <w:rPr>
          <w:color w:val="000000" w:themeColor="text1"/>
          <w:sz w:val="20"/>
          <w:szCs w:val="20"/>
          <w:lang w:val="es-MX"/>
        </w:rPr>
        <w:t>SIMCI. Resumen ejecutivo. Monitoreo cultivos de coca 2023, p. 5.</w:t>
      </w:r>
    </w:p>
    <w:p w14:paraId="0AAEA43E" w14:textId="77777777" w:rsidR="00625DC8" w:rsidRPr="00C454A1" w:rsidRDefault="00625DC8" w:rsidP="00631C27">
      <w:pPr>
        <w:rPr>
          <w:color w:val="000000" w:themeColor="text1"/>
          <w:lang w:eastAsia="es-ES"/>
        </w:rPr>
      </w:pPr>
    </w:p>
    <w:p w14:paraId="590BB220" w14:textId="6591FEA8"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Por lo demás, la Sala Plena advierte que los datos estadísticos en la región del Catatumbo también reflejan dinámicas cambiantes en periodos específicos. Por ejemplo, entre abril de 2022 y</w:t>
      </w:r>
      <w:r w:rsidR="000F0178" w:rsidRPr="00C454A1">
        <w:rPr>
          <w:color w:val="000000" w:themeColor="text1"/>
          <w:lang w:eastAsia="es-ES"/>
        </w:rPr>
        <w:t xml:space="preserve"> </w:t>
      </w:r>
      <w:r w:rsidR="00D42C79" w:rsidRPr="00C454A1">
        <w:rPr>
          <w:color w:val="000000" w:themeColor="text1"/>
          <w:lang w:eastAsia="es-ES"/>
        </w:rPr>
        <w:t xml:space="preserve">mayo </w:t>
      </w:r>
      <w:r w:rsidRPr="00C454A1">
        <w:rPr>
          <w:color w:val="000000" w:themeColor="text1"/>
          <w:lang w:eastAsia="es-ES"/>
        </w:rPr>
        <w:t>de 2023 pasaron de 35.376 a 51.311 hectáreas. Luego, en agosto de 2023</w:t>
      </w:r>
      <w:r w:rsidR="00F14B29" w:rsidRPr="00C454A1">
        <w:rPr>
          <w:color w:val="000000" w:themeColor="text1"/>
          <w:lang w:eastAsia="es-ES"/>
        </w:rPr>
        <w:t>,</w:t>
      </w:r>
      <w:r w:rsidRPr="00C454A1">
        <w:rPr>
          <w:color w:val="000000" w:themeColor="text1"/>
          <w:lang w:eastAsia="es-ES"/>
        </w:rPr>
        <w:t xml:space="preserve"> disminuyeron a 48.818 </w:t>
      </w:r>
      <w:r w:rsidR="000001E8" w:rsidRPr="00C454A1">
        <w:rPr>
          <w:color w:val="000000" w:themeColor="text1"/>
          <w:lang w:eastAsia="es-ES"/>
        </w:rPr>
        <w:t xml:space="preserve">hectáreas </w:t>
      </w:r>
      <w:r w:rsidRPr="00C454A1">
        <w:rPr>
          <w:color w:val="000000" w:themeColor="text1"/>
          <w:lang w:eastAsia="es-ES"/>
        </w:rPr>
        <w:t>y, en diciembre de ese mismo año, aumentaron de nuevo a 52.683. En abril de 2024 tales hectáreas se incrementaron nuevamente, ascendiendo a 53.882 y, en agosto de ese mismo año</w:t>
      </w:r>
      <w:r w:rsidR="00F14B29" w:rsidRPr="00C454A1">
        <w:rPr>
          <w:color w:val="000000" w:themeColor="text1"/>
          <w:lang w:eastAsia="es-ES"/>
        </w:rPr>
        <w:t>,</w:t>
      </w:r>
      <w:r w:rsidRPr="00C454A1">
        <w:rPr>
          <w:color w:val="000000" w:themeColor="text1"/>
          <w:lang w:eastAsia="es-ES"/>
        </w:rPr>
        <w:t xml:space="preserve"> se redujeron a 53.812 hectáreas. La Corte considera que este último dato es importante porque demuestra que la problemática </w:t>
      </w:r>
      <w:r w:rsidR="000001E8" w:rsidRPr="00C454A1">
        <w:rPr>
          <w:color w:val="000000" w:themeColor="text1"/>
          <w:lang w:eastAsia="es-ES"/>
        </w:rPr>
        <w:t>d</w:t>
      </w:r>
      <w:r w:rsidRPr="00C454A1">
        <w:rPr>
          <w:color w:val="000000" w:themeColor="text1"/>
          <w:lang w:eastAsia="es-ES"/>
        </w:rPr>
        <w:t xml:space="preserve">e los cultivos ilícitos no solo no parece presentar una situación anómala que coincida con la fecha de estructuración de la crisis que fundamentó la </w:t>
      </w:r>
      <w:r w:rsidR="00333AB7" w:rsidRPr="00C454A1">
        <w:rPr>
          <w:color w:val="000000" w:themeColor="text1"/>
          <w:lang w:eastAsia="es-ES"/>
        </w:rPr>
        <w:t>conmoción interior</w:t>
      </w:r>
      <w:r w:rsidRPr="00C454A1">
        <w:rPr>
          <w:color w:val="000000" w:themeColor="text1"/>
          <w:lang w:eastAsia="es-ES"/>
        </w:rPr>
        <w:t xml:space="preserve">, sino que incluso durante ese periodo se acreditó un leve descenso cuantitativo. </w:t>
      </w:r>
    </w:p>
    <w:p w14:paraId="30BD669F" w14:textId="77777777" w:rsidR="00950ED9" w:rsidRPr="00C454A1" w:rsidRDefault="00950ED9" w:rsidP="00631C27">
      <w:pPr>
        <w:rPr>
          <w:color w:val="000000" w:themeColor="text1"/>
          <w:lang w:eastAsia="es-ES"/>
        </w:rPr>
      </w:pPr>
    </w:p>
    <w:p w14:paraId="3201F958" w14:textId="11BD4083" w:rsidR="00625DC8"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síntesis, la Corte reconoce que Norte de Santander es uno de los departamentos con mayor concentración de cultivos ilícitos. Asimismo, advierte que </w:t>
      </w:r>
      <w:r w:rsidR="000001E8" w:rsidRPr="00C454A1">
        <w:rPr>
          <w:color w:val="000000" w:themeColor="text1"/>
          <w:lang w:eastAsia="es-ES"/>
        </w:rPr>
        <w:t>hay</w:t>
      </w:r>
      <w:r w:rsidRPr="00C454A1">
        <w:rPr>
          <w:color w:val="000000" w:themeColor="text1"/>
          <w:lang w:eastAsia="es-ES"/>
        </w:rPr>
        <w:t xml:space="preserve"> una tendencia </w:t>
      </w:r>
      <w:r w:rsidR="00F14B29" w:rsidRPr="00C454A1">
        <w:rPr>
          <w:color w:val="000000" w:themeColor="text1"/>
          <w:lang w:eastAsia="es-ES"/>
        </w:rPr>
        <w:t xml:space="preserve">al </w:t>
      </w:r>
      <w:r w:rsidRPr="00C454A1">
        <w:rPr>
          <w:color w:val="000000" w:themeColor="text1"/>
          <w:lang w:eastAsia="es-ES"/>
        </w:rPr>
        <w:t xml:space="preserve">aumento de estos cultivos en la región del Catatumbo. Sin embargo, este hecho es el reflejo de una problemática estructural y crónica que </w:t>
      </w:r>
      <w:r w:rsidR="00F14B29" w:rsidRPr="00C454A1">
        <w:rPr>
          <w:color w:val="000000" w:themeColor="text1"/>
          <w:lang w:eastAsia="es-ES"/>
        </w:rPr>
        <w:t>se ha dado</w:t>
      </w:r>
      <w:r w:rsidRPr="00C454A1">
        <w:rPr>
          <w:color w:val="000000" w:themeColor="text1"/>
          <w:lang w:eastAsia="es-ES"/>
        </w:rPr>
        <w:t xml:space="preserve"> </w:t>
      </w:r>
      <w:r w:rsidR="00F14B29" w:rsidRPr="00C454A1">
        <w:rPr>
          <w:color w:val="000000" w:themeColor="text1"/>
          <w:lang w:eastAsia="es-ES"/>
        </w:rPr>
        <w:t xml:space="preserve">en la región, </w:t>
      </w:r>
      <w:r w:rsidRPr="00C454A1">
        <w:rPr>
          <w:color w:val="000000" w:themeColor="text1"/>
          <w:lang w:eastAsia="es-ES"/>
        </w:rPr>
        <w:t xml:space="preserve">así como en otros enclaves productivos </w:t>
      </w:r>
      <w:r w:rsidR="00F14B29" w:rsidRPr="00C454A1">
        <w:rPr>
          <w:color w:val="000000" w:themeColor="text1"/>
          <w:lang w:eastAsia="es-ES"/>
        </w:rPr>
        <w:t>d</w:t>
      </w:r>
      <w:r w:rsidRPr="00C454A1">
        <w:rPr>
          <w:color w:val="000000" w:themeColor="text1"/>
          <w:lang w:eastAsia="es-ES"/>
        </w:rPr>
        <w:t>el país</w:t>
      </w:r>
      <w:r w:rsidR="00F14B29" w:rsidRPr="00C454A1">
        <w:rPr>
          <w:color w:val="000000" w:themeColor="text1"/>
          <w:lang w:eastAsia="es-ES"/>
        </w:rPr>
        <w:t>, al menos desde 2022</w:t>
      </w:r>
      <w:r w:rsidRPr="00C454A1">
        <w:rPr>
          <w:color w:val="000000" w:themeColor="text1"/>
          <w:lang w:eastAsia="es-ES"/>
        </w:rPr>
        <w:t>. No existe ninguna prueba que demuestre que, a partir de enero de 2025 o</w:t>
      </w:r>
      <w:r w:rsidR="00E04E95" w:rsidRPr="00C454A1">
        <w:rPr>
          <w:color w:val="000000" w:themeColor="text1"/>
          <w:lang w:eastAsia="es-ES"/>
        </w:rPr>
        <w:t>,</w:t>
      </w:r>
      <w:r w:rsidRPr="00C454A1">
        <w:rPr>
          <w:color w:val="000000" w:themeColor="text1"/>
          <w:lang w:eastAsia="es-ES"/>
        </w:rPr>
        <w:t xml:space="preserve"> incluso, </w:t>
      </w:r>
      <w:r w:rsidR="00F14B29" w:rsidRPr="00C454A1">
        <w:rPr>
          <w:color w:val="000000" w:themeColor="text1"/>
          <w:lang w:eastAsia="es-ES"/>
        </w:rPr>
        <w:t xml:space="preserve">desde </w:t>
      </w:r>
      <w:r w:rsidRPr="00C454A1">
        <w:rPr>
          <w:color w:val="000000" w:themeColor="text1"/>
          <w:lang w:eastAsia="es-ES"/>
        </w:rPr>
        <w:t xml:space="preserve">finales de 2024, el número de hectáreas con cultivos de uso ilícito haya incrementado de forma excepcional o extraordinaria en la región, condición que, como se ha explicado en esta sentencia, es imprescindible para cumplir el estándar del presupuesto valorativo. </w:t>
      </w:r>
    </w:p>
    <w:p w14:paraId="10C77871" w14:textId="77777777" w:rsidR="00625DC8" w:rsidRPr="00C454A1" w:rsidRDefault="00625DC8" w:rsidP="00F14B29">
      <w:pPr>
        <w:pStyle w:val="Prrafodelista"/>
        <w:rPr>
          <w:color w:val="000000" w:themeColor="text1"/>
          <w:lang w:eastAsia="es-ES"/>
        </w:rPr>
      </w:pPr>
    </w:p>
    <w:p w14:paraId="6D16A8F1" w14:textId="657F9151"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Por esta razón, al tratarse de una situación endémica y permanente, debe ser atendida </w:t>
      </w:r>
      <w:r w:rsidR="00F14B29" w:rsidRPr="00C454A1">
        <w:rPr>
          <w:color w:val="000000" w:themeColor="text1"/>
          <w:lang w:eastAsia="es-ES"/>
        </w:rPr>
        <w:t>mediante</w:t>
      </w:r>
      <w:r w:rsidRPr="00C454A1">
        <w:rPr>
          <w:color w:val="000000" w:themeColor="text1"/>
          <w:lang w:eastAsia="es-ES"/>
        </w:rPr>
        <w:t xml:space="preserve"> los “mecanismos ordinarios con que cuenta el Estado para sortear problemas funcionales y estructurales normales”</w:t>
      </w:r>
      <w:r w:rsidRPr="00C454A1">
        <w:rPr>
          <w:color w:val="000000" w:themeColor="text1"/>
          <w:vertAlign w:val="superscript"/>
          <w:lang w:eastAsia="es-ES"/>
        </w:rPr>
        <w:footnoteReference w:id="278"/>
      </w:r>
      <w:r w:rsidR="00E04E95" w:rsidRPr="00C454A1">
        <w:rPr>
          <w:color w:val="000000" w:themeColor="text1"/>
          <w:lang w:eastAsia="es-ES"/>
        </w:rPr>
        <w:t>,</w:t>
      </w:r>
      <w:r w:rsidRPr="00C454A1">
        <w:rPr>
          <w:color w:val="000000" w:themeColor="text1"/>
          <w:lang w:eastAsia="es-ES"/>
        </w:rPr>
        <w:t xml:space="preserve"> no por medio del derecho constitucional de excepción. En este sentido, la Corte concluye que el </w:t>
      </w:r>
      <w:r w:rsidR="007525E1" w:rsidRPr="00C454A1">
        <w:rPr>
          <w:color w:val="000000" w:themeColor="text1"/>
          <w:lang w:eastAsia="es-ES"/>
        </w:rPr>
        <w:t>Gobierno nacional</w:t>
      </w:r>
      <w:r w:rsidRPr="00C454A1">
        <w:rPr>
          <w:color w:val="000000" w:themeColor="text1"/>
          <w:lang w:eastAsia="es-ES"/>
        </w:rPr>
        <w:t xml:space="preserve"> incurrió en un error manifiesto al considerar que la concentración e incremento de los cultivos ilícitos en la región del Catatumbo es un hecho extraordinario que habilita la declaratoria de conmoción interior.</w:t>
      </w:r>
    </w:p>
    <w:p w14:paraId="195C14D2" w14:textId="77777777" w:rsidR="00950ED9" w:rsidRPr="00C454A1" w:rsidRDefault="00950ED9" w:rsidP="00631C27">
      <w:pPr>
        <w:rPr>
          <w:color w:val="000000" w:themeColor="text1"/>
          <w:lang w:eastAsia="es-ES"/>
        </w:rPr>
      </w:pPr>
    </w:p>
    <w:p w14:paraId="7C978C16" w14:textId="77777777" w:rsidR="00950ED9" w:rsidRPr="00C454A1" w:rsidRDefault="00950ED9" w:rsidP="00307F2C">
      <w:pPr>
        <w:numPr>
          <w:ilvl w:val="0"/>
          <w:numId w:val="11"/>
        </w:numPr>
        <w:rPr>
          <w:color w:val="000000" w:themeColor="text1"/>
          <w:u w:val="single"/>
          <w:lang w:eastAsia="es-ES"/>
        </w:rPr>
      </w:pPr>
      <w:r w:rsidRPr="00C454A1">
        <w:rPr>
          <w:color w:val="000000" w:themeColor="text1"/>
          <w:u w:val="single"/>
          <w:lang w:eastAsia="es-ES"/>
        </w:rPr>
        <w:t xml:space="preserve">Deficiencias e incumplimientos en la implementación del PNIS </w:t>
      </w:r>
    </w:p>
    <w:p w14:paraId="5CE612FD" w14:textId="77777777" w:rsidR="00950ED9" w:rsidRPr="00C454A1" w:rsidRDefault="00950ED9" w:rsidP="00631C27">
      <w:pPr>
        <w:rPr>
          <w:color w:val="000000" w:themeColor="text1"/>
          <w:lang w:eastAsia="es-ES"/>
        </w:rPr>
      </w:pPr>
      <w:r w:rsidRPr="00C454A1">
        <w:rPr>
          <w:color w:val="000000" w:themeColor="text1"/>
          <w:lang w:eastAsia="es-ES"/>
        </w:rPr>
        <w:t xml:space="preserve"> </w:t>
      </w:r>
    </w:p>
    <w:p w14:paraId="49EC6B32" w14:textId="419BAA94" w:rsidR="00950ED9" w:rsidRPr="00C454A1" w:rsidRDefault="00950ED9" w:rsidP="000001E8">
      <w:pPr>
        <w:numPr>
          <w:ilvl w:val="0"/>
          <w:numId w:val="2"/>
        </w:numPr>
        <w:ind w:left="0" w:firstLine="0"/>
        <w:rPr>
          <w:color w:val="000000" w:themeColor="text1"/>
          <w:lang w:eastAsia="es-ES"/>
        </w:rPr>
      </w:pPr>
      <w:r w:rsidRPr="00C454A1">
        <w:rPr>
          <w:color w:val="000000" w:themeColor="text1"/>
          <w:lang w:eastAsia="es-ES"/>
        </w:rPr>
        <w:lastRenderedPageBreak/>
        <w:t xml:space="preserve">En los acápites I, II y III de la parte motiva del Decreto 62 de 2025, el </w:t>
      </w:r>
      <w:r w:rsidR="007525E1" w:rsidRPr="00C454A1">
        <w:rPr>
          <w:color w:val="000000" w:themeColor="text1"/>
          <w:lang w:eastAsia="es-ES"/>
        </w:rPr>
        <w:t>Gobierno nacional</w:t>
      </w:r>
      <w:r w:rsidRPr="00C454A1">
        <w:rPr>
          <w:color w:val="000000" w:themeColor="text1"/>
          <w:lang w:eastAsia="es-ES"/>
        </w:rPr>
        <w:t xml:space="preserve"> señaló que la crisis de orden público se derivaba, entre otras</w:t>
      </w:r>
      <w:r w:rsidR="008D058C" w:rsidRPr="00C454A1">
        <w:rPr>
          <w:color w:val="000000" w:themeColor="text1"/>
          <w:lang w:eastAsia="es-ES"/>
        </w:rPr>
        <w:t xml:space="preserve"> causas</w:t>
      </w:r>
      <w:r w:rsidRPr="00C454A1">
        <w:rPr>
          <w:color w:val="000000" w:themeColor="text1"/>
          <w:lang w:eastAsia="es-ES"/>
        </w:rPr>
        <w:t xml:space="preserve">, de las deficiencias y </w:t>
      </w:r>
      <w:r w:rsidR="000001E8" w:rsidRPr="00C454A1">
        <w:rPr>
          <w:color w:val="000000" w:themeColor="text1"/>
          <w:lang w:eastAsia="es-ES"/>
        </w:rPr>
        <w:t xml:space="preserve">del </w:t>
      </w:r>
      <w:r w:rsidRPr="00C454A1">
        <w:rPr>
          <w:color w:val="000000" w:themeColor="text1"/>
          <w:lang w:eastAsia="es-ES"/>
        </w:rPr>
        <w:t>bajo nivel de cumplimiento de la implementación del PNIS en la región del Catatumbo</w:t>
      </w:r>
      <w:r w:rsidR="000001E8" w:rsidRPr="00C454A1">
        <w:rPr>
          <w:color w:val="000000" w:themeColor="text1"/>
          <w:lang w:eastAsia="es-ES"/>
        </w:rPr>
        <w:t>, por lo que</w:t>
      </w:r>
      <w:r w:rsidRPr="00C454A1">
        <w:rPr>
          <w:color w:val="000000" w:themeColor="text1"/>
          <w:lang w:eastAsia="es-ES"/>
        </w:rPr>
        <w:t xml:space="preserve"> anunció que adoptaría medidas excepcionales encaminadas a fortalecer e</w:t>
      </w:r>
      <w:r w:rsidR="000001E8" w:rsidRPr="00C454A1">
        <w:rPr>
          <w:color w:val="000000" w:themeColor="text1"/>
          <w:lang w:eastAsia="es-ES"/>
        </w:rPr>
        <w:t>l</w:t>
      </w:r>
      <w:r w:rsidRPr="00C454A1">
        <w:rPr>
          <w:color w:val="000000" w:themeColor="text1"/>
          <w:lang w:eastAsia="es-ES"/>
        </w:rPr>
        <w:t xml:space="preserve"> programa</w:t>
      </w:r>
      <w:r w:rsidRPr="00C454A1">
        <w:rPr>
          <w:color w:val="000000" w:themeColor="text1"/>
          <w:vertAlign w:val="superscript"/>
          <w:lang w:eastAsia="es-ES"/>
        </w:rPr>
        <w:footnoteReference w:id="279"/>
      </w:r>
      <w:r w:rsidRPr="00C454A1">
        <w:rPr>
          <w:color w:val="000000" w:themeColor="text1"/>
          <w:lang w:eastAsia="es-ES"/>
        </w:rPr>
        <w:t>.</w:t>
      </w:r>
      <w:r w:rsidR="000001E8" w:rsidRPr="00C454A1">
        <w:rPr>
          <w:color w:val="000000" w:themeColor="text1"/>
          <w:lang w:eastAsia="es-ES"/>
        </w:rPr>
        <w:t xml:space="preserve"> </w:t>
      </w:r>
      <w:r w:rsidR="008D058C" w:rsidRPr="00C454A1">
        <w:rPr>
          <w:color w:val="000000" w:themeColor="text1"/>
          <w:lang w:eastAsia="es-ES"/>
        </w:rPr>
        <w:t>Para la Corte,</w:t>
      </w:r>
      <w:r w:rsidRPr="00C454A1">
        <w:rPr>
          <w:color w:val="000000" w:themeColor="text1"/>
          <w:lang w:eastAsia="es-ES"/>
        </w:rPr>
        <w:t xml:space="preserve"> las deficiencias y los incumplimientos en la implementación del PNIS en el departamento de Norte de Santander y, en particular, en la región del Catatumbo, no constituyen un hecho extraordinario o excepcional. Por el contrario, las pruebas aportadas por el </w:t>
      </w:r>
      <w:r w:rsidR="007525E1" w:rsidRPr="00C454A1">
        <w:rPr>
          <w:color w:val="000000" w:themeColor="text1"/>
          <w:lang w:eastAsia="es-ES"/>
        </w:rPr>
        <w:t>Gobierno nacional</w:t>
      </w:r>
      <w:r w:rsidRPr="00C454A1">
        <w:rPr>
          <w:color w:val="000000" w:themeColor="text1"/>
          <w:lang w:eastAsia="es-ES"/>
        </w:rPr>
        <w:t xml:space="preserve"> demuestran que </w:t>
      </w:r>
      <w:r w:rsidR="000001E8" w:rsidRPr="00C454A1">
        <w:rPr>
          <w:color w:val="000000" w:themeColor="text1"/>
          <w:lang w:eastAsia="es-ES"/>
        </w:rPr>
        <w:t>reflejan</w:t>
      </w:r>
      <w:r w:rsidRPr="00C454A1">
        <w:rPr>
          <w:color w:val="000000" w:themeColor="text1"/>
          <w:lang w:eastAsia="es-ES"/>
        </w:rPr>
        <w:t xml:space="preserve"> una problemática estructural, crónica y endémica que, desafortunadamente, se ha presentado desde la firma del AFP.  </w:t>
      </w:r>
    </w:p>
    <w:p w14:paraId="0DD9338F" w14:textId="77777777" w:rsidR="00950ED9" w:rsidRPr="00C454A1" w:rsidRDefault="00950ED9" w:rsidP="00631C27">
      <w:pPr>
        <w:rPr>
          <w:color w:val="000000" w:themeColor="text1"/>
          <w:lang w:eastAsia="es-ES"/>
        </w:rPr>
      </w:pPr>
    </w:p>
    <w:p w14:paraId="609BB8FC" w14:textId="5DA271A6"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El DNP manifestó que existe un incumplimiento reiterado del PNIS en la región del Catatumbo desde el año 2019. Esto ha conducido a que después de cinco años de la implementación, “un 44,6% de las familias no cuentan con un proyecto productivo de ciclo corto, mientras que el 97,6% no cuentan con uno de ciclo largo”</w:t>
      </w:r>
      <w:r w:rsidRPr="00C454A1">
        <w:rPr>
          <w:color w:val="000000" w:themeColor="text1"/>
          <w:vertAlign w:val="superscript"/>
          <w:lang w:eastAsia="es-ES"/>
        </w:rPr>
        <w:footnoteReference w:id="280"/>
      </w:r>
      <w:r w:rsidRPr="00C454A1">
        <w:rPr>
          <w:color w:val="000000" w:themeColor="text1"/>
          <w:lang w:eastAsia="es-ES"/>
        </w:rPr>
        <w:t>. Justamente por esta razón, la implementación del PNIS fue priorizada “en los municipios de Tibú y Sardinata en el departamento de Norte de Santander”</w:t>
      </w:r>
      <w:r w:rsidRPr="00C454A1">
        <w:rPr>
          <w:color w:val="000000" w:themeColor="text1"/>
          <w:vertAlign w:val="superscript"/>
          <w:lang w:eastAsia="es-ES"/>
        </w:rPr>
        <w:footnoteReference w:id="281"/>
      </w:r>
      <w:r w:rsidRPr="00C454A1">
        <w:rPr>
          <w:color w:val="000000" w:themeColor="text1"/>
          <w:lang w:eastAsia="es-ES"/>
        </w:rPr>
        <w:t xml:space="preserve">. Por otro lado, </w:t>
      </w:r>
      <w:r w:rsidR="008D058C" w:rsidRPr="00C454A1">
        <w:rPr>
          <w:color w:val="000000" w:themeColor="text1"/>
          <w:lang w:eastAsia="es-ES"/>
        </w:rPr>
        <w:t>observa la Corte</w:t>
      </w:r>
      <w:r w:rsidRPr="00C454A1">
        <w:rPr>
          <w:color w:val="000000" w:themeColor="text1"/>
          <w:lang w:eastAsia="es-ES"/>
        </w:rPr>
        <w:t xml:space="preserve"> que en el documento técnico denominado “Pacto Territorial del Catatumbo”</w:t>
      </w:r>
      <w:r w:rsidRPr="00C454A1">
        <w:rPr>
          <w:color w:val="000000" w:themeColor="text1"/>
          <w:vertAlign w:val="superscript"/>
          <w:lang w:eastAsia="es-ES"/>
        </w:rPr>
        <w:footnoteReference w:id="282"/>
      </w:r>
      <w:r w:rsidRPr="00C454A1">
        <w:rPr>
          <w:color w:val="000000" w:themeColor="text1"/>
          <w:lang w:eastAsia="es-ES"/>
        </w:rPr>
        <w:t xml:space="preserve">, el </w:t>
      </w:r>
      <w:r w:rsidR="007525E1" w:rsidRPr="00C454A1">
        <w:rPr>
          <w:color w:val="000000" w:themeColor="text1"/>
          <w:lang w:eastAsia="es-ES"/>
        </w:rPr>
        <w:t>Gobierno nacional</w:t>
      </w:r>
      <w:r w:rsidRPr="00C454A1">
        <w:rPr>
          <w:color w:val="000000" w:themeColor="text1"/>
          <w:lang w:eastAsia="es-ES"/>
        </w:rPr>
        <w:t xml:space="preserve"> reconoció que la falta de implementación del PNIS se deriva de problemáticas estructurales tales como “la debilidad institucional, la insuficiente asignación de recursos, la persistencia de actores armados, la carencia de infraestructura de transporte, los conflictos por el uso del suelo, las limitaciones a la participación comunitaria en la toma de decisiones y la falta de acceso a la tierra para la población campesina”</w:t>
      </w:r>
      <w:r w:rsidRPr="00C454A1">
        <w:rPr>
          <w:color w:val="000000" w:themeColor="text1"/>
          <w:vertAlign w:val="superscript"/>
          <w:lang w:eastAsia="es-ES"/>
        </w:rPr>
        <w:footnoteReference w:id="283"/>
      </w:r>
      <w:r w:rsidRPr="00C454A1">
        <w:rPr>
          <w:color w:val="000000" w:themeColor="text1"/>
          <w:lang w:eastAsia="es-ES"/>
        </w:rPr>
        <w:t xml:space="preserve">. </w:t>
      </w:r>
    </w:p>
    <w:p w14:paraId="511472B0" w14:textId="77777777" w:rsidR="00950ED9" w:rsidRPr="00C454A1" w:rsidRDefault="00950ED9" w:rsidP="00631C27">
      <w:pPr>
        <w:rPr>
          <w:color w:val="000000" w:themeColor="text1"/>
          <w:lang w:eastAsia="es-ES"/>
        </w:rPr>
      </w:pPr>
    </w:p>
    <w:p w14:paraId="1880AD4C" w14:textId="02E173E1"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Asimismo, el Gobierno refirió seis barreras o bloqueos que afectan la implementación: (i) la “falta de supervisión a los contratos con los operadores”; (ii) el “[i]ncumplimiento al núcleo Caño Indio”, el cual era el “[p]iloto de sustitución en Norte de Santander”; (iii) la inexactitud en la información “al realizar el cruce entre nivel nacional con la información de la oficina territorial”; (iv) las [e]ntregas parciales de seguridad alimentaria y proyecto ciclo corto a familias PNIS por parte del operador”; (v) las “[f]amilias que no pueden ser </w:t>
      </w:r>
      <w:r w:rsidRPr="00C454A1">
        <w:rPr>
          <w:color w:val="000000" w:themeColor="text1"/>
          <w:lang w:eastAsia="es-ES"/>
        </w:rPr>
        <w:lastRenderedPageBreak/>
        <w:t xml:space="preserve">atendidas por el nuevo operador, hasta que se liquide el contrato con el operador OEI”, y (vi) el “[p]oco fortalecimiento a las iniciativas comunitarias productoras colectivas, ya que se tiene una visión de proyectos individual”. El incumplimiento del PNIS, naturalmente, ha </w:t>
      </w:r>
      <w:r w:rsidR="00CC49CA" w:rsidRPr="00C454A1">
        <w:rPr>
          <w:color w:val="000000" w:themeColor="text1"/>
          <w:lang w:eastAsia="es-ES"/>
        </w:rPr>
        <w:t>lleva</w:t>
      </w:r>
      <w:r w:rsidRPr="00C454A1">
        <w:rPr>
          <w:color w:val="000000" w:themeColor="text1"/>
          <w:lang w:eastAsia="es-ES"/>
        </w:rPr>
        <w:t xml:space="preserve">do a que muchos beneficiarios del programa se vean obligados a </w:t>
      </w:r>
      <w:r w:rsidR="00CC49CA" w:rsidRPr="00C454A1">
        <w:rPr>
          <w:color w:val="000000" w:themeColor="text1"/>
          <w:lang w:eastAsia="es-ES"/>
        </w:rPr>
        <w:t>obtene</w:t>
      </w:r>
      <w:r w:rsidRPr="00C454A1">
        <w:rPr>
          <w:color w:val="000000" w:themeColor="text1"/>
          <w:lang w:eastAsia="es-ES"/>
        </w:rPr>
        <w:t xml:space="preserve">r sus medios de subsistencia de cultivos ilícitos. </w:t>
      </w:r>
    </w:p>
    <w:p w14:paraId="1B84EA8B" w14:textId="77777777" w:rsidR="00950ED9" w:rsidRPr="00C454A1" w:rsidRDefault="00950ED9" w:rsidP="00631C27">
      <w:pPr>
        <w:rPr>
          <w:color w:val="000000" w:themeColor="text1"/>
          <w:lang w:eastAsia="es-ES"/>
        </w:rPr>
      </w:pPr>
      <w:r w:rsidRPr="00C454A1">
        <w:rPr>
          <w:color w:val="000000" w:themeColor="text1"/>
          <w:lang w:eastAsia="es-ES"/>
        </w:rPr>
        <w:t xml:space="preserve"> </w:t>
      </w:r>
    </w:p>
    <w:p w14:paraId="5526973C" w14:textId="6B8C60DA" w:rsidR="00950ED9" w:rsidRPr="00C454A1" w:rsidRDefault="008D058C" w:rsidP="00321FAF">
      <w:pPr>
        <w:numPr>
          <w:ilvl w:val="0"/>
          <w:numId w:val="2"/>
        </w:numPr>
        <w:ind w:left="0" w:firstLine="0"/>
        <w:rPr>
          <w:color w:val="000000" w:themeColor="text1"/>
          <w:lang w:eastAsia="es-ES"/>
        </w:rPr>
      </w:pPr>
      <w:r w:rsidRPr="00C454A1">
        <w:rPr>
          <w:color w:val="000000" w:themeColor="text1"/>
          <w:lang w:eastAsia="es-ES"/>
        </w:rPr>
        <w:t>Para la Corte,</w:t>
      </w:r>
      <w:r w:rsidR="00950ED9" w:rsidRPr="00C454A1">
        <w:rPr>
          <w:color w:val="000000" w:themeColor="text1"/>
          <w:lang w:eastAsia="es-ES"/>
        </w:rPr>
        <w:t xml:space="preserve"> las deficiencias e incumplimientos en la implementación del PNIS constituyen una problemática a nivel nacional que también ha sido constatada por la Corte Constitucional desde, </w:t>
      </w:r>
      <w:r w:rsidR="00CC49CA" w:rsidRPr="00C454A1">
        <w:rPr>
          <w:color w:val="000000" w:themeColor="text1"/>
          <w:lang w:eastAsia="es-ES"/>
        </w:rPr>
        <w:t>al</w:t>
      </w:r>
      <w:r w:rsidR="00950ED9" w:rsidRPr="00C454A1">
        <w:rPr>
          <w:color w:val="000000" w:themeColor="text1"/>
          <w:lang w:eastAsia="es-ES"/>
        </w:rPr>
        <w:t xml:space="preserve"> menos, el 2023</w:t>
      </w:r>
      <w:r w:rsidR="00950ED9" w:rsidRPr="00C454A1">
        <w:rPr>
          <w:color w:val="000000" w:themeColor="text1"/>
          <w:vertAlign w:val="superscript"/>
          <w:lang w:eastAsia="es-ES"/>
        </w:rPr>
        <w:footnoteReference w:id="284"/>
      </w:r>
      <w:r w:rsidR="00950ED9" w:rsidRPr="00C454A1">
        <w:rPr>
          <w:color w:val="000000" w:themeColor="text1"/>
          <w:lang w:eastAsia="es-ES"/>
        </w:rPr>
        <w:t xml:space="preserve">. En la </w:t>
      </w:r>
      <w:r w:rsidR="00F14B29" w:rsidRPr="00C454A1">
        <w:rPr>
          <w:color w:val="000000" w:themeColor="text1"/>
          <w:lang w:eastAsia="es-ES"/>
        </w:rPr>
        <w:t>S</w:t>
      </w:r>
      <w:r w:rsidR="00950ED9" w:rsidRPr="00C454A1">
        <w:rPr>
          <w:color w:val="000000" w:themeColor="text1"/>
          <w:lang w:eastAsia="es-ES"/>
        </w:rPr>
        <w:t>entencia SU-545 de 2023</w:t>
      </w:r>
      <w:r w:rsidR="00F14B29" w:rsidRPr="00C454A1">
        <w:rPr>
          <w:color w:val="000000" w:themeColor="text1"/>
          <w:lang w:eastAsia="es-ES"/>
        </w:rPr>
        <w:t>,</w:t>
      </w:r>
      <w:r w:rsidR="00950ED9" w:rsidRPr="00C454A1">
        <w:rPr>
          <w:color w:val="000000" w:themeColor="text1"/>
          <w:lang w:eastAsia="es-ES"/>
        </w:rPr>
        <w:t xml:space="preserve"> este tribunal identificó deficiencias estructurales en la implementación de este programa, entre otros, en los departamentos de Norte de Santander, Cauca, Nariño y Putumayo. </w:t>
      </w:r>
      <w:r w:rsidR="00F14B29" w:rsidRPr="00C454A1">
        <w:rPr>
          <w:color w:val="000000" w:themeColor="text1"/>
          <w:lang w:eastAsia="es-ES"/>
        </w:rPr>
        <w:t>Igualmente</w:t>
      </w:r>
      <w:r w:rsidR="00950ED9" w:rsidRPr="00C454A1">
        <w:rPr>
          <w:color w:val="000000" w:themeColor="text1"/>
          <w:lang w:eastAsia="es-ES"/>
        </w:rPr>
        <w:t xml:space="preserve">, en la </w:t>
      </w:r>
      <w:r w:rsidR="00F14B29" w:rsidRPr="00C454A1">
        <w:rPr>
          <w:color w:val="000000" w:themeColor="text1"/>
          <w:lang w:eastAsia="es-ES"/>
        </w:rPr>
        <w:t>S</w:t>
      </w:r>
      <w:r w:rsidR="00950ED9" w:rsidRPr="00C454A1">
        <w:rPr>
          <w:color w:val="000000" w:themeColor="text1"/>
          <w:lang w:eastAsia="es-ES"/>
        </w:rPr>
        <w:t>entencia T-146 de 2024, la Corte constató graves incumplimientos en el departamento del Guaviare. En estas decisiones, la Corte ha advertido que las deficiencias e incumplimientos del PNIS en el Norte de Santander, así como en otras regiones del país, se derivan de problemáticas estructurales y bloqueos administrativos en las diferentes fases de implementación:</w:t>
      </w:r>
    </w:p>
    <w:p w14:paraId="476886FA" w14:textId="77777777" w:rsidR="00F842E0" w:rsidRPr="00C454A1" w:rsidRDefault="00F842E0" w:rsidP="00631C27">
      <w:pPr>
        <w:rPr>
          <w:color w:val="000000" w:themeColor="text1"/>
          <w:lang w:eastAsia="es-ES"/>
        </w:rPr>
      </w:pPr>
    </w:p>
    <w:p w14:paraId="04C0B4AE" w14:textId="0085EDD1" w:rsidR="00FE0257" w:rsidRPr="00C454A1" w:rsidRDefault="00FE0257" w:rsidP="00745B67">
      <w:pPr>
        <w:ind w:left="993" w:right="902"/>
        <w:jc w:val="center"/>
        <w:rPr>
          <w:i/>
          <w:iCs/>
          <w:color w:val="000000" w:themeColor="text1"/>
          <w:sz w:val="22"/>
          <w:szCs w:val="22"/>
          <w:lang w:eastAsia="es-ES"/>
        </w:rPr>
      </w:pPr>
      <w:r w:rsidRPr="00C454A1">
        <w:rPr>
          <w:i/>
          <w:iCs/>
          <w:color w:val="000000" w:themeColor="text1"/>
          <w:sz w:val="22"/>
          <w:szCs w:val="22"/>
          <w:lang w:eastAsia="es-ES"/>
        </w:rPr>
        <w:t xml:space="preserve">Tabla 8: </w:t>
      </w:r>
      <w:r w:rsidR="00745B67" w:rsidRPr="00C454A1">
        <w:rPr>
          <w:i/>
          <w:iCs/>
          <w:color w:val="000000" w:themeColor="text1"/>
          <w:sz w:val="22"/>
          <w:szCs w:val="22"/>
          <w:lang w:eastAsia="es-ES"/>
        </w:rPr>
        <w:t>resumen de los hallazgos de la jurisprudencia constitucional sobre la implementación del PNIS</w:t>
      </w:r>
    </w:p>
    <w:tbl>
      <w:tblPr>
        <w:tblStyle w:val="Tablaconcuadrcula"/>
        <w:tblW w:w="0" w:type="auto"/>
        <w:tblLook w:val="04A0" w:firstRow="1" w:lastRow="0" w:firstColumn="1" w:lastColumn="0" w:noHBand="0" w:noVBand="1"/>
      </w:tblPr>
      <w:tblGrid>
        <w:gridCol w:w="1744"/>
        <w:gridCol w:w="7086"/>
      </w:tblGrid>
      <w:tr w:rsidR="00C454A1" w:rsidRPr="00C454A1" w14:paraId="4F230A4B" w14:textId="77777777" w:rsidTr="000239E6">
        <w:tc>
          <w:tcPr>
            <w:tcW w:w="1555" w:type="dxa"/>
            <w:shd w:val="clear" w:color="auto" w:fill="D9D9D9" w:themeFill="background1" w:themeFillShade="D9"/>
            <w:vAlign w:val="center"/>
          </w:tcPr>
          <w:p w14:paraId="3169ED07"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Fase del PNIS</w:t>
            </w:r>
          </w:p>
        </w:tc>
        <w:tc>
          <w:tcPr>
            <w:tcW w:w="7275" w:type="dxa"/>
            <w:shd w:val="clear" w:color="auto" w:fill="D9D9D9" w:themeFill="background1" w:themeFillShade="D9"/>
            <w:vAlign w:val="center"/>
          </w:tcPr>
          <w:p w14:paraId="47B6E95A" w14:textId="74963ACB"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Incumplimiento</w:t>
            </w:r>
          </w:p>
        </w:tc>
      </w:tr>
      <w:tr w:rsidR="00C454A1" w:rsidRPr="00C454A1" w14:paraId="7E03E538" w14:textId="77777777" w:rsidTr="000239E6">
        <w:tc>
          <w:tcPr>
            <w:tcW w:w="1555" w:type="dxa"/>
            <w:shd w:val="clear" w:color="auto" w:fill="D9D9D9" w:themeFill="background1" w:themeFillShade="D9"/>
            <w:vAlign w:val="center"/>
          </w:tcPr>
          <w:p w14:paraId="0E4ECEF8"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Inclusión de los beneficiarios</w:t>
            </w:r>
          </w:p>
        </w:tc>
        <w:tc>
          <w:tcPr>
            <w:tcW w:w="7275" w:type="dxa"/>
          </w:tcPr>
          <w:p w14:paraId="0066ACE8" w14:textId="1E044ABB"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 xml:space="preserve">La Corte comprobó que el PNIS no incluyó a todas las familias que tenían voluntad de sustitución y que se encontraban “dentro del universo de los acuerdos colectivos”. Además, advirtió un desconocimiento de la jerarquía en los medios de erradicación. Esto, porque el </w:t>
            </w:r>
            <w:r w:rsidR="007525E1" w:rsidRPr="00C454A1">
              <w:rPr>
                <w:color w:val="000000" w:themeColor="text1"/>
                <w:sz w:val="22"/>
                <w:szCs w:val="22"/>
                <w:lang w:eastAsia="es-ES"/>
              </w:rPr>
              <w:t>Gobierno nacional</w:t>
            </w:r>
            <w:r w:rsidRPr="00C454A1">
              <w:rPr>
                <w:color w:val="000000" w:themeColor="text1"/>
                <w:sz w:val="22"/>
                <w:szCs w:val="22"/>
                <w:lang w:eastAsia="es-ES"/>
              </w:rPr>
              <w:t xml:space="preserve"> había priorizado la estrategia de sustitución voluntaria, lo que había generado confrontaciones entre los campesinos que tenían voluntad de sustituir tales cultivos, habida cuenta de que sus territorios habían sido objeto de operaciones de eliminación de cultivos por la fuerza.</w:t>
            </w:r>
          </w:p>
        </w:tc>
      </w:tr>
      <w:tr w:rsidR="00950ED9" w:rsidRPr="00C454A1" w14:paraId="25E30791" w14:textId="77777777" w:rsidTr="000239E6">
        <w:tc>
          <w:tcPr>
            <w:tcW w:w="1555" w:type="dxa"/>
            <w:shd w:val="clear" w:color="auto" w:fill="D9D9D9" w:themeFill="background1" w:themeFillShade="D9"/>
            <w:vAlign w:val="center"/>
          </w:tcPr>
          <w:p w14:paraId="767D843C"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Implementación</w:t>
            </w:r>
          </w:p>
        </w:tc>
        <w:tc>
          <w:tcPr>
            <w:tcW w:w="7275" w:type="dxa"/>
          </w:tcPr>
          <w:p w14:paraId="4846F9CB" w14:textId="0DC78FD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 xml:space="preserve">La Corte advirtió un déficit presupuestal en la implementación integral del PNIS. Indicó que “el desarrollo en la implementación del PNIS depende de una política pública estructurada con el fin de superar, no solo las actividades relacionadas con cultivos de uso ilícito, sino las barreras que enfrentan las familias campesinas para ver garantizados sus derechos fundamentales como el mínimo vital, la vida e integridad personal, entre otros”. En ese contexto, la Corte reconoció como </w:t>
            </w:r>
            <w:r w:rsidRPr="00C454A1">
              <w:rPr>
                <w:i/>
                <w:iCs/>
                <w:color w:val="000000" w:themeColor="text1"/>
                <w:sz w:val="22"/>
                <w:szCs w:val="22"/>
                <w:lang w:eastAsia="es-ES"/>
              </w:rPr>
              <w:t>indispensable</w:t>
            </w:r>
            <w:r w:rsidRPr="00C454A1">
              <w:rPr>
                <w:color w:val="000000" w:themeColor="text1"/>
                <w:sz w:val="22"/>
                <w:szCs w:val="22"/>
                <w:lang w:eastAsia="es-ES"/>
              </w:rPr>
              <w:t xml:space="preserve"> la remoción de “barreras financieras que impiden </w:t>
            </w:r>
            <w:r w:rsidR="00873B4E" w:rsidRPr="00C454A1">
              <w:rPr>
                <w:color w:val="000000" w:themeColor="text1"/>
                <w:sz w:val="22"/>
                <w:szCs w:val="22"/>
                <w:lang w:eastAsia="es-ES"/>
              </w:rPr>
              <w:t>a</w:t>
            </w:r>
            <w:r w:rsidRPr="00C454A1">
              <w:rPr>
                <w:color w:val="000000" w:themeColor="text1"/>
                <w:sz w:val="22"/>
                <w:szCs w:val="22"/>
                <w:lang w:eastAsia="es-ES"/>
              </w:rPr>
              <w:t xml:space="preserve"> las comunidades campesinas de estas regiones ingresar al PNIS” y mejorar sus condiciones de vida. </w:t>
            </w:r>
          </w:p>
          <w:p w14:paraId="65E9AE4B" w14:textId="77777777" w:rsidR="00950ED9" w:rsidRPr="00C454A1" w:rsidRDefault="00950ED9" w:rsidP="00631C27">
            <w:pPr>
              <w:rPr>
                <w:color w:val="000000" w:themeColor="text1"/>
                <w:kern w:val="2"/>
                <w:sz w:val="22"/>
                <w:szCs w:val="22"/>
                <w:lang w:eastAsia="es-ES"/>
                <w14:ligatures w14:val="standardContextual"/>
              </w:rPr>
            </w:pPr>
          </w:p>
          <w:p w14:paraId="50D0735F"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 xml:space="preserve">Por otro lado, Corte encontró probado el incumplimiento del Estado en la ejecución de cada uno de los componentes del PNIS. </w:t>
            </w:r>
          </w:p>
          <w:p w14:paraId="1D4CFEBA" w14:textId="77777777" w:rsidR="008E33F0" w:rsidRPr="00C454A1" w:rsidRDefault="00950ED9" w:rsidP="00307F2C">
            <w:pPr>
              <w:pStyle w:val="Prrafodelista"/>
              <w:numPr>
                <w:ilvl w:val="0"/>
                <w:numId w:val="9"/>
              </w:numPr>
              <w:ind w:left="462" w:hanging="331"/>
              <w:rPr>
                <w:color w:val="000000" w:themeColor="text1"/>
                <w:kern w:val="2"/>
                <w:sz w:val="22"/>
                <w:szCs w:val="22"/>
                <w:lang w:eastAsia="es-ES"/>
                <w14:ligatures w14:val="standardContextual"/>
              </w:rPr>
            </w:pPr>
            <w:r w:rsidRPr="00C454A1">
              <w:rPr>
                <w:i/>
                <w:iCs/>
                <w:color w:val="000000" w:themeColor="text1"/>
                <w:sz w:val="22"/>
                <w:szCs w:val="22"/>
                <w:lang w:eastAsia="es-ES"/>
              </w:rPr>
              <w:t>Plan de Atención Inmediata</w:t>
            </w:r>
            <w:r w:rsidRPr="00C454A1">
              <w:rPr>
                <w:color w:val="000000" w:themeColor="text1"/>
                <w:sz w:val="22"/>
                <w:szCs w:val="22"/>
                <w:lang w:eastAsia="es-ES"/>
              </w:rPr>
              <w:t xml:space="preserve">. Para el 31 de marzo de 2021, el 91% del total de los cultivadores y no cultivadores “había recibido al menos un pago, y el 80% […] había recibido el total de los seis pagos”. </w:t>
            </w:r>
          </w:p>
          <w:p w14:paraId="5D19CA3A" w14:textId="3BE5E70C" w:rsidR="008E33F0" w:rsidRPr="00C454A1" w:rsidRDefault="00950ED9" w:rsidP="00307F2C">
            <w:pPr>
              <w:pStyle w:val="Prrafodelista"/>
              <w:numPr>
                <w:ilvl w:val="0"/>
                <w:numId w:val="9"/>
              </w:numPr>
              <w:ind w:left="462" w:hanging="331"/>
              <w:rPr>
                <w:color w:val="000000" w:themeColor="text1"/>
                <w:kern w:val="2"/>
                <w:sz w:val="22"/>
                <w:szCs w:val="22"/>
                <w:lang w:eastAsia="es-ES"/>
                <w14:ligatures w14:val="standardContextual"/>
              </w:rPr>
            </w:pPr>
            <w:r w:rsidRPr="00C454A1">
              <w:rPr>
                <w:i/>
                <w:iCs/>
                <w:color w:val="000000" w:themeColor="text1"/>
                <w:sz w:val="22"/>
                <w:szCs w:val="22"/>
                <w:lang w:eastAsia="es-ES"/>
              </w:rPr>
              <w:t>Asistencia Técnica Integral</w:t>
            </w:r>
            <w:r w:rsidRPr="00C454A1">
              <w:rPr>
                <w:color w:val="000000" w:themeColor="text1"/>
                <w:sz w:val="22"/>
                <w:szCs w:val="22"/>
                <w:lang w:eastAsia="es-ES"/>
              </w:rPr>
              <w:t xml:space="preserve">. La Corte constató que “el estado de implementación de este componente corresponde a 70.792 familias que han recibido  este servicio, las cuales corresponden al 86% del total de cultivadores y no cultivadores”. 1.312 familias pertenecían a Norte de Santander. </w:t>
            </w:r>
          </w:p>
          <w:p w14:paraId="0236F661" w14:textId="25B3B02B" w:rsidR="008E33F0" w:rsidRPr="00C454A1" w:rsidRDefault="00950ED9" w:rsidP="00307F2C">
            <w:pPr>
              <w:pStyle w:val="Prrafodelista"/>
              <w:numPr>
                <w:ilvl w:val="0"/>
                <w:numId w:val="9"/>
              </w:numPr>
              <w:ind w:left="462" w:hanging="331"/>
              <w:rPr>
                <w:color w:val="000000" w:themeColor="text1"/>
                <w:kern w:val="2"/>
                <w:sz w:val="22"/>
                <w:szCs w:val="22"/>
                <w:lang w:eastAsia="es-ES"/>
                <w14:ligatures w14:val="standardContextual"/>
              </w:rPr>
            </w:pPr>
            <w:r w:rsidRPr="00C454A1">
              <w:rPr>
                <w:i/>
                <w:iCs/>
                <w:color w:val="000000" w:themeColor="text1"/>
                <w:sz w:val="22"/>
                <w:szCs w:val="22"/>
                <w:lang w:eastAsia="es-ES"/>
              </w:rPr>
              <w:t>Seguridad alimentaria</w:t>
            </w:r>
            <w:r w:rsidRPr="00C454A1">
              <w:rPr>
                <w:color w:val="000000" w:themeColor="text1"/>
                <w:sz w:val="22"/>
                <w:szCs w:val="22"/>
                <w:lang w:eastAsia="es-ES"/>
              </w:rPr>
              <w:t xml:space="preserve">. Con base en la información remitida por la Defensoría del Pueblo, para el 28 de febrero de 2021, la Corte encontró que en Norte de Santander se reportaron 1.319 familias “que a la fecha </w:t>
            </w:r>
            <w:r w:rsidRPr="00C454A1">
              <w:rPr>
                <w:color w:val="000000" w:themeColor="text1"/>
                <w:sz w:val="22"/>
                <w:szCs w:val="22"/>
                <w:lang w:eastAsia="es-ES"/>
              </w:rPr>
              <w:lastRenderedPageBreak/>
              <w:t>ha[bían] recibido</w:t>
            </w:r>
            <w:r w:rsidR="008D058C" w:rsidRPr="00C454A1">
              <w:rPr>
                <w:color w:val="000000" w:themeColor="text1"/>
                <w:sz w:val="22"/>
                <w:szCs w:val="22"/>
                <w:lang w:eastAsia="es-ES"/>
              </w:rPr>
              <w:t xml:space="preserve"> </w:t>
            </w:r>
            <w:r w:rsidRPr="00C454A1">
              <w:rPr>
                <w:color w:val="000000" w:themeColor="text1"/>
                <w:sz w:val="22"/>
                <w:szCs w:val="22"/>
                <w:lang w:eastAsia="es-ES"/>
              </w:rPr>
              <w:t xml:space="preserve">insumos para el desarrollo de actividades de cría de especies menores y cultivo de pan coger”. Estas correspondían al 44.15% del total de beneficiarios. </w:t>
            </w:r>
          </w:p>
          <w:p w14:paraId="6234FD37" w14:textId="7D92C25A" w:rsidR="00950ED9" w:rsidRPr="00C454A1" w:rsidRDefault="00950ED9" w:rsidP="00307F2C">
            <w:pPr>
              <w:pStyle w:val="Prrafodelista"/>
              <w:numPr>
                <w:ilvl w:val="0"/>
                <w:numId w:val="9"/>
              </w:numPr>
              <w:ind w:left="462" w:hanging="331"/>
              <w:rPr>
                <w:color w:val="000000" w:themeColor="text1"/>
                <w:kern w:val="2"/>
                <w:sz w:val="22"/>
                <w:szCs w:val="22"/>
                <w:lang w:eastAsia="es-ES"/>
                <w14:ligatures w14:val="standardContextual"/>
              </w:rPr>
            </w:pPr>
            <w:r w:rsidRPr="00C454A1">
              <w:rPr>
                <w:i/>
                <w:iCs/>
                <w:color w:val="000000" w:themeColor="text1"/>
                <w:sz w:val="22"/>
                <w:szCs w:val="22"/>
                <w:lang w:eastAsia="es-ES"/>
              </w:rPr>
              <w:t>Desarrollo de los proyectos productivos para la generación de ingresos a corto plazo</w:t>
            </w:r>
            <w:r w:rsidRPr="00C454A1">
              <w:rPr>
                <w:color w:val="000000" w:themeColor="text1"/>
                <w:sz w:val="22"/>
                <w:szCs w:val="22"/>
                <w:lang w:eastAsia="es-ES"/>
              </w:rPr>
              <w:t>. La Corte encontró probado que el avance “en términos de implementación de proyectos productivos de ciclo corto registra un serio rezago en el departamento de Norte de Santander, ya que solo se han beneficiado 189 familias (8%) con dichas alternativas productivas”.</w:t>
            </w:r>
          </w:p>
        </w:tc>
      </w:tr>
    </w:tbl>
    <w:p w14:paraId="281A75EB" w14:textId="77777777" w:rsidR="00950ED9" w:rsidRPr="00C454A1" w:rsidRDefault="00950ED9" w:rsidP="00631C27">
      <w:pPr>
        <w:rPr>
          <w:color w:val="000000" w:themeColor="text1"/>
          <w:lang w:eastAsia="es-ES"/>
        </w:rPr>
      </w:pPr>
    </w:p>
    <w:p w14:paraId="1A2A81F4" w14:textId="49183E77"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w:t>
      </w:r>
      <w:r w:rsidR="008A4D3C" w:rsidRPr="00C454A1">
        <w:rPr>
          <w:color w:val="000000" w:themeColor="text1"/>
          <w:lang w:eastAsia="es-ES"/>
        </w:rPr>
        <w:t>este contexto</w:t>
      </w:r>
      <w:r w:rsidRPr="00C454A1">
        <w:rPr>
          <w:color w:val="000000" w:themeColor="text1"/>
          <w:lang w:eastAsia="es-ES"/>
        </w:rPr>
        <w:t xml:space="preserve">, la Corte concluye que las deficiencias e incumplimientos del PNIS constituyen una problemática estructural, endémica y crónica en la región del Catatumbo, así como en otros departamentos de Colombia. El </w:t>
      </w:r>
      <w:r w:rsidR="007525E1" w:rsidRPr="00C454A1">
        <w:rPr>
          <w:color w:val="000000" w:themeColor="text1"/>
          <w:lang w:eastAsia="es-ES"/>
        </w:rPr>
        <w:t>Gobierno nacional</w:t>
      </w:r>
      <w:r w:rsidRPr="00C454A1">
        <w:rPr>
          <w:color w:val="000000" w:themeColor="text1"/>
          <w:lang w:eastAsia="es-ES"/>
        </w:rPr>
        <w:t xml:space="preserve"> no demostró la existencia de hechos coyunturales, episódicos o excepcionales que evidenciaran que, a partir de enero de 2025 o incluso </w:t>
      </w:r>
      <w:r w:rsidR="008A4D3C" w:rsidRPr="00C454A1">
        <w:rPr>
          <w:color w:val="000000" w:themeColor="text1"/>
          <w:lang w:eastAsia="es-ES"/>
        </w:rPr>
        <w:t xml:space="preserve">desde </w:t>
      </w:r>
      <w:r w:rsidRPr="00C454A1">
        <w:rPr>
          <w:color w:val="000000" w:themeColor="text1"/>
          <w:lang w:eastAsia="es-ES"/>
        </w:rPr>
        <w:t>finales de 2024, se presentó un agravamiento inusitado de esta problemática. La Corte reitera y reafirma que el cumplimiento</w:t>
      </w:r>
      <w:r w:rsidR="008A4D3C" w:rsidRPr="00C454A1">
        <w:rPr>
          <w:color w:val="000000" w:themeColor="text1"/>
          <w:lang w:eastAsia="es-ES"/>
        </w:rPr>
        <w:t xml:space="preserve"> </w:t>
      </w:r>
      <w:r w:rsidRPr="00C454A1">
        <w:rPr>
          <w:color w:val="000000" w:themeColor="text1"/>
          <w:lang w:eastAsia="es-ES"/>
        </w:rPr>
        <w:t xml:space="preserve">del PNIS en Norte de Santander, así como en el resto de departamentos y regiones del país en los que existen rezagos, requiere la adopción de medidas urgentes y eficaces por parte del </w:t>
      </w:r>
      <w:r w:rsidR="007525E1" w:rsidRPr="00C454A1">
        <w:rPr>
          <w:color w:val="000000" w:themeColor="text1"/>
          <w:lang w:eastAsia="es-ES"/>
        </w:rPr>
        <w:t>Gobierno nacional</w:t>
      </w:r>
      <w:r w:rsidRPr="00C454A1">
        <w:rPr>
          <w:color w:val="000000" w:themeColor="text1"/>
          <w:lang w:eastAsia="es-ES"/>
        </w:rPr>
        <w:t xml:space="preserve">. Sin embargo, estas medidas deben </w:t>
      </w:r>
      <w:r w:rsidR="00CC49CA" w:rsidRPr="00C454A1">
        <w:rPr>
          <w:color w:val="000000" w:themeColor="text1"/>
          <w:lang w:eastAsia="es-ES"/>
        </w:rPr>
        <w:t>implementarse</w:t>
      </w:r>
      <w:r w:rsidRPr="00C454A1">
        <w:rPr>
          <w:color w:val="000000" w:themeColor="text1"/>
          <w:lang w:eastAsia="es-ES"/>
        </w:rPr>
        <w:t xml:space="preserve"> </w:t>
      </w:r>
      <w:r w:rsidR="00CC49CA" w:rsidRPr="00C454A1">
        <w:rPr>
          <w:color w:val="000000" w:themeColor="text1"/>
          <w:lang w:eastAsia="es-ES"/>
        </w:rPr>
        <w:t>a</w:t>
      </w:r>
      <w:r w:rsidRPr="00C454A1">
        <w:rPr>
          <w:color w:val="000000" w:themeColor="text1"/>
          <w:lang w:eastAsia="es-ES"/>
        </w:rPr>
        <w:t xml:space="preserve"> </w:t>
      </w:r>
      <w:r w:rsidR="00CC49CA" w:rsidRPr="00C454A1">
        <w:rPr>
          <w:color w:val="000000" w:themeColor="text1"/>
          <w:lang w:eastAsia="es-ES"/>
        </w:rPr>
        <w:t>través</w:t>
      </w:r>
      <w:r w:rsidRPr="00C454A1">
        <w:rPr>
          <w:color w:val="000000" w:themeColor="text1"/>
          <w:lang w:eastAsia="es-ES"/>
        </w:rPr>
        <w:t xml:space="preserve"> de las instituciones democráticas, en el marco de las instancias de verificación y cumplimiento previstas en el AFP</w:t>
      </w:r>
      <w:r w:rsidR="008A4D3C" w:rsidRPr="00C454A1">
        <w:rPr>
          <w:color w:val="000000" w:themeColor="text1"/>
          <w:lang w:eastAsia="es-ES"/>
        </w:rPr>
        <w:t>,</w:t>
      </w:r>
      <w:r w:rsidRPr="00C454A1">
        <w:rPr>
          <w:color w:val="000000" w:themeColor="text1"/>
          <w:lang w:eastAsia="es-ES"/>
        </w:rPr>
        <w:t xml:space="preserve"> </w:t>
      </w:r>
      <w:r w:rsidR="00CC49CA" w:rsidRPr="00C454A1">
        <w:rPr>
          <w:color w:val="000000" w:themeColor="text1"/>
          <w:lang w:eastAsia="es-ES"/>
        </w:rPr>
        <w:t>y</w:t>
      </w:r>
      <w:r w:rsidRPr="00C454A1">
        <w:rPr>
          <w:color w:val="000000" w:themeColor="text1"/>
          <w:lang w:eastAsia="es-ES"/>
        </w:rPr>
        <w:t xml:space="preserve"> </w:t>
      </w:r>
      <w:r w:rsidR="00CC49CA" w:rsidRPr="00C454A1">
        <w:rPr>
          <w:color w:val="000000" w:themeColor="text1"/>
          <w:lang w:eastAsia="es-ES"/>
        </w:rPr>
        <w:t>no</w:t>
      </w:r>
      <w:r w:rsidRPr="00C454A1">
        <w:rPr>
          <w:color w:val="000000" w:themeColor="text1"/>
          <w:lang w:eastAsia="es-ES"/>
        </w:rPr>
        <w:t xml:space="preserve"> medi</w:t>
      </w:r>
      <w:r w:rsidR="00CC49CA" w:rsidRPr="00C454A1">
        <w:rPr>
          <w:color w:val="000000" w:themeColor="text1"/>
          <w:lang w:eastAsia="es-ES"/>
        </w:rPr>
        <w:t>ante</w:t>
      </w:r>
      <w:r w:rsidRPr="00C454A1">
        <w:rPr>
          <w:color w:val="000000" w:themeColor="text1"/>
          <w:lang w:eastAsia="es-ES"/>
        </w:rPr>
        <w:t xml:space="preserve"> el derecho constitucional de excepción.</w:t>
      </w:r>
    </w:p>
    <w:p w14:paraId="6BC82F5A" w14:textId="77777777" w:rsidR="00950ED9" w:rsidRPr="00C454A1" w:rsidRDefault="00950ED9" w:rsidP="00631C27">
      <w:pPr>
        <w:rPr>
          <w:color w:val="000000" w:themeColor="text1"/>
          <w:lang w:eastAsia="es-ES"/>
        </w:rPr>
      </w:pPr>
    </w:p>
    <w:p w14:paraId="79CD74FF" w14:textId="17C4157D"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 En este sentido, la Corte concluye que el </w:t>
      </w:r>
      <w:r w:rsidR="00B05F72" w:rsidRPr="00C454A1">
        <w:rPr>
          <w:color w:val="000000" w:themeColor="text1"/>
          <w:lang w:eastAsia="es-ES"/>
        </w:rPr>
        <w:t>presidente</w:t>
      </w:r>
      <w:r w:rsidRPr="00C454A1">
        <w:rPr>
          <w:color w:val="000000" w:themeColor="text1"/>
          <w:lang w:eastAsia="es-ES"/>
        </w:rPr>
        <w:t xml:space="preserve"> de la República incurrió en un error manifiesto de apreciación al concluir que las deficiencias e incumplimientos del PNIS </w:t>
      </w:r>
      <w:r w:rsidR="00CC49CA" w:rsidRPr="00C454A1">
        <w:rPr>
          <w:color w:val="000000" w:themeColor="text1"/>
          <w:lang w:eastAsia="es-ES"/>
        </w:rPr>
        <w:t>constituye</w:t>
      </w:r>
      <w:r w:rsidR="008A4D3C" w:rsidRPr="00C454A1">
        <w:rPr>
          <w:color w:val="000000" w:themeColor="text1"/>
          <w:lang w:eastAsia="es-ES"/>
        </w:rPr>
        <w:t xml:space="preserve">n </w:t>
      </w:r>
      <w:r w:rsidRPr="00C454A1">
        <w:rPr>
          <w:color w:val="000000" w:themeColor="text1"/>
          <w:lang w:eastAsia="es-ES"/>
        </w:rPr>
        <w:t xml:space="preserve">un hecho </w:t>
      </w:r>
      <w:r w:rsidR="00CC49CA" w:rsidRPr="00C454A1">
        <w:rPr>
          <w:color w:val="000000" w:themeColor="text1"/>
          <w:lang w:eastAsia="es-ES"/>
        </w:rPr>
        <w:t>de</w:t>
      </w:r>
      <w:r w:rsidRPr="00C454A1">
        <w:rPr>
          <w:color w:val="000000" w:themeColor="text1"/>
          <w:lang w:eastAsia="es-ES"/>
        </w:rPr>
        <w:t xml:space="preserve"> carácter extraordinario.</w:t>
      </w:r>
    </w:p>
    <w:p w14:paraId="5A0E4AA7" w14:textId="77777777" w:rsidR="00950ED9" w:rsidRPr="00C454A1" w:rsidRDefault="00950ED9" w:rsidP="00631C27">
      <w:pPr>
        <w:rPr>
          <w:color w:val="000000" w:themeColor="text1"/>
          <w:lang w:eastAsia="es-ES"/>
        </w:rPr>
      </w:pPr>
    </w:p>
    <w:p w14:paraId="7152D7C9" w14:textId="39CD6EB1" w:rsidR="00950ED9" w:rsidRPr="00C454A1" w:rsidRDefault="00950ED9" w:rsidP="00307F2C">
      <w:pPr>
        <w:numPr>
          <w:ilvl w:val="0"/>
          <w:numId w:val="11"/>
        </w:numPr>
        <w:rPr>
          <w:color w:val="000000" w:themeColor="text1"/>
          <w:u w:val="single"/>
          <w:lang w:eastAsia="es-ES"/>
        </w:rPr>
      </w:pPr>
      <w:r w:rsidRPr="00C454A1">
        <w:rPr>
          <w:color w:val="000000" w:themeColor="text1"/>
          <w:u w:val="single"/>
          <w:lang w:eastAsia="es-ES"/>
        </w:rPr>
        <w:t>La</w:t>
      </w:r>
      <w:r w:rsidR="00BD18C5" w:rsidRPr="00C454A1">
        <w:rPr>
          <w:color w:val="000000" w:themeColor="text1"/>
          <w:u w:val="single"/>
          <w:lang w:eastAsia="es-ES"/>
        </w:rPr>
        <w:t xml:space="preserve"> pobreza y alto nivel de</w:t>
      </w:r>
      <w:r w:rsidRPr="00C454A1">
        <w:rPr>
          <w:color w:val="000000" w:themeColor="text1"/>
          <w:u w:val="single"/>
          <w:lang w:eastAsia="es-ES"/>
        </w:rPr>
        <w:t xml:space="preserve"> necesidades básicas insatisfechas de la población del Catatumbo por insuficiencia en la política social</w:t>
      </w:r>
    </w:p>
    <w:p w14:paraId="122D222C" w14:textId="77777777" w:rsidR="00950ED9" w:rsidRPr="00C454A1" w:rsidRDefault="00950ED9" w:rsidP="00631C27">
      <w:pPr>
        <w:rPr>
          <w:color w:val="000000" w:themeColor="text1"/>
          <w:u w:val="single"/>
          <w:lang w:eastAsia="es-ES"/>
        </w:rPr>
      </w:pPr>
    </w:p>
    <w:p w14:paraId="6884B80A" w14:textId="11DC8FE0"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los acápites II y III de la parte motiva del Decreto 62 de 2025, el </w:t>
      </w:r>
      <w:r w:rsidR="007525E1" w:rsidRPr="00C454A1">
        <w:rPr>
          <w:color w:val="000000" w:themeColor="text1"/>
          <w:lang w:eastAsia="es-ES"/>
        </w:rPr>
        <w:t>Gobierno nacional</w:t>
      </w:r>
      <w:r w:rsidRPr="00C454A1">
        <w:rPr>
          <w:color w:val="000000" w:themeColor="text1"/>
          <w:lang w:eastAsia="es-ES"/>
        </w:rPr>
        <w:t xml:space="preserve"> señaló que la crisis de orden público en la región del Catatumbo se derivaba, entre otras</w:t>
      </w:r>
      <w:r w:rsidR="004C2E8B" w:rsidRPr="00C454A1">
        <w:rPr>
          <w:color w:val="000000" w:themeColor="text1"/>
          <w:lang w:eastAsia="es-ES"/>
        </w:rPr>
        <w:t xml:space="preserve"> causas</w:t>
      </w:r>
      <w:r w:rsidRPr="00C454A1">
        <w:rPr>
          <w:color w:val="000000" w:themeColor="text1"/>
          <w:lang w:eastAsia="es-ES"/>
        </w:rPr>
        <w:t xml:space="preserve">, de los altos índices de pobreza, necesidades básicas insatisfechas </w:t>
      </w:r>
      <w:r w:rsidR="00CC49CA" w:rsidRPr="00C454A1">
        <w:rPr>
          <w:color w:val="000000" w:themeColor="text1"/>
          <w:lang w:eastAsia="es-ES"/>
        </w:rPr>
        <w:t>y</w:t>
      </w:r>
      <w:r w:rsidRPr="00C454A1">
        <w:rPr>
          <w:color w:val="000000" w:themeColor="text1"/>
          <w:lang w:eastAsia="es-ES"/>
        </w:rPr>
        <w:t xml:space="preserve"> la precaria política social. Asimismo, indicó que “ha desplegado inversiones, planes, programas y proyectos en la región del Catatumbo, pero estos esfuerzos han sido insuficientes y no han logrado garantizar la institucionalidad necesaria para superar las causas del conflicto”. Por esta razón, anunció que era necesario adoptar medidas excepcionales para “promover condiciones de vida dignas y sostenibles para las comunidades campesinas hoy dependientes de la economía ilícita, en aras de satisfacer las necesidades básicas de la población y fomentar la participación comunitaria, con un enfoque integral, territorial y de derechos humanos”. </w:t>
      </w:r>
    </w:p>
    <w:p w14:paraId="46955177" w14:textId="77777777" w:rsidR="00950ED9" w:rsidRPr="00C454A1" w:rsidRDefault="00950ED9" w:rsidP="00631C27">
      <w:pPr>
        <w:rPr>
          <w:color w:val="000000" w:themeColor="text1"/>
          <w:lang w:eastAsia="es-ES"/>
        </w:rPr>
      </w:pPr>
    </w:p>
    <w:p w14:paraId="69632968" w14:textId="02F106F2"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E</w:t>
      </w:r>
      <w:r w:rsidR="00D12EAC" w:rsidRPr="00C454A1">
        <w:rPr>
          <w:color w:val="000000" w:themeColor="text1"/>
          <w:lang w:eastAsia="es-ES"/>
        </w:rPr>
        <w:t>s cierto que el</w:t>
      </w:r>
      <w:r w:rsidRPr="00C454A1">
        <w:rPr>
          <w:color w:val="000000" w:themeColor="text1"/>
          <w:lang w:eastAsia="es-ES"/>
        </w:rPr>
        <w:t xml:space="preserve"> </w:t>
      </w:r>
      <w:r w:rsidR="007525E1" w:rsidRPr="00C454A1">
        <w:rPr>
          <w:color w:val="000000" w:themeColor="text1"/>
          <w:lang w:eastAsia="es-ES"/>
        </w:rPr>
        <w:t>Gobierno nacional</w:t>
      </w:r>
      <w:r w:rsidRPr="00C454A1">
        <w:rPr>
          <w:color w:val="000000" w:themeColor="text1"/>
          <w:lang w:eastAsia="es-ES"/>
        </w:rPr>
        <w:t xml:space="preserve"> </w:t>
      </w:r>
      <w:r w:rsidR="00EC7A00" w:rsidRPr="00C454A1">
        <w:rPr>
          <w:color w:val="000000" w:themeColor="text1"/>
          <w:lang w:eastAsia="es-ES"/>
        </w:rPr>
        <w:t xml:space="preserve">presentó datos que evidencian </w:t>
      </w:r>
      <w:r w:rsidRPr="00C454A1">
        <w:rPr>
          <w:color w:val="000000" w:themeColor="text1"/>
          <w:lang w:eastAsia="es-ES"/>
        </w:rPr>
        <w:t xml:space="preserve">que la región del Catatumbo se caracteriza por altos índices </w:t>
      </w:r>
      <w:r w:rsidR="00333AB7" w:rsidRPr="00C454A1">
        <w:rPr>
          <w:color w:val="000000" w:themeColor="text1"/>
          <w:lang w:eastAsia="es-ES"/>
        </w:rPr>
        <w:t xml:space="preserve">de </w:t>
      </w:r>
      <w:r w:rsidRPr="00C454A1">
        <w:rPr>
          <w:color w:val="000000" w:themeColor="text1"/>
          <w:lang w:eastAsia="es-ES"/>
        </w:rPr>
        <w:t xml:space="preserve">pobreza extrema y multidimensional, y necesidades básicas insatisfechas. </w:t>
      </w:r>
      <w:r w:rsidR="004C2E8B" w:rsidRPr="00C454A1">
        <w:rPr>
          <w:color w:val="000000" w:themeColor="text1"/>
          <w:lang w:eastAsia="es-ES"/>
        </w:rPr>
        <w:t>De igual forma</w:t>
      </w:r>
      <w:r w:rsidRPr="00C454A1">
        <w:rPr>
          <w:color w:val="000000" w:themeColor="text1"/>
          <w:lang w:eastAsia="es-ES"/>
        </w:rPr>
        <w:t xml:space="preserve">, </w:t>
      </w:r>
      <w:r w:rsidR="00EC7A00" w:rsidRPr="00C454A1">
        <w:rPr>
          <w:color w:val="000000" w:themeColor="text1"/>
          <w:lang w:eastAsia="es-ES"/>
        </w:rPr>
        <w:t xml:space="preserve">se </w:t>
      </w:r>
      <w:r w:rsidRPr="00C454A1">
        <w:rPr>
          <w:color w:val="000000" w:themeColor="text1"/>
          <w:lang w:eastAsia="es-ES"/>
        </w:rPr>
        <w:t xml:space="preserve">probó que la infraestructura para la prestación de servicios públicos, así como </w:t>
      </w:r>
      <w:r w:rsidR="004C2E8B" w:rsidRPr="00C454A1">
        <w:rPr>
          <w:color w:val="000000" w:themeColor="text1"/>
          <w:lang w:eastAsia="es-ES"/>
        </w:rPr>
        <w:t xml:space="preserve">la </w:t>
      </w:r>
      <w:r w:rsidRPr="00C454A1">
        <w:rPr>
          <w:color w:val="000000" w:themeColor="text1"/>
          <w:lang w:eastAsia="es-ES"/>
        </w:rPr>
        <w:t>institucionalidad para la ejecución de la política pública social</w:t>
      </w:r>
      <w:r w:rsidR="004C2E8B" w:rsidRPr="00C454A1">
        <w:rPr>
          <w:color w:val="000000" w:themeColor="text1"/>
          <w:lang w:eastAsia="es-ES"/>
        </w:rPr>
        <w:t>,</w:t>
      </w:r>
      <w:r w:rsidRPr="00C454A1">
        <w:rPr>
          <w:color w:val="000000" w:themeColor="text1"/>
          <w:lang w:eastAsia="es-ES"/>
        </w:rPr>
        <w:t xml:space="preserve"> </w:t>
      </w:r>
      <w:r w:rsidR="004C2E8B" w:rsidRPr="00C454A1">
        <w:rPr>
          <w:color w:val="000000" w:themeColor="text1"/>
          <w:lang w:eastAsia="es-ES"/>
        </w:rPr>
        <w:t xml:space="preserve">son </w:t>
      </w:r>
      <w:r w:rsidRPr="00C454A1">
        <w:rPr>
          <w:color w:val="000000" w:themeColor="text1"/>
          <w:lang w:eastAsia="es-ES"/>
        </w:rPr>
        <w:t>precaria</w:t>
      </w:r>
      <w:r w:rsidR="004C2E8B" w:rsidRPr="00C454A1">
        <w:rPr>
          <w:color w:val="000000" w:themeColor="text1"/>
          <w:lang w:eastAsia="es-ES"/>
        </w:rPr>
        <w:t>s</w:t>
      </w:r>
      <w:r w:rsidRPr="00C454A1">
        <w:rPr>
          <w:color w:val="000000" w:themeColor="text1"/>
          <w:lang w:eastAsia="es-ES"/>
        </w:rPr>
        <w:t xml:space="preserve">. </w:t>
      </w:r>
      <w:r w:rsidR="00EC7A00" w:rsidRPr="00C454A1">
        <w:rPr>
          <w:color w:val="000000" w:themeColor="text1"/>
          <w:lang w:eastAsia="es-ES"/>
        </w:rPr>
        <w:t>No obstante</w:t>
      </w:r>
      <w:r w:rsidRPr="00C454A1">
        <w:rPr>
          <w:color w:val="000000" w:themeColor="text1"/>
          <w:lang w:eastAsia="es-ES"/>
        </w:rPr>
        <w:t>,</w:t>
      </w:r>
      <w:r w:rsidR="00EC7A00" w:rsidRPr="00C454A1">
        <w:rPr>
          <w:color w:val="000000" w:themeColor="text1"/>
          <w:lang w:eastAsia="es-ES"/>
        </w:rPr>
        <w:t xml:space="preserve"> para</w:t>
      </w:r>
      <w:r w:rsidRPr="00C454A1">
        <w:rPr>
          <w:color w:val="000000" w:themeColor="text1"/>
          <w:lang w:eastAsia="es-ES"/>
        </w:rPr>
        <w:t xml:space="preserve"> la Corte</w:t>
      </w:r>
      <w:r w:rsidR="004C2E8B" w:rsidRPr="00C454A1">
        <w:rPr>
          <w:color w:val="000000" w:themeColor="text1"/>
          <w:lang w:eastAsia="es-ES"/>
        </w:rPr>
        <w:t>,</w:t>
      </w:r>
      <w:r w:rsidRPr="00C454A1">
        <w:rPr>
          <w:color w:val="000000" w:themeColor="text1"/>
          <w:lang w:eastAsia="es-ES"/>
        </w:rPr>
        <w:t xml:space="preserve"> </w:t>
      </w:r>
      <w:r w:rsidR="00EC7A00" w:rsidRPr="00C454A1">
        <w:rPr>
          <w:color w:val="000000" w:themeColor="text1"/>
          <w:lang w:eastAsia="es-ES"/>
        </w:rPr>
        <w:t xml:space="preserve">es evidente </w:t>
      </w:r>
      <w:r w:rsidRPr="00C454A1">
        <w:rPr>
          <w:color w:val="000000" w:themeColor="text1"/>
          <w:lang w:eastAsia="es-ES"/>
        </w:rPr>
        <w:t xml:space="preserve">que esta problemática es estructural, </w:t>
      </w:r>
      <w:r w:rsidRPr="00C454A1">
        <w:rPr>
          <w:color w:val="000000" w:themeColor="text1"/>
          <w:lang w:eastAsia="es-ES"/>
        </w:rPr>
        <w:lastRenderedPageBreak/>
        <w:t>endémica y crónica</w:t>
      </w:r>
      <w:r w:rsidR="004C2E8B" w:rsidRPr="00C454A1">
        <w:rPr>
          <w:color w:val="000000" w:themeColor="text1"/>
          <w:lang w:eastAsia="es-ES"/>
        </w:rPr>
        <w:t xml:space="preserve">, </w:t>
      </w:r>
      <w:r w:rsidR="00CC49CA" w:rsidRPr="00C454A1">
        <w:rPr>
          <w:color w:val="000000" w:themeColor="text1"/>
          <w:lang w:eastAsia="es-ES"/>
        </w:rPr>
        <w:t>y no se agravó de forma inusitada en los primeros días de 2025</w:t>
      </w:r>
      <w:r w:rsidRPr="00C454A1">
        <w:rPr>
          <w:color w:val="000000" w:themeColor="text1"/>
          <w:lang w:eastAsia="es-ES"/>
        </w:rPr>
        <w:t xml:space="preserve">. </w:t>
      </w:r>
      <w:r w:rsidR="00EC7A00" w:rsidRPr="00C454A1">
        <w:rPr>
          <w:color w:val="000000" w:themeColor="text1"/>
          <w:lang w:eastAsia="es-ES"/>
        </w:rPr>
        <w:t>De hecho, así</w:t>
      </w:r>
      <w:r w:rsidRPr="00C454A1">
        <w:rPr>
          <w:color w:val="000000" w:themeColor="text1"/>
          <w:lang w:eastAsia="es-ES"/>
        </w:rPr>
        <w:t xml:space="preserve"> lo demuestran las pruebas aportadas por el </w:t>
      </w:r>
      <w:r w:rsidR="007525E1" w:rsidRPr="00C454A1">
        <w:rPr>
          <w:color w:val="000000" w:themeColor="text1"/>
          <w:lang w:eastAsia="es-ES"/>
        </w:rPr>
        <w:t>Gobierno nacional</w:t>
      </w:r>
      <w:r w:rsidRPr="00C454A1">
        <w:rPr>
          <w:color w:val="000000" w:themeColor="text1"/>
          <w:lang w:eastAsia="es-ES"/>
        </w:rPr>
        <w:t xml:space="preserve">. </w:t>
      </w:r>
    </w:p>
    <w:p w14:paraId="1C385932" w14:textId="77777777" w:rsidR="00950ED9" w:rsidRPr="00C454A1" w:rsidRDefault="00950ED9" w:rsidP="00631C27">
      <w:pPr>
        <w:rPr>
          <w:color w:val="000000" w:themeColor="text1"/>
          <w:lang w:eastAsia="es-ES"/>
        </w:rPr>
      </w:pPr>
    </w:p>
    <w:p w14:paraId="38C2818C" w14:textId="10B1E460"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En el documento titulado “Informe - soporte documental respecto del Decreto que declara el Estado de Conmoción Interior en la región del Catatumbo”, el DNP reconoció que la “crisis actual en el Catatumbo es un reflejo de problemas estructurales de larga data, que requieren una intervención estatal integral y sostenida”</w:t>
      </w:r>
      <w:r w:rsidRPr="00C454A1">
        <w:rPr>
          <w:color w:val="000000" w:themeColor="text1"/>
          <w:vertAlign w:val="superscript"/>
          <w:lang w:eastAsia="es-ES"/>
        </w:rPr>
        <w:footnoteReference w:id="285"/>
      </w:r>
      <w:r w:rsidRPr="00C454A1">
        <w:rPr>
          <w:color w:val="000000" w:themeColor="text1"/>
          <w:lang w:eastAsia="es-ES"/>
        </w:rPr>
        <w:t xml:space="preserve">. Además, la Sala Plena encuentra que la información relacionada con las limitaciones en el acceso a los servicios públicos y necesidades básicas insatisfechas ha sido diagnosticada y reportada por el DANE desde, </w:t>
      </w:r>
      <w:r w:rsidR="00CC49CA" w:rsidRPr="00C454A1">
        <w:rPr>
          <w:color w:val="000000" w:themeColor="text1"/>
          <w:lang w:eastAsia="es-ES"/>
        </w:rPr>
        <w:t>al</w:t>
      </w:r>
      <w:r w:rsidRPr="00C454A1">
        <w:rPr>
          <w:color w:val="000000" w:themeColor="text1"/>
          <w:lang w:eastAsia="es-ES"/>
        </w:rPr>
        <w:t xml:space="preserve"> menos, el año 2020. Según lo expuso el DNP, esa información ha sido actualizada por diversas entidades estatales entre 2022 y 2024, </w:t>
      </w:r>
      <w:r w:rsidR="004C2E8B" w:rsidRPr="00C454A1">
        <w:rPr>
          <w:color w:val="000000" w:themeColor="text1"/>
          <w:lang w:eastAsia="es-ES"/>
        </w:rPr>
        <w:t xml:space="preserve">lo </w:t>
      </w:r>
      <w:r w:rsidRPr="00C454A1">
        <w:rPr>
          <w:color w:val="000000" w:themeColor="text1"/>
          <w:lang w:eastAsia="es-ES"/>
        </w:rPr>
        <w:t xml:space="preserve">que evidencia que no ha habido un cambio sustancial en la prestación de dichos servicios. </w:t>
      </w:r>
    </w:p>
    <w:p w14:paraId="18F09C0C" w14:textId="77777777" w:rsidR="00950ED9" w:rsidRPr="00C454A1" w:rsidRDefault="00950ED9" w:rsidP="00631C27">
      <w:pPr>
        <w:rPr>
          <w:color w:val="000000" w:themeColor="text1"/>
          <w:lang w:eastAsia="es-ES"/>
        </w:rPr>
      </w:pPr>
    </w:p>
    <w:p w14:paraId="21B9838F" w14:textId="36A0E0E9" w:rsidR="00EC7A00"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Con base en este diagnóstico de necesidades básicas insatisfechas, precarios niveles de acceso a servicios básicos y dependencia </w:t>
      </w:r>
      <w:r w:rsidR="004C2E8B" w:rsidRPr="00C454A1">
        <w:rPr>
          <w:color w:val="000000" w:themeColor="text1"/>
          <w:lang w:eastAsia="es-ES"/>
        </w:rPr>
        <w:t xml:space="preserve">de </w:t>
      </w:r>
      <w:r w:rsidRPr="00C454A1">
        <w:rPr>
          <w:color w:val="000000" w:themeColor="text1"/>
          <w:lang w:eastAsia="es-ES"/>
        </w:rPr>
        <w:t>las economías ilícitas</w:t>
      </w:r>
      <w:r w:rsidRPr="00C454A1">
        <w:rPr>
          <w:color w:val="000000" w:themeColor="text1"/>
          <w:vertAlign w:val="superscript"/>
          <w:lang w:eastAsia="es-ES"/>
        </w:rPr>
        <w:footnoteReference w:id="286"/>
      </w:r>
      <w:r w:rsidRPr="00C454A1">
        <w:rPr>
          <w:color w:val="000000" w:themeColor="text1"/>
          <w:lang w:eastAsia="es-ES"/>
        </w:rPr>
        <w:t xml:space="preserve">, el </w:t>
      </w:r>
      <w:r w:rsidR="007525E1" w:rsidRPr="00C454A1">
        <w:rPr>
          <w:color w:val="000000" w:themeColor="text1"/>
          <w:lang w:eastAsia="es-ES"/>
        </w:rPr>
        <w:t>Gobierno nacional</w:t>
      </w:r>
      <w:r w:rsidRPr="00C454A1">
        <w:rPr>
          <w:color w:val="000000" w:themeColor="text1"/>
          <w:lang w:eastAsia="es-ES"/>
        </w:rPr>
        <w:t xml:space="preserve"> diseñó, en conjunto con las comunidades residentes en el territorio, el “Pacto Territorial del Catatumbo”. El desarrollo y la consolidación del Pacto Territorial del Catatumbo ha</w:t>
      </w:r>
      <w:r w:rsidR="004C2E8B" w:rsidRPr="00C454A1">
        <w:rPr>
          <w:color w:val="000000" w:themeColor="text1"/>
          <w:lang w:eastAsia="es-ES"/>
        </w:rPr>
        <w:t>n</w:t>
      </w:r>
      <w:r w:rsidRPr="00C454A1">
        <w:rPr>
          <w:color w:val="000000" w:themeColor="text1"/>
          <w:lang w:eastAsia="es-ES"/>
        </w:rPr>
        <w:t xml:space="preserve"> sido una política pública que el </w:t>
      </w:r>
      <w:r w:rsidR="007525E1" w:rsidRPr="00C454A1">
        <w:rPr>
          <w:color w:val="000000" w:themeColor="text1"/>
          <w:lang w:eastAsia="es-ES"/>
        </w:rPr>
        <w:t>Gobierno nacional</w:t>
      </w:r>
      <w:r w:rsidRPr="00C454A1">
        <w:rPr>
          <w:color w:val="000000" w:themeColor="text1"/>
          <w:lang w:eastAsia="es-ES"/>
        </w:rPr>
        <w:t xml:space="preserve"> ha impulsado desde el año 2022. </w:t>
      </w:r>
    </w:p>
    <w:p w14:paraId="64F8CCF4" w14:textId="77777777" w:rsidR="00EC7A00" w:rsidRPr="00C454A1" w:rsidRDefault="00EC7A00" w:rsidP="004C2E8B">
      <w:pPr>
        <w:pStyle w:val="Prrafodelista"/>
        <w:rPr>
          <w:color w:val="000000" w:themeColor="text1"/>
          <w:lang w:eastAsia="es-ES"/>
        </w:rPr>
      </w:pPr>
    </w:p>
    <w:p w14:paraId="619F3713" w14:textId="02E5D1CC"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efecto, el 26 de agosto de 2022, el </w:t>
      </w:r>
      <w:r w:rsidR="002C1286" w:rsidRPr="00C454A1">
        <w:rPr>
          <w:color w:val="000000" w:themeColor="text1"/>
          <w:lang w:eastAsia="es-ES"/>
        </w:rPr>
        <w:t>p</w:t>
      </w:r>
      <w:r w:rsidRPr="00C454A1">
        <w:rPr>
          <w:color w:val="000000" w:themeColor="text1"/>
          <w:lang w:eastAsia="es-ES"/>
        </w:rPr>
        <w:t>residente de la República se desplazó a El Tarra para dialogar con comunidades y autoridades locales de este municipio</w:t>
      </w:r>
      <w:r w:rsidRPr="00C454A1">
        <w:rPr>
          <w:color w:val="000000" w:themeColor="text1"/>
          <w:vertAlign w:val="superscript"/>
          <w:lang w:eastAsia="es-ES"/>
        </w:rPr>
        <w:footnoteReference w:id="287"/>
      </w:r>
      <w:r w:rsidRPr="00C454A1">
        <w:rPr>
          <w:color w:val="000000" w:themeColor="text1"/>
          <w:lang w:eastAsia="es-ES"/>
        </w:rPr>
        <w:t>. Como resultado de</w:t>
      </w:r>
      <w:r w:rsidR="00CC49CA" w:rsidRPr="00C454A1">
        <w:rPr>
          <w:color w:val="000000" w:themeColor="text1"/>
          <w:lang w:eastAsia="es-ES"/>
        </w:rPr>
        <w:t>l</w:t>
      </w:r>
      <w:r w:rsidRPr="00C454A1">
        <w:rPr>
          <w:color w:val="000000" w:themeColor="text1"/>
          <w:lang w:eastAsia="es-ES"/>
        </w:rPr>
        <w:t xml:space="preserve"> encuentro, en diciembre de ese año se dio paso a un nuevo espacio de diálogo en el marco del denominado Encuentro Cocalero del Catatumbo. Luego, en abril de 2023, el DNP y la ART “organizaron un espacio de Bogotá con entidades del </w:t>
      </w:r>
      <w:r w:rsidR="007525E1" w:rsidRPr="00C454A1">
        <w:rPr>
          <w:color w:val="000000" w:themeColor="text1"/>
          <w:lang w:eastAsia="es-ES"/>
        </w:rPr>
        <w:t>Gobierno nacional</w:t>
      </w:r>
      <w:r w:rsidRPr="00C454A1">
        <w:rPr>
          <w:color w:val="000000" w:themeColor="text1"/>
          <w:lang w:eastAsia="es-ES"/>
        </w:rPr>
        <w:t>, con delegados de las organizaciones campesinas, del pueblo Barí y de las autoridades locales y departamentales”</w:t>
      </w:r>
      <w:r w:rsidRPr="00C454A1">
        <w:rPr>
          <w:color w:val="000000" w:themeColor="text1"/>
          <w:vertAlign w:val="superscript"/>
          <w:lang w:eastAsia="es-ES"/>
        </w:rPr>
        <w:footnoteReference w:id="288"/>
      </w:r>
      <w:r w:rsidRPr="00C454A1">
        <w:rPr>
          <w:color w:val="000000" w:themeColor="text1"/>
          <w:lang w:eastAsia="es-ES"/>
        </w:rPr>
        <w:t>. Esto, con la finalidad de “avanzar en una visión integral para concretar los anuncios y las propuestas presentadas por las comunidades en el encuentro cocalero para construcción de una visión común de desarrollo”</w:t>
      </w:r>
      <w:r w:rsidRPr="00C454A1">
        <w:rPr>
          <w:color w:val="000000" w:themeColor="text1"/>
          <w:vertAlign w:val="superscript"/>
          <w:lang w:eastAsia="es-ES"/>
        </w:rPr>
        <w:footnoteReference w:id="289"/>
      </w:r>
      <w:r w:rsidRPr="00C454A1">
        <w:rPr>
          <w:color w:val="000000" w:themeColor="text1"/>
          <w:lang w:eastAsia="es-ES"/>
        </w:rPr>
        <w:t>. En el encuentro de 2023 se definió que el objetivo del Pacto Territorial del Catatumbo es “[t]ransformar el Catatumbo en un territorio ordenado alrededor del agua, con justicia social y ambiental, sustentado en una red educativa y una estructura productiva que promueva la diversificación y la reconversión productiva, fortaleciendo el tejido social y posibilitando la construcción de Paz Territorial”</w:t>
      </w:r>
      <w:r w:rsidRPr="00C454A1">
        <w:rPr>
          <w:color w:val="000000" w:themeColor="text1"/>
          <w:vertAlign w:val="superscript"/>
          <w:lang w:eastAsia="es-ES"/>
        </w:rPr>
        <w:footnoteReference w:id="290"/>
      </w:r>
      <w:r w:rsidRPr="00C454A1">
        <w:rPr>
          <w:color w:val="000000" w:themeColor="text1"/>
          <w:lang w:eastAsia="es-ES"/>
        </w:rPr>
        <w:t>.</w:t>
      </w:r>
    </w:p>
    <w:p w14:paraId="3410AF04" w14:textId="77777777" w:rsidR="00950ED9" w:rsidRPr="00C454A1" w:rsidRDefault="00950ED9" w:rsidP="00631C27">
      <w:pPr>
        <w:rPr>
          <w:color w:val="000000" w:themeColor="text1"/>
          <w:lang w:eastAsia="es-ES"/>
        </w:rPr>
      </w:pPr>
      <w:r w:rsidRPr="00C454A1">
        <w:rPr>
          <w:color w:val="000000" w:themeColor="text1"/>
          <w:lang w:eastAsia="es-ES"/>
        </w:rPr>
        <w:t xml:space="preserve"> </w:t>
      </w:r>
    </w:p>
    <w:p w14:paraId="7F17017E" w14:textId="69041657"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lastRenderedPageBreak/>
        <w:t>El Pacto Territorial del Catatumbo prevé (i) un eje transversal -Paz total, implementación del acuerdo y reparación integral- (ii) sei</w:t>
      </w:r>
      <w:r w:rsidR="00CC49CA" w:rsidRPr="00C454A1">
        <w:rPr>
          <w:color w:val="000000" w:themeColor="text1"/>
          <w:lang w:eastAsia="es-ES"/>
        </w:rPr>
        <w:t>s</w:t>
      </w:r>
      <w:r w:rsidRPr="00C454A1">
        <w:rPr>
          <w:color w:val="000000" w:themeColor="text1"/>
          <w:lang w:eastAsia="es-ES"/>
        </w:rPr>
        <w:t xml:space="preserve"> ejes estratégicos y (iii) múltiples medidas y líneas de acción</w:t>
      </w:r>
      <w:r w:rsidRPr="00C454A1">
        <w:rPr>
          <w:color w:val="000000" w:themeColor="text1"/>
          <w:vertAlign w:val="superscript"/>
          <w:lang w:eastAsia="es-ES"/>
        </w:rPr>
        <w:footnoteReference w:id="291"/>
      </w:r>
      <w:r w:rsidRPr="00C454A1">
        <w:rPr>
          <w:color w:val="000000" w:themeColor="text1"/>
          <w:lang w:eastAsia="es-ES"/>
        </w:rPr>
        <w:t xml:space="preserve">: </w:t>
      </w:r>
    </w:p>
    <w:p w14:paraId="30A14532" w14:textId="3595F96C" w:rsidR="00950ED9" w:rsidRPr="00C454A1" w:rsidRDefault="00950ED9" w:rsidP="00631C27">
      <w:pPr>
        <w:rPr>
          <w:color w:val="000000" w:themeColor="text1"/>
          <w:lang w:eastAsia="es-ES"/>
        </w:rPr>
      </w:pPr>
    </w:p>
    <w:p w14:paraId="55C6D93D" w14:textId="6D653000" w:rsidR="00745B67" w:rsidRPr="00C454A1" w:rsidRDefault="00745B67" w:rsidP="0046036E">
      <w:pPr>
        <w:jc w:val="center"/>
        <w:rPr>
          <w:i/>
          <w:iCs/>
          <w:color w:val="000000" w:themeColor="text1"/>
          <w:sz w:val="22"/>
          <w:szCs w:val="22"/>
          <w:lang w:eastAsia="es-ES"/>
        </w:rPr>
      </w:pPr>
      <w:r w:rsidRPr="00C454A1">
        <w:rPr>
          <w:i/>
          <w:iCs/>
          <w:color w:val="000000" w:themeColor="text1"/>
          <w:sz w:val="22"/>
          <w:szCs w:val="22"/>
          <w:lang w:eastAsia="es-ES"/>
        </w:rPr>
        <w:t xml:space="preserve">Tabla 9: </w:t>
      </w:r>
      <w:r w:rsidR="0046036E" w:rsidRPr="00C454A1">
        <w:rPr>
          <w:i/>
          <w:iCs/>
          <w:color w:val="000000" w:themeColor="text1"/>
          <w:sz w:val="22"/>
          <w:szCs w:val="22"/>
          <w:lang w:eastAsia="es-ES"/>
        </w:rPr>
        <w:t>Pacto Territorial Catatumbo</w:t>
      </w:r>
    </w:p>
    <w:tbl>
      <w:tblPr>
        <w:tblStyle w:val="Tablaconcuadrcula"/>
        <w:tblW w:w="0" w:type="auto"/>
        <w:tblLook w:val="04A0" w:firstRow="1" w:lastRow="0" w:firstColumn="1" w:lastColumn="0" w:noHBand="0" w:noVBand="1"/>
      </w:tblPr>
      <w:tblGrid>
        <w:gridCol w:w="2547"/>
        <w:gridCol w:w="6283"/>
      </w:tblGrid>
      <w:tr w:rsidR="00C454A1" w:rsidRPr="00C454A1" w14:paraId="2F4DA5D5" w14:textId="77777777" w:rsidTr="00EE77DF">
        <w:tc>
          <w:tcPr>
            <w:tcW w:w="8830" w:type="dxa"/>
            <w:gridSpan w:val="2"/>
            <w:shd w:val="clear" w:color="auto" w:fill="D9D9D9" w:themeFill="background1" w:themeFillShade="D9"/>
          </w:tcPr>
          <w:p w14:paraId="35E863E9"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Pacto Territorial del Catatumbo</w:t>
            </w:r>
          </w:p>
        </w:tc>
      </w:tr>
      <w:tr w:rsidR="00C454A1" w:rsidRPr="00C454A1" w14:paraId="1B383A6D" w14:textId="77777777" w:rsidTr="00EE77DF">
        <w:tc>
          <w:tcPr>
            <w:tcW w:w="2547" w:type="dxa"/>
            <w:shd w:val="clear" w:color="auto" w:fill="D9D9D9" w:themeFill="background1" w:themeFillShade="D9"/>
          </w:tcPr>
          <w:p w14:paraId="50DF9B18"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Eje</w:t>
            </w:r>
          </w:p>
        </w:tc>
        <w:tc>
          <w:tcPr>
            <w:tcW w:w="6283" w:type="dxa"/>
            <w:shd w:val="clear" w:color="auto" w:fill="D9D9D9" w:themeFill="background1" w:themeFillShade="D9"/>
          </w:tcPr>
          <w:p w14:paraId="2D4DC2D5"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Medidas</w:t>
            </w:r>
          </w:p>
        </w:tc>
      </w:tr>
      <w:tr w:rsidR="00C454A1" w:rsidRPr="00C454A1" w14:paraId="37BE2AB8" w14:textId="77777777" w:rsidTr="00EE77DF">
        <w:tc>
          <w:tcPr>
            <w:tcW w:w="2547" w:type="dxa"/>
            <w:shd w:val="clear" w:color="auto" w:fill="D9D9D9" w:themeFill="background1" w:themeFillShade="D9"/>
            <w:vAlign w:val="center"/>
          </w:tcPr>
          <w:p w14:paraId="5726214B"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Derecho Humano a la alimentación y soberanía alimentaria</w:t>
            </w:r>
          </w:p>
        </w:tc>
        <w:tc>
          <w:tcPr>
            <w:tcW w:w="6283" w:type="dxa"/>
          </w:tcPr>
          <w:p w14:paraId="6CD80ED6"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 xml:space="preserve">El documento técnico señala que el primer eje “se implementará en el marco del programa hambre cero” con cinco líneas de acción. </w:t>
            </w:r>
          </w:p>
        </w:tc>
      </w:tr>
      <w:tr w:rsidR="00C454A1" w:rsidRPr="00C454A1" w14:paraId="3A96AAD4" w14:textId="77777777" w:rsidTr="00EE77DF">
        <w:tc>
          <w:tcPr>
            <w:tcW w:w="2547" w:type="dxa"/>
            <w:shd w:val="clear" w:color="auto" w:fill="D9D9D9" w:themeFill="background1" w:themeFillShade="D9"/>
            <w:vAlign w:val="center"/>
          </w:tcPr>
          <w:p w14:paraId="15799BCE"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Ordenamiento territorial participativo y popular</w:t>
            </w:r>
          </w:p>
        </w:tc>
        <w:tc>
          <w:tcPr>
            <w:tcW w:w="6283" w:type="dxa"/>
          </w:tcPr>
          <w:p w14:paraId="755AE1D5" w14:textId="232F1D13"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El documento técnico propone avanzar, entre otras, en (i) la implementación de un sistema de monitoreo y control de la deforestación en la región del Catatumbo; (ii) el mejoramiento de vivienda urbana y rural en la zona, y (iii) la optimización del acueducto de El Tarra</w:t>
            </w:r>
            <w:r w:rsidR="00023DE0" w:rsidRPr="00C454A1">
              <w:rPr>
                <w:color w:val="000000" w:themeColor="text1"/>
                <w:sz w:val="22"/>
                <w:szCs w:val="22"/>
                <w:lang w:eastAsia="es-ES"/>
              </w:rPr>
              <w:t>.</w:t>
            </w:r>
          </w:p>
        </w:tc>
      </w:tr>
      <w:tr w:rsidR="00C454A1" w:rsidRPr="00C454A1" w14:paraId="6ED9BE7B" w14:textId="77777777" w:rsidTr="00EE77DF">
        <w:tc>
          <w:tcPr>
            <w:tcW w:w="2547" w:type="dxa"/>
            <w:shd w:val="clear" w:color="auto" w:fill="D9D9D9" w:themeFill="background1" w:themeFillShade="D9"/>
            <w:vAlign w:val="center"/>
          </w:tcPr>
          <w:p w14:paraId="412469FF"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Modelo regional de salud</w:t>
            </w:r>
          </w:p>
        </w:tc>
        <w:tc>
          <w:tcPr>
            <w:tcW w:w="6283" w:type="dxa"/>
          </w:tcPr>
          <w:p w14:paraId="2D033374" w14:textId="617B1B39"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El documento técnico definió, como acciones priorizadas, (i) la ampliación de la ESE Emiro Quintero Cañizares “que se encuentra en nivel II para llegar a ser una ESE de tercer nivel”</w:t>
            </w:r>
            <w:r w:rsidRPr="00C454A1">
              <w:rPr>
                <w:color w:val="000000" w:themeColor="text1"/>
                <w:sz w:val="22"/>
                <w:szCs w:val="22"/>
                <w:vertAlign w:val="superscript"/>
                <w:lang w:eastAsia="es-ES"/>
              </w:rPr>
              <w:footnoteReference w:id="292"/>
            </w:r>
            <w:r w:rsidRPr="00C454A1">
              <w:rPr>
                <w:color w:val="000000" w:themeColor="text1"/>
                <w:sz w:val="22"/>
                <w:szCs w:val="22"/>
                <w:lang w:eastAsia="es-ES"/>
              </w:rPr>
              <w:t xml:space="preserve"> y (ii) la ampliación y mejoramiento de los servicios de las IPS de los municipios del pacto</w:t>
            </w:r>
            <w:r w:rsidR="00023DE0" w:rsidRPr="00C454A1">
              <w:rPr>
                <w:color w:val="000000" w:themeColor="text1"/>
                <w:sz w:val="22"/>
                <w:szCs w:val="22"/>
                <w:lang w:eastAsia="es-ES"/>
              </w:rPr>
              <w:t>.</w:t>
            </w:r>
          </w:p>
        </w:tc>
      </w:tr>
      <w:tr w:rsidR="00C454A1" w:rsidRPr="00C454A1" w14:paraId="53C61614" w14:textId="77777777" w:rsidTr="00EE77DF">
        <w:tc>
          <w:tcPr>
            <w:tcW w:w="2547" w:type="dxa"/>
            <w:shd w:val="clear" w:color="auto" w:fill="D9D9D9" w:themeFill="background1" w:themeFillShade="D9"/>
            <w:vAlign w:val="center"/>
          </w:tcPr>
          <w:p w14:paraId="326D709E"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Red educativa regional y universidad del Catatumbo</w:t>
            </w:r>
          </w:p>
        </w:tc>
        <w:tc>
          <w:tcPr>
            <w:tcW w:w="6283" w:type="dxa"/>
          </w:tcPr>
          <w:p w14:paraId="2B8621A9"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El documento técnico propone (i) el “[f]ortalecimiento de la infraestructura educativa, con énfasis en las zonas rurales”, (ii) “[a]mpliar la oferta desde educación inicial, básica, media y superior para garantiza[r] el derecho fundamental a la educación con calidad y enfoque territorial”, y (iii) la construcción de la “Universidad del Catatumbo como eje de una red educativa regional con calidad y pertinencia” , entre otras.</w:t>
            </w:r>
          </w:p>
        </w:tc>
      </w:tr>
      <w:tr w:rsidR="00C454A1" w:rsidRPr="00C454A1" w14:paraId="724EA83A" w14:textId="77777777" w:rsidTr="00EE77DF">
        <w:tc>
          <w:tcPr>
            <w:tcW w:w="2547" w:type="dxa"/>
            <w:shd w:val="clear" w:color="auto" w:fill="D9D9D9" w:themeFill="background1" w:themeFillShade="D9"/>
            <w:vAlign w:val="center"/>
          </w:tcPr>
          <w:p w14:paraId="7149D441"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Transformación económica, agroindustrial y productiva para el desarrollo endógeno del Catatumbo</w:t>
            </w:r>
          </w:p>
        </w:tc>
        <w:tc>
          <w:tcPr>
            <w:tcW w:w="6283" w:type="dxa"/>
          </w:tcPr>
          <w:p w14:paraId="3860BD65" w14:textId="4CE632DC"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El documento técnico propone (i) la implementación de comunidades energéticas en la región; (ii) el fomento de prácticas productivas sostenibles para la restauración en la cuenca del Catatumbo; (iii) la realización de proyectos productivos de las líneas de café y de cacao en la región, y (iv) la construcción para la electrificación rural por medio de redes eléctricas en la zona rural del municipio de Ábrego, entre otras</w:t>
            </w:r>
            <w:r w:rsidR="001E6E75" w:rsidRPr="00C454A1">
              <w:rPr>
                <w:color w:val="000000" w:themeColor="text1"/>
                <w:sz w:val="22"/>
                <w:szCs w:val="22"/>
                <w:lang w:eastAsia="es-ES"/>
              </w:rPr>
              <w:t>.</w:t>
            </w:r>
          </w:p>
        </w:tc>
      </w:tr>
      <w:tr w:rsidR="00950ED9" w:rsidRPr="00C454A1" w14:paraId="48E1BE4C" w14:textId="77777777" w:rsidTr="00EE77DF">
        <w:tc>
          <w:tcPr>
            <w:tcW w:w="2547" w:type="dxa"/>
            <w:shd w:val="clear" w:color="auto" w:fill="D9D9D9" w:themeFill="background1" w:themeFillShade="D9"/>
            <w:vAlign w:val="center"/>
          </w:tcPr>
          <w:p w14:paraId="4E989F6C"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Conectividad, infraestructura vial y transporte intermodal</w:t>
            </w:r>
          </w:p>
        </w:tc>
        <w:tc>
          <w:tcPr>
            <w:tcW w:w="6283" w:type="dxa"/>
          </w:tcPr>
          <w:p w14:paraId="5028D0DE"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El documento técnico priorizó la construcción y mantenimiento de la infraestructura vial en los municipios de Tibú, El Tarra, Convención, Sardinata y La Gabarra, así como la “[i]ntervención de vías terciarias en el marco de la implementación del Plan Nacional de Vías para la integración regional y caminos comunitarios para la paz”.</w:t>
            </w:r>
          </w:p>
        </w:tc>
      </w:tr>
    </w:tbl>
    <w:p w14:paraId="31251CF3" w14:textId="77777777" w:rsidR="00950ED9" w:rsidRPr="00C454A1" w:rsidRDefault="00950ED9" w:rsidP="00631C27">
      <w:pPr>
        <w:rPr>
          <w:color w:val="000000" w:themeColor="text1"/>
          <w:szCs w:val="28"/>
          <w:lang w:eastAsia="es-ES"/>
        </w:rPr>
      </w:pPr>
    </w:p>
    <w:p w14:paraId="77D466D2" w14:textId="57A26499" w:rsidR="00950ED9" w:rsidRPr="00C454A1" w:rsidRDefault="00EC7A00" w:rsidP="00321FAF">
      <w:pPr>
        <w:numPr>
          <w:ilvl w:val="0"/>
          <w:numId w:val="2"/>
        </w:numPr>
        <w:ind w:left="0" w:firstLine="0"/>
        <w:rPr>
          <w:color w:val="000000" w:themeColor="text1"/>
          <w:lang w:eastAsia="es-ES"/>
        </w:rPr>
      </w:pPr>
      <w:r w:rsidRPr="00C454A1">
        <w:rPr>
          <w:color w:val="000000" w:themeColor="text1"/>
          <w:lang w:eastAsia="es-ES"/>
        </w:rPr>
        <w:t>Para la Corte,</w:t>
      </w:r>
      <w:r w:rsidR="00950ED9" w:rsidRPr="00C454A1">
        <w:rPr>
          <w:color w:val="000000" w:themeColor="text1"/>
          <w:lang w:eastAsia="es-ES"/>
        </w:rPr>
        <w:t xml:space="preserve"> los altos índices de pobreza y de necesidades básicas insatisfechas, así como la precaria oferta estatal en la región del Catatumbo, constituyen problemáticas estructurales. No son un hecho </w:t>
      </w:r>
      <w:r w:rsidR="00950ED9" w:rsidRPr="00C454A1">
        <w:rPr>
          <w:i/>
          <w:iCs/>
          <w:color w:val="000000" w:themeColor="text1"/>
          <w:lang w:eastAsia="es-ES"/>
        </w:rPr>
        <w:t>extraordinario</w:t>
      </w:r>
      <w:r w:rsidR="00950ED9" w:rsidRPr="00C454A1">
        <w:rPr>
          <w:color w:val="000000" w:themeColor="text1"/>
          <w:lang w:eastAsia="es-ES"/>
        </w:rPr>
        <w:t xml:space="preserve"> que habilite la declaratoria de conmoción interior ni la adopción de medidas excepcionales por medio del derecho constitucional de excepción. En este sentido, el Plan Territorial del Catatumbo, que es la política pública que el </w:t>
      </w:r>
      <w:r w:rsidR="007525E1" w:rsidRPr="00C454A1">
        <w:rPr>
          <w:color w:val="000000" w:themeColor="text1"/>
          <w:lang w:eastAsia="es-ES"/>
        </w:rPr>
        <w:t>Gobierno nacional</w:t>
      </w:r>
      <w:r w:rsidR="00950ED9" w:rsidRPr="00C454A1">
        <w:rPr>
          <w:color w:val="000000" w:themeColor="text1"/>
          <w:lang w:eastAsia="es-ES"/>
        </w:rPr>
        <w:t xml:space="preserve"> adoptó para llevar a cabo las reformas estructurales en la región en materia social, debe implementarse por medio de un procedimiento revestido de suficiente deliberación democrática y en el marco del régimen de normalidad institucional. </w:t>
      </w:r>
    </w:p>
    <w:p w14:paraId="2A79909C" w14:textId="77777777" w:rsidR="00950ED9" w:rsidRPr="00C454A1" w:rsidRDefault="00950ED9" w:rsidP="00631C27">
      <w:pPr>
        <w:rPr>
          <w:color w:val="000000" w:themeColor="text1"/>
          <w:lang w:eastAsia="es-ES"/>
        </w:rPr>
      </w:pPr>
    </w:p>
    <w:p w14:paraId="14AD7024" w14:textId="77777777" w:rsidR="00950ED9" w:rsidRPr="00C454A1" w:rsidRDefault="00950ED9" w:rsidP="00307F2C">
      <w:pPr>
        <w:numPr>
          <w:ilvl w:val="0"/>
          <w:numId w:val="11"/>
        </w:numPr>
        <w:rPr>
          <w:color w:val="000000" w:themeColor="text1"/>
          <w:u w:val="single"/>
          <w:lang w:eastAsia="es-ES"/>
        </w:rPr>
      </w:pPr>
      <w:r w:rsidRPr="00C454A1">
        <w:rPr>
          <w:color w:val="000000" w:themeColor="text1"/>
          <w:u w:val="single"/>
          <w:lang w:eastAsia="es-ES"/>
        </w:rPr>
        <w:lastRenderedPageBreak/>
        <w:t>Daños a la infraestructura energética y vial, así como afectaciones a las operaciones del sector de hidrocarburos</w:t>
      </w:r>
    </w:p>
    <w:p w14:paraId="5CB3C2C8" w14:textId="77777777" w:rsidR="00950ED9" w:rsidRPr="00C454A1" w:rsidRDefault="00950ED9" w:rsidP="00631C27">
      <w:pPr>
        <w:rPr>
          <w:color w:val="000000" w:themeColor="text1"/>
          <w:lang w:eastAsia="es-ES"/>
        </w:rPr>
      </w:pPr>
    </w:p>
    <w:p w14:paraId="77446B36" w14:textId="45F5C677"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los acápites I y II de la parte motiva del Decreto 62 de 2025, el </w:t>
      </w:r>
      <w:r w:rsidR="007525E1" w:rsidRPr="00C454A1">
        <w:rPr>
          <w:color w:val="000000" w:themeColor="text1"/>
          <w:lang w:eastAsia="es-ES"/>
        </w:rPr>
        <w:t>Gobierno nacional</w:t>
      </w:r>
      <w:r w:rsidRPr="00C454A1">
        <w:rPr>
          <w:color w:val="000000" w:themeColor="text1"/>
          <w:lang w:eastAsia="es-ES"/>
        </w:rPr>
        <w:t xml:space="preserve"> sostuvo que el accionar armado del ELN había generado daños a, entre otras, la infraestructura energética y vial del país, así como a las operaciones del sector de hidrocarburos. Por esta razón, consideró que era necesario adoptar medidas excepcionales para garantizar la seguridad energética, así como el abastecimiento de petróleo</w:t>
      </w:r>
      <w:r w:rsidRPr="00C454A1">
        <w:rPr>
          <w:color w:val="000000" w:themeColor="text1"/>
          <w:vertAlign w:val="superscript"/>
          <w:lang w:eastAsia="es-ES"/>
        </w:rPr>
        <w:footnoteReference w:id="293"/>
      </w:r>
      <w:r w:rsidRPr="00C454A1">
        <w:rPr>
          <w:color w:val="000000" w:themeColor="text1"/>
          <w:lang w:eastAsia="es-ES"/>
        </w:rPr>
        <w:t xml:space="preserve">. En respuesta al auto de pruebas del 31 de enero de 2025, el Ministerio de Minas y Energía señaló que en el año 2024 se registraron 45 ataques en contra del oleoducto Caño Limón - Coveñas, además de la suspensión del bombeo en el tramo Banadía-Ayacucho debido a acciones terroristas. Por su parte, la Corporación </w:t>
      </w:r>
      <w:r w:rsidR="004C2E8B" w:rsidRPr="00C454A1">
        <w:rPr>
          <w:color w:val="000000" w:themeColor="text1"/>
          <w:lang w:eastAsia="es-ES"/>
        </w:rPr>
        <w:t xml:space="preserve">Autónoma Regional </w:t>
      </w:r>
      <w:r w:rsidRPr="00C454A1">
        <w:rPr>
          <w:color w:val="000000" w:themeColor="text1"/>
          <w:lang w:eastAsia="es-ES"/>
        </w:rPr>
        <w:t>de la Frontera Nororiental (CORPONOR) explicó que, desde hace más de 40 años, “este ducto ha sufrido más de 1600 atentados, de los cuales por lo menos un 40% [...] han ocurrido en Norte de Santander y específicamente con mayor incidencia en la cuenca del Río Catatumbo”</w:t>
      </w:r>
      <w:r w:rsidRPr="00C454A1">
        <w:rPr>
          <w:color w:val="000000" w:themeColor="text1"/>
          <w:vertAlign w:val="superscript"/>
          <w:lang w:eastAsia="es-ES"/>
        </w:rPr>
        <w:footnoteReference w:id="294"/>
      </w:r>
      <w:r w:rsidRPr="00C454A1">
        <w:rPr>
          <w:color w:val="000000" w:themeColor="text1"/>
          <w:lang w:eastAsia="es-ES"/>
        </w:rPr>
        <w:t xml:space="preserve">. Asimismo, el </w:t>
      </w:r>
      <w:r w:rsidR="007525E1" w:rsidRPr="00C454A1">
        <w:rPr>
          <w:color w:val="000000" w:themeColor="text1"/>
          <w:lang w:eastAsia="es-ES"/>
        </w:rPr>
        <w:t>Gobierno nacional</w:t>
      </w:r>
      <w:r w:rsidRPr="00C454A1">
        <w:rPr>
          <w:color w:val="000000" w:themeColor="text1"/>
          <w:lang w:eastAsia="es-ES"/>
        </w:rPr>
        <w:t xml:space="preserve"> refirió que los ataques del ELN han “implicado la suspensión de labores de mantenimiento en la región del Catatumbo de la [infraestructura energética], la alteración de las operaciones y la afectación de la capacidad de las empresas para garantizar un servicio continuo y seguro”</w:t>
      </w:r>
      <w:r w:rsidRPr="00C454A1">
        <w:rPr>
          <w:color w:val="000000" w:themeColor="text1"/>
          <w:vertAlign w:val="superscript"/>
          <w:lang w:eastAsia="es-ES"/>
        </w:rPr>
        <w:footnoteReference w:id="295"/>
      </w:r>
      <w:r w:rsidRPr="00C454A1">
        <w:rPr>
          <w:color w:val="000000" w:themeColor="text1"/>
          <w:lang w:eastAsia="es-ES"/>
        </w:rPr>
        <w:t xml:space="preserve">. A su vez, el Gobierno reportó interrupciones en el avance de los proyectos de infraestructura vial. </w:t>
      </w:r>
    </w:p>
    <w:p w14:paraId="16D200CA" w14:textId="77777777" w:rsidR="00950ED9" w:rsidRPr="00C454A1" w:rsidRDefault="00950ED9" w:rsidP="00631C27">
      <w:pPr>
        <w:rPr>
          <w:color w:val="000000" w:themeColor="text1"/>
          <w:lang w:eastAsia="es-ES"/>
        </w:rPr>
      </w:pPr>
    </w:p>
    <w:p w14:paraId="1174F6C4" w14:textId="270BEE2D"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La Corte considera que los efectos que el accionar armado del ELN y otros </w:t>
      </w:r>
      <w:r w:rsidR="00EE77DF" w:rsidRPr="00C454A1">
        <w:rPr>
          <w:color w:val="000000" w:themeColor="text1"/>
          <w:lang w:eastAsia="es-ES"/>
        </w:rPr>
        <w:t>GAO</w:t>
      </w:r>
      <w:r w:rsidRPr="00C454A1">
        <w:rPr>
          <w:color w:val="000000" w:themeColor="text1"/>
          <w:lang w:eastAsia="es-ES"/>
        </w:rPr>
        <w:t xml:space="preserve"> causa a la infraestructura de hidrocarburos, energética y vial </w:t>
      </w:r>
      <w:r w:rsidR="004C2E8B" w:rsidRPr="00C454A1">
        <w:rPr>
          <w:color w:val="000000" w:themeColor="text1"/>
          <w:lang w:eastAsia="es-ES"/>
        </w:rPr>
        <w:t xml:space="preserve">son </w:t>
      </w:r>
      <w:r w:rsidRPr="00C454A1">
        <w:rPr>
          <w:color w:val="000000" w:themeColor="text1"/>
          <w:lang w:eastAsia="es-ES"/>
        </w:rPr>
        <w:t xml:space="preserve">una problemática estructural y crónica. Tal como lo resaltó CORPONOR, los atentados </w:t>
      </w:r>
      <w:r w:rsidR="004C2E8B" w:rsidRPr="00C454A1">
        <w:rPr>
          <w:color w:val="000000" w:themeColor="text1"/>
          <w:lang w:eastAsia="es-ES"/>
        </w:rPr>
        <w:t>contr</w:t>
      </w:r>
      <w:r w:rsidRPr="00C454A1">
        <w:rPr>
          <w:color w:val="000000" w:themeColor="text1"/>
          <w:lang w:eastAsia="es-ES"/>
        </w:rPr>
        <w:t xml:space="preserve">a la infraestructura petrolera y energética son un patrón histórico del </w:t>
      </w:r>
      <w:r w:rsidRPr="00C454A1">
        <w:rPr>
          <w:i/>
          <w:iCs/>
          <w:color w:val="000000" w:themeColor="text1"/>
          <w:lang w:eastAsia="es-ES"/>
        </w:rPr>
        <w:t>modus operandi</w:t>
      </w:r>
      <w:r w:rsidRPr="00C454A1">
        <w:rPr>
          <w:color w:val="000000" w:themeColor="text1"/>
          <w:lang w:eastAsia="es-ES"/>
        </w:rPr>
        <w:t xml:space="preserve"> de los </w:t>
      </w:r>
      <w:r w:rsidR="00EE77DF" w:rsidRPr="00C454A1">
        <w:rPr>
          <w:color w:val="000000" w:themeColor="text1"/>
          <w:lang w:eastAsia="es-ES"/>
        </w:rPr>
        <w:t>GAO</w:t>
      </w:r>
      <w:r w:rsidRPr="00C454A1">
        <w:rPr>
          <w:color w:val="000000" w:themeColor="text1"/>
          <w:lang w:eastAsia="es-ES"/>
        </w:rPr>
        <w:t xml:space="preserve"> que operan en la región del Catatumbo. La suspensión de labores, la instalación de válvulas ilícitas y otros incidentes relacionados constituyen manifestaciones de un conflicto persistente que, si bien compromete la operatividad y la seguridad de ciertos servicios, es crónico y endémico. El </w:t>
      </w:r>
      <w:r w:rsidR="007525E1" w:rsidRPr="00C454A1">
        <w:rPr>
          <w:color w:val="000000" w:themeColor="text1"/>
          <w:lang w:eastAsia="es-ES"/>
        </w:rPr>
        <w:t>Gobierno nacional</w:t>
      </w:r>
      <w:r w:rsidRPr="00C454A1">
        <w:rPr>
          <w:color w:val="000000" w:themeColor="text1"/>
          <w:lang w:eastAsia="es-ES"/>
        </w:rPr>
        <w:t xml:space="preserve"> no aportó ninguna prueba que evidencie que, en comparación con años anteriores, los ataques a la infraestructura energética y petrolera han incrementado o se han agravado de forma inusitada durante el año 2025. </w:t>
      </w:r>
      <w:r w:rsidR="00CC49CA" w:rsidRPr="00C454A1">
        <w:rPr>
          <w:color w:val="000000" w:themeColor="text1"/>
          <w:lang w:eastAsia="es-ES"/>
        </w:rPr>
        <w:t>E</w:t>
      </w:r>
      <w:r w:rsidRPr="00C454A1">
        <w:rPr>
          <w:color w:val="000000" w:themeColor="text1"/>
          <w:lang w:eastAsia="es-ES"/>
        </w:rPr>
        <w:t xml:space="preserve">l Gobierno se limitó a referir que el accionar armado del ELN representa un riesgo para la seguridad energética y el abastecimiento de petróleo. Ese riesgo, como se observa a partir de los datos analizados, ha subsistido durante la presencia histórica de ese grupo armado ilegal en la región, sin que se evidencie un escalamiento </w:t>
      </w:r>
      <w:r w:rsidR="00D235C1" w:rsidRPr="00C454A1">
        <w:rPr>
          <w:color w:val="000000" w:themeColor="text1"/>
          <w:lang w:eastAsia="es-ES"/>
        </w:rPr>
        <w:t xml:space="preserve">ni </w:t>
      </w:r>
      <w:r w:rsidRPr="00C454A1">
        <w:rPr>
          <w:color w:val="000000" w:themeColor="text1"/>
          <w:lang w:eastAsia="es-ES"/>
        </w:rPr>
        <w:t xml:space="preserve">profundización de las acciones </w:t>
      </w:r>
      <w:r w:rsidR="00D235C1" w:rsidRPr="00C454A1">
        <w:rPr>
          <w:color w:val="000000" w:themeColor="text1"/>
          <w:lang w:eastAsia="es-ES"/>
        </w:rPr>
        <w:t xml:space="preserve">durante </w:t>
      </w:r>
      <w:r w:rsidRPr="00C454A1">
        <w:rPr>
          <w:color w:val="000000" w:themeColor="text1"/>
          <w:lang w:eastAsia="es-ES"/>
        </w:rPr>
        <w:lastRenderedPageBreak/>
        <w:t xml:space="preserve">el lapso de la crisis que motivó la declaratoria de </w:t>
      </w:r>
      <w:r w:rsidR="002C1286" w:rsidRPr="00C454A1">
        <w:rPr>
          <w:color w:val="000000" w:themeColor="text1"/>
          <w:lang w:eastAsia="es-ES"/>
        </w:rPr>
        <w:t>c</w:t>
      </w:r>
      <w:r w:rsidRPr="00C454A1">
        <w:rPr>
          <w:color w:val="000000" w:themeColor="text1"/>
          <w:lang w:eastAsia="es-ES"/>
        </w:rPr>
        <w:t xml:space="preserve">onmoción </w:t>
      </w:r>
      <w:r w:rsidR="002C1286" w:rsidRPr="00C454A1">
        <w:rPr>
          <w:color w:val="000000" w:themeColor="text1"/>
          <w:lang w:eastAsia="es-ES"/>
        </w:rPr>
        <w:t>i</w:t>
      </w:r>
      <w:r w:rsidRPr="00C454A1">
        <w:rPr>
          <w:color w:val="000000" w:themeColor="text1"/>
          <w:lang w:eastAsia="es-ES"/>
        </w:rPr>
        <w:t xml:space="preserve">nterior. En contraste, existe prueba de que las afectaciones a la infraestructura energética </w:t>
      </w:r>
      <w:r w:rsidR="00CC49CA" w:rsidRPr="00C454A1">
        <w:rPr>
          <w:color w:val="000000" w:themeColor="text1"/>
          <w:lang w:eastAsia="es-ES"/>
        </w:rPr>
        <w:t>forma</w:t>
      </w:r>
      <w:r w:rsidRPr="00C454A1">
        <w:rPr>
          <w:color w:val="000000" w:themeColor="text1"/>
          <w:lang w:eastAsia="es-ES"/>
        </w:rPr>
        <w:t xml:space="preserve">n parte de la actividad delincuencial que ha ejercido el ELN a </w:t>
      </w:r>
      <w:r w:rsidR="00CC49CA" w:rsidRPr="00C454A1">
        <w:rPr>
          <w:color w:val="000000" w:themeColor="text1"/>
          <w:lang w:eastAsia="es-ES"/>
        </w:rPr>
        <w:t>lo largo</w:t>
      </w:r>
      <w:r w:rsidRPr="00C454A1">
        <w:rPr>
          <w:color w:val="000000" w:themeColor="text1"/>
          <w:lang w:eastAsia="es-ES"/>
        </w:rPr>
        <w:t xml:space="preserve"> de los años. Esta situación</w:t>
      </w:r>
      <w:r w:rsidR="00FA704A" w:rsidRPr="00C454A1">
        <w:rPr>
          <w:color w:val="000000" w:themeColor="text1"/>
          <w:lang w:eastAsia="es-ES"/>
        </w:rPr>
        <w:t xml:space="preserve"> </w:t>
      </w:r>
      <w:r w:rsidRPr="00C454A1">
        <w:rPr>
          <w:color w:val="000000" w:themeColor="text1"/>
          <w:lang w:eastAsia="es-ES"/>
        </w:rPr>
        <w:t xml:space="preserve">debe ser asumida mediante acciones integrales, sostenidas en el tiempo y no coyunturales o reactivas. Por ende, se trata de asuntos que escapan a la delimitación propia de las acciones gubernamentales en los estados de excepción. </w:t>
      </w:r>
    </w:p>
    <w:p w14:paraId="4F2B6537" w14:textId="77777777" w:rsidR="00950ED9" w:rsidRPr="00C454A1" w:rsidRDefault="00950ED9" w:rsidP="00631C27">
      <w:pPr>
        <w:rPr>
          <w:color w:val="000000" w:themeColor="text1"/>
          <w:lang w:eastAsia="es-ES"/>
        </w:rPr>
      </w:pPr>
    </w:p>
    <w:p w14:paraId="4ED6C8AB" w14:textId="5B819FA8"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Lo mismo ocurre con los daños a la infraestructura vial. Los hechos de perturbación del orden público ciertamente pueden incidir en el desarrollo y la ejecución de obras públicas. Sin embargo, las pruebas que reposan en el expediente no permiten constatar que tales afectaciones sean excepcionales. Por el contrario, la insuficiencia de la infraestructura vial es endémica en la región del Catatumbo. En efecto, en el “Pacto Territorial del Catatumbo”, se priorizó la construcción y el mantenimiento de la infraestructura vial en los municipios de Tibú, El Tarra, Convención, Sardinata y La Gabarra, así como “[i]ntervención de vías terciarias en el marco de la implementación del Plan Nacional de Vías para la integración regional y caminos comunitarios para la paz”</w:t>
      </w:r>
      <w:r w:rsidRPr="00C454A1">
        <w:rPr>
          <w:color w:val="000000" w:themeColor="text1"/>
          <w:vertAlign w:val="superscript"/>
          <w:lang w:eastAsia="es-ES"/>
        </w:rPr>
        <w:footnoteReference w:id="296"/>
      </w:r>
      <w:r w:rsidRPr="00C454A1">
        <w:rPr>
          <w:color w:val="000000" w:themeColor="text1"/>
          <w:lang w:eastAsia="es-ES"/>
        </w:rPr>
        <w:t xml:space="preserve">. </w:t>
      </w:r>
    </w:p>
    <w:p w14:paraId="20DD3239" w14:textId="77777777" w:rsidR="00950ED9" w:rsidRPr="00C454A1" w:rsidRDefault="00950ED9" w:rsidP="00631C27">
      <w:pPr>
        <w:rPr>
          <w:color w:val="000000" w:themeColor="text1"/>
          <w:lang w:eastAsia="es-ES"/>
        </w:rPr>
      </w:pPr>
    </w:p>
    <w:p w14:paraId="60DC6FF9" w14:textId="4D35960E"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El </w:t>
      </w:r>
      <w:r w:rsidR="007525E1" w:rsidRPr="00C454A1">
        <w:rPr>
          <w:color w:val="000000" w:themeColor="text1"/>
          <w:lang w:eastAsia="es-ES"/>
        </w:rPr>
        <w:t>Gobierno nacional</w:t>
      </w:r>
      <w:r w:rsidRPr="00C454A1">
        <w:rPr>
          <w:color w:val="000000" w:themeColor="text1"/>
          <w:lang w:eastAsia="es-ES"/>
        </w:rPr>
        <w:t xml:space="preserve"> reconoció que las problemáticas en materia vial, energética y de abastecimiento de petróleo son estructurales. Sin embargo, alegó que su inclusión como hechos perturbadores del orden público que fundamentan la declaratoria del </w:t>
      </w:r>
      <w:r w:rsidR="00B54502" w:rsidRPr="00C454A1">
        <w:rPr>
          <w:color w:val="000000" w:themeColor="text1"/>
          <w:lang w:eastAsia="es-ES"/>
        </w:rPr>
        <w:t>e</w:t>
      </w:r>
      <w:r w:rsidRPr="00C454A1">
        <w:rPr>
          <w:color w:val="000000" w:themeColor="text1"/>
          <w:lang w:eastAsia="es-ES"/>
        </w:rPr>
        <w:t xml:space="preserve">stado de </w:t>
      </w:r>
      <w:r w:rsidR="00B54502" w:rsidRPr="00C454A1">
        <w:rPr>
          <w:color w:val="000000" w:themeColor="text1"/>
          <w:lang w:eastAsia="es-ES"/>
        </w:rPr>
        <w:t>c</w:t>
      </w:r>
      <w:r w:rsidRPr="00C454A1">
        <w:rPr>
          <w:color w:val="000000" w:themeColor="text1"/>
          <w:lang w:eastAsia="es-ES"/>
        </w:rPr>
        <w:t xml:space="preserve">onmoción </w:t>
      </w:r>
      <w:r w:rsidR="00B54502" w:rsidRPr="00C454A1">
        <w:rPr>
          <w:color w:val="000000" w:themeColor="text1"/>
          <w:lang w:eastAsia="es-ES"/>
        </w:rPr>
        <w:t>i</w:t>
      </w:r>
      <w:r w:rsidRPr="00C454A1">
        <w:rPr>
          <w:color w:val="000000" w:themeColor="text1"/>
          <w:lang w:eastAsia="es-ES"/>
        </w:rPr>
        <w:t xml:space="preserve">nterior responde a la necesidad de concebir la acción del Estado ante la crisis no solo desde la perspectiva militar, sino </w:t>
      </w:r>
      <w:r w:rsidR="00D235C1" w:rsidRPr="00C454A1">
        <w:rPr>
          <w:color w:val="000000" w:themeColor="text1"/>
          <w:lang w:eastAsia="es-ES"/>
        </w:rPr>
        <w:t xml:space="preserve">también </w:t>
      </w:r>
      <w:r w:rsidRPr="00C454A1">
        <w:rPr>
          <w:color w:val="000000" w:themeColor="text1"/>
          <w:lang w:eastAsia="es-ES"/>
        </w:rPr>
        <w:t xml:space="preserve">a partir de una visión de seguridad humana más amplia que atienda las condiciones sociales que motivan el conflicto. </w:t>
      </w:r>
      <w:r w:rsidR="00EC7A00" w:rsidRPr="00C454A1">
        <w:rPr>
          <w:color w:val="000000" w:themeColor="text1"/>
          <w:lang w:eastAsia="es-ES"/>
        </w:rPr>
        <w:t xml:space="preserve">Para la Corte, </w:t>
      </w:r>
      <w:r w:rsidRPr="00C454A1">
        <w:rPr>
          <w:color w:val="000000" w:themeColor="text1"/>
          <w:lang w:eastAsia="es-ES"/>
        </w:rPr>
        <w:t xml:space="preserve">esta postura es razonable desde el punto de vista de la protección de los derechos constitucionales de las personas </w:t>
      </w:r>
      <w:r w:rsidR="00D235C1" w:rsidRPr="00C454A1">
        <w:rPr>
          <w:color w:val="000000" w:themeColor="text1"/>
          <w:lang w:eastAsia="es-ES"/>
        </w:rPr>
        <w:t>residentes</w:t>
      </w:r>
      <w:r w:rsidRPr="00C454A1">
        <w:rPr>
          <w:color w:val="000000" w:themeColor="text1"/>
          <w:lang w:eastAsia="es-ES"/>
        </w:rPr>
        <w:t xml:space="preserve"> en la región del Catatumbo. Ciertamente, la superación de la histórica situación de violencia y alteración del orden público en la región del Catatumbo requiere acciones militares y policivas de corto plazo, así como medidas económicas, sociales, administrativas y ambientales de mediano y largo plazo, que atiendan las causas estructurales del conflicto. Sin embargo, esto no implica que el </w:t>
      </w:r>
      <w:r w:rsidR="007525E1" w:rsidRPr="00C454A1">
        <w:rPr>
          <w:color w:val="000000" w:themeColor="text1"/>
          <w:lang w:eastAsia="es-ES"/>
        </w:rPr>
        <w:t>Gobierno nacional</w:t>
      </w:r>
      <w:r w:rsidRPr="00C454A1">
        <w:rPr>
          <w:color w:val="000000" w:themeColor="text1"/>
          <w:lang w:eastAsia="es-ES"/>
        </w:rPr>
        <w:t xml:space="preserve"> pueda implementar todas estas medidas a través del derecho de excepción. </w:t>
      </w:r>
    </w:p>
    <w:p w14:paraId="03C0974D" w14:textId="77777777" w:rsidR="00950ED9" w:rsidRPr="00C454A1" w:rsidRDefault="00950ED9" w:rsidP="00631C27">
      <w:pPr>
        <w:rPr>
          <w:color w:val="000000" w:themeColor="text1"/>
          <w:lang w:eastAsia="es-ES"/>
        </w:rPr>
      </w:pPr>
    </w:p>
    <w:p w14:paraId="1BD26E4F" w14:textId="6195A965" w:rsidR="009412BA"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La Corte reitera y reafirma que la Constitución Política y la LEEE prohíben que, por medio de la declaratoria del </w:t>
      </w:r>
      <w:r w:rsidR="00D235C1" w:rsidRPr="00C454A1">
        <w:rPr>
          <w:color w:val="000000" w:themeColor="text1"/>
          <w:lang w:eastAsia="es-ES"/>
        </w:rPr>
        <w:t>e</w:t>
      </w:r>
      <w:r w:rsidRPr="00C454A1">
        <w:rPr>
          <w:color w:val="000000" w:themeColor="text1"/>
          <w:lang w:eastAsia="es-ES"/>
        </w:rPr>
        <w:t xml:space="preserve">stado de </w:t>
      </w:r>
      <w:r w:rsidR="00D235C1" w:rsidRPr="00C454A1">
        <w:rPr>
          <w:color w:val="000000" w:themeColor="text1"/>
          <w:lang w:eastAsia="es-ES"/>
        </w:rPr>
        <w:t>c</w:t>
      </w:r>
      <w:r w:rsidRPr="00C454A1">
        <w:rPr>
          <w:color w:val="000000" w:themeColor="text1"/>
          <w:lang w:eastAsia="es-ES"/>
        </w:rPr>
        <w:t xml:space="preserve">onmoción </w:t>
      </w:r>
      <w:r w:rsidR="00D235C1" w:rsidRPr="00C454A1">
        <w:rPr>
          <w:color w:val="000000" w:themeColor="text1"/>
          <w:lang w:eastAsia="es-ES"/>
        </w:rPr>
        <w:t>i</w:t>
      </w:r>
      <w:r w:rsidRPr="00C454A1">
        <w:rPr>
          <w:color w:val="000000" w:themeColor="text1"/>
          <w:lang w:eastAsia="es-ES"/>
        </w:rPr>
        <w:t xml:space="preserve">nterior, el </w:t>
      </w:r>
      <w:r w:rsidR="004C217B" w:rsidRPr="00C454A1">
        <w:rPr>
          <w:color w:val="000000" w:themeColor="text1"/>
          <w:lang w:eastAsia="es-ES"/>
        </w:rPr>
        <w:t>presidente</w:t>
      </w:r>
      <w:r w:rsidRPr="00C454A1">
        <w:rPr>
          <w:color w:val="000000" w:themeColor="text1"/>
          <w:lang w:eastAsia="es-ES"/>
        </w:rPr>
        <w:t xml:space="preserve"> de la República se habilite para adoptar medidas encaminadas a atender problemáticas estructurales. El </w:t>
      </w:r>
      <w:r w:rsidR="007525E1" w:rsidRPr="00C454A1">
        <w:rPr>
          <w:color w:val="000000" w:themeColor="text1"/>
          <w:lang w:eastAsia="es-ES"/>
        </w:rPr>
        <w:t>Gobierno nacional</w:t>
      </w:r>
      <w:r w:rsidRPr="00C454A1">
        <w:rPr>
          <w:color w:val="000000" w:themeColor="text1"/>
          <w:lang w:eastAsia="es-ES"/>
        </w:rPr>
        <w:t xml:space="preserve"> solo está facultado para declarar </w:t>
      </w:r>
      <w:r w:rsidR="00D235C1" w:rsidRPr="00C454A1">
        <w:rPr>
          <w:color w:val="000000" w:themeColor="text1"/>
          <w:lang w:eastAsia="es-ES"/>
        </w:rPr>
        <w:t xml:space="preserve">este </w:t>
      </w:r>
      <w:r w:rsidR="00B54502" w:rsidRPr="00C454A1">
        <w:rPr>
          <w:color w:val="000000" w:themeColor="text1"/>
          <w:lang w:eastAsia="es-ES"/>
        </w:rPr>
        <w:t>e</w:t>
      </w:r>
      <w:r w:rsidRPr="00C454A1">
        <w:rPr>
          <w:color w:val="000000" w:themeColor="text1"/>
          <w:lang w:eastAsia="es-ES"/>
        </w:rPr>
        <w:t xml:space="preserve">stado de </w:t>
      </w:r>
      <w:r w:rsidR="00D235C1" w:rsidRPr="00C454A1">
        <w:rPr>
          <w:color w:val="000000" w:themeColor="text1"/>
          <w:lang w:eastAsia="es-ES"/>
        </w:rPr>
        <w:t>excepción</w:t>
      </w:r>
      <w:r w:rsidRPr="00C454A1">
        <w:rPr>
          <w:color w:val="000000" w:themeColor="text1"/>
          <w:lang w:eastAsia="es-ES"/>
        </w:rPr>
        <w:t xml:space="preserve"> </w:t>
      </w:r>
      <w:r w:rsidR="00D235C1" w:rsidRPr="00C454A1">
        <w:rPr>
          <w:color w:val="000000" w:themeColor="text1"/>
          <w:lang w:eastAsia="es-ES"/>
        </w:rPr>
        <w:t>para</w:t>
      </w:r>
      <w:r w:rsidRPr="00C454A1">
        <w:rPr>
          <w:color w:val="000000" w:themeColor="text1"/>
          <w:lang w:eastAsia="es-ES"/>
        </w:rPr>
        <w:t xml:space="preserve"> adoptar medidas encaminadas a resolver el agravamiento de la crisis y restablecer el orden público. </w:t>
      </w:r>
      <w:r w:rsidR="00D235C1" w:rsidRPr="00C454A1">
        <w:rPr>
          <w:color w:val="000000" w:themeColor="text1"/>
          <w:lang w:eastAsia="es-ES"/>
        </w:rPr>
        <w:t>La conmoción interior</w:t>
      </w:r>
      <w:r w:rsidRPr="00C454A1">
        <w:rPr>
          <w:color w:val="000000" w:themeColor="text1"/>
          <w:lang w:eastAsia="es-ES"/>
        </w:rPr>
        <w:t xml:space="preserve"> no puede </w:t>
      </w:r>
      <w:r w:rsidR="00D235C1" w:rsidRPr="00C454A1">
        <w:rPr>
          <w:color w:val="000000" w:themeColor="text1"/>
          <w:lang w:eastAsia="es-ES"/>
        </w:rPr>
        <w:t xml:space="preserve">convertirse </w:t>
      </w:r>
      <w:r w:rsidRPr="00C454A1">
        <w:rPr>
          <w:color w:val="000000" w:themeColor="text1"/>
          <w:lang w:eastAsia="es-ES"/>
        </w:rPr>
        <w:t xml:space="preserve">en un vehículo para resolver situaciones endémicas o crónicas, pues ello implicaría desnaturalizar el derecho de excepción y el preciso mandato constitucional que circunscribe, de manera </w:t>
      </w:r>
      <w:r w:rsidRPr="00C454A1">
        <w:rPr>
          <w:color w:val="000000" w:themeColor="text1"/>
          <w:lang w:eastAsia="es-ES"/>
        </w:rPr>
        <w:lastRenderedPageBreak/>
        <w:t xml:space="preserve">estricta, la validez de la declaratoria a la existencia de hechos episódicos, coyunturales y excepcionales. </w:t>
      </w:r>
    </w:p>
    <w:p w14:paraId="43FDF963" w14:textId="77777777" w:rsidR="00DA310D" w:rsidRPr="00C454A1" w:rsidRDefault="00DA310D" w:rsidP="00631C27">
      <w:pPr>
        <w:rPr>
          <w:color w:val="000000" w:themeColor="text1"/>
          <w:lang w:eastAsia="es-ES"/>
        </w:rPr>
      </w:pPr>
    </w:p>
    <w:p w14:paraId="4AD874E6" w14:textId="4ED5B810" w:rsidR="00950ED9" w:rsidRPr="00C454A1" w:rsidRDefault="00950ED9" w:rsidP="00307F2C">
      <w:pPr>
        <w:numPr>
          <w:ilvl w:val="0"/>
          <w:numId w:val="10"/>
        </w:numPr>
        <w:ind w:hanging="578"/>
        <w:rPr>
          <w:b/>
          <w:bCs/>
          <w:color w:val="000000" w:themeColor="text1"/>
          <w:lang w:eastAsia="es-ES"/>
        </w:rPr>
      </w:pPr>
      <w:r w:rsidRPr="00C454A1">
        <w:rPr>
          <w:b/>
          <w:bCs/>
          <w:color w:val="000000" w:themeColor="text1"/>
          <w:lang w:eastAsia="es-ES"/>
        </w:rPr>
        <w:t>Hechos perturbadores del orden público que</w:t>
      </w:r>
      <w:r w:rsidR="006E2195" w:rsidRPr="00C454A1">
        <w:rPr>
          <w:b/>
          <w:bCs/>
          <w:color w:val="000000" w:themeColor="text1"/>
          <w:lang w:eastAsia="es-ES"/>
        </w:rPr>
        <w:t xml:space="preserve"> sí</w:t>
      </w:r>
      <w:r w:rsidRPr="00C454A1">
        <w:rPr>
          <w:b/>
          <w:bCs/>
          <w:color w:val="000000" w:themeColor="text1"/>
          <w:lang w:eastAsia="es-ES"/>
        </w:rPr>
        <w:t xml:space="preserve"> tienen carácter extraordinario </w:t>
      </w:r>
    </w:p>
    <w:p w14:paraId="5610BAAA" w14:textId="77777777" w:rsidR="000653A4" w:rsidRPr="00C454A1" w:rsidRDefault="000653A4" w:rsidP="00631C27">
      <w:pPr>
        <w:rPr>
          <w:color w:val="000000" w:themeColor="text1"/>
          <w:lang w:eastAsia="es-ES"/>
        </w:rPr>
      </w:pPr>
      <w:bookmarkStart w:id="187" w:name="OLE_LINK13"/>
    </w:p>
    <w:p w14:paraId="3D0A065F" w14:textId="6A05C85B" w:rsidR="000653A4" w:rsidRPr="00C454A1" w:rsidRDefault="000653A4" w:rsidP="00321FAF">
      <w:pPr>
        <w:numPr>
          <w:ilvl w:val="0"/>
          <w:numId w:val="2"/>
        </w:numPr>
        <w:ind w:left="0" w:firstLine="0"/>
        <w:rPr>
          <w:color w:val="000000" w:themeColor="text1"/>
          <w:lang w:eastAsia="es-ES"/>
        </w:rPr>
      </w:pPr>
      <w:bookmarkStart w:id="188" w:name="_Ref223950134"/>
      <w:r w:rsidRPr="00C454A1">
        <w:rPr>
          <w:color w:val="000000" w:themeColor="text1"/>
          <w:lang w:eastAsia="es-ES"/>
        </w:rPr>
        <w:t xml:space="preserve">Por otra parte, la Corte constata que el </w:t>
      </w:r>
      <w:r w:rsidR="007525E1" w:rsidRPr="00C454A1">
        <w:rPr>
          <w:color w:val="000000" w:themeColor="text1"/>
          <w:lang w:eastAsia="es-ES"/>
        </w:rPr>
        <w:t>Gobierno nacional</w:t>
      </w:r>
      <w:r w:rsidRPr="00C454A1">
        <w:rPr>
          <w:color w:val="000000" w:themeColor="text1"/>
          <w:lang w:eastAsia="es-ES"/>
        </w:rPr>
        <w:t xml:space="preserve"> probó que, a partir del 15 de enero de 2025, se produjo un agravamiento inusitado de </w:t>
      </w:r>
      <w:r w:rsidR="00F155FE" w:rsidRPr="00C454A1">
        <w:rPr>
          <w:color w:val="000000" w:themeColor="text1"/>
          <w:lang w:eastAsia="es-ES"/>
        </w:rPr>
        <w:t>la perturbación</w:t>
      </w:r>
      <w:r w:rsidRPr="00C454A1">
        <w:rPr>
          <w:color w:val="000000" w:themeColor="text1"/>
          <w:lang w:eastAsia="es-ES"/>
        </w:rPr>
        <w:t xml:space="preserve"> de orden público en la región del Catatumbo, el área metropolitana de Cúcuta y los municipios de Río de Oro y González. Este agravamiento derivó de </w:t>
      </w:r>
      <w:r w:rsidR="00F155FE" w:rsidRPr="00C454A1">
        <w:rPr>
          <w:color w:val="000000" w:themeColor="text1"/>
          <w:lang w:eastAsia="es-ES"/>
        </w:rPr>
        <w:t>dos</w:t>
      </w:r>
      <w:r w:rsidRPr="00C454A1">
        <w:rPr>
          <w:color w:val="000000" w:themeColor="text1"/>
          <w:lang w:eastAsia="es-ES"/>
        </w:rPr>
        <w:t xml:space="preserve"> hechos </w:t>
      </w:r>
      <w:r w:rsidRPr="00C454A1">
        <w:rPr>
          <w:i/>
          <w:iCs/>
          <w:color w:val="000000" w:themeColor="text1"/>
          <w:lang w:eastAsia="es-ES"/>
        </w:rPr>
        <w:t>extraordinarios</w:t>
      </w:r>
      <w:r w:rsidRPr="00C454A1">
        <w:rPr>
          <w:color w:val="000000" w:themeColor="text1"/>
          <w:lang w:eastAsia="es-ES"/>
        </w:rPr>
        <w:t xml:space="preserve">: </w:t>
      </w:r>
      <w:r w:rsidR="00F155FE" w:rsidRPr="00C454A1">
        <w:rPr>
          <w:rFonts w:cs="Times New Roman"/>
          <w:color w:val="000000" w:themeColor="text1"/>
          <w:szCs w:val="28"/>
          <w:bdr w:val="none" w:sz="0" w:space="0" w:color="auto" w:frame="1"/>
        </w:rPr>
        <w:t xml:space="preserve">(i) la intensificación de los enfrentamientos entre el ELN y otros </w:t>
      </w:r>
      <w:r w:rsidR="00EE77DF" w:rsidRPr="00C454A1">
        <w:rPr>
          <w:rFonts w:cs="Times New Roman"/>
          <w:color w:val="000000" w:themeColor="text1"/>
          <w:szCs w:val="28"/>
          <w:bdr w:val="none" w:sz="0" w:space="0" w:color="auto" w:frame="1"/>
        </w:rPr>
        <w:t>GAO</w:t>
      </w:r>
      <w:r w:rsidR="00F155FE" w:rsidRPr="00C454A1">
        <w:rPr>
          <w:rFonts w:cs="Times New Roman"/>
          <w:color w:val="000000" w:themeColor="text1"/>
          <w:szCs w:val="28"/>
          <w:bdr w:val="none" w:sz="0" w:space="0" w:color="auto" w:frame="1"/>
        </w:rPr>
        <w:t xml:space="preserve">, así como los ataques y hostilidades dirigidos de forma indiscriminada contra la población civil y los firmantes del </w:t>
      </w:r>
      <w:r w:rsidR="00D235C1" w:rsidRPr="00C454A1">
        <w:rPr>
          <w:rFonts w:cs="Times New Roman"/>
          <w:color w:val="000000" w:themeColor="text1"/>
          <w:szCs w:val="28"/>
          <w:bdr w:val="none" w:sz="0" w:space="0" w:color="auto" w:frame="1"/>
        </w:rPr>
        <w:t>AFP</w:t>
      </w:r>
      <w:r w:rsidR="00886AC6" w:rsidRPr="00C454A1">
        <w:rPr>
          <w:rFonts w:cs="Times New Roman"/>
          <w:color w:val="000000" w:themeColor="text1"/>
          <w:szCs w:val="28"/>
          <w:bdr w:val="none" w:sz="0" w:space="0" w:color="auto" w:frame="1"/>
        </w:rPr>
        <w:t>,</w:t>
      </w:r>
      <w:r w:rsidR="00F155FE" w:rsidRPr="00C454A1">
        <w:rPr>
          <w:rFonts w:cs="Times New Roman"/>
          <w:color w:val="000000" w:themeColor="text1"/>
          <w:szCs w:val="28"/>
          <w:bdr w:val="none" w:sz="0" w:space="0" w:color="auto" w:frame="1"/>
        </w:rPr>
        <w:t xml:space="preserve"> y (ii) la crisis humanitaria derivada de desplazamientos forzados -internos y transfronterizos- y confinamientos masivos que ha desbordado la capacidad institucional del Estado para atenderla</w:t>
      </w:r>
      <w:r w:rsidRPr="00C454A1">
        <w:rPr>
          <w:color w:val="000000" w:themeColor="text1"/>
          <w:lang w:eastAsia="es-ES"/>
        </w:rPr>
        <w:t>. Las pruebas que reposan en el expediente evidencian que la intensidad de estos hechos y su potencial lesivo fueron significativamente superiores -desde el punto de vista cualitativo y cuantitativo- a los frecuentes escenarios de violencia en la región.</w:t>
      </w:r>
      <w:bookmarkEnd w:id="188"/>
      <w:r w:rsidRPr="00C454A1">
        <w:rPr>
          <w:color w:val="000000" w:themeColor="text1"/>
          <w:lang w:eastAsia="es-ES"/>
        </w:rPr>
        <w:t xml:space="preserve"> </w:t>
      </w:r>
    </w:p>
    <w:p w14:paraId="15CB8DC2" w14:textId="77777777" w:rsidR="000653A4" w:rsidRPr="00C454A1" w:rsidRDefault="000653A4" w:rsidP="00631C27">
      <w:pPr>
        <w:rPr>
          <w:color w:val="000000" w:themeColor="text1"/>
          <w:lang w:eastAsia="es-ES"/>
        </w:rPr>
      </w:pPr>
    </w:p>
    <w:p w14:paraId="2FB5ABA0" w14:textId="707457B4" w:rsidR="00950ED9" w:rsidRPr="00C454A1" w:rsidRDefault="00950ED9" w:rsidP="00307F2C">
      <w:pPr>
        <w:numPr>
          <w:ilvl w:val="0"/>
          <w:numId w:val="12"/>
        </w:numPr>
        <w:rPr>
          <w:color w:val="000000" w:themeColor="text1"/>
          <w:u w:val="single"/>
          <w:lang w:eastAsia="es-ES"/>
        </w:rPr>
      </w:pPr>
      <w:r w:rsidRPr="00C454A1">
        <w:rPr>
          <w:color w:val="000000" w:themeColor="text1"/>
          <w:u w:val="single"/>
          <w:lang w:eastAsia="es-ES"/>
        </w:rPr>
        <w:t xml:space="preserve">La intensificación repentina e inusitada de los enfrentamientos entre el ELN y otros </w:t>
      </w:r>
      <w:r w:rsidR="00EE77DF" w:rsidRPr="00C454A1">
        <w:rPr>
          <w:color w:val="000000" w:themeColor="text1"/>
          <w:u w:val="single"/>
          <w:lang w:eastAsia="es-ES"/>
        </w:rPr>
        <w:t>GA</w:t>
      </w:r>
      <w:r w:rsidR="00D235C1" w:rsidRPr="00C454A1">
        <w:rPr>
          <w:color w:val="000000" w:themeColor="text1"/>
          <w:u w:val="single"/>
          <w:lang w:eastAsia="es-ES"/>
        </w:rPr>
        <w:t>O</w:t>
      </w:r>
      <w:r w:rsidRPr="00C454A1">
        <w:rPr>
          <w:color w:val="000000" w:themeColor="text1"/>
          <w:u w:val="single"/>
          <w:lang w:eastAsia="es-ES"/>
        </w:rPr>
        <w:t>, así como los ataques indiscriminados contra la población civil</w:t>
      </w:r>
      <w:r w:rsidR="00F155FE" w:rsidRPr="00C454A1">
        <w:rPr>
          <w:color w:val="000000" w:themeColor="text1"/>
          <w:u w:val="single"/>
          <w:lang w:eastAsia="es-ES"/>
        </w:rPr>
        <w:t xml:space="preserve"> y los firmantes del AFP</w:t>
      </w:r>
    </w:p>
    <w:p w14:paraId="6785E22E" w14:textId="77777777" w:rsidR="00950ED9" w:rsidRPr="00C454A1" w:rsidRDefault="00950ED9" w:rsidP="00631C27">
      <w:pPr>
        <w:rPr>
          <w:color w:val="000000" w:themeColor="text1"/>
          <w:lang w:eastAsia="es-ES"/>
        </w:rPr>
      </w:pPr>
    </w:p>
    <w:p w14:paraId="1642DC60" w14:textId="3A5596D7" w:rsidR="00950ED9" w:rsidRPr="00C454A1" w:rsidRDefault="00950ED9" w:rsidP="00321FAF">
      <w:pPr>
        <w:numPr>
          <w:ilvl w:val="0"/>
          <w:numId w:val="2"/>
        </w:numPr>
        <w:ind w:left="0" w:firstLine="0"/>
        <w:rPr>
          <w:color w:val="000000" w:themeColor="text1"/>
          <w:u w:val="single"/>
          <w:lang w:eastAsia="es-ES"/>
        </w:rPr>
      </w:pPr>
      <w:bookmarkStart w:id="189" w:name="_Ref203401566"/>
      <w:r w:rsidRPr="00C454A1">
        <w:rPr>
          <w:color w:val="000000" w:themeColor="text1"/>
          <w:lang w:eastAsia="es-ES"/>
        </w:rPr>
        <w:t xml:space="preserve">La Corte Constitucional encuentra probado que, a partir del 15 de enero de 2025, se produjo una intensificación repentina e inusitada de los enfrentamientos entre el ELN y otros </w:t>
      </w:r>
      <w:r w:rsidR="00EE77DF" w:rsidRPr="00C454A1">
        <w:rPr>
          <w:color w:val="000000" w:themeColor="text1"/>
          <w:lang w:eastAsia="es-ES"/>
        </w:rPr>
        <w:t>GAO</w:t>
      </w:r>
      <w:r w:rsidRPr="00C454A1">
        <w:rPr>
          <w:color w:val="000000" w:themeColor="text1"/>
          <w:lang w:eastAsia="es-ES"/>
        </w:rPr>
        <w:t>, así como de los ataques indiscriminados contra la población civil</w:t>
      </w:r>
      <w:r w:rsidR="00F155FE" w:rsidRPr="00C454A1">
        <w:rPr>
          <w:color w:val="000000" w:themeColor="text1"/>
          <w:lang w:eastAsia="es-ES"/>
        </w:rPr>
        <w:t xml:space="preserve"> y los firmantes del AFP</w:t>
      </w:r>
      <w:r w:rsidRPr="00C454A1">
        <w:rPr>
          <w:color w:val="000000" w:themeColor="text1"/>
          <w:lang w:eastAsia="es-ES"/>
        </w:rPr>
        <w:t xml:space="preserve">. </w:t>
      </w:r>
      <w:r w:rsidR="00D02A7B" w:rsidRPr="00C454A1">
        <w:rPr>
          <w:color w:val="000000" w:themeColor="text1"/>
          <w:lang w:eastAsia="es-ES"/>
        </w:rPr>
        <w:t>Este tribunal</w:t>
      </w:r>
      <w:r w:rsidRPr="00C454A1">
        <w:rPr>
          <w:color w:val="000000" w:themeColor="text1"/>
          <w:lang w:eastAsia="es-ES"/>
        </w:rPr>
        <w:t xml:space="preserve"> considera que este hecho tiene carácter extraordinario, por tres razones:</w:t>
      </w:r>
      <w:bookmarkEnd w:id="189"/>
      <w:r w:rsidRPr="00C454A1">
        <w:rPr>
          <w:color w:val="000000" w:themeColor="text1"/>
          <w:lang w:eastAsia="es-ES"/>
        </w:rPr>
        <w:t xml:space="preserve"> </w:t>
      </w:r>
    </w:p>
    <w:p w14:paraId="59EC073A" w14:textId="77777777" w:rsidR="007A4649" w:rsidRPr="00C454A1" w:rsidRDefault="007A4649" w:rsidP="00631C27">
      <w:pPr>
        <w:rPr>
          <w:color w:val="000000" w:themeColor="text1"/>
          <w:lang w:eastAsia="es-ES"/>
        </w:rPr>
      </w:pPr>
    </w:p>
    <w:p w14:paraId="140B8050" w14:textId="6FFFB5A0" w:rsidR="00634D33" w:rsidRPr="00C454A1" w:rsidRDefault="007A4649" w:rsidP="00321FAF">
      <w:pPr>
        <w:numPr>
          <w:ilvl w:val="0"/>
          <w:numId w:val="2"/>
        </w:numPr>
        <w:ind w:left="0" w:firstLine="0"/>
        <w:rPr>
          <w:color w:val="000000" w:themeColor="text1"/>
          <w:lang w:eastAsia="es-ES"/>
        </w:rPr>
      </w:pPr>
      <w:r w:rsidRPr="00C454A1">
        <w:rPr>
          <w:i/>
          <w:iCs/>
          <w:color w:val="000000" w:themeColor="text1"/>
          <w:lang w:eastAsia="es-ES"/>
        </w:rPr>
        <w:t>Primero.</w:t>
      </w:r>
      <w:r w:rsidRPr="00C454A1">
        <w:rPr>
          <w:color w:val="000000" w:themeColor="text1"/>
          <w:lang w:eastAsia="es-ES"/>
        </w:rPr>
        <w:t xml:space="preserve"> El DAPRE y </w:t>
      </w:r>
      <w:r w:rsidR="007E516A" w:rsidRPr="00C454A1">
        <w:rPr>
          <w:color w:val="000000" w:themeColor="text1"/>
          <w:lang w:eastAsia="es-ES"/>
        </w:rPr>
        <w:t>MinDefensa</w:t>
      </w:r>
      <w:r w:rsidRPr="00C454A1">
        <w:rPr>
          <w:color w:val="000000" w:themeColor="text1"/>
          <w:lang w:eastAsia="es-ES"/>
        </w:rPr>
        <w:t xml:space="preserve"> informaron que desde 2022, esta “es la primera ocasión en la que se presentan confrontaciones entre el ELN y el GAO-r E-33”</w:t>
      </w:r>
      <w:r w:rsidRPr="00C454A1">
        <w:rPr>
          <w:color w:val="000000" w:themeColor="text1"/>
          <w:vertAlign w:val="superscript"/>
          <w:lang w:eastAsia="es-ES"/>
        </w:rPr>
        <w:footnoteReference w:id="297"/>
      </w:r>
      <w:r w:rsidRPr="00C454A1">
        <w:rPr>
          <w:color w:val="000000" w:themeColor="text1"/>
          <w:lang w:eastAsia="es-ES"/>
        </w:rPr>
        <w:t xml:space="preserve">. Según el Comando General de las Fuerzas Militares, el cambio </w:t>
      </w:r>
      <w:r w:rsidR="00B7689F" w:rsidRPr="00C454A1">
        <w:rPr>
          <w:color w:val="000000" w:themeColor="text1"/>
          <w:lang w:eastAsia="es-ES"/>
        </w:rPr>
        <w:t>consiste</w:t>
      </w:r>
      <w:r w:rsidRPr="00C454A1">
        <w:rPr>
          <w:color w:val="000000" w:themeColor="text1"/>
          <w:lang w:eastAsia="es-ES"/>
        </w:rPr>
        <w:t xml:space="preserve"> en que es “</w:t>
      </w:r>
      <w:r w:rsidRPr="00C454A1">
        <w:rPr>
          <w:rFonts w:cs="Times New Roman"/>
          <w:color w:val="000000" w:themeColor="text1"/>
        </w:rPr>
        <w:t>la primera vez que esto ocurre tras un periodo de coexistencia criminal. Esta coexistencia había permitido la instrumentalización de la población civil por parte de los grupos armados organizados (GAO), utilizando el arraigo como herramienta de guerra”</w:t>
      </w:r>
      <w:r w:rsidRPr="00C454A1">
        <w:rPr>
          <w:rStyle w:val="Refdenotaalpie"/>
          <w:rFonts w:cs="Times New Roman"/>
          <w:color w:val="000000" w:themeColor="text1"/>
        </w:rPr>
        <w:footnoteReference w:id="298"/>
      </w:r>
      <w:r w:rsidRPr="00C454A1">
        <w:rPr>
          <w:rFonts w:cs="Times New Roman"/>
          <w:color w:val="000000" w:themeColor="text1"/>
        </w:rPr>
        <w:t xml:space="preserve">. </w:t>
      </w:r>
      <w:r w:rsidRPr="00C454A1">
        <w:rPr>
          <w:color w:val="000000" w:themeColor="text1"/>
          <w:lang w:eastAsia="es-ES"/>
        </w:rPr>
        <w:t>En solo 19 días, se registraron 12 enfrentamientos entre esos grupos</w:t>
      </w:r>
      <w:r w:rsidRPr="00C454A1">
        <w:rPr>
          <w:color w:val="000000" w:themeColor="text1"/>
          <w:vertAlign w:val="superscript"/>
          <w:lang w:eastAsia="es-ES"/>
        </w:rPr>
        <w:footnoteReference w:id="299"/>
      </w:r>
      <w:r w:rsidRPr="00C454A1">
        <w:rPr>
          <w:color w:val="000000" w:themeColor="text1"/>
          <w:lang w:eastAsia="es-ES"/>
        </w:rPr>
        <w:t xml:space="preserve">. En el mismo sentido, el 23 de enero de 2025, la Defensoría del Pueblo constató “la consumación de graves hechos de violencia generados con ocasión de la confrontación armada </w:t>
      </w:r>
      <w:r w:rsidRPr="00C454A1">
        <w:rPr>
          <w:color w:val="000000" w:themeColor="text1"/>
          <w:lang w:eastAsia="es-ES"/>
        </w:rPr>
        <w:lastRenderedPageBreak/>
        <w:t>establecida entre el ELN y el Frente 33 […] en los municipios de la subregión del Catatumbo</w:t>
      </w:r>
      <w:r w:rsidR="00D235C1" w:rsidRPr="00C454A1">
        <w:rPr>
          <w:color w:val="000000" w:themeColor="text1"/>
          <w:lang w:eastAsia="es-ES"/>
        </w:rPr>
        <w:t>”</w:t>
      </w:r>
      <w:r w:rsidRPr="00C454A1">
        <w:rPr>
          <w:color w:val="000000" w:themeColor="text1"/>
          <w:vertAlign w:val="superscript"/>
          <w:lang w:eastAsia="es-ES"/>
        </w:rPr>
        <w:footnoteReference w:id="300"/>
      </w:r>
      <w:r w:rsidRPr="00C454A1">
        <w:rPr>
          <w:color w:val="000000" w:themeColor="text1"/>
          <w:lang w:eastAsia="es-ES"/>
        </w:rPr>
        <w:t xml:space="preserve">. Para la Corte, este hecho muestra un cambio en la dinámica del conflicto armado en el Catatumbo, que se había caracterizado por enfrentamientos entre los </w:t>
      </w:r>
      <w:r w:rsidR="00EE77DF" w:rsidRPr="00C454A1">
        <w:rPr>
          <w:color w:val="000000" w:themeColor="text1"/>
          <w:lang w:eastAsia="es-ES"/>
        </w:rPr>
        <w:t>GAO</w:t>
      </w:r>
      <w:r w:rsidRPr="00C454A1">
        <w:rPr>
          <w:color w:val="000000" w:themeColor="text1"/>
          <w:lang w:eastAsia="es-ES"/>
        </w:rPr>
        <w:t xml:space="preserve"> y la </w:t>
      </w:r>
      <w:r w:rsidR="00F858F2" w:rsidRPr="00C454A1">
        <w:rPr>
          <w:color w:val="000000" w:themeColor="text1"/>
          <w:lang w:eastAsia="es-ES"/>
        </w:rPr>
        <w:t>f</w:t>
      </w:r>
      <w:r w:rsidRPr="00C454A1">
        <w:rPr>
          <w:color w:val="000000" w:themeColor="text1"/>
          <w:lang w:eastAsia="es-ES"/>
        </w:rPr>
        <w:t xml:space="preserve">uerza </w:t>
      </w:r>
      <w:r w:rsidR="00F858F2" w:rsidRPr="00C454A1">
        <w:rPr>
          <w:color w:val="000000" w:themeColor="text1"/>
          <w:lang w:eastAsia="es-ES"/>
        </w:rPr>
        <w:t>p</w:t>
      </w:r>
      <w:r w:rsidRPr="00C454A1">
        <w:rPr>
          <w:color w:val="000000" w:themeColor="text1"/>
          <w:lang w:eastAsia="es-ES"/>
        </w:rPr>
        <w:t>ública, pero cada vez más las hostilidades se producen entre grupos al margen de la ley</w:t>
      </w:r>
      <w:r w:rsidR="003B4855" w:rsidRPr="00C454A1">
        <w:rPr>
          <w:color w:val="000000" w:themeColor="text1"/>
          <w:lang w:eastAsia="es-ES"/>
        </w:rPr>
        <w:t xml:space="preserve"> e involucran ataques directos </w:t>
      </w:r>
      <w:r w:rsidR="00D235C1" w:rsidRPr="00C454A1">
        <w:rPr>
          <w:color w:val="000000" w:themeColor="text1"/>
          <w:lang w:eastAsia="es-ES"/>
        </w:rPr>
        <w:t>contra</w:t>
      </w:r>
      <w:r w:rsidR="003B4855" w:rsidRPr="00C454A1">
        <w:rPr>
          <w:color w:val="000000" w:themeColor="text1"/>
          <w:lang w:eastAsia="es-ES"/>
        </w:rPr>
        <w:t xml:space="preserve"> la población civil</w:t>
      </w:r>
      <w:r w:rsidRPr="00C454A1">
        <w:rPr>
          <w:rStyle w:val="Refdenotaalpie"/>
          <w:color w:val="000000" w:themeColor="text1"/>
          <w:lang w:eastAsia="es-ES"/>
        </w:rPr>
        <w:footnoteReference w:id="301"/>
      </w:r>
      <w:r w:rsidRPr="00C454A1">
        <w:rPr>
          <w:color w:val="000000" w:themeColor="text1"/>
          <w:lang w:eastAsia="es-ES"/>
        </w:rPr>
        <w:t>.</w:t>
      </w:r>
    </w:p>
    <w:p w14:paraId="585948F3" w14:textId="77777777" w:rsidR="00634D33" w:rsidRPr="00C454A1" w:rsidRDefault="00634D33" w:rsidP="00634D33">
      <w:pPr>
        <w:rPr>
          <w:color w:val="000000" w:themeColor="text1"/>
          <w:lang w:eastAsia="es-ES"/>
        </w:rPr>
      </w:pPr>
    </w:p>
    <w:p w14:paraId="2B2811C4" w14:textId="76E81246" w:rsidR="00EC7A00" w:rsidRPr="00C454A1" w:rsidRDefault="000F6F18" w:rsidP="00321FAF">
      <w:pPr>
        <w:numPr>
          <w:ilvl w:val="0"/>
          <w:numId w:val="2"/>
        </w:numPr>
        <w:ind w:left="0" w:firstLine="0"/>
        <w:rPr>
          <w:color w:val="000000" w:themeColor="text1"/>
          <w:lang w:eastAsia="es-ES"/>
        </w:rPr>
      </w:pPr>
      <w:r w:rsidRPr="00C454A1">
        <w:rPr>
          <w:i/>
          <w:iCs/>
          <w:color w:val="000000" w:themeColor="text1"/>
          <w:lang w:eastAsia="es-ES"/>
        </w:rPr>
        <w:t>Segundo</w:t>
      </w:r>
      <w:r w:rsidRPr="00C454A1">
        <w:rPr>
          <w:color w:val="000000" w:themeColor="text1"/>
          <w:lang w:eastAsia="es-ES"/>
        </w:rPr>
        <w:t xml:space="preserve">. De la mano con el cambio en la dinámica del conflicto armado en el Catatumbo, está probado que el ELN modificó el </w:t>
      </w:r>
      <w:r w:rsidRPr="00C454A1">
        <w:rPr>
          <w:i/>
          <w:iCs/>
          <w:color w:val="000000" w:themeColor="text1"/>
          <w:lang w:eastAsia="es-ES"/>
        </w:rPr>
        <w:t>modus operandi</w:t>
      </w:r>
      <w:r w:rsidRPr="00C454A1">
        <w:rPr>
          <w:color w:val="000000" w:themeColor="text1"/>
          <w:lang w:eastAsia="es-ES"/>
        </w:rPr>
        <w:t xml:space="preserve"> y sus mecanismos de accionar delictivo. El DAPRE</w:t>
      </w:r>
      <w:r w:rsidRPr="00C454A1">
        <w:rPr>
          <w:color w:val="000000" w:themeColor="text1"/>
          <w:vertAlign w:val="superscript"/>
          <w:lang w:eastAsia="es-ES"/>
        </w:rPr>
        <w:footnoteReference w:id="302"/>
      </w:r>
      <w:r w:rsidRPr="00C454A1">
        <w:rPr>
          <w:color w:val="000000" w:themeColor="text1"/>
          <w:lang w:eastAsia="es-ES"/>
        </w:rPr>
        <w:t>, el comandante general de las Fuerzas Militares</w:t>
      </w:r>
      <w:r w:rsidRPr="00C454A1">
        <w:rPr>
          <w:color w:val="000000" w:themeColor="text1"/>
          <w:vertAlign w:val="superscript"/>
          <w:lang w:eastAsia="es-ES"/>
        </w:rPr>
        <w:footnoteReference w:id="303"/>
      </w:r>
      <w:r w:rsidRPr="00C454A1">
        <w:rPr>
          <w:color w:val="000000" w:themeColor="text1"/>
          <w:lang w:eastAsia="es-ES"/>
        </w:rPr>
        <w:t xml:space="preserve"> y el director de la Policía Nacional</w:t>
      </w:r>
      <w:r w:rsidRPr="00C454A1">
        <w:rPr>
          <w:color w:val="000000" w:themeColor="text1"/>
          <w:vertAlign w:val="superscript"/>
          <w:lang w:eastAsia="es-ES"/>
        </w:rPr>
        <w:footnoteReference w:id="304"/>
      </w:r>
      <w:r w:rsidRPr="00C454A1">
        <w:rPr>
          <w:color w:val="000000" w:themeColor="text1"/>
          <w:lang w:eastAsia="es-ES"/>
        </w:rPr>
        <w:t xml:space="preserve"> informaron que entre 2022</w:t>
      </w:r>
      <w:r w:rsidR="00E75D0D" w:rsidRPr="00C454A1">
        <w:rPr>
          <w:color w:val="000000" w:themeColor="text1"/>
          <w:lang w:eastAsia="es-ES"/>
        </w:rPr>
        <w:t xml:space="preserve"> y </w:t>
      </w:r>
      <w:r w:rsidRPr="00C454A1">
        <w:rPr>
          <w:color w:val="000000" w:themeColor="text1"/>
          <w:lang w:eastAsia="es-ES"/>
        </w:rPr>
        <w:t>2024, el ELN dirigió la mayoría de sus ataques “contra los miembros y las instalaciones de la fuerza pública”. Lo anterior, a pesar de que en algunas ocasiones sus efectos indiscriminados habían “repercutido sobre la población civil”. En contraste, desde enero de 2025, el ELN est</w:t>
      </w:r>
      <w:r w:rsidR="003B4855" w:rsidRPr="00C454A1">
        <w:rPr>
          <w:color w:val="000000" w:themeColor="text1"/>
          <w:lang w:eastAsia="es-ES"/>
        </w:rPr>
        <w:t>á</w:t>
      </w:r>
      <w:r w:rsidRPr="00C454A1">
        <w:rPr>
          <w:color w:val="000000" w:themeColor="text1"/>
          <w:lang w:eastAsia="es-ES"/>
        </w:rPr>
        <w:t xml:space="preserve"> dirigiendo ataques directos contra la población civil y, en particular, </w:t>
      </w:r>
      <w:r w:rsidR="00E75D0D" w:rsidRPr="00C454A1">
        <w:rPr>
          <w:color w:val="000000" w:themeColor="text1"/>
          <w:lang w:eastAsia="es-ES"/>
        </w:rPr>
        <w:t xml:space="preserve">contra </w:t>
      </w:r>
      <w:r w:rsidRPr="00C454A1">
        <w:rPr>
          <w:color w:val="000000" w:themeColor="text1"/>
          <w:lang w:eastAsia="es-ES"/>
        </w:rPr>
        <w:t xml:space="preserve">líderes sociales y firmantes del AFP. </w:t>
      </w:r>
    </w:p>
    <w:p w14:paraId="3B3E454D" w14:textId="77777777" w:rsidR="00EC7A00" w:rsidRPr="00C454A1" w:rsidRDefault="00EC7A00" w:rsidP="003843A3">
      <w:pPr>
        <w:pStyle w:val="Prrafodelista"/>
        <w:rPr>
          <w:color w:val="000000" w:themeColor="text1"/>
          <w:lang w:eastAsia="es-ES"/>
        </w:rPr>
      </w:pPr>
    </w:p>
    <w:p w14:paraId="61122FD8" w14:textId="4011F520" w:rsidR="000F6F18" w:rsidRPr="00C454A1" w:rsidRDefault="000F6F18" w:rsidP="00321FAF">
      <w:pPr>
        <w:numPr>
          <w:ilvl w:val="0"/>
          <w:numId w:val="2"/>
        </w:numPr>
        <w:ind w:left="0" w:firstLine="0"/>
        <w:rPr>
          <w:color w:val="000000" w:themeColor="text1"/>
          <w:lang w:eastAsia="es-ES"/>
        </w:rPr>
      </w:pPr>
      <w:r w:rsidRPr="00C454A1">
        <w:rPr>
          <w:color w:val="000000" w:themeColor="text1"/>
          <w:lang w:eastAsia="es-ES"/>
        </w:rPr>
        <w:t>Asimismo, la Defensoría del Pueblo reportó que, a partir de enero de 2025, el ELN ha empleado estrategias de terror y zozobra contra la población civil. Indicó que tenía noticia de que presuntos miembros del ELN han ingresado a distintos municipios de la región “persiguiendo con listas a personas identificadas como líderes sociales o población firmante de paz. Algunos fueron asesinados en sus viviendas, otros secuestrados tanto de manera individual como junto a sus familiares. Las personas perseguidas eran acusadas de colaborar con el ‘Frente 33’ de las disidencias de las FARC o de ser simpatizantes de este”</w:t>
      </w:r>
      <w:r w:rsidRPr="00C454A1">
        <w:rPr>
          <w:color w:val="000000" w:themeColor="text1"/>
          <w:vertAlign w:val="superscript"/>
          <w:lang w:eastAsia="es-ES"/>
        </w:rPr>
        <w:footnoteReference w:id="305"/>
      </w:r>
      <w:r w:rsidRPr="00C454A1">
        <w:rPr>
          <w:color w:val="000000" w:themeColor="text1"/>
          <w:lang w:eastAsia="es-ES"/>
        </w:rPr>
        <w:t>. En otras palabras, se trata de una modificación cualitativa de la dinámica del conflicto armado que, por tanto, satisface el presupuesto valorativo para entender que constituye un hecho extraordinario.</w:t>
      </w:r>
    </w:p>
    <w:p w14:paraId="06961A8E" w14:textId="77777777" w:rsidR="007A4649" w:rsidRPr="00C454A1" w:rsidRDefault="007A4649" w:rsidP="00631C27">
      <w:pPr>
        <w:rPr>
          <w:color w:val="000000" w:themeColor="text1"/>
          <w:lang w:eastAsia="es-ES"/>
        </w:rPr>
      </w:pPr>
    </w:p>
    <w:p w14:paraId="48163CB8" w14:textId="73EF1713" w:rsidR="00FB73BA" w:rsidRPr="00C454A1" w:rsidRDefault="00FB73BA" w:rsidP="00321FAF">
      <w:pPr>
        <w:numPr>
          <w:ilvl w:val="0"/>
          <w:numId w:val="2"/>
        </w:numPr>
        <w:ind w:left="0" w:firstLine="0"/>
        <w:rPr>
          <w:color w:val="000000" w:themeColor="text1"/>
          <w:lang w:eastAsia="es-ES"/>
        </w:rPr>
      </w:pPr>
      <w:bookmarkStart w:id="190" w:name="_Ref198036184"/>
      <w:r w:rsidRPr="00C454A1">
        <w:rPr>
          <w:i/>
          <w:iCs/>
          <w:color w:val="000000" w:themeColor="text1"/>
          <w:lang w:eastAsia="es-ES"/>
        </w:rPr>
        <w:t>Tercero.</w:t>
      </w:r>
      <w:r w:rsidRPr="00C454A1">
        <w:rPr>
          <w:color w:val="000000" w:themeColor="text1"/>
          <w:lang w:eastAsia="es-ES"/>
        </w:rPr>
        <w:t xml:space="preserve"> Además del agravamiento del conflicto armado que, en términos cualitativos, se acreditó en los dos hechos anteriores, </w:t>
      </w:r>
      <w:r w:rsidR="003843A3" w:rsidRPr="00C454A1">
        <w:rPr>
          <w:color w:val="000000" w:themeColor="text1"/>
          <w:lang w:eastAsia="es-ES"/>
        </w:rPr>
        <w:t>la Corte observa</w:t>
      </w:r>
      <w:r w:rsidRPr="00C454A1">
        <w:rPr>
          <w:color w:val="000000" w:themeColor="text1"/>
          <w:lang w:eastAsia="es-ES"/>
        </w:rPr>
        <w:t xml:space="preserve"> un incremento cuantitativo de las afectaciones a la población civil. En la parte motiva del Decreto 62 de 2025, el </w:t>
      </w:r>
      <w:r w:rsidR="007525E1" w:rsidRPr="00C454A1">
        <w:rPr>
          <w:color w:val="000000" w:themeColor="text1"/>
          <w:lang w:eastAsia="es-ES"/>
        </w:rPr>
        <w:t>Gobierno nacional</w:t>
      </w:r>
      <w:r w:rsidRPr="00C454A1">
        <w:rPr>
          <w:color w:val="000000" w:themeColor="text1"/>
          <w:lang w:eastAsia="es-ES"/>
        </w:rPr>
        <w:t xml:space="preserve"> aseguró que el ELN </w:t>
      </w:r>
      <w:r w:rsidR="003843A3" w:rsidRPr="00C454A1">
        <w:rPr>
          <w:color w:val="000000" w:themeColor="text1"/>
          <w:lang w:eastAsia="es-ES"/>
        </w:rPr>
        <w:t xml:space="preserve">aumentó </w:t>
      </w:r>
      <w:r w:rsidRPr="00C454A1">
        <w:rPr>
          <w:color w:val="000000" w:themeColor="text1"/>
          <w:lang w:eastAsia="es-ES"/>
        </w:rPr>
        <w:t>de forma exponencial sus ataques contra la población civil y</w:t>
      </w:r>
      <w:r w:rsidR="003843A3" w:rsidRPr="00C454A1">
        <w:rPr>
          <w:color w:val="000000" w:themeColor="text1"/>
          <w:lang w:eastAsia="es-ES"/>
        </w:rPr>
        <w:t>,</w:t>
      </w:r>
      <w:r w:rsidRPr="00C454A1">
        <w:rPr>
          <w:color w:val="000000" w:themeColor="text1"/>
          <w:lang w:eastAsia="es-ES"/>
        </w:rPr>
        <w:t xml:space="preserve"> en concreto, contra la población firmante del AFP. Según el </w:t>
      </w:r>
      <w:r w:rsidR="007525E1" w:rsidRPr="00C454A1">
        <w:rPr>
          <w:color w:val="000000" w:themeColor="text1"/>
          <w:lang w:eastAsia="es-ES"/>
        </w:rPr>
        <w:t>Gobierno nacional</w:t>
      </w:r>
      <w:r w:rsidRPr="00C454A1">
        <w:rPr>
          <w:color w:val="000000" w:themeColor="text1"/>
          <w:lang w:eastAsia="es-ES"/>
        </w:rPr>
        <w:t>, estos ataques han producido un aumento inusitado de las víctimas de homicidio, desaparición forzada, desplazamiento forzado y confinamiento.</w:t>
      </w:r>
      <w:bookmarkEnd w:id="190"/>
      <w:r w:rsidRPr="00C454A1">
        <w:rPr>
          <w:color w:val="000000" w:themeColor="text1"/>
          <w:lang w:eastAsia="es-ES"/>
        </w:rPr>
        <w:t xml:space="preserve"> </w:t>
      </w:r>
    </w:p>
    <w:p w14:paraId="212B3755" w14:textId="77777777" w:rsidR="00950ED9" w:rsidRPr="00C454A1" w:rsidRDefault="00950ED9" w:rsidP="00631C27">
      <w:pPr>
        <w:rPr>
          <w:color w:val="000000" w:themeColor="text1"/>
          <w:lang w:eastAsia="es-ES"/>
        </w:rPr>
      </w:pPr>
    </w:p>
    <w:p w14:paraId="11F66C1B" w14:textId="77777777"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La siguiente tabla presenta un comparativo del número de víctimas en la región del Catatumbo de (i) homicidio, (ii) lesiones personales, (iii) desplazamientos forzados, (iv) desapariciones forzadas, (v) confinamientos, (vi) actos de terrorismo y (vii) amenazas: </w:t>
      </w:r>
    </w:p>
    <w:p w14:paraId="359E1270" w14:textId="77777777" w:rsidR="00950ED9" w:rsidRPr="00C454A1" w:rsidRDefault="00950ED9" w:rsidP="00631C27">
      <w:pPr>
        <w:rPr>
          <w:color w:val="000000" w:themeColor="text1"/>
          <w:lang w:eastAsia="es-ES"/>
        </w:rPr>
      </w:pPr>
    </w:p>
    <w:p w14:paraId="2C185660" w14:textId="77777777" w:rsidR="00F842E0" w:rsidRPr="00C454A1" w:rsidRDefault="00F842E0" w:rsidP="00631C27">
      <w:pPr>
        <w:rPr>
          <w:color w:val="000000" w:themeColor="text1"/>
          <w:lang w:eastAsia="es-ES"/>
        </w:rPr>
      </w:pPr>
    </w:p>
    <w:p w14:paraId="7E09A47D" w14:textId="77777777" w:rsidR="00F842E0" w:rsidRPr="00C454A1" w:rsidRDefault="00F842E0" w:rsidP="00631C27">
      <w:pPr>
        <w:rPr>
          <w:color w:val="000000" w:themeColor="text1"/>
          <w:lang w:eastAsia="es-ES"/>
        </w:rPr>
      </w:pPr>
    </w:p>
    <w:p w14:paraId="773F46E8" w14:textId="77777777" w:rsidR="00F842E0" w:rsidRPr="00C454A1" w:rsidRDefault="00F842E0" w:rsidP="00631C27">
      <w:pPr>
        <w:rPr>
          <w:color w:val="000000" w:themeColor="text1"/>
          <w:lang w:eastAsia="es-ES"/>
        </w:rPr>
      </w:pPr>
    </w:p>
    <w:p w14:paraId="2866FC03" w14:textId="1D970586" w:rsidR="00A86E63" w:rsidRPr="00C454A1" w:rsidRDefault="00A86E63" w:rsidP="00476125">
      <w:pPr>
        <w:ind w:left="709" w:right="618"/>
        <w:jc w:val="center"/>
        <w:rPr>
          <w:i/>
          <w:iCs/>
          <w:color w:val="000000" w:themeColor="text1"/>
          <w:sz w:val="22"/>
          <w:szCs w:val="22"/>
          <w:lang w:eastAsia="es-ES"/>
        </w:rPr>
      </w:pPr>
      <w:r w:rsidRPr="00C454A1">
        <w:rPr>
          <w:i/>
          <w:iCs/>
          <w:color w:val="000000" w:themeColor="text1"/>
          <w:sz w:val="22"/>
          <w:szCs w:val="22"/>
          <w:lang w:eastAsia="es-ES"/>
        </w:rPr>
        <w:t xml:space="preserve">Tabla 10: </w:t>
      </w:r>
      <w:r w:rsidR="00382E34" w:rsidRPr="00C454A1">
        <w:rPr>
          <w:i/>
          <w:iCs/>
          <w:color w:val="000000" w:themeColor="text1"/>
          <w:sz w:val="22"/>
          <w:szCs w:val="22"/>
          <w:lang w:eastAsia="es-ES"/>
        </w:rPr>
        <w:t>víctimas reportadas por el Gobierno nacional vs. víctimas registradas en el RUV en la región del Catatumbo</w:t>
      </w:r>
    </w:p>
    <w:tbl>
      <w:tblPr>
        <w:tblStyle w:val="Tablaconcuadrcula"/>
        <w:tblW w:w="8784" w:type="dxa"/>
        <w:tblLook w:val="04A0" w:firstRow="1" w:lastRow="0" w:firstColumn="1" w:lastColumn="0" w:noHBand="0" w:noVBand="1"/>
      </w:tblPr>
      <w:tblGrid>
        <w:gridCol w:w="1980"/>
        <w:gridCol w:w="6804"/>
      </w:tblGrid>
      <w:tr w:rsidR="00C454A1" w:rsidRPr="00C454A1" w14:paraId="52DBFAAE" w14:textId="77777777" w:rsidTr="00F0349D">
        <w:tc>
          <w:tcPr>
            <w:tcW w:w="1980" w:type="dxa"/>
            <w:shd w:val="clear" w:color="auto" w:fill="D9D9D9" w:themeFill="background1" w:themeFillShade="D9"/>
            <w:vAlign w:val="center"/>
          </w:tcPr>
          <w:p w14:paraId="0C36293C" w14:textId="6BC1AF5B"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 xml:space="preserve">Hecho </w:t>
            </w:r>
            <w:r w:rsidR="00F0349D" w:rsidRPr="00C454A1">
              <w:rPr>
                <w:b/>
                <w:bCs/>
                <w:color w:val="000000" w:themeColor="text1"/>
                <w:sz w:val="22"/>
                <w:szCs w:val="22"/>
                <w:lang w:eastAsia="es-ES"/>
              </w:rPr>
              <w:t>victimizante</w:t>
            </w:r>
          </w:p>
        </w:tc>
        <w:tc>
          <w:tcPr>
            <w:tcW w:w="6804" w:type="dxa"/>
            <w:shd w:val="clear" w:color="auto" w:fill="D9D9D9" w:themeFill="background1" w:themeFillShade="D9"/>
          </w:tcPr>
          <w:p w14:paraId="14D88E68"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Año y víctimas</w:t>
            </w:r>
          </w:p>
        </w:tc>
      </w:tr>
      <w:tr w:rsidR="00C454A1" w:rsidRPr="00C454A1" w14:paraId="75A62E38" w14:textId="77777777" w:rsidTr="00F0349D">
        <w:tc>
          <w:tcPr>
            <w:tcW w:w="1980" w:type="dxa"/>
            <w:shd w:val="clear" w:color="auto" w:fill="D9D9D9" w:themeFill="background1" w:themeFillShade="D9"/>
            <w:vAlign w:val="center"/>
          </w:tcPr>
          <w:p w14:paraId="5C2CC950"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Homicidio</w:t>
            </w:r>
          </w:p>
        </w:tc>
        <w:tc>
          <w:tcPr>
            <w:tcW w:w="6804" w:type="dxa"/>
          </w:tcPr>
          <w:p w14:paraId="3D33F5AD" w14:textId="6FEA17B8"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2022: 415</w:t>
            </w:r>
            <w:r w:rsidRPr="00C454A1">
              <w:rPr>
                <w:color w:val="000000" w:themeColor="text1"/>
                <w:sz w:val="22"/>
                <w:szCs w:val="22"/>
                <w:vertAlign w:val="superscript"/>
                <w:lang w:eastAsia="es-ES"/>
              </w:rPr>
              <w:footnoteReference w:id="306"/>
            </w:r>
            <w:r w:rsidRPr="00C454A1">
              <w:rPr>
                <w:color w:val="000000" w:themeColor="text1"/>
                <w:sz w:val="22"/>
                <w:szCs w:val="22"/>
                <w:lang w:eastAsia="es-ES"/>
              </w:rPr>
              <w:t>. La UARIV reportó 95 víctimas</w:t>
            </w:r>
            <w:r w:rsidR="00024A01" w:rsidRPr="00C454A1">
              <w:rPr>
                <w:color w:val="000000" w:themeColor="text1"/>
                <w:sz w:val="22"/>
                <w:szCs w:val="22"/>
                <w:lang w:eastAsia="es-ES"/>
              </w:rPr>
              <w:t xml:space="preserve"> registradas en el RUV</w:t>
            </w:r>
            <w:r w:rsidRPr="00C454A1">
              <w:rPr>
                <w:color w:val="000000" w:themeColor="text1"/>
                <w:sz w:val="22"/>
                <w:szCs w:val="22"/>
                <w:vertAlign w:val="superscript"/>
                <w:lang w:eastAsia="es-ES"/>
              </w:rPr>
              <w:footnoteReference w:id="307"/>
            </w:r>
            <w:r w:rsidRPr="00C454A1">
              <w:rPr>
                <w:color w:val="000000" w:themeColor="text1"/>
                <w:sz w:val="22"/>
                <w:szCs w:val="22"/>
                <w:lang w:eastAsia="es-ES"/>
              </w:rPr>
              <w:t>.</w:t>
            </w:r>
          </w:p>
          <w:p w14:paraId="0D64D21B" w14:textId="010D19F2"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2023: 164</w:t>
            </w:r>
            <w:r w:rsidRPr="00C454A1">
              <w:rPr>
                <w:color w:val="000000" w:themeColor="text1"/>
                <w:sz w:val="22"/>
                <w:szCs w:val="22"/>
                <w:vertAlign w:val="superscript"/>
                <w:lang w:eastAsia="es-ES"/>
              </w:rPr>
              <w:footnoteReference w:id="308"/>
            </w:r>
            <w:r w:rsidRPr="00C454A1">
              <w:rPr>
                <w:color w:val="000000" w:themeColor="text1"/>
                <w:sz w:val="22"/>
                <w:szCs w:val="22"/>
                <w:lang w:eastAsia="es-ES"/>
              </w:rPr>
              <w:t>. La UARIV reportó 110 víctimas</w:t>
            </w:r>
            <w:r w:rsidR="00024A01" w:rsidRPr="00C454A1">
              <w:rPr>
                <w:color w:val="000000" w:themeColor="text1"/>
                <w:sz w:val="22"/>
                <w:szCs w:val="22"/>
                <w:lang w:eastAsia="es-ES"/>
              </w:rPr>
              <w:t xml:space="preserve"> registradas en el RUV</w:t>
            </w:r>
            <w:r w:rsidR="00024A01" w:rsidRPr="00C454A1">
              <w:rPr>
                <w:color w:val="000000" w:themeColor="text1"/>
                <w:sz w:val="22"/>
                <w:szCs w:val="22"/>
                <w:vertAlign w:val="superscript"/>
                <w:lang w:eastAsia="es-ES"/>
              </w:rPr>
              <w:t xml:space="preserve"> </w:t>
            </w:r>
            <w:r w:rsidRPr="00C454A1">
              <w:rPr>
                <w:color w:val="000000" w:themeColor="text1"/>
                <w:sz w:val="22"/>
                <w:szCs w:val="22"/>
                <w:vertAlign w:val="superscript"/>
                <w:lang w:eastAsia="es-ES"/>
              </w:rPr>
              <w:footnoteReference w:id="309"/>
            </w:r>
            <w:r w:rsidRPr="00C454A1">
              <w:rPr>
                <w:color w:val="000000" w:themeColor="text1"/>
                <w:sz w:val="22"/>
                <w:szCs w:val="22"/>
                <w:lang w:eastAsia="es-ES"/>
              </w:rPr>
              <w:t>.</w:t>
            </w:r>
          </w:p>
          <w:p w14:paraId="6FDD0AA1" w14:textId="42F2B848"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2024: 118</w:t>
            </w:r>
            <w:r w:rsidRPr="00C454A1">
              <w:rPr>
                <w:color w:val="000000" w:themeColor="text1"/>
                <w:sz w:val="22"/>
                <w:szCs w:val="22"/>
                <w:vertAlign w:val="superscript"/>
                <w:lang w:eastAsia="es-ES"/>
              </w:rPr>
              <w:footnoteReference w:id="310"/>
            </w:r>
            <w:r w:rsidRPr="00C454A1">
              <w:rPr>
                <w:color w:val="000000" w:themeColor="text1"/>
                <w:sz w:val="22"/>
                <w:szCs w:val="22"/>
                <w:lang w:eastAsia="es-ES"/>
              </w:rPr>
              <w:t>. La UARIV reportó 21 víctimas</w:t>
            </w:r>
            <w:r w:rsidR="00024A01" w:rsidRPr="00C454A1">
              <w:rPr>
                <w:color w:val="000000" w:themeColor="text1"/>
                <w:sz w:val="22"/>
                <w:szCs w:val="22"/>
                <w:lang w:eastAsia="es-ES"/>
              </w:rPr>
              <w:t xml:space="preserve"> registradas en el RUV</w:t>
            </w:r>
            <w:r w:rsidR="00024A01" w:rsidRPr="00C454A1">
              <w:rPr>
                <w:color w:val="000000" w:themeColor="text1"/>
                <w:sz w:val="22"/>
                <w:szCs w:val="22"/>
                <w:vertAlign w:val="superscript"/>
                <w:lang w:eastAsia="es-ES"/>
              </w:rPr>
              <w:t xml:space="preserve"> </w:t>
            </w:r>
            <w:r w:rsidRPr="00C454A1">
              <w:rPr>
                <w:color w:val="000000" w:themeColor="text1"/>
                <w:sz w:val="22"/>
                <w:szCs w:val="22"/>
                <w:vertAlign w:val="superscript"/>
                <w:lang w:eastAsia="es-ES"/>
              </w:rPr>
              <w:footnoteReference w:id="311"/>
            </w:r>
            <w:r w:rsidRPr="00C454A1">
              <w:rPr>
                <w:color w:val="000000" w:themeColor="text1"/>
                <w:sz w:val="22"/>
                <w:szCs w:val="22"/>
                <w:lang w:eastAsia="es-ES"/>
              </w:rPr>
              <w:t xml:space="preserve">. </w:t>
            </w:r>
          </w:p>
          <w:p w14:paraId="0DEDC4DE"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lastRenderedPageBreak/>
              <w:t>2025: 38</w:t>
            </w:r>
            <w:r w:rsidRPr="00C454A1">
              <w:rPr>
                <w:color w:val="000000" w:themeColor="text1"/>
                <w:sz w:val="22"/>
                <w:szCs w:val="22"/>
                <w:vertAlign w:val="superscript"/>
                <w:lang w:eastAsia="es-ES"/>
              </w:rPr>
              <w:footnoteReference w:id="312"/>
            </w:r>
            <w:r w:rsidRPr="00C454A1">
              <w:rPr>
                <w:color w:val="000000" w:themeColor="text1"/>
                <w:sz w:val="22"/>
                <w:szCs w:val="22"/>
                <w:lang w:eastAsia="es-ES"/>
              </w:rPr>
              <w:t xml:space="preserve">. </w:t>
            </w:r>
          </w:p>
        </w:tc>
      </w:tr>
      <w:tr w:rsidR="00C454A1" w:rsidRPr="00C454A1" w14:paraId="49C570C2" w14:textId="77777777" w:rsidTr="00F0349D">
        <w:tc>
          <w:tcPr>
            <w:tcW w:w="1980" w:type="dxa"/>
            <w:shd w:val="clear" w:color="auto" w:fill="D9D9D9" w:themeFill="background1" w:themeFillShade="D9"/>
            <w:vAlign w:val="center"/>
          </w:tcPr>
          <w:p w14:paraId="034815AE"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lastRenderedPageBreak/>
              <w:t>Lesiones personales</w:t>
            </w:r>
          </w:p>
        </w:tc>
        <w:tc>
          <w:tcPr>
            <w:tcW w:w="6804" w:type="dxa"/>
          </w:tcPr>
          <w:p w14:paraId="7F746715" w14:textId="4379DAEC"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2022: 400</w:t>
            </w:r>
            <w:r w:rsidRPr="00C454A1">
              <w:rPr>
                <w:color w:val="000000" w:themeColor="text1"/>
                <w:sz w:val="22"/>
                <w:szCs w:val="22"/>
                <w:vertAlign w:val="superscript"/>
                <w:lang w:eastAsia="es-ES"/>
              </w:rPr>
              <w:footnoteReference w:id="313"/>
            </w:r>
            <w:r w:rsidRPr="00C454A1">
              <w:rPr>
                <w:color w:val="000000" w:themeColor="text1"/>
                <w:sz w:val="22"/>
                <w:szCs w:val="22"/>
                <w:lang w:eastAsia="es-ES"/>
              </w:rPr>
              <w:t>. La UARIV reportó 106 víctimas</w:t>
            </w:r>
            <w:r w:rsidR="00024A01" w:rsidRPr="00C454A1">
              <w:rPr>
                <w:color w:val="000000" w:themeColor="text1"/>
                <w:sz w:val="22"/>
                <w:szCs w:val="22"/>
                <w:lang w:eastAsia="es-ES"/>
              </w:rPr>
              <w:t xml:space="preserve"> registradas en el RUV</w:t>
            </w:r>
            <w:r w:rsidR="00024A01" w:rsidRPr="00C454A1">
              <w:rPr>
                <w:color w:val="000000" w:themeColor="text1"/>
                <w:sz w:val="22"/>
                <w:szCs w:val="22"/>
                <w:vertAlign w:val="superscript"/>
                <w:lang w:eastAsia="es-ES"/>
              </w:rPr>
              <w:t xml:space="preserve"> </w:t>
            </w:r>
            <w:r w:rsidRPr="00C454A1">
              <w:rPr>
                <w:color w:val="000000" w:themeColor="text1"/>
                <w:sz w:val="22"/>
                <w:szCs w:val="22"/>
                <w:vertAlign w:val="superscript"/>
                <w:lang w:eastAsia="es-ES"/>
              </w:rPr>
              <w:footnoteReference w:id="314"/>
            </w:r>
            <w:r w:rsidRPr="00C454A1">
              <w:rPr>
                <w:color w:val="000000" w:themeColor="text1"/>
                <w:sz w:val="22"/>
                <w:szCs w:val="22"/>
                <w:lang w:eastAsia="es-ES"/>
              </w:rPr>
              <w:t xml:space="preserve">. </w:t>
            </w:r>
          </w:p>
          <w:p w14:paraId="2FA39DA6" w14:textId="0648BBCB"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2023: 354</w:t>
            </w:r>
            <w:r w:rsidRPr="00C454A1">
              <w:rPr>
                <w:color w:val="000000" w:themeColor="text1"/>
                <w:sz w:val="22"/>
                <w:szCs w:val="22"/>
                <w:vertAlign w:val="superscript"/>
                <w:lang w:eastAsia="es-ES"/>
              </w:rPr>
              <w:footnoteReference w:id="315"/>
            </w:r>
            <w:r w:rsidRPr="00C454A1">
              <w:rPr>
                <w:color w:val="000000" w:themeColor="text1"/>
                <w:sz w:val="22"/>
                <w:szCs w:val="22"/>
                <w:lang w:eastAsia="es-ES"/>
              </w:rPr>
              <w:t>. La UARIV reportó 78 víctimas</w:t>
            </w:r>
            <w:r w:rsidR="00024A01" w:rsidRPr="00C454A1">
              <w:rPr>
                <w:color w:val="000000" w:themeColor="text1"/>
                <w:sz w:val="22"/>
                <w:szCs w:val="22"/>
                <w:lang w:eastAsia="es-ES"/>
              </w:rPr>
              <w:t xml:space="preserve"> registradas en el RUV</w:t>
            </w:r>
            <w:r w:rsidR="00024A01" w:rsidRPr="00C454A1">
              <w:rPr>
                <w:color w:val="000000" w:themeColor="text1"/>
                <w:sz w:val="22"/>
                <w:szCs w:val="22"/>
                <w:vertAlign w:val="superscript"/>
                <w:lang w:eastAsia="es-ES"/>
              </w:rPr>
              <w:t xml:space="preserve"> </w:t>
            </w:r>
            <w:r w:rsidRPr="00C454A1">
              <w:rPr>
                <w:color w:val="000000" w:themeColor="text1"/>
                <w:sz w:val="22"/>
                <w:szCs w:val="22"/>
                <w:vertAlign w:val="superscript"/>
                <w:lang w:eastAsia="es-ES"/>
              </w:rPr>
              <w:footnoteReference w:id="316"/>
            </w:r>
            <w:r w:rsidRPr="00C454A1">
              <w:rPr>
                <w:color w:val="000000" w:themeColor="text1"/>
                <w:sz w:val="22"/>
                <w:szCs w:val="22"/>
                <w:lang w:eastAsia="es-ES"/>
              </w:rPr>
              <w:t xml:space="preserve">. </w:t>
            </w:r>
          </w:p>
          <w:p w14:paraId="32E3AE04" w14:textId="57F74916"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2024: 332</w:t>
            </w:r>
            <w:r w:rsidRPr="00C454A1">
              <w:rPr>
                <w:color w:val="000000" w:themeColor="text1"/>
                <w:sz w:val="22"/>
                <w:szCs w:val="22"/>
                <w:vertAlign w:val="superscript"/>
                <w:lang w:eastAsia="es-ES"/>
              </w:rPr>
              <w:footnoteReference w:id="317"/>
            </w:r>
            <w:r w:rsidRPr="00C454A1">
              <w:rPr>
                <w:color w:val="000000" w:themeColor="text1"/>
                <w:sz w:val="22"/>
                <w:szCs w:val="22"/>
                <w:lang w:eastAsia="es-ES"/>
              </w:rPr>
              <w:t>. La URIV reportó 8 víctimas</w:t>
            </w:r>
            <w:r w:rsidR="00024A01" w:rsidRPr="00C454A1">
              <w:rPr>
                <w:color w:val="000000" w:themeColor="text1"/>
                <w:sz w:val="22"/>
                <w:szCs w:val="22"/>
                <w:lang w:eastAsia="es-ES"/>
              </w:rPr>
              <w:t xml:space="preserve"> registradas en el RUV</w:t>
            </w:r>
            <w:r w:rsidR="00024A01" w:rsidRPr="00C454A1">
              <w:rPr>
                <w:color w:val="000000" w:themeColor="text1"/>
                <w:sz w:val="22"/>
                <w:szCs w:val="22"/>
                <w:vertAlign w:val="superscript"/>
                <w:lang w:eastAsia="es-ES"/>
              </w:rPr>
              <w:t xml:space="preserve"> </w:t>
            </w:r>
            <w:r w:rsidRPr="00C454A1">
              <w:rPr>
                <w:color w:val="000000" w:themeColor="text1"/>
                <w:sz w:val="22"/>
                <w:szCs w:val="22"/>
                <w:vertAlign w:val="superscript"/>
                <w:lang w:eastAsia="es-ES"/>
              </w:rPr>
              <w:footnoteReference w:id="318"/>
            </w:r>
            <w:r w:rsidRPr="00C454A1">
              <w:rPr>
                <w:color w:val="000000" w:themeColor="text1"/>
                <w:sz w:val="22"/>
                <w:szCs w:val="22"/>
                <w:lang w:eastAsia="es-ES"/>
              </w:rPr>
              <w:t xml:space="preserve">. </w:t>
            </w:r>
          </w:p>
          <w:p w14:paraId="63979895"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2025</w:t>
            </w:r>
            <w:r w:rsidRPr="00C454A1">
              <w:rPr>
                <w:color w:val="000000" w:themeColor="text1"/>
                <w:sz w:val="22"/>
                <w:szCs w:val="22"/>
                <w:vertAlign w:val="superscript"/>
                <w:lang w:eastAsia="es-ES"/>
              </w:rPr>
              <w:footnoteReference w:id="319"/>
            </w:r>
            <w:r w:rsidRPr="00C454A1">
              <w:rPr>
                <w:color w:val="000000" w:themeColor="text1"/>
                <w:sz w:val="22"/>
                <w:szCs w:val="22"/>
                <w:lang w:eastAsia="es-ES"/>
              </w:rPr>
              <w:t>: 11.</w:t>
            </w:r>
          </w:p>
        </w:tc>
      </w:tr>
      <w:tr w:rsidR="00C454A1" w:rsidRPr="00C454A1" w14:paraId="6BC8452D" w14:textId="77777777" w:rsidTr="00F0349D">
        <w:tc>
          <w:tcPr>
            <w:tcW w:w="1980" w:type="dxa"/>
            <w:shd w:val="clear" w:color="auto" w:fill="D9D9D9" w:themeFill="background1" w:themeFillShade="D9"/>
            <w:vAlign w:val="center"/>
          </w:tcPr>
          <w:p w14:paraId="36839A25"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Desplazamientos forzados</w:t>
            </w:r>
          </w:p>
        </w:tc>
        <w:tc>
          <w:tcPr>
            <w:tcW w:w="6804" w:type="dxa"/>
          </w:tcPr>
          <w:p w14:paraId="71BD44D8"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2022: 24.191</w:t>
            </w:r>
            <w:r w:rsidRPr="00C454A1">
              <w:rPr>
                <w:color w:val="000000" w:themeColor="text1"/>
                <w:sz w:val="22"/>
                <w:szCs w:val="22"/>
                <w:vertAlign w:val="superscript"/>
                <w:lang w:eastAsia="es-ES"/>
              </w:rPr>
              <w:footnoteReference w:id="320"/>
            </w:r>
          </w:p>
          <w:p w14:paraId="050716A5"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2023: 18.137</w:t>
            </w:r>
            <w:r w:rsidRPr="00C454A1">
              <w:rPr>
                <w:color w:val="000000" w:themeColor="text1"/>
                <w:sz w:val="22"/>
                <w:szCs w:val="22"/>
                <w:vertAlign w:val="superscript"/>
                <w:lang w:eastAsia="es-ES"/>
              </w:rPr>
              <w:footnoteReference w:id="321"/>
            </w:r>
            <w:r w:rsidRPr="00C454A1">
              <w:rPr>
                <w:color w:val="000000" w:themeColor="text1"/>
                <w:sz w:val="22"/>
                <w:szCs w:val="22"/>
                <w:lang w:eastAsia="es-ES"/>
              </w:rPr>
              <w:t>.</w:t>
            </w:r>
          </w:p>
          <w:p w14:paraId="7BFC7B4C" w14:textId="2A07E83B"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2024: 7028</w:t>
            </w:r>
            <w:r w:rsidRPr="00C454A1">
              <w:rPr>
                <w:color w:val="000000" w:themeColor="text1"/>
                <w:sz w:val="22"/>
                <w:szCs w:val="22"/>
                <w:vertAlign w:val="superscript"/>
                <w:lang w:eastAsia="es-ES"/>
              </w:rPr>
              <w:footnoteReference w:id="322"/>
            </w:r>
            <w:r w:rsidRPr="00C454A1">
              <w:rPr>
                <w:color w:val="000000" w:themeColor="text1"/>
                <w:sz w:val="22"/>
                <w:szCs w:val="22"/>
                <w:lang w:eastAsia="es-ES"/>
              </w:rPr>
              <w:t xml:space="preserve">. </w:t>
            </w:r>
          </w:p>
          <w:p w14:paraId="20131E21" w14:textId="722795EC"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2025</w:t>
            </w:r>
            <w:r w:rsidRPr="00C454A1">
              <w:rPr>
                <w:color w:val="000000" w:themeColor="text1"/>
                <w:sz w:val="22"/>
                <w:szCs w:val="22"/>
                <w:vertAlign w:val="superscript"/>
                <w:lang w:eastAsia="es-ES"/>
              </w:rPr>
              <w:footnoteReference w:id="323"/>
            </w:r>
            <w:r w:rsidRPr="00C454A1">
              <w:rPr>
                <w:color w:val="000000" w:themeColor="text1"/>
                <w:sz w:val="22"/>
                <w:szCs w:val="22"/>
                <w:lang w:eastAsia="es-ES"/>
              </w:rPr>
              <w:t xml:space="preserve">: 40.282. </w:t>
            </w:r>
            <w:r w:rsidR="00024A01" w:rsidRPr="00C454A1">
              <w:rPr>
                <w:color w:val="000000" w:themeColor="text1"/>
                <w:sz w:val="22"/>
                <w:szCs w:val="22"/>
                <w:lang w:eastAsia="es-ES"/>
              </w:rPr>
              <w:t>E</w:t>
            </w:r>
            <w:r w:rsidRPr="00C454A1">
              <w:rPr>
                <w:color w:val="000000" w:themeColor="text1"/>
                <w:sz w:val="22"/>
                <w:szCs w:val="22"/>
                <w:lang w:eastAsia="es-ES"/>
              </w:rPr>
              <w:t>l Ministerio de Relaciones Exteriores informó que, para el 24 de enero de 2025, identificó 6981 personas extranjeras</w:t>
            </w:r>
            <w:r w:rsidRPr="00C454A1">
              <w:rPr>
                <w:color w:val="000000" w:themeColor="text1"/>
                <w:sz w:val="22"/>
                <w:szCs w:val="22"/>
                <w:vertAlign w:val="superscript"/>
                <w:lang w:eastAsia="es-ES"/>
              </w:rPr>
              <w:footnoteReference w:id="324"/>
            </w:r>
            <w:r w:rsidRPr="00C454A1">
              <w:rPr>
                <w:color w:val="000000" w:themeColor="text1"/>
                <w:sz w:val="22"/>
                <w:szCs w:val="22"/>
                <w:lang w:eastAsia="es-ES"/>
              </w:rPr>
              <w:t xml:space="preserve">. </w:t>
            </w:r>
          </w:p>
          <w:p w14:paraId="187793DC" w14:textId="77777777" w:rsidR="00950ED9" w:rsidRPr="00C454A1" w:rsidRDefault="00950ED9" w:rsidP="00631C27">
            <w:pPr>
              <w:rPr>
                <w:color w:val="000000" w:themeColor="text1"/>
                <w:kern w:val="2"/>
                <w:sz w:val="22"/>
                <w:szCs w:val="22"/>
                <w:lang w:eastAsia="es-ES"/>
                <w14:ligatures w14:val="standardContextual"/>
              </w:rPr>
            </w:pPr>
          </w:p>
          <w:p w14:paraId="3E70176B" w14:textId="5AB35D7F"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 xml:space="preserve">En cuando a los </w:t>
            </w:r>
            <w:r w:rsidRPr="00C454A1">
              <w:rPr>
                <w:b/>
                <w:bCs/>
                <w:color w:val="000000" w:themeColor="text1"/>
                <w:sz w:val="22"/>
                <w:szCs w:val="22"/>
                <w:lang w:eastAsia="es-ES"/>
              </w:rPr>
              <w:t>desplazamientos transfronterizos</w:t>
            </w:r>
            <w:r w:rsidRPr="00C454A1">
              <w:rPr>
                <w:b/>
                <w:color w:val="000000" w:themeColor="text1"/>
                <w:sz w:val="22"/>
                <w:szCs w:val="22"/>
                <w:lang w:eastAsia="es-ES"/>
              </w:rPr>
              <w:t xml:space="preserve">, </w:t>
            </w:r>
            <w:r w:rsidRPr="00C454A1">
              <w:rPr>
                <w:color w:val="000000" w:themeColor="text1"/>
                <w:sz w:val="22"/>
                <w:szCs w:val="22"/>
                <w:lang w:eastAsia="es-ES"/>
              </w:rPr>
              <w:t xml:space="preserve">el 20 de enero de 2025, </w:t>
            </w:r>
            <w:r w:rsidR="003843A3" w:rsidRPr="00C454A1">
              <w:rPr>
                <w:color w:val="000000" w:themeColor="text1"/>
                <w:sz w:val="22"/>
                <w:szCs w:val="22"/>
                <w:lang w:eastAsia="es-ES"/>
              </w:rPr>
              <w:t>OCHA</w:t>
            </w:r>
            <w:r w:rsidRPr="00C454A1">
              <w:rPr>
                <w:color w:val="000000" w:themeColor="text1"/>
                <w:sz w:val="22"/>
                <w:szCs w:val="22"/>
                <w:lang w:eastAsia="es-ES"/>
              </w:rPr>
              <w:t xml:space="preserve"> reportó que, aproximadamente 1000 colombianos “se desplazaron hacia Venezuela en búsqueda de protección internacional”</w:t>
            </w:r>
            <w:r w:rsidRPr="00C454A1">
              <w:rPr>
                <w:color w:val="000000" w:themeColor="text1"/>
                <w:sz w:val="22"/>
                <w:szCs w:val="22"/>
                <w:vertAlign w:val="superscript"/>
                <w:lang w:eastAsia="es-ES"/>
              </w:rPr>
              <w:footnoteReference w:id="325"/>
            </w:r>
            <w:r w:rsidRPr="00C454A1">
              <w:rPr>
                <w:color w:val="000000" w:themeColor="text1"/>
                <w:sz w:val="22"/>
                <w:szCs w:val="22"/>
                <w:lang w:eastAsia="es-ES"/>
              </w:rPr>
              <w:t>. Por su parte, el embajador de Colombia ante la República de Venezuela informó que “las personas desplazadas desde los diferentes sectores del Catatumbo del lado de Colombia […], alcanzó las 700 personas diarias los días viernes 17, sábado 18 y domingo 19” de 2025</w:t>
            </w:r>
            <w:r w:rsidRPr="00C454A1">
              <w:rPr>
                <w:color w:val="000000" w:themeColor="text1"/>
                <w:sz w:val="22"/>
                <w:szCs w:val="22"/>
                <w:vertAlign w:val="superscript"/>
                <w:lang w:eastAsia="es-ES"/>
              </w:rPr>
              <w:footnoteReference w:id="326"/>
            </w:r>
            <w:r w:rsidRPr="00C454A1">
              <w:rPr>
                <w:color w:val="000000" w:themeColor="text1"/>
                <w:sz w:val="22"/>
                <w:szCs w:val="22"/>
                <w:lang w:eastAsia="es-ES"/>
              </w:rPr>
              <w:t xml:space="preserve">. Agregó que los días 20 y 21 siguientes continuó “el paso de ciudadanos desplazados con una leve disminución </w:t>
            </w:r>
            <w:r w:rsidRPr="00C454A1">
              <w:rPr>
                <w:color w:val="000000" w:themeColor="text1"/>
                <w:sz w:val="22"/>
                <w:szCs w:val="22"/>
                <w:lang w:eastAsia="es-ES"/>
              </w:rPr>
              <w:lastRenderedPageBreak/>
              <w:t>calculando hasta 400 personas por día”</w:t>
            </w:r>
            <w:r w:rsidRPr="00C454A1">
              <w:rPr>
                <w:color w:val="000000" w:themeColor="text1"/>
                <w:sz w:val="22"/>
                <w:szCs w:val="22"/>
                <w:vertAlign w:val="superscript"/>
                <w:lang w:eastAsia="es-ES"/>
              </w:rPr>
              <w:footnoteReference w:id="327"/>
            </w:r>
            <w:r w:rsidRPr="00C454A1">
              <w:rPr>
                <w:color w:val="000000" w:themeColor="text1"/>
                <w:sz w:val="22"/>
                <w:szCs w:val="22"/>
                <w:lang w:eastAsia="es-ES"/>
              </w:rPr>
              <w:t>. Finalmente, indicó que el 21 de enero de 2025 “ingresaron al campamento humanitario 400 personas aproximadamente, lo que indica que continúan las hostilidades y el estado de zozobra en el Departamento de Norte de Santander”.</w:t>
            </w:r>
          </w:p>
          <w:p w14:paraId="6D3F3C0F" w14:textId="77777777" w:rsidR="00950ED9" w:rsidRPr="00C454A1" w:rsidRDefault="00950ED9" w:rsidP="00631C27">
            <w:pPr>
              <w:rPr>
                <w:color w:val="000000" w:themeColor="text1"/>
                <w:kern w:val="2"/>
                <w:sz w:val="22"/>
                <w:szCs w:val="22"/>
                <w:lang w:eastAsia="es-ES"/>
                <w14:ligatures w14:val="standardContextual"/>
              </w:rPr>
            </w:pPr>
          </w:p>
          <w:p w14:paraId="2DF003A3" w14:textId="48CC3166"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Además, el 23 de enero de 2025, la Subdirección de Verificación Migratoria</w:t>
            </w:r>
            <w:r w:rsidRPr="00C454A1">
              <w:rPr>
                <w:color w:val="000000" w:themeColor="text1"/>
                <w:sz w:val="22"/>
                <w:szCs w:val="22"/>
                <w:vertAlign w:val="superscript"/>
                <w:lang w:eastAsia="es-ES"/>
              </w:rPr>
              <w:footnoteReference w:id="328"/>
            </w:r>
            <w:r w:rsidRPr="00C454A1">
              <w:rPr>
                <w:color w:val="000000" w:themeColor="text1"/>
                <w:sz w:val="22"/>
                <w:szCs w:val="22"/>
                <w:lang w:eastAsia="es-ES"/>
              </w:rPr>
              <w:t xml:space="preserve"> indicó que, entre los días 18 y 23 de enero de 2025 se presentaron (i) 788 salidas y 728 ingresos de colombianos, y (ii) 4732 salidas y 3811 ingresos de personas extranjeras en Norte de Santander.</w:t>
            </w:r>
          </w:p>
        </w:tc>
      </w:tr>
      <w:tr w:rsidR="00C454A1" w:rsidRPr="00C454A1" w14:paraId="75BA6345" w14:textId="77777777" w:rsidTr="00F0349D">
        <w:tc>
          <w:tcPr>
            <w:tcW w:w="1980" w:type="dxa"/>
            <w:shd w:val="clear" w:color="auto" w:fill="D9D9D9" w:themeFill="background1" w:themeFillShade="D9"/>
            <w:vAlign w:val="center"/>
          </w:tcPr>
          <w:p w14:paraId="7D12BBB1"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lastRenderedPageBreak/>
              <w:t>Desapariciones forzadas</w:t>
            </w:r>
          </w:p>
        </w:tc>
        <w:tc>
          <w:tcPr>
            <w:tcW w:w="6804" w:type="dxa"/>
          </w:tcPr>
          <w:p w14:paraId="52B76851"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2022: 12</w:t>
            </w:r>
            <w:r w:rsidRPr="00C454A1">
              <w:rPr>
                <w:color w:val="000000" w:themeColor="text1"/>
                <w:sz w:val="22"/>
                <w:szCs w:val="22"/>
                <w:vertAlign w:val="superscript"/>
                <w:lang w:eastAsia="es-ES"/>
              </w:rPr>
              <w:footnoteReference w:id="329"/>
            </w:r>
            <w:r w:rsidRPr="00C454A1">
              <w:rPr>
                <w:color w:val="000000" w:themeColor="text1"/>
                <w:sz w:val="22"/>
                <w:szCs w:val="22"/>
                <w:lang w:eastAsia="es-ES"/>
              </w:rPr>
              <w:t>.</w:t>
            </w:r>
          </w:p>
          <w:p w14:paraId="6129BE5F"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2023: 11</w:t>
            </w:r>
            <w:r w:rsidRPr="00C454A1">
              <w:rPr>
                <w:color w:val="000000" w:themeColor="text1"/>
                <w:sz w:val="22"/>
                <w:szCs w:val="22"/>
                <w:vertAlign w:val="superscript"/>
                <w:lang w:eastAsia="es-ES"/>
              </w:rPr>
              <w:footnoteReference w:id="330"/>
            </w:r>
            <w:r w:rsidRPr="00C454A1">
              <w:rPr>
                <w:color w:val="000000" w:themeColor="text1"/>
                <w:sz w:val="22"/>
                <w:szCs w:val="22"/>
                <w:lang w:eastAsia="es-ES"/>
              </w:rPr>
              <w:t>.</w:t>
            </w:r>
          </w:p>
          <w:p w14:paraId="19791F47"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2024: 1</w:t>
            </w:r>
            <w:r w:rsidRPr="00C454A1">
              <w:rPr>
                <w:color w:val="000000" w:themeColor="text1"/>
                <w:sz w:val="22"/>
                <w:szCs w:val="22"/>
                <w:vertAlign w:val="superscript"/>
                <w:lang w:eastAsia="es-ES"/>
              </w:rPr>
              <w:footnoteReference w:id="331"/>
            </w:r>
            <w:r w:rsidRPr="00C454A1">
              <w:rPr>
                <w:color w:val="000000" w:themeColor="text1"/>
                <w:sz w:val="22"/>
                <w:szCs w:val="22"/>
                <w:lang w:eastAsia="es-ES"/>
              </w:rPr>
              <w:t>.</w:t>
            </w:r>
          </w:p>
          <w:p w14:paraId="56B19553"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2025: 12</w:t>
            </w:r>
            <w:r w:rsidRPr="00C454A1">
              <w:rPr>
                <w:color w:val="000000" w:themeColor="text1"/>
                <w:sz w:val="22"/>
                <w:szCs w:val="22"/>
                <w:vertAlign w:val="superscript"/>
                <w:lang w:eastAsia="es-ES"/>
              </w:rPr>
              <w:footnoteReference w:id="332"/>
            </w:r>
            <w:r w:rsidRPr="00C454A1">
              <w:rPr>
                <w:color w:val="000000" w:themeColor="text1"/>
                <w:sz w:val="22"/>
                <w:szCs w:val="22"/>
                <w:lang w:eastAsia="es-ES"/>
              </w:rPr>
              <w:t>.</w:t>
            </w:r>
          </w:p>
        </w:tc>
      </w:tr>
      <w:tr w:rsidR="00C454A1" w:rsidRPr="00C454A1" w14:paraId="0A105D8D" w14:textId="77777777" w:rsidTr="00F0349D">
        <w:tc>
          <w:tcPr>
            <w:tcW w:w="1980" w:type="dxa"/>
            <w:shd w:val="clear" w:color="auto" w:fill="D9D9D9" w:themeFill="background1" w:themeFillShade="D9"/>
            <w:vAlign w:val="center"/>
          </w:tcPr>
          <w:p w14:paraId="0A7F5145"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Confinamientos</w:t>
            </w:r>
          </w:p>
        </w:tc>
        <w:tc>
          <w:tcPr>
            <w:tcW w:w="6804" w:type="dxa"/>
          </w:tcPr>
          <w:p w14:paraId="515D79A4" w14:textId="73AF785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La UARIV reportó que, entre 2022 y 2024, hubo 58 víctimas incluidas en el RUV por confinamientos</w:t>
            </w:r>
            <w:r w:rsidRPr="00C454A1">
              <w:rPr>
                <w:color w:val="000000" w:themeColor="text1"/>
                <w:sz w:val="22"/>
                <w:szCs w:val="22"/>
                <w:vertAlign w:val="superscript"/>
                <w:lang w:eastAsia="es-ES"/>
              </w:rPr>
              <w:footnoteReference w:id="333"/>
            </w:r>
            <w:r w:rsidRPr="00C454A1">
              <w:rPr>
                <w:color w:val="000000" w:themeColor="text1"/>
                <w:sz w:val="22"/>
                <w:szCs w:val="22"/>
                <w:lang w:eastAsia="es-ES"/>
              </w:rPr>
              <w:t xml:space="preserve">. En contraste, para el 21 de enero de 2025 había 7122 personas confinadas, de conformidad con las consideraciones del Decreto 62 de 2025. </w:t>
            </w:r>
          </w:p>
        </w:tc>
      </w:tr>
      <w:tr w:rsidR="00C454A1" w:rsidRPr="00C454A1" w14:paraId="1CB5CAA8" w14:textId="77777777" w:rsidTr="00F0349D">
        <w:tc>
          <w:tcPr>
            <w:tcW w:w="1980" w:type="dxa"/>
            <w:shd w:val="clear" w:color="auto" w:fill="D9D9D9" w:themeFill="background1" w:themeFillShade="D9"/>
            <w:vAlign w:val="center"/>
          </w:tcPr>
          <w:p w14:paraId="30E19CF3"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Actos de terrorismo</w:t>
            </w:r>
            <w:r w:rsidRPr="00C454A1">
              <w:rPr>
                <w:b/>
                <w:bCs/>
                <w:color w:val="000000" w:themeColor="text1"/>
                <w:sz w:val="22"/>
                <w:szCs w:val="22"/>
                <w:vertAlign w:val="superscript"/>
                <w:lang w:eastAsia="es-ES"/>
              </w:rPr>
              <w:footnoteReference w:id="334"/>
            </w:r>
          </w:p>
        </w:tc>
        <w:tc>
          <w:tcPr>
            <w:tcW w:w="6804" w:type="dxa"/>
          </w:tcPr>
          <w:p w14:paraId="5A4EEEFE"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 xml:space="preserve">2022: 74. </w:t>
            </w:r>
          </w:p>
          <w:p w14:paraId="21336283"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2023: 34.</w:t>
            </w:r>
          </w:p>
          <w:p w14:paraId="4B570611"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2024: 15.</w:t>
            </w:r>
          </w:p>
          <w:p w14:paraId="6490A925"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2025: 1.</w:t>
            </w:r>
          </w:p>
        </w:tc>
      </w:tr>
      <w:tr w:rsidR="00950ED9" w:rsidRPr="00C454A1" w14:paraId="15980006" w14:textId="77777777" w:rsidTr="00F0349D">
        <w:tc>
          <w:tcPr>
            <w:tcW w:w="1980" w:type="dxa"/>
            <w:shd w:val="clear" w:color="auto" w:fill="D9D9D9" w:themeFill="background1" w:themeFillShade="D9"/>
            <w:vAlign w:val="center"/>
          </w:tcPr>
          <w:p w14:paraId="052C5D2F"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Amenaza</w:t>
            </w:r>
          </w:p>
        </w:tc>
        <w:tc>
          <w:tcPr>
            <w:tcW w:w="6804" w:type="dxa"/>
          </w:tcPr>
          <w:p w14:paraId="11FF98DD" w14:textId="3FBBDDE9"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 xml:space="preserve">La UARIV reportó 3852 víctimas (2022), 4655 (2023) y 2638 (2024) inscritas en el </w:t>
            </w:r>
            <w:r w:rsidR="003843A3" w:rsidRPr="00C454A1">
              <w:rPr>
                <w:color w:val="000000" w:themeColor="text1"/>
                <w:sz w:val="22"/>
                <w:szCs w:val="22"/>
                <w:lang w:eastAsia="es-ES"/>
              </w:rPr>
              <w:t>Registro Único de Víctimas (</w:t>
            </w:r>
            <w:r w:rsidRPr="00C454A1">
              <w:rPr>
                <w:color w:val="000000" w:themeColor="text1"/>
                <w:sz w:val="22"/>
                <w:szCs w:val="22"/>
                <w:lang w:eastAsia="es-ES"/>
              </w:rPr>
              <w:t>RUV</w:t>
            </w:r>
            <w:r w:rsidR="003843A3" w:rsidRPr="00C454A1">
              <w:rPr>
                <w:color w:val="000000" w:themeColor="text1"/>
                <w:sz w:val="22"/>
                <w:szCs w:val="22"/>
                <w:lang w:eastAsia="es-ES"/>
              </w:rPr>
              <w:t>)</w:t>
            </w:r>
            <w:r w:rsidRPr="00C454A1">
              <w:rPr>
                <w:color w:val="000000" w:themeColor="text1"/>
                <w:sz w:val="22"/>
                <w:szCs w:val="22"/>
                <w:lang w:eastAsia="es-ES"/>
              </w:rPr>
              <w:t>. Los hechos habrían ocurrido en Ábrego, Convención, El Carmen, El Tarra, Hacarí, La Playa, Ocaña, San Calixto, Sardinata, Teorama, Tibú, Cúcuta, El Zulia, Los Patios, Puerto Santander, San Cayetano, Villa del Rosario, González y Río de Oro.</w:t>
            </w:r>
          </w:p>
        </w:tc>
      </w:tr>
    </w:tbl>
    <w:p w14:paraId="21246832" w14:textId="77777777" w:rsidR="00950ED9" w:rsidRPr="00C454A1" w:rsidRDefault="00950ED9" w:rsidP="00631C27">
      <w:pPr>
        <w:rPr>
          <w:color w:val="000000" w:themeColor="text1"/>
          <w:lang w:eastAsia="es-ES"/>
        </w:rPr>
      </w:pPr>
    </w:p>
    <w:p w14:paraId="0CBE0A0E" w14:textId="3D11523E" w:rsidR="00950ED9" w:rsidRPr="00C454A1" w:rsidRDefault="00EC7A00" w:rsidP="00321FAF">
      <w:pPr>
        <w:numPr>
          <w:ilvl w:val="0"/>
          <w:numId w:val="2"/>
        </w:numPr>
        <w:ind w:left="0" w:firstLine="0"/>
        <w:rPr>
          <w:color w:val="000000" w:themeColor="text1"/>
          <w:lang w:eastAsia="es-ES"/>
        </w:rPr>
      </w:pPr>
      <w:bookmarkStart w:id="191" w:name="_Ref203395980"/>
      <w:r w:rsidRPr="00C454A1">
        <w:rPr>
          <w:color w:val="000000" w:themeColor="text1"/>
          <w:lang w:eastAsia="es-ES"/>
        </w:rPr>
        <w:t>E</w:t>
      </w:r>
      <w:r w:rsidR="00950ED9" w:rsidRPr="00C454A1">
        <w:rPr>
          <w:color w:val="000000" w:themeColor="text1"/>
          <w:lang w:eastAsia="es-ES"/>
        </w:rPr>
        <w:t xml:space="preserve">stos datos evidencian que, a partir de enero de 2025, se ha producido un incremento inusitado de ataques </w:t>
      </w:r>
      <w:r w:rsidR="00800C12" w:rsidRPr="00C454A1">
        <w:rPr>
          <w:color w:val="000000" w:themeColor="text1"/>
          <w:lang w:eastAsia="es-ES"/>
        </w:rPr>
        <w:t>contr</w:t>
      </w:r>
      <w:r w:rsidR="00950ED9" w:rsidRPr="00C454A1">
        <w:rPr>
          <w:color w:val="000000" w:themeColor="text1"/>
          <w:lang w:eastAsia="es-ES"/>
        </w:rPr>
        <w:t>a la población civil. Estos ataques han acaecido en un periodo particularmente corto, lo que corrobora su carácter extraordinario:</w:t>
      </w:r>
      <w:bookmarkEnd w:id="191"/>
    </w:p>
    <w:p w14:paraId="719474EE" w14:textId="77777777" w:rsidR="00950ED9" w:rsidRPr="00C454A1" w:rsidRDefault="00950ED9" w:rsidP="00631C27">
      <w:pPr>
        <w:rPr>
          <w:color w:val="000000" w:themeColor="text1"/>
          <w:lang w:eastAsia="es-ES"/>
        </w:rPr>
      </w:pPr>
    </w:p>
    <w:p w14:paraId="6756B0FD" w14:textId="5B54EC0F" w:rsidR="00950ED9" w:rsidRPr="00C454A1" w:rsidRDefault="00950ED9" w:rsidP="00321FAF">
      <w:pPr>
        <w:numPr>
          <w:ilvl w:val="0"/>
          <w:numId w:val="2"/>
        </w:numPr>
        <w:ind w:left="0" w:firstLine="0"/>
        <w:rPr>
          <w:color w:val="000000" w:themeColor="text1"/>
          <w:lang w:eastAsia="es-ES"/>
        </w:rPr>
      </w:pPr>
      <w:r w:rsidRPr="00C454A1">
        <w:rPr>
          <w:i/>
          <w:iCs/>
          <w:color w:val="000000" w:themeColor="text1"/>
          <w:lang w:eastAsia="es-ES"/>
        </w:rPr>
        <w:t>Homicidios y lesiones personales</w:t>
      </w:r>
      <w:r w:rsidRPr="00C454A1">
        <w:rPr>
          <w:color w:val="000000" w:themeColor="text1"/>
          <w:lang w:eastAsia="es-ES"/>
        </w:rPr>
        <w:t xml:space="preserve">. </w:t>
      </w:r>
      <w:r w:rsidR="00EC7A00" w:rsidRPr="00C454A1">
        <w:rPr>
          <w:color w:val="000000" w:themeColor="text1"/>
          <w:lang w:eastAsia="es-ES"/>
        </w:rPr>
        <w:t>Lo primero que hay que advertir es que</w:t>
      </w:r>
      <w:r w:rsidRPr="00C454A1">
        <w:rPr>
          <w:color w:val="000000" w:themeColor="text1"/>
          <w:lang w:eastAsia="es-ES"/>
        </w:rPr>
        <w:t xml:space="preserve"> el número de víctimas </w:t>
      </w:r>
      <w:r w:rsidR="00F55A8E" w:rsidRPr="00C454A1">
        <w:rPr>
          <w:color w:val="000000" w:themeColor="text1"/>
          <w:lang w:eastAsia="es-ES"/>
        </w:rPr>
        <w:t xml:space="preserve">reportado en </w:t>
      </w:r>
      <w:r w:rsidRPr="00C454A1">
        <w:rPr>
          <w:color w:val="000000" w:themeColor="text1"/>
          <w:lang w:eastAsia="es-ES"/>
        </w:rPr>
        <w:t xml:space="preserve">2025 </w:t>
      </w:r>
      <w:r w:rsidR="00F55A8E" w:rsidRPr="00C454A1">
        <w:rPr>
          <w:color w:val="000000" w:themeColor="text1"/>
          <w:lang w:eastAsia="es-ES"/>
        </w:rPr>
        <w:t xml:space="preserve">por estos hechos </w:t>
      </w:r>
      <w:r w:rsidRPr="00C454A1">
        <w:rPr>
          <w:color w:val="000000" w:themeColor="text1"/>
          <w:lang w:eastAsia="es-ES"/>
        </w:rPr>
        <w:t xml:space="preserve">supera el </w:t>
      </w:r>
      <w:r w:rsidR="00800C12" w:rsidRPr="00C454A1">
        <w:rPr>
          <w:color w:val="000000" w:themeColor="text1"/>
          <w:lang w:eastAsia="es-ES"/>
        </w:rPr>
        <w:t>número de</w:t>
      </w:r>
      <w:r w:rsidRPr="00C454A1">
        <w:rPr>
          <w:color w:val="000000" w:themeColor="text1"/>
          <w:lang w:eastAsia="es-ES"/>
        </w:rPr>
        <w:t xml:space="preserve"> víctimas inscritas en el RUV en </w:t>
      </w:r>
      <w:r w:rsidR="00F55A8E" w:rsidRPr="00C454A1">
        <w:rPr>
          <w:color w:val="000000" w:themeColor="text1"/>
          <w:lang w:eastAsia="es-ES"/>
        </w:rPr>
        <w:t xml:space="preserve">todo el </w:t>
      </w:r>
      <w:r w:rsidRPr="00C454A1">
        <w:rPr>
          <w:color w:val="000000" w:themeColor="text1"/>
          <w:lang w:eastAsia="es-ES"/>
        </w:rPr>
        <w:t>2024</w:t>
      </w:r>
      <w:r w:rsidR="00800C12" w:rsidRPr="00C454A1">
        <w:rPr>
          <w:color w:val="000000" w:themeColor="text1"/>
          <w:lang w:eastAsia="es-ES"/>
        </w:rPr>
        <w:t xml:space="preserve"> por los mismos hechos victimizantes</w:t>
      </w:r>
      <w:r w:rsidRPr="00C454A1">
        <w:rPr>
          <w:color w:val="000000" w:themeColor="text1"/>
          <w:lang w:eastAsia="es-ES"/>
        </w:rPr>
        <w:t xml:space="preserve">. </w:t>
      </w:r>
      <w:r w:rsidR="00F55A8E" w:rsidRPr="00C454A1">
        <w:rPr>
          <w:color w:val="000000" w:themeColor="text1"/>
          <w:lang w:eastAsia="es-ES"/>
        </w:rPr>
        <w:t>Además</w:t>
      </w:r>
      <w:r w:rsidRPr="00C454A1">
        <w:rPr>
          <w:color w:val="000000" w:themeColor="text1"/>
          <w:lang w:eastAsia="es-ES"/>
        </w:rPr>
        <w:t xml:space="preserve">, los hechos </w:t>
      </w:r>
      <w:r w:rsidR="00F55A8E" w:rsidRPr="00C454A1">
        <w:rPr>
          <w:color w:val="000000" w:themeColor="text1"/>
          <w:lang w:eastAsia="es-ES"/>
        </w:rPr>
        <w:t>victimizantes que han dado lugar al aumento del número de víctimas</w:t>
      </w:r>
      <w:r w:rsidRPr="00C454A1">
        <w:rPr>
          <w:color w:val="000000" w:themeColor="text1"/>
          <w:lang w:eastAsia="es-ES"/>
        </w:rPr>
        <w:t xml:space="preserve"> </w:t>
      </w:r>
      <w:r w:rsidR="00F55A8E" w:rsidRPr="00C454A1">
        <w:rPr>
          <w:color w:val="000000" w:themeColor="text1"/>
          <w:lang w:eastAsia="es-ES"/>
        </w:rPr>
        <w:t>se presentaron tan sólo</w:t>
      </w:r>
      <w:r w:rsidRPr="00C454A1">
        <w:rPr>
          <w:color w:val="000000" w:themeColor="text1"/>
          <w:lang w:eastAsia="es-ES"/>
        </w:rPr>
        <w:t xml:space="preserve"> en los primeros días del mes de enero. En efecto, esta información fue reportada en el Boletín número 2 de 22 </w:t>
      </w:r>
      <w:r w:rsidRPr="00C454A1">
        <w:rPr>
          <w:color w:val="000000" w:themeColor="text1"/>
          <w:lang w:eastAsia="es-ES"/>
        </w:rPr>
        <w:lastRenderedPageBreak/>
        <w:t xml:space="preserve">de enero de 2025 del PMU </w:t>
      </w:r>
      <w:r w:rsidR="00800C12" w:rsidRPr="00C454A1">
        <w:rPr>
          <w:color w:val="000000" w:themeColor="text1"/>
          <w:lang w:eastAsia="es-ES"/>
        </w:rPr>
        <w:t>Norte de Santander</w:t>
      </w:r>
      <w:r w:rsidRPr="00C454A1">
        <w:rPr>
          <w:color w:val="000000" w:themeColor="text1"/>
          <w:lang w:eastAsia="es-ES"/>
        </w:rPr>
        <w:t xml:space="preserve">. En todo caso, la Corte no puede perder de vista, esta vez desde una perspectiva cualitativa, que las graves afectaciones a los derechos de la población civil tienen lugar en un marco de modificación de las formas de violencia en la región que, como se explicó en precedencia, pasó de ataques entre la fuerza pública y estructuras armadas, a atentados de estas últimas en contra de civiles. </w:t>
      </w:r>
    </w:p>
    <w:p w14:paraId="03D0D4B9" w14:textId="77777777" w:rsidR="00950ED9" w:rsidRPr="00C454A1" w:rsidRDefault="00950ED9" w:rsidP="00631C27">
      <w:pPr>
        <w:rPr>
          <w:color w:val="000000" w:themeColor="text1"/>
          <w:lang w:eastAsia="es-ES"/>
        </w:rPr>
      </w:pPr>
    </w:p>
    <w:p w14:paraId="7D7D6584" w14:textId="39DFFE57" w:rsidR="00950ED9" w:rsidRPr="00C454A1" w:rsidRDefault="00950ED9" w:rsidP="00321FAF">
      <w:pPr>
        <w:numPr>
          <w:ilvl w:val="0"/>
          <w:numId w:val="2"/>
        </w:numPr>
        <w:ind w:left="0" w:firstLine="0"/>
        <w:rPr>
          <w:color w:val="000000" w:themeColor="text1"/>
          <w:lang w:eastAsia="es-ES"/>
        </w:rPr>
      </w:pPr>
      <w:r w:rsidRPr="00C454A1">
        <w:rPr>
          <w:i/>
          <w:iCs/>
          <w:color w:val="000000" w:themeColor="text1"/>
          <w:lang w:eastAsia="es-ES"/>
        </w:rPr>
        <w:t>Desapariciones forzadas</w:t>
      </w:r>
      <w:r w:rsidRPr="00C454A1">
        <w:rPr>
          <w:color w:val="000000" w:themeColor="text1"/>
          <w:lang w:eastAsia="es-ES"/>
        </w:rPr>
        <w:t xml:space="preserve">. La Corte </w:t>
      </w:r>
      <w:r w:rsidR="00DA04A5" w:rsidRPr="00C454A1">
        <w:rPr>
          <w:color w:val="000000" w:themeColor="text1"/>
          <w:lang w:eastAsia="es-ES"/>
        </w:rPr>
        <w:t xml:space="preserve">observa </w:t>
      </w:r>
      <w:r w:rsidRPr="00C454A1">
        <w:rPr>
          <w:color w:val="000000" w:themeColor="text1"/>
          <w:lang w:eastAsia="es-ES"/>
        </w:rPr>
        <w:t>que</w:t>
      </w:r>
      <w:r w:rsidR="007B40BB" w:rsidRPr="00C454A1">
        <w:rPr>
          <w:color w:val="000000" w:themeColor="text1"/>
          <w:lang w:eastAsia="es-ES"/>
        </w:rPr>
        <w:t>,</w:t>
      </w:r>
      <w:r w:rsidRPr="00C454A1">
        <w:rPr>
          <w:color w:val="000000" w:themeColor="text1"/>
          <w:lang w:eastAsia="es-ES"/>
        </w:rPr>
        <w:t xml:space="preserve"> con corte al 22 de enero de 2025</w:t>
      </w:r>
      <w:r w:rsidR="007B40BB" w:rsidRPr="00C454A1">
        <w:rPr>
          <w:color w:val="000000" w:themeColor="text1"/>
          <w:lang w:eastAsia="es-ES"/>
        </w:rPr>
        <w:t>,</w:t>
      </w:r>
      <w:r w:rsidRPr="00C454A1">
        <w:rPr>
          <w:color w:val="000000" w:themeColor="text1"/>
          <w:lang w:eastAsia="es-ES"/>
        </w:rPr>
        <w:t xml:space="preserve"> habían sido reportadas 12 víctimas de desaparición forzad</w:t>
      </w:r>
      <w:r w:rsidR="0005390D" w:rsidRPr="00C454A1">
        <w:rPr>
          <w:color w:val="000000" w:themeColor="text1"/>
          <w:lang w:eastAsia="es-ES"/>
        </w:rPr>
        <w:t>a</w:t>
      </w:r>
      <w:r w:rsidRPr="00C454A1">
        <w:rPr>
          <w:color w:val="000000" w:themeColor="text1"/>
          <w:lang w:eastAsia="es-ES"/>
        </w:rPr>
        <w:t>. Esta cifra iguala la de 2022</w:t>
      </w:r>
      <w:r w:rsidR="007B40BB" w:rsidRPr="00C454A1">
        <w:rPr>
          <w:color w:val="000000" w:themeColor="text1"/>
          <w:lang w:eastAsia="es-ES"/>
        </w:rPr>
        <w:t>,</w:t>
      </w:r>
      <w:r w:rsidRPr="00C454A1">
        <w:rPr>
          <w:color w:val="000000" w:themeColor="text1"/>
          <w:lang w:eastAsia="es-ES"/>
        </w:rPr>
        <w:t xml:space="preserve"> que, hasta el momento, era la más alta reportada en el RUV en los últimos cinco años. Si bien el número de personas desaparecidas forzadamente no constituye un nuevo máximo histórico, en todo caso sí llega al nivel más alto registrado</w:t>
      </w:r>
      <w:r w:rsidR="00F55A8E" w:rsidRPr="00C454A1">
        <w:rPr>
          <w:color w:val="000000" w:themeColor="text1"/>
          <w:lang w:eastAsia="es-ES"/>
        </w:rPr>
        <w:t xml:space="preserve"> en los últimos años</w:t>
      </w:r>
      <w:r w:rsidRPr="00C454A1">
        <w:rPr>
          <w:color w:val="000000" w:themeColor="text1"/>
          <w:lang w:eastAsia="es-ES"/>
        </w:rPr>
        <w:t xml:space="preserve">. </w:t>
      </w:r>
    </w:p>
    <w:p w14:paraId="4EAC6E84" w14:textId="77777777" w:rsidR="00950ED9" w:rsidRPr="00C454A1" w:rsidRDefault="00950ED9" w:rsidP="00631C27">
      <w:pPr>
        <w:rPr>
          <w:color w:val="000000" w:themeColor="text1"/>
          <w:lang w:eastAsia="es-ES"/>
        </w:rPr>
      </w:pPr>
    </w:p>
    <w:p w14:paraId="5439EF51" w14:textId="1AA6F2BE" w:rsidR="00A85DF3" w:rsidRPr="00C454A1" w:rsidRDefault="00FB73BA" w:rsidP="00321FAF">
      <w:pPr>
        <w:pStyle w:val="Prrafodelista"/>
        <w:numPr>
          <w:ilvl w:val="0"/>
          <w:numId w:val="2"/>
        </w:numPr>
        <w:ind w:left="0" w:firstLine="0"/>
        <w:rPr>
          <w:color w:val="000000" w:themeColor="text1"/>
          <w:lang w:eastAsia="es-ES"/>
        </w:rPr>
      </w:pPr>
      <w:bookmarkStart w:id="192" w:name="_Ref219371306"/>
      <w:r w:rsidRPr="00C454A1">
        <w:rPr>
          <w:i/>
          <w:iCs/>
          <w:color w:val="000000" w:themeColor="text1"/>
          <w:lang w:eastAsia="es-ES"/>
        </w:rPr>
        <w:t>Desplazamiento forzado</w:t>
      </w:r>
      <w:r w:rsidRPr="00C454A1">
        <w:rPr>
          <w:color w:val="000000" w:themeColor="text1"/>
          <w:lang w:eastAsia="es-ES"/>
        </w:rPr>
        <w:t xml:space="preserve">. La Defensoría del Pueblo calificó el desplazamiento forzado </w:t>
      </w:r>
      <w:r w:rsidRPr="00C454A1">
        <w:rPr>
          <w:i/>
          <w:iCs/>
          <w:color w:val="000000" w:themeColor="text1"/>
          <w:lang w:eastAsia="es-ES"/>
        </w:rPr>
        <w:t>interno</w:t>
      </w:r>
      <w:r w:rsidRPr="00C454A1">
        <w:rPr>
          <w:color w:val="000000" w:themeColor="text1"/>
          <w:lang w:eastAsia="es-ES"/>
        </w:rPr>
        <w:t xml:space="preserve"> que tuvo lugar en la región del Catatumbo en enero de 2025, “como el más grande de la historia reciente del país”</w:t>
      </w:r>
      <w:r w:rsidRPr="00C454A1">
        <w:rPr>
          <w:color w:val="000000" w:themeColor="text1"/>
          <w:vertAlign w:val="superscript"/>
          <w:lang w:eastAsia="es-ES"/>
        </w:rPr>
        <w:footnoteReference w:id="335"/>
      </w:r>
      <w:r w:rsidRPr="00C454A1">
        <w:rPr>
          <w:color w:val="000000" w:themeColor="text1"/>
          <w:lang w:eastAsia="es-ES"/>
        </w:rPr>
        <w:t>. La Sala Plena resalta que el examen compara</w:t>
      </w:r>
      <w:r w:rsidR="00024A01" w:rsidRPr="00C454A1">
        <w:rPr>
          <w:color w:val="000000" w:themeColor="text1"/>
          <w:lang w:eastAsia="es-ES"/>
        </w:rPr>
        <w:t>tiv</w:t>
      </w:r>
      <w:r w:rsidR="00F55A8E" w:rsidRPr="00C454A1">
        <w:rPr>
          <w:color w:val="000000" w:themeColor="text1"/>
          <w:lang w:eastAsia="es-ES"/>
        </w:rPr>
        <w:t xml:space="preserve">o </w:t>
      </w:r>
      <w:r w:rsidRPr="00C454A1">
        <w:rPr>
          <w:color w:val="000000" w:themeColor="text1"/>
          <w:lang w:eastAsia="es-ES"/>
        </w:rPr>
        <w:t xml:space="preserve">de las cifras de desplazamiento reportadas en los primeros meses </w:t>
      </w:r>
      <w:r w:rsidR="00E53F28" w:rsidRPr="00C454A1">
        <w:rPr>
          <w:color w:val="000000" w:themeColor="text1"/>
          <w:lang w:eastAsia="es-ES"/>
        </w:rPr>
        <w:t>de</w:t>
      </w:r>
      <w:r w:rsidRPr="00C454A1">
        <w:rPr>
          <w:color w:val="000000" w:themeColor="text1"/>
          <w:lang w:eastAsia="es-ES"/>
        </w:rPr>
        <w:t xml:space="preserve"> 2025 con los máximos históricos refleja la magnitud y</w:t>
      </w:r>
      <w:r w:rsidR="00024A01" w:rsidRPr="00C454A1">
        <w:rPr>
          <w:color w:val="000000" w:themeColor="text1"/>
          <w:lang w:eastAsia="es-ES"/>
        </w:rPr>
        <w:t xml:space="preserve"> la</w:t>
      </w:r>
      <w:r w:rsidRPr="00C454A1">
        <w:rPr>
          <w:color w:val="000000" w:themeColor="text1"/>
          <w:lang w:eastAsia="es-ES"/>
        </w:rPr>
        <w:t xml:space="preserve"> excepcionalidad del fenómeno. </w:t>
      </w:r>
      <w:r w:rsidR="008344CF" w:rsidRPr="00C454A1">
        <w:rPr>
          <w:color w:val="000000" w:themeColor="text1"/>
          <w:lang w:eastAsia="es-ES"/>
        </w:rPr>
        <w:t xml:space="preserve">En la historia reciente del país no se había registrado un aumento tan pronunciado del desplazamiento forzado concentrado en un periodo tan breve: dos meses. </w:t>
      </w:r>
      <w:r w:rsidRPr="00C454A1">
        <w:rPr>
          <w:color w:val="000000" w:themeColor="text1"/>
          <w:lang w:eastAsia="es-ES"/>
        </w:rPr>
        <w:t>La UARIV, con base en el RUV, informó que entre 2022 y 2024 se registraron 49.908 víctimas de desplazamiento forzado en la región bajo conmoción interior</w:t>
      </w:r>
      <w:r w:rsidRPr="00C454A1">
        <w:rPr>
          <w:rStyle w:val="Refdenotaalpie"/>
          <w:color w:val="000000" w:themeColor="text1"/>
          <w:lang w:eastAsia="es-ES"/>
        </w:rPr>
        <w:footnoteReference w:id="336"/>
      </w:r>
      <w:r w:rsidR="00EF071F" w:rsidRPr="00C454A1">
        <w:rPr>
          <w:color w:val="000000" w:themeColor="text1"/>
          <w:lang w:eastAsia="es-ES"/>
        </w:rPr>
        <w:t>.</w:t>
      </w:r>
      <w:r w:rsidRPr="00C454A1">
        <w:rPr>
          <w:color w:val="000000" w:themeColor="text1"/>
          <w:lang w:eastAsia="es-ES"/>
        </w:rPr>
        <w:t xml:space="preserve"> El pico anual de este periodo se registró en 2022 con 24.191, mientras que el promedio del trienio fue de 16.636. En contraste, </w:t>
      </w:r>
      <w:r w:rsidR="00024A01" w:rsidRPr="00C454A1">
        <w:rPr>
          <w:color w:val="000000" w:themeColor="text1"/>
          <w:lang w:eastAsia="es-ES"/>
        </w:rPr>
        <w:t>datos del</w:t>
      </w:r>
      <w:r w:rsidRPr="00C454A1">
        <w:rPr>
          <w:color w:val="000000" w:themeColor="text1"/>
          <w:lang w:eastAsia="es-ES"/>
        </w:rPr>
        <w:t xml:space="preserve"> PMU de Norte de Santander revel</w:t>
      </w:r>
      <w:r w:rsidR="00024A01" w:rsidRPr="00C454A1">
        <w:rPr>
          <w:color w:val="000000" w:themeColor="text1"/>
          <w:lang w:eastAsia="es-ES"/>
        </w:rPr>
        <w:t>an</w:t>
      </w:r>
      <w:r w:rsidRPr="00C454A1">
        <w:rPr>
          <w:color w:val="000000" w:themeColor="text1"/>
          <w:lang w:eastAsia="es-ES"/>
        </w:rPr>
        <w:t xml:space="preserve"> un drástico aumento en los primeros 22 días de 2025, alcanzando la cifra de </w:t>
      </w:r>
      <w:r w:rsidRPr="00C454A1">
        <w:rPr>
          <w:color w:val="000000" w:themeColor="text1"/>
        </w:rPr>
        <w:t>40.282 personas desplazadas</w:t>
      </w:r>
      <w:r w:rsidRPr="00C454A1">
        <w:rPr>
          <w:rStyle w:val="Refdenotaalpie"/>
          <w:color w:val="000000" w:themeColor="text1"/>
          <w:lang w:eastAsia="es-ES"/>
        </w:rPr>
        <w:footnoteReference w:id="337"/>
      </w:r>
      <w:r w:rsidR="00E53F28" w:rsidRPr="00C454A1">
        <w:rPr>
          <w:color w:val="000000" w:themeColor="text1"/>
        </w:rPr>
        <w:t>.</w:t>
      </w:r>
      <w:r w:rsidRPr="00C454A1">
        <w:rPr>
          <w:color w:val="000000" w:themeColor="text1"/>
          <w:lang w:eastAsia="es-ES"/>
        </w:rPr>
        <w:t xml:space="preserve"> Esto representa un incremento de aproximadamente el 67% respecto al total de desplazados de todo el año 2022 en la región del Catatumbo y de aproximadamente el 142% en comparación con el promedio anual del trienio anterior</w:t>
      </w:r>
      <w:r w:rsidR="008344CF" w:rsidRPr="00C454A1">
        <w:rPr>
          <w:color w:val="000000" w:themeColor="text1"/>
          <w:lang w:eastAsia="es-ES"/>
        </w:rPr>
        <w:t xml:space="preserve"> en la región</w:t>
      </w:r>
      <w:r w:rsidRPr="00C454A1">
        <w:rPr>
          <w:color w:val="000000" w:themeColor="text1"/>
          <w:lang w:eastAsia="es-ES"/>
        </w:rPr>
        <w:t xml:space="preserve">. </w:t>
      </w:r>
      <w:r w:rsidR="008344CF" w:rsidRPr="00C454A1">
        <w:rPr>
          <w:color w:val="000000" w:themeColor="text1"/>
          <w:lang w:eastAsia="es-ES"/>
        </w:rPr>
        <w:t xml:space="preserve">Como se indicó en el fundamento jurídico </w:t>
      </w:r>
      <w:r w:rsidR="008344CF" w:rsidRPr="00C454A1">
        <w:rPr>
          <w:color w:val="000000" w:themeColor="text1"/>
          <w:lang w:eastAsia="es-ES"/>
        </w:rPr>
        <w:fldChar w:fldCharType="begin"/>
      </w:r>
      <w:r w:rsidR="008344CF" w:rsidRPr="00C454A1">
        <w:rPr>
          <w:color w:val="000000" w:themeColor="text1"/>
          <w:lang w:eastAsia="es-ES"/>
        </w:rPr>
        <w:instrText xml:space="preserve"> REF _Ref219368155 \r \h </w:instrText>
      </w:r>
      <w:r w:rsidR="00DD0E75" w:rsidRPr="00C454A1">
        <w:rPr>
          <w:color w:val="000000" w:themeColor="text1"/>
          <w:lang w:eastAsia="es-ES"/>
        </w:rPr>
        <w:instrText xml:space="preserve"> \* MERGEFORMAT </w:instrText>
      </w:r>
      <w:r w:rsidR="008344CF" w:rsidRPr="00C454A1">
        <w:rPr>
          <w:color w:val="000000" w:themeColor="text1"/>
          <w:lang w:eastAsia="es-ES"/>
        </w:rPr>
      </w:r>
      <w:r w:rsidR="008344CF" w:rsidRPr="00C454A1">
        <w:rPr>
          <w:color w:val="000000" w:themeColor="text1"/>
          <w:lang w:eastAsia="es-ES"/>
        </w:rPr>
        <w:fldChar w:fldCharType="separate"/>
      </w:r>
      <w:r w:rsidR="00881E6A">
        <w:rPr>
          <w:color w:val="000000" w:themeColor="text1"/>
          <w:lang w:eastAsia="es-ES"/>
        </w:rPr>
        <w:t>173</w:t>
      </w:r>
      <w:r w:rsidR="008344CF" w:rsidRPr="00C454A1">
        <w:rPr>
          <w:color w:val="000000" w:themeColor="text1"/>
          <w:lang w:eastAsia="es-ES"/>
        </w:rPr>
        <w:fldChar w:fldCharType="end"/>
      </w:r>
      <w:r w:rsidR="008344CF" w:rsidRPr="00C454A1">
        <w:rPr>
          <w:color w:val="000000" w:themeColor="text1"/>
          <w:lang w:eastAsia="es-ES"/>
        </w:rPr>
        <w:t>, la Defensoría del Pueblo estima además que el número de personas desplazadas llegó a 61.615</w:t>
      </w:r>
      <w:r w:rsidR="009433A8" w:rsidRPr="00C454A1">
        <w:rPr>
          <w:color w:val="000000" w:themeColor="text1"/>
          <w:lang w:eastAsia="es-ES"/>
        </w:rPr>
        <w:t>,</w:t>
      </w:r>
      <w:r w:rsidRPr="00C454A1">
        <w:rPr>
          <w:color w:val="000000" w:themeColor="text1"/>
          <w:lang w:eastAsia="es-ES"/>
        </w:rPr>
        <w:t xml:space="preserve"> con corte a</w:t>
      </w:r>
      <w:r w:rsidR="00694933" w:rsidRPr="00C454A1">
        <w:rPr>
          <w:color w:val="000000" w:themeColor="text1"/>
          <w:lang w:eastAsia="es-ES"/>
        </w:rPr>
        <w:t>l</w:t>
      </w:r>
      <w:r w:rsidRPr="00C454A1">
        <w:rPr>
          <w:color w:val="000000" w:themeColor="text1"/>
          <w:lang w:eastAsia="es-ES"/>
        </w:rPr>
        <w:t xml:space="preserve"> 15 de marzo de 2025</w:t>
      </w:r>
      <w:r w:rsidRPr="00C454A1">
        <w:rPr>
          <w:rStyle w:val="Refdenotaalpie"/>
          <w:color w:val="000000" w:themeColor="text1"/>
          <w:lang w:eastAsia="es-ES"/>
        </w:rPr>
        <w:footnoteReference w:id="338"/>
      </w:r>
      <w:r w:rsidR="00C72519" w:rsidRPr="00C454A1">
        <w:rPr>
          <w:color w:val="000000" w:themeColor="text1"/>
          <w:lang w:eastAsia="es-ES"/>
        </w:rPr>
        <w:t>,</w:t>
      </w:r>
      <w:r w:rsidRPr="00C454A1">
        <w:rPr>
          <w:color w:val="000000" w:themeColor="text1"/>
          <w:lang w:eastAsia="es-ES"/>
        </w:rPr>
        <w:t xml:space="preserve"> </w:t>
      </w:r>
      <w:r w:rsidRPr="00C454A1">
        <w:rPr>
          <w:rFonts w:cs="Times New Roman"/>
          <w:color w:val="000000" w:themeColor="text1"/>
          <w:szCs w:val="28"/>
        </w:rPr>
        <w:t>mientras que las agencias de</w:t>
      </w:r>
      <w:r w:rsidR="008344CF" w:rsidRPr="00C454A1">
        <w:rPr>
          <w:rFonts w:cs="Times New Roman"/>
          <w:color w:val="000000" w:themeColor="text1"/>
          <w:szCs w:val="28"/>
        </w:rPr>
        <w:t xml:space="preserve"> la ONU</w:t>
      </w:r>
      <w:r w:rsidRPr="00C454A1">
        <w:rPr>
          <w:rFonts w:cs="Times New Roman"/>
          <w:color w:val="000000" w:themeColor="text1"/>
          <w:szCs w:val="28"/>
        </w:rPr>
        <w:t xml:space="preserve"> calculan las víctimas en más de 63.000</w:t>
      </w:r>
      <w:r w:rsidRPr="00C454A1">
        <w:rPr>
          <w:rStyle w:val="Refdenotaalpie"/>
          <w:rFonts w:cs="Times New Roman"/>
          <w:color w:val="000000" w:themeColor="text1"/>
          <w:szCs w:val="28"/>
        </w:rPr>
        <w:footnoteReference w:id="339"/>
      </w:r>
      <w:bookmarkEnd w:id="192"/>
      <w:r w:rsidR="00EF071F" w:rsidRPr="00C454A1">
        <w:rPr>
          <w:rFonts w:cs="Times New Roman"/>
          <w:color w:val="000000" w:themeColor="text1"/>
          <w:szCs w:val="28"/>
        </w:rPr>
        <w:t>.</w:t>
      </w:r>
      <w:r w:rsidRPr="00C454A1">
        <w:rPr>
          <w:color w:val="000000" w:themeColor="text1"/>
          <w:lang w:eastAsia="es-ES"/>
        </w:rPr>
        <w:t xml:space="preserve"> </w:t>
      </w:r>
    </w:p>
    <w:p w14:paraId="5FC57C97" w14:textId="77777777" w:rsidR="00A85DF3" w:rsidRPr="00C454A1" w:rsidRDefault="00A85DF3" w:rsidP="00A85DF3">
      <w:pPr>
        <w:pStyle w:val="Prrafodelista"/>
        <w:ind w:left="0"/>
        <w:rPr>
          <w:color w:val="000000" w:themeColor="text1"/>
          <w:lang w:eastAsia="es-ES"/>
        </w:rPr>
      </w:pPr>
    </w:p>
    <w:p w14:paraId="23B45997" w14:textId="52917034" w:rsidR="00A373A8" w:rsidRPr="00C454A1" w:rsidRDefault="008344CF" w:rsidP="008344CF">
      <w:pPr>
        <w:pStyle w:val="Prrafodelista"/>
        <w:numPr>
          <w:ilvl w:val="0"/>
          <w:numId w:val="2"/>
        </w:numPr>
        <w:ind w:left="0" w:firstLine="0"/>
        <w:rPr>
          <w:color w:val="000000" w:themeColor="text1"/>
          <w:lang w:eastAsia="es-ES"/>
        </w:rPr>
      </w:pPr>
      <w:r w:rsidRPr="00C454A1">
        <w:rPr>
          <w:color w:val="000000" w:themeColor="text1"/>
          <w:lang w:eastAsia="es-ES"/>
        </w:rPr>
        <w:t>Los datos y la gráfica consignad</w:t>
      </w:r>
      <w:r w:rsidR="00F008CE" w:rsidRPr="00C454A1">
        <w:rPr>
          <w:color w:val="000000" w:themeColor="text1"/>
          <w:lang w:eastAsia="es-ES"/>
        </w:rPr>
        <w:t>os</w:t>
      </w:r>
      <w:r w:rsidRPr="00C454A1">
        <w:rPr>
          <w:color w:val="000000" w:themeColor="text1"/>
          <w:lang w:eastAsia="es-ES"/>
        </w:rPr>
        <w:t xml:space="preserve"> en el fundamento jurídico </w:t>
      </w:r>
      <w:r w:rsidRPr="00C454A1">
        <w:rPr>
          <w:color w:val="000000" w:themeColor="text1"/>
          <w:lang w:eastAsia="es-ES"/>
        </w:rPr>
        <w:fldChar w:fldCharType="begin"/>
      </w:r>
      <w:r w:rsidRPr="00C454A1">
        <w:rPr>
          <w:color w:val="000000" w:themeColor="text1"/>
          <w:lang w:eastAsia="es-ES"/>
        </w:rPr>
        <w:instrText xml:space="preserve"> REF _Ref219368555 \r \h </w:instrText>
      </w:r>
      <w:r w:rsidR="00F008CE" w:rsidRPr="00C454A1">
        <w:rPr>
          <w:color w:val="000000" w:themeColor="text1"/>
          <w:lang w:eastAsia="es-ES"/>
        </w:rPr>
        <w:instrText xml:space="preserve"> \* MERGEFORMAT </w:instrText>
      </w:r>
      <w:r w:rsidRPr="00C454A1">
        <w:rPr>
          <w:color w:val="000000" w:themeColor="text1"/>
          <w:lang w:eastAsia="es-ES"/>
        </w:rPr>
      </w:r>
      <w:r w:rsidRPr="00C454A1">
        <w:rPr>
          <w:color w:val="000000" w:themeColor="text1"/>
          <w:lang w:eastAsia="es-ES"/>
        </w:rPr>
        <w:fldChar w:fldCharType="separate"/>
      </w:r>
      <w:r w:rsidR="00881E6A">
        <w:rPr>
          <w:color w:val="000000" w:themeColor="text1"/>
          <w:lang w:eastAsia="es-ES"/>
        </w:rPr>
        <w:t>175</w:t>
      </w:r>
      <w:r w:rsidRPr="00C454A1">
        <w:rPr>
          <w:color w:val="000000" w:themeColor="text1"/>
          <w:lang w:eastAsia="es-ES"/>
        </w:rPr>
        <w:fldChar w:fldCharType="end"/>
      </w:r>
      <w:r w:rsidRPr="00C454A1">
        <w:rPr>
          <w:color w:val="000000" w:themeColor="text1"/>
          <w:lang w:eastAsia="es-ES"/>
        </w:rPr>
        <w:t xml:space="preserve"> </w:t>
      </w:r>
      <w:r w:rsidR="00F008CE" w:rsidRPr="00C454A1">
        <w:rPr>
          <w:color w:val="000000" w:themeColor="text1"/>
          <w:lang w:eastAsia="es-ES"/>
        </w:rPr>
        <w:t>evidencian,</w:t>
      </w:r>
      <w:r w:rsidRPr="00C454A1">
        <w:rPr>
          <w:color w:val="000000" w:themeColor="text1"/>
          <w:lang w:eastAsia="es-ES"/>
        </w:rPr>
        <w:t xml:space="preserve"> además</w:t>
      </w:r>
      <w:r w:rsidR="00F008CE" w:rsidRPr="00C454A1">
        <w:rPr>
          <w:color w:val="000000" w:themeColor="text1"/>
          <w:lang w:eastAsia="es-ES"/>
        </w:rPr>
        <w:t>,</w:t>
      </w:r>
      <w:r w:rsidRPr="00C454A1">
        <w:rPr>
          <w:color w:val="000000" w:themeColor="text1"/>
          <w:lang w:eastAsia="es-ES"/>
        </w:rPr>
        <w:t xml:space="preserve"> un aumento </w:t>
      </w:r>
      <w:r w:rsidR="00F008CE" w:rsidRPr="00C454A1">
        <w:rPr>
          <w:color w:val="000000" w:themeColor="text1"/>
          <w:lang w:eastAsia="es-ES"/>
        </w:rPr>
        <w:t>cercano al 4000% en el número de</w:t>
      </w:r>
      <w:r w:rsidR="00FF4FC9" w:rsidRPr="00C454A1">
        <w:rPr>
          <w:color w:val="000000" w:themeColor="text1"/>
          <w:lang w:eastAsia="es-ES"/>
        </w:rPr>
        <w:t xml:space="preserve"> víctimas de eventos de desplazamiento</w:t>
      </w:r>
      <w:r w:rsidR="00F008CE" w:rsidRPr="00C454A1">
        <w:rPr>
          <w:color w:val="000000" w:themeColor="text1"/>
          <w:lang w:eastAsia="es-ES"/>
        </w:rPr>
        <w:t xml:space="preserve"> forzado</w:t>
      </w:r>
      <w:r w:rsidR="00FF4FC9" w:rsidRPr="00C454A1">
        <w:rPr>
          <w:color w:val="000000" w:themeColor="text1"/>
          <w:lang w:eastAsia="es-ES"/>
        </w:rPr>
        <w:t xml:space="preserve"> masivo </w:t>
      </w:r>
      <w:r w:rsidR="00F008CE" w:rsidRPr="00C454A1">
        <w:rPr>
          <w:color w:val="000000" w:themeColor="text1"/>
          <w:lang w:eastAsia="es-ES"/>
        </w:rPr>
        <w:t xml:space="preserve">en la región </w:t>
      </w:r>
      <w:r w:rsidR="00FF4FC9" w:rsidRPr="00C454A1">
        <w:rPr>
          <w:color w:val="000000" w:themeColor="text1"/>
          <w:lang w:eastAsia="es-ES"/>
        </w:rPr>
        <w:t xml:space="preserve">entre 2023 </w:t>
      </w:r>
      <w:r w:rsidR="00F008CE" w:rsidRPr="00C454A1">
        <w:rPr>
          <w:color w:val="000000" w:themeColor="text1"/>
          <w:lang w:eastAsia="es-ES"/>
        </w:rPr>
        <w:t>-según las cif</w:t>
      </w:r>
      <w:r w:rsidR="00694933" w:rsidRPr="00C454A1">
        <w:rPr>
          <w:color w:val="000000" w:themeColor="text1"/>
          <w:lang w:eastAsia="es-ES"/>
        </w:rPr>
        <w:t>ra</w:t>
      </w:r>
      <w:r w:rsidR="00F008CE" w:rsidRPr="00C454A1">
        <w:rPr>
          <w:color w:val="000000" w:themeColor="text1"/>
          <w:lang w:eastAsia="es-ES"/>
        </w:rPr>
        <w:t xml:space="preserve">s del RUV- </w:t>
      </w:r>
      <w:r w:rsidR="00FF4FC9" w:rsidRPr="00C454A1">
        <w:rPr>
          <w:color w:val="000000" w:themeColor="text1"/>
          <w:lang w:eastAsia="es-ES"/>
        </w:rPr>
        <w:t xml:space="preserve">y los primeros </w:t>
      </w:r>
      <w:r w:rsidR="00F008CE" w:rsidRPr="00C454A1">
        <w:rPr>
          <w:color w:val="000000" w:themeColor="text1"/>
          <w:lang w:eastAsia="es-ES"/>
        </w:rPr>
        <w:t xml:space="preserve">dos meses de 2025 -de acuerdo con datos del </w:t>
      </w:r>
      <w:r w:rsidR="00F008CE" w:rsidRPr="00C454A1">
        <w:rPr>
          <w:color w:val="000000" w:themeColor="text1"/>
          <w:lang w:eastAsia="es-ES"/>
        </w:rPr>
        <w:lastRenderedPageBreak/>
        <w:t xml:space="preserve">PMU Norte de Santander y la Defensoría del Pueblo-. Igualmente, la Corte </w:t>
      </w:r>
      <w:r w:rsidR="00F008CE" w:rsidRPr="00C454A1">
        <w:rPr>
          <w:color w:val="000000" w:themeColor="text1"/>
        </w:rPr>
        <w:t xml:space="preserve"> observa un aumento aproximado del 348 % </w:t>
      </w:r>
      <w:r w:rsidR="00694933" w:rsidRPr="00C454A1">
        <w:rPr>
          <w:color w:val="000000" w:themeColor="text1"/>
        </w:rPr>
        <w:t>respecto d</w:t>
      </w:r>
      <w:r w:rsidR="00F008CE" w:rsidRPr="00C454A1">
        <w:rPr>
          <w:color w:val="000000" w:themeColor="text1"/>
        </w:rPr>
        <w:t>el último pico de este fenómeno en la región, registrado en 2018</w:t>
      </w:r>
      <w:r w:rsidR="00F008CE" w:rsidRPr="00C454A1">
        <w:rPr>
          <w:color w:val="000000" w:themeColor="text1"/>
          <w:lang w:eastAsia="es-ES"/>
        </w:rPr>
        <w:t xml:space="preserve">. </w:t>
      </w:r>
    </w:p>
    <w:p w14:paraId="43A7B01A" w14:textId="77777777" w:rsidR="008344CF" w:rsidRPr="00C454A1" w:rsidRDefault="008344CF" w:rsidP="008344CF">
      <w:pPr>
        <w:pStyle w:val="Prrafodelista"/>
        <w:ind w:left="0"/>
        <w:rPr>
          <w:color w:val="000000" w:themeColor="text1"/>
          <w:lang w:eastAsia="es-ES"/>
        </w:rPr>
      </w:pPr>
    </w:p>
    <w:p w14:paraId="040A41A1" w14:textId="7DFD5B17" w:rsidR="00A85DF3" w:rsidRPr="00C454A1" w:rsidRDefault="00A85DF3" w:rsidP="00321FAF">
      <w:pPr>
        <w:pStyle w:val="Prrafodelista"/>
        <w:numPr>
          <w:ilvl w:val="0"/>
          <w:numId w:val="2"/>
        </w:numPr>
        <w:ind w:left="0" w:firstLine="0"/>
        <w:rPr>
          <w:color w:val="000000" w:themeColor="text1"/>
          <w:lang w:eastAsia="es-ES"/>
        </w:rPr>
      </w:pPr>
      <w:r w:rsidRPr="00C454A1">
        <w:rPr>
          <w:color w:val="000000" w:themeColor="text1"/>
          <w:lang w:eastAsia="es-ES"/>
        </w:rPr>
        <w:t xml:space="preserve">En los últimos 12 años, solamente Chocó había mostrado cifras similares, pues en 2024 el número de víctimas se aproximó a las 40.000. Las cifras del Catatumbo sobrepasaron las de Chocó a lo largo de 2024 en tan sólo dos meses. Estos datos evidencian que, pese a que el desplazamiento forzado es una problemática estructural en nuestra sociedad </w:t>
      </w:r>
      <w:r w:rsidR="009433A8" w:rsidRPr="00C454A1">
        <w:rPr>
          <w:color w:val="000000" w:themeColor="text1"/>
          <w:lang w:eastAsia="es-ES"/>
        </w:rPr>
        <w:t>debido a la persistencia de la violencia</w:t>
      </w:r>
      <w:r w:rsidRPr="00C454A1">
        <w:rPr>
          <w:color w:val="000000" w:themeColor="text1"/>
          <w:lang w:eastAsia="es-ES"/>
        </w:rPr>
        <w:t xml:space="preserve">, la crisis en el Catatumbo alcanzó niveles alarmantes e inusitados, en un periodo muy corto. </w:t>
      </w:r>
    </w:p>
    <w:p w14:paraId="0FD9961B" w14:textId="77777777" w:rsidR="00A85DF3" w:rsidRPr="00C454A1" w:rsidRDefault="00A85DF3" w:rsidP="00631C27">
      <w:pPr>
        <w:rPr>
          <w:color w:val="000000" w:themeColor="text1"/>
          <w:lang w:eastAsia="es-ES"/>
        </w:rPr>
      </w:pPr>
    </w:p>
    <w:p w14:paraId="0105EFB6" w14:textId="77DAE6D1" w:rsidR="00A85DF3" w:rsidRPr="00C454A1" w:rsidRDefault="00A85DF3" w:rsidP="00321FAF">
      <w:pPr>
        <w:numPr>
          <w:ilvl w:val="0"/>
          <w:numId w:val="2"/>
        </w:numPr>
        <w:ind w:left="0" w:firstLine="0"/>
        <w:rPr>
          <w:color w:val="000000" w:themeColor="text1"/>
          <w:lang w:eastAsia="es-ES"/>
        </w:rPr>
      </w:pPr>
      <w:bookmarkStart w:id="193" w:name="_Ref198033013"/>
      <w:r w:rsidRPr="00C454A1">
        <w:rPr>
          <w:color w:val="000000" w:themeColor="text1"/>
          <w:lang w:eastAsia="es-ES"/>
        </w:rPr>
        <w:t>La</w:t>
      </w:r>
      <w:r w:rsidR="006E7E58" w:rsidRPr="00C454A1">
        <w:rPr>
          <w:color w:val="000000" w:themeColor="text1"/>
          <w:lang w:eastAsia="es-ES"/>
        </w:rPr>
        <w:t>s</w:t>
      </w:r>
      <w:r w:rsidRPr="00C454A1">
        <w:rPr>
          <w:color w:val="000000" w:themeColor="text1"/>
          <w:lang w:eastAsia="es-ES"/>
        </w:rPr>
        <w:t xml:space="preserve"> cifras de desplazamiento </w:t>
      </w:r>
      <w:r w:rsidRPr="00C454A1">
        <w:rPr>
          <w:i/>
          <w:iCs/>
          <w:color w:val="000000" w:themeColor="text1"/>
          <w:lang w:eastAsia="es-ES"/>
        </w:rPr>
        <w:t>transfronterizo</w:t>
      </w:r>
      <w:r w:rsidRPr="00C454A1">
        <w:rPr>
          <w:color w:val="000000" w:themeColor="text1"/>
          <w:lang w:eastAsia="es-ES"/>
        </w:rPr>
        <w:t xml:space="preserve"> también son alarmantes. El Ministerio de Relaciones Exteriores informó que, “con motivo de la grave situación de orden público descrita, los días 17, 18 y 19 de enero de 2025 se presentó un flujo migratorio hacia territorio venezolano que alcanzó las 700 personas diarias; y que los días 20 y 21 de enero de 2025 se presentó una leve disminución a cerca de 400 personas por día”. El 21 de enero de 2025, el embajador de Colombia en la República de Venezuela constató “la presencia de ciudadanos alojados en carpas grandes en las cuales se desplegaron una buena cantidad de camarotes”</w:t>
      </w:r>
      <w:r w:rsidRPr="00C454A1">
        <w:rPr>
          <w:color w:val="000000" w:themeColor="text1"/>
          <w:vertAlign w:val="superscript"/>
          <w:lang w:eastAsia="es-ES"/>
        </w:rPr>
        <w:footnoteReference w:id="340"/>
      </w:r>
      <w:r w:rsidRPr="00C454A1">
        <w:rPr>
          <w:color w:val="000000" w:themeColor="text1"/>
          <w:lang w:eastAsia="es-ES"/>
        </w:rPr>
        <w:t>. Lo anterior, en el marco de su visita del día anterior a Casigua El-Cubo, Venezuela, “[c]on el fin de atender la emergencia derivada de la situación de orden público en el Catatumbo […] y sus impactos sobre el lado venezolano de la frontera binacional”</w:t>
      </w:r>
      <w:r w:rsidRPr="00C454A1">
        <w:rPr>
          <w:color w:val="000000" w:themeColor="text1"/>
          <w:vertAlign w:val="superscript"/>
          <w:lang w:eastAsia="es-ES"/>
        </w:rPr>
        <w:footnoteReference w:id="341"/>
      </w:r>
      <w:r w:rsidRPr="00C454A1">
        <w:rPr>
          <w:color w:val="000000" w:themeColor="text1"/>
          <w:lang w:eastAsia="es-ES"/>
        </w:rPr>
        <w:t xml:space="preserve">. Asimismo, el embajador reportó </w:t>
      </w:r>
      <w:r w:rsidR="004F13F8" w:rsidRPr="00C454A1">
        <w:rPr>
          <w:color w:val="000000" w:themeColor="text1"/>
          <w:lang w:eastAsia="es-ES"/>
        </w:rPr>
        <w:t xml:space="preserve">el </w:t>
      </w:r>
      <w:r w:rsidRPr="00C454A1">
        <w:rPr>
          <w:color w:val="000000" w:themeColor="text1"/>
          <w:lang w:eastAsia="es-ES"/>
        </w:rPr>
        <w:t>ingreso de personas a los campamentos humanitarios</w:t>
      </w:r>
      <w:r w:rsidRPr="00C454A1">
        <w:rPr>
          <w:color w:val="000000" w:themeColor="text1"/>
          <w:vertAlign w:val="superscript"/>
          <w:lang w:eastAsia="es-ES"/>
        </w:rPr>
        <w:footnoteReference w:id="342"/>
      </w:r>
      <w:r w:rsidRPr="00C454A1">
        <w:rPr>
          <w:color w:val="000000" w:themeColor="text1"/>
          <w:lang w:eastAsia="es-ES"/>
        </w:rPr>
        <w:t>.</w:t>
      </w:r>
      <w:bookmarkEnd w:id="193"/>
    </w:p>
    <w:p w14:paraId="0EF72A3D" w14:textId="77777777" w:rsidR="00950ED9" w:rsidRPr="00C454A1" w:rsidRDefault="00950ED9" w:rsidP="00631C27">
      <w:pPr>
        <w:rPr>
          <w:color w:val="000000" w:themeColor="text1"/>
          <w:lang w:eastAsia="es-ES"/>
        </w:rPr>
      </w:pPr>
    </w:p>
    <w:p w14:paraId="519A07C6" w14:textId="023A0368" w:rsidR="00B76C20" w:rsidRPr="00C454A1" w:rsidRDefault="00B76C20" w:rsidP="00321FAF">
      <w:pPr>
        <w:numPr>
          <w:ilvl w:val="0"/>
          <w:numId w:val="2"/>
        </w:numPr>
        <w:ind w:left="0" w:firstLine="0"/>
        <w:rPr>
          <w:color w:val="000000" w:themeColor="text1"/>
          <w:lang w:eastAsia="es-ES"/>
        </w:rPr>
      </w:pPr>
      <w:bookmarkStart w:id="194" w:name="_Ref198036187"/>
      <w:r w:rsidRPr="00C454A1">
        <w:rPr>
          <w:i/>
          <w:iCs/>
          <w:color w:val="000000" w:themeColor="text1"/>
          <w:lang w:eastAsia="es-ES"/>
        </w:rPr>
        <w:t>Confinamientos</w:t>
      </w:r>
      <w:r w:rsidRPr="00C454A1">
        <w:rPr>
          <w:color w:val="000000" w:themeColor="text1"/>
          <w:lang w:eastAsia="es-ES"/>
        </w:rPr>
        <w:t xml:space="preserve">. </w:t>
      </w:r>
      <w:r w:rsidR="00A77ACB" w:rsidRPr="00C454A1">
        <w:rPr>
          <w:color w:val="000000" w:themeColor="text1"/>
          <w:lang w:eastAsia="es-ES"/>
        </w:rPr>
        <w:t xml:space="preserve">Como se evidencia en los fundamentos jurídicos </w:t>
      </w:r>
      <w:r w:rsidR="00B83023" w:rsidRPr="00C454A1">
        <w:rPr>
          <w:color w:val="000000" w:themeColor="text1"/>
          <w:lang w:eastAsia="es-ES"/>
        </w:rPr>
        <w:fldChar w:fldCharType="begin"/>
      </w:r>
      <w:r w:rsidR="00B83023" w:rsidRPr="00C454A1">
        <w:rPr>
          <w:color w:val="000000" w:themeColor="text1"/>
          <w:lang w:eastAsia="es-ES"/>
        </w:rPr>
        <w:instrText xml:space="preserve"> REF _Ref219405232 \r \h </w:instrText>
      </w:r>
      <w:r w:rsidR="001573C1" w:rsidRPr="00C454A1">
        <w:rPr>
          <w:color w:val="000000" w:themeColor="text1"/>
          <w:lang w:eastAsia="es-ES"/>
        </w:rPr>
        <w:instrText xml:space="preserve"> \* MERGEFORMAT </w:instrText>
      </w:r>
      <w:r w:rsidR="00B83023" w:rsidRPr="00C454A1">
        <w:rPr>
          <w:color w:val="000000" w:themeColor="text1"/>
          <w:lang w:eastAsia="es-ES"/>
        </w:rPr>
      </w:r>
      <w:r w:rsidR="00B83023" w:rsidRPr="00C454A1">
        <w:rPr>
          <w:color w:val="000000" w:themeColor="text1"/>
          <w:lang w:eastAsia="es-ES"/>
        </w:rPr>
        <w:fldChar w:fldCharType="separate"/>
      </w:r>
      <w:r w:rsidR="00881E6A">
        <w:rPr>
          <w:color w:val="000000" w:themeColor="text1"/>
          <w:lang w:eastAsia="es-ES"/>
        </w:rPr>
        <w:t>177</w:t>
      </w:r>
      <w:r w:rsidR="00B83023" w:rsidRPr="00C454A1">
        <w:rPr>
          <w:color w:val="000000" w:themeColor="text1"/>
          <w:lang w:eastAsia="es-ES"/>
        </w:rPr>
        <w:fldChar w:fldCharType="end"/>
      </w:r>
      <w:r w:rsidR="00B83023" w:rsidRPr="00C454A1">
        <w:rPr>
          <w:color w:val="000000" w:themeColor="text1"/>
          <w:lang w:eastAsia="es-ES"/>
        </w:rPr>
        <w:t xml:space="preserve"> a </w:t>
      </w:r>
      <w:r w:rsidR="001573C1" w:rsidRPr="00C454A1">
        <w:rPr>
          <w:color w:val="000000" w:themeColor="text1"/>
          <w:lang w:eastAsia="es-ES"/>
        </w:rPr>
        <w:fldChar w:fldCharType="begin"/>
      </w:r>
      <w:r w:rsidR="001573C1" w:rsidRPr="00C454A1">
        <w:rPr>
          <w:color w:val="000000" w:themeColor="text1"/>
          <w:lang w:eastAsia="es-ES"/>
        </w:rPr>
        <w:instrText xml:space="preserve"> REF _Ref219405261 \r \h  \* MERGEFORMAT </w:instrText>
      </w:r>
      <w:r w:rsidR="001573C1" w:rsidRPr="00C454A1">
        <w:rPr>
          <w:color w:val="000000" w:themeColor="text1"/>
          <w:lang w:eastAsia="es-ES"/>
        </w:rPr>
      </w:r>
      <w:r w:rsidR="001573C1" w:rsidRPr="00C454A1">
        <w:rPr>
          <w:color w:val="000000" w:themeColor="text1"/>
          <w:lang w:eastAsia="es-ES"/>
        </w:rPr>
        <w:fldChar w:fldCharType="separate"/>
      </w:r>
      <w:r w:rsidR="00881E6A">
        <w:rPr>
          <w:color w:val="000000" w:themeColor="text1"/>
          <w:lang w:eastAsia="es-ES"/>
        </w:rPr>
        <w:t>180</w:t>
      </w:r>
      <w:r w:rsidR="001573C1" w:rsidRPr="00C454A1">
        <w:rPr>
          <w:color w:val="000000" w:themeColor="text1"/>
          <w:lang w:eastAsia="es-ES"/>
        </w:rPr>
        <w:fldChar w:fldCharType="end"/>
      </w:r>
      <w:r w:rsidR="001573C1" w:rsidRPr="00C454A1">
        <w:rPr>
          <w:color w:val="000000" w:themeColor="text1"/>
          <w:lang w:eastAsia="es-ES"/>
        </w:rPr>
        <w:t>, e</w:t>
      </w:r>
      <w:r w:rsidRPr="00C454A1">
        <w:rPr>
          <w:color w:val="000000" w:themeColor="text1"/>
          <w:lang w:eastAsia="es-ES"/>
        </w:rPr>
        <w:t xml:space="preserve">l número de víctimas de confinamiento </w:t>
      </w:r>
      <w:r w:rsidR="001573C1" w:rsidRPr="00C454A1">
        <w:rPr>
          <w:color w:val="000000" w:themeColor="text1"/>
          <w:lang w:eastAsia="es-ES"/>
        </w:rPr>
        <w:t xml:space="preserve">reportado entre enero y marzo de 2025 por el PMU de Norte de Santander supera significativamente el total de víctimas de confinamiento registradas a nivel nacional en el RUV. </w:t>
      </w:r>
      <w:r w:rsidR="001573C1" w:rsidRPr="00C454A1">
        <w:rPr>
          <w:rFonts w:eastAsia="Times New Roman" w:cs="Times New Roman"/>
          <w:color w:val="000000" w:themeColor="text1"/>
          <w:szCs w:val="28"/>
        </w:rPr>
        <w:t>Además, la cifra más alta registrada por el PMU</w:t>
      </w:r>
      <w:r w:rsidR="00E2499F" w:rsidRPr="00C454A1">
        <w:rPr>
          <w:rFonts w:eastAsia="Times New Roman" w:cs="Times New Roman"/>
          <w:color w:val="000000" w:themeColor="text1"/>
          <w:szCs w:val="28"/>
        </w:rPr>
        <w:t xml:space="preserve"> en los primeros meses de 2025</w:t>
      </w:r>
      <w:r w:rsidR="001573C1" w:rsidRPr="00C454A1">
        <w:rPr>
          <w:rFonts w:eastAsia="Times New Roman" w:cs="Times New Roman"/>
          <w:color w:val="000000" w:themeColor="text1"/>
          <w:szCs w:val="28"/>
        </w:rPr>
        <w:t xml:space="preserve"> –31.358 víctimas-, según el boletín del 31 de enero de 2025- resulta comparable al total </w:t>
      </w:r>
      <w:r w:rsidR="00E2499F" w:rsidRPr="00C454A1">
        <w:rPr>
          <w:rFonts w:eastAsia="Times New Roman" w:cs="Times New Roman"/>
          <w:color w:val="000000" w:themeColor="text1"/>
          <w:szCs w:val="28"/>
        </w:rPr>
        <w:t xml:space="preserve">nacional </w:t>
      </w:r>
      <w:r w:rsidR="001573C1" w:rsidRPr="00C454A1">
        <w:rPr>
          <w:rFonts w:eastAsia="Times New Roman" w:cs="Times New Roman"/>
          <w:color w:val="000000" w:themeColor="text1"/>
          <w:szCs w:val="28"/>
        </w:rPr>
        <w:t xml:space="preserve">de víctimas de confinamiento registrado por el RUV en 2023, que fue </w:t>
      </w:r>
      <w:r w:rsidR="00694933" w:rsidRPr="00C454A1">
        <w:rPr>
          <w:rFonts w:eastAsia="Times New Roman" w:cs="Times New Roman"/>
          <w:color w:val="000000" w:themeColor="text1"/>
          <w:szCs w:val="28"/>
        </w:rPr>
        <w:t xml:space="preserve">de </w:t>
      </w:r>
      <w:r w:rsidR="001573C1" w:rsidRPr="00C454A1">
        <w:rPr>
          <w:rFonts w:eastAsia="Times New Roman" w:cs="Times New Roman"/>
          <w:color w:val="000000" w:themeColor="text1"/>
          <w:szCs w:val="28"/>
        </w:rPr>
        <w:t>37.926 personas</w:t>
      </w:r>
      <w:r w:rsidRPr="00C454A1">
        <w:rPr>
          <w:color w:val="000000" w:themeColor="text1"/>
          <w:lang w:eastAsia="es-ES"/>
        </w:rPr>
        <w:t xml:space="preserve">. Por su parte, el Ministerio de Salud y Protección Social </w:t>
      </w:r>
      <w:r w:rsidR="00A048B1" w:rsidRPr="00C454A1">
        <w:rPr>
          <w:color w:val="000000" w:themeColor="text1"/>
          <w:lang w:eastAsia="es-ES"/>
        </w:rPr>
        <w:t>(M</w:t>
      </w:r>
      <w:r w:rsidR="00E155BF" w:rsidRPr="00C454A1">
        <w:rPr>
          <w:color w:val="000000" w:themeColor="text1"/>
          <w:lang w:eastAsia="es-ES"/>
        </w:rPr>
        <w:t>inSalud</w:t>
      </w:r>
      <w:r w:rsidR="00A048B1" w:rsidRPr="00C454A1">
        <w:rPr>
          <w:color w:val="000000" w:themeColor="text1"/>
          <w:lang w:eastAsia="es-ES"/>
        </w:rPr>
        <w:t xml:space="preserve">) </w:t>
      </w:r>
      <w:r w:rsidRPr="00C454A1">
        <w:rPr>
          <w:color w:val="000000" w:themeColor="text1"/>
          <w:lang w:eastAsia="es-ES"/>
        </w:rPr>
        <w:t xml:space="preserve">informó </w:t>
      </w:r>
      <w:r w:rsidR="006E7E58" w:rsidRPr="00C454A1">
        <w:rPr>
          <w:color w:val="000000" w:themeColor="text1"/>
          <w:lang w:eastAsia="es-ES"/>
        </w:rPr>
        <w:t>que,</w:t>
      </w:r>
      <w:r w:rsidRPr="00C454A1">
        <w:rPr>
          <w:color w:val="000000" w:themeColor="text1"/>
          <w:lang w:eastAsia="es-ES"/>
        </w:rPr>
        <w:t xml:space="preserve"> para el 3 de febrero de 2025, había 31.358 personas confinadas, lo que corresponde al “41,8% de la población de Teorama, el 29,5% de la de Tibú, el 31,2[%] de la del Carmen, el 7,5[%] de la de Hacarí y el 0,6[%] de la de El Tarra”, es decir, un </w:t>
      </w:r>
      <w:r w:rsidR="00E2499F" w:rsidRPr="00C454A1">
        <w:rPr>
          <w:color w:val="000000" w:themeColor="text1"/>
          <w:lang w:eastAsia="es-ES"/>
        </w:rPr>
        <w:t xml:space="preserve">muy </w:t>
      </w:r>
      <w:r w:rsidRPr="00C454A1">
        <w:rPr>
          <w:color w:val="000000" w:themeColor="text1"/>
          <w:lang w:eastAsia="es-ES"/>
        </w:rPr>
        <w:t>alto porcentaje de las poblaciones de estos municipios eran víctimas de este hecho victimizante</w:t>
      </w:r>
      <w:r w:rsidRPr="00C454A1">
        <w:rPr>
          <w:color w:val="000000" w:themeColor="text1"/>
          <w:vertAlign w:val="superscript"/>
          <w:lang w:eastAsia="es-ES"/>
        </w:rPr>
        <w:footnoteReference w:id="343"/>
      </w:r>
      <w:r w:rsidRPr="00C454A1">
        <w:rPr>
          <w:color w:val="000000" w:themeColor="text1"/>
          <w:lang w:eastAsia="es-ES"/>
        </w:rPr>
        <w:t>.</w:t>
      </w:r>
      <w:bookmarkEnd w:id="194"/>
      <w:r w:rsidR="00E2499F" w:rsidRPr="00C454A1">
        <w:rPr>
          <w:color w:val="000000" w:themeColor="text1"/>
          <w:lang w:eastAsia="es-ES"/>
        </w:rPr>
        <w:t xml:space="preserve"> En conjunto, estos datos muestran que los confinamientos en la región aumentaron de manera abrupta y severa en un periodo breve, y que </w:t>
      </w:r>
      <w:r w:rsidR="00DA6957" w:rsidRPr="00C454A1">
        <w:rPr>
          <w:color w:val="000000" w:themeColor="text1"/>
          <w:lang w:eastAsia="es-ES"/>
        </w:rPr>
        <w:t xml:space="preserve">un </w:t>
      </w:r>
      <w:r w:rsidR="00E2499F" w:rsidRPr="00C454A1">
        <w:rPr>
          <w:color w:val="000000" w:themeColor="text1"/>
          <w:lang w:eastAsia="es-ES"/>
        </w:rPr>
        <w:t>comportamiento de esta magnitud era difícil</w:t>
      </w:r>
      <w:r w:rsidR="00C94E6E" w:rsidRPr="00C454A1">
        <w:rPr>
          <w:color w:val="000000" w:themeColor="text1"/>
          <w:lang w:eastAsia="es-ES"/>
        </w:rPr>
        <w:t>mente</w:t>
      </w:r>
      <w:r w:rsidR="00E2499F" w:rsidRPr="00C454A1">
        <w:rPr>
          <w:color w:val="000000" w:themeColor="text1"/>
          <w:lang w:eastAsia="es-ES"/>
        </w:rPr>
        <w:t xml:space="preserve"> previsible.</w:t>
      </w:r>
    </w:p>
    <w:p w14:paraId="401053E3" w14:textId="77777777" w:rsidR="00950ED9" w:rsidRPr="00C454A1" w:rsidRDefault="00950ED9" w:rsidP="00631C27">
      <w:pPr>
        <w:rPr>
          <w:color w:val="000000" w:themeColor="text1"/>
          <w:lang w:eastAsia="es-ES"/>
        </w:rPr>
      </w:pPr>
    </w:p>
    <w:p w14:paraId="190475CF" w14:textId="331E782A" w:rsidR="00B76C20" w:rsidRPr="00C454A1" w:rsidRDefault="00A41CE1" w:rsidP="00321FAF">
      <w:pPr>
        <w:numPr>
          <w:ilvl w:val="0"/>
          <w:numId w:val="2"/>
        </w:numPr>
        <w:ind w:left="0" w:firstLine="0"/>
        <w:rPr>
          <w:i/>
          <w:iCs/>
          <w:color w:val="000000" w:themeColor="text1"/>
          <w:lang w:eastAsia="es-ES"/>
        </w:rPr>
      </w:pPr>
      <w:r w:rsidRPr="00C454A1">
        <w:rPr>
          <w:i/>
          <w:iCs/>
          <w:color w:val="000000" w:themeColor="text1"/>
          <w:lang w:eastAsia="es-ES"/>
        </w:rPr>
        <w:lastRenderedPageBreak/>
        <w:t>A</w:t>
      </w:r>
      <w:r w:rsidR="00B76C20" w:rsidRPr="00C454A1">
        <w:rPr>
          <w:i/>
          <w:iCs/>
          <w:color w:val="000000" w:themeColor="text1"/>
          <w:lang w:eastAsia="es-ES"/>
        </w:rPr>
        <w:t>taques y hostilidades contra la población firmante del Acuerdo Final de Paz en proceso de reincorporación</w:t>
      </w:r>
      <w:r w:rsidR="00634D33" w:rsidRPr="00C454A1">
        <w:rPr>
          <w:i/>
          <w:iCs/>
          <w:color w:val="000000" w:themeColor="text1"/>
          <w:lang w:eastAsia="es-ES"/>
        </w:rPr>
        <w:t xml:space="preserve">. </w:t>
      </w:r>
      <w:r w:rsidR="00B76C20" w:rsidRPr="00C454A1">
        <w:rPr>
          <w:rFonts w:eastAsia="Times New Roman" w:cs="Times New Roman"/>
          <w:color w:val="000000" w:themeColor="text1"/>
        </w:rPr>
        <w:t xml:space="preserve">La Sala Plena </w:t>
      </w:r>
      <w:r w:rsidR="00634D33" w:rsidRPr="00C454A1">
        <w:rPr>
          <w:rFonts w:eastAsia="Times New Roman" w:cs="Times New Roman"/>
          <w:color w:val="000000" w:themeColor="text1"/>
        </w:rPr>
        <w:t xml:space="preserve">también </w:t>
      </w:r>
      <w:r w:rsidR="00B76C20" w:rsidRPr="00C454A1">
        <w:rPr>
          <w:rFonts w:eastAsia="Times New Roman" w:cs="Times New Roman"/>
          <w:color w:val="000000" w:themeColor="text1"/>
        </w:rPr>
        <w:t xml:space="preserve">advierte un aumento inusitado y diferencial en los ataques y hostilidades contra la población firmante del </w:t>
      </w:r>
      <w:r w:rsidRPr="00C454A1">
        <w:rPr>
          <w:rFonts w:eastAsia="Times New Roman" w:cs="Times New Roman"/>
          <w:color w:val="000000" w:themeColor="text1"/>
        </w:rPr>
        <w:t>AFP</w:t>
      </w:r>
      <w:r w:rsidR="00B76C20" w:rsidRPr="00C454A1">
        <w:rPr>
          <w:rFonts w:eastAsia="Times New Roman" w:cs="Times New Roman"/>
          <w:color w:val="000000" w:themeColor="text1"/>
        </w:rPr>
        <w:t xml:space="preserve">, quienes han sido estigmatizados y acusados por el ELN de colaborar con otros grupos armados al margen de la </w:t>
      </w:r>
      <w:r w:rsidRPr="00C454A1">
        <w:rPr>
          <w:rFonts w:eastAsia="Times New Roman" w:cs="Times New Roman"/>
          <w:color w:val="000000" w:themeColor="text1"/>
        </w:rPr>
        <w:t>l</w:t>
      </w:r>
      <w:r w:rsidR="00B76C20" w:rsidRPr="00C454A1">
        <w:rPr>
          <w:rFonts w:eastAsia="Times New Roman" w:cs="Times New Roman"/>
          <w:color w:val="000000" w:themeColor="text1"/>
        </w:rPr>
        <w:t xml:space="preserve">ey. Aunque estos </w:t>
      </w:r>
      <w:r w:rsidR="00EE77DF" w:rsidRPr="00C454A1">
        <w:rPr>
          <w:rFonts w:eastAsia="Times New Roman" w:cs="Times New Roman"/>
          <w:color w:val="000000" w:themeColor="text1"/>
        </w:rPr>
        <w:t>GAO</w:t>
      </w:r>
      <w:r w:rsidR="00B76C20" w:rsidRPr="00C454A1">
        <w:rPr>
          <w:rFonts w:eastAsia="Times New Roman" w:cs="Times New Roman"/>
          <w:color w:val="000000" w:themeColor="text1"/>
        </w:rPr>
        <w:t xml:space="preserve"> tienen una presencia histórica en esta zona, su accionar no solo se intensificó en un periodo muy corto de tiempo, sino que su modo de operar también cambió de forma intempestiva. De acuerdo con distintas fuentes, como </w:t>
      </w:r>
      <w:r w:rsidR="009433A8" w:rsidRPr="00C454A1">
        <w:rPr>
          <w:rFonts w:eastAsia="Times New Roman" w:cs="Times New Roman"/>
          <w:color w:val="000000" w:themeColor="text1"/>
        </w:rPr>
        <w:t xml:space="preserve">el </w:t>
      </w:r>
      <w:r w:rsidR="00B76C20" w:rsidRPr="00C454A1">
        <w:rPr>
          <w:rFonts w:eastAsia="Times New Roman" w:cs="Times New Roman"/>
          <w:color w:val="000000" w:themeColor="text1"/>
        </w:rPr>
        <w:t>DAPRE</w:t>
      </w:r>
      <w:r w:rsidR="009433A8" w:rsidRPr="00C454A1">
        <w:rPr>
          <w:rStyle w:val="Refdenotaalpie"/>
          <w:rFonts w:eastAsia="Times New Roman" w:cs="Times New Roman"/>
          <w:color w:val="000000" w:themeColor="text1"/>
        </w:rPr>
        <w:footnoteReference w:id="344"/>
      </w:r>
      <w:r w:rsidR="00B76C20" w:rsidRPr="00C454A1">
        <w:rPr>
          <w:rFonts w:eastAsia="Times New Roman" w:cs="Times New Roman"/>
          <w:color w:val="000000" w:themeColor="text1"/>
          <w:sz w:val="24"/>
        </w:rPr>
        <w:t>,</w:t>
      </w:r>
      <w:r w:rsidR="00B76C20" w:rsidRPr="00C454A1">
        <w:rPr>
          <w:rFonts w:eastAsia="Times New Roman" w:cs="Times New Roman"/>
          <w:color w:val="000000" w:themeColor="text1"/>
        </w:rPr>
        <w:t xml:space="preserve"> el comandante general de las Fuerzas Militares</w:t>
      </w:r>
      <w:r w:rsidR="00B76C20" w:rsidRPr="00C454A1">
        <w:rPr>
          <w:rFonts w:eastAsia="Times New Roman" w:cs="Times New Roman"/>
          <w:color w:val="000000" w:themeColor="text1"/>
          <w:vertAlign w:val="superscript"/>
        </w:rPr>
        <w:footnoteReference w:id="345"/>
      </w:r>
      <w:r w:rsidR="00186AD5" w:rsidRPr="00C454A1">
        <w:rPr>
          <w:rFonts w:eastAsia="Times New Roman" w:cs="Times New Roman"/>
          <w:color w:val="000000" w:themeColor="text1"/>
        </w:rPr>
        <w:t xml:space="preserve"> </w:t>
      </w:r>
      <w:r w:rsidR="00B76C20" w:rsidRPr="00C454A1">
        <w:rPr>
          <w:rFonts w:eastAsia="Times New Roman" w:cs="Times New Roman"/>
          <w:color w:val="000000" w:themeColor="text1"/>
        </w:rPr>
        <w:t>y el director de la Policía Nacional, entre 2022 y 2024, la mayoría de las veces el ELN había concentrado sus ataques en afectaciones directas a miembros e instalaciones de la fuerza pública. Esto, a pesar de que, en algunas ocasiones, sus efectos indiscriminados habían “repercutido sobre la población civil”. En contraste, desde enero de 2025, el ELN empezó a dirigir sus ataques de forma directa contra la población civil y, especialmente, contra la población firmante del AFP.</w:t>
      </w:r>
    </w:p>
    <w:p w14:paraId="5D513601" w14:textId="77777777" w:rsidR="009819F4" w:rsidRPr="00C454A1" w:rsidRDefault="009819F4" w:rsidP="009819F4">
      <w:pPr>
        <w:rPr>
          <w:rFonts w:eastAsia="Times New Roman" w:cs="Times New Roman"/>
          <w:color w:val="000000" w:themeColor="text1"/>
        </w:rPr>
      </w:pPr>
    </w:p>
    <w:p w14:paraId="0F91B549" w14:textId="7CE0B166" w:rsidR="009819F4" w:rsidRPr="00C454A1" w:rsidRDefault="009819F4" w:rsidP="00321FAF">
      <w:pPr>
        <w:numPr>
          <w:ilvl w:val="0"/>
          <w:numId w:val="2"/>
        </w:numPr>
        <w:ind w:left="0" w:firstLine="0"/>
        <w:rPr>
          <w:rFonts w:eastAsia="Times New Roman" w:cs="Times New Roman"/>
          <w:color w:val="000000" w:themeColor="text1"/>
        </w:rPr>
      </w:pPr>
      <w:r w:rsidRPr="00C454A1">
        <w:rPr>
          <w:rFonts w:eastAsia="Times New Roman" w:cs="Times New Roman"/>
          <w:color w:val="000000" w:themeColor="text1"/>
        </w:rPr>
        <w:t xml:space="preserve">Sobre este último punto, la Defensoría del Pueblo reportó a la Corte que, a partir </w:t>
      </w:r>
      <w:r w:rsidR="004F13F8" w:rsidRPr="00C454A1">
        <w:rPr>
          <w:rFonts w:eastAsia="Times New Roman" w:cs="Times New Roman"/>
          <w:color w:val="000000" w:themeColor="text1"/>
        </w:rPr>
        <w:t xml:space="preserve">de </w:t>
      </w:r>
      <w:r w:rsidRPr="00C454A1">
        <w:rPr>
          <w:rFonts w:eastAsia="Times New Roman" w:cs="Times New Roman"/>
          <w:color w:val="000000" w:themeColor="text1"/>
        </w:rPr>
        <w:t xml:space="preserve">enero de 2025, miembros del ELN ingresaron a varios municipios de esta región del </w:t>
      </w:r>
      <w:r w:rsidR="00A41CE1" w:rsidRPr="00C454A1">
        <w:rPr>
          <w:rFonts w:eastAsia="Times New Roman" w:cs="Times New Roman"/>
          <w:color w:val="000000" w:themeColor="text1"/>
        </w:rPr>
        <w:t>p</w:t>
      </w:r>
      <w:r w:rsidRPr="00C454A1">
        <w:rPr>
          <w:rFonts w:eastAsia="Times New Roman" w:cs="Times New Roman"/>
          <w:color w:val="000000" w:themeColor="text1"/>
        </w:rPr>
        <w:t>aís “persiguiendo con listas a personas identificadas como líderes sociales o población firmante de paz (…). Las personas perseguidas eran acusadas de colaborar con el ‘Frente 33’ de las disidencias de las FARC o de ser simpatizantes de este”</w:t>
      </w:r>
      <w:r w:rsidRPr="00C454A1">
        <w:rPr>
          <w:rFonts w:eastAsia="Times New Roman" w:cs="Times New Roman"/>
          <w:color w:val="000000" w:themeColor="text1"/>
          <w:vertAlign w:val="superscript"/>
        </w:rPr>
        <w:footnoteReference w:id="346"/>
      </w:r>
      <w:r w:rsidRPr="00C454A1">
        <w:rPr>
          <w:rFonts w:eastAsia="Times New Roman" w:cs="Times New Roman"/>
          <w:color w:val="000000" w:themeColor="text1"/>
        </w:rPr>
        <w:t>. La violencia no cesó, por el contrario, escaló y los ataques en contra de los firmantes de paz incluyeron secuestros, desapariciones forzadas, desplazamientos forzados, confinamientos y homicidios. Estos últimos ocurrieron en menos de una semana</w:t>
      </w:r>
      <w:r w:rsidRPr="00C454A1">
        <w:rPr>
          <w:rFonts w:eastAsia="Times New Roman" w:cs="Times New Roman"/>
          <w:color w:val="000000" w:themeColor="text1"/>
          <w:vertAlign w:val="superscript"/>
        </w:rPr>
        <w:footnoteReference w:id="347"/>
      </w:r>
      <w:r w:rsidRPr="00C454A1">
        <w:rPr>
          <w:rFonts w:eastAsia="Times New Roman" w:cs="Times New Roman"/>
          <w:color w:val="000000" w:themeColor="text1"/>
        </w:rPr>
        <w:t xml:space="preserve"> y las cifras de los desplazamientos han seguido aumentando rápidamente hasta llegar a 180 personas entre el 15 de enero y el 15 de abril de 2025</w:t>
      </w:r>
      <w:r w:rsidRPr="00C454A1">
        <w:rPr>
          <w:rFonts w:eastAsia="Times New Roman" w:cs="Times New Roman"/>
          <w:color w:val="000000" w:themeColor="text1"/>
          <w:vertAlign w:val="superscript"/>
        </w:rPr>
        <w:footnoteReference w:id="348"/>
      </w:r>
      <w:r w:rsidRPr="00C454A1">
        <w:rPr>
          <w:rFonts w:eastAsia="Times New Roman" w:cs="Times New Roman"/>
          <w:color w:val="000000" w:themeColor="text1"/>
        </w:rPr>
        <w:t xml:space="preserve">.  </w:t>
      </w:r>
    </w:p>
    <w:p w14:paraId="63E45ABA" w14:textId="77777777" w:rsidR="009819F4" w:rsidRPr="00C454A1" w:rsidRDefault="009819F4" w:rsidP="009819F4">
      <w:pPr>
        <w:rPr>
          <w:rFonts w:eastAsia="Times New Roman" w:cs="Times New Roman"/>
          <w:color w:val="000000" w:themeColor="text1"/>
        </w:rPr>
      </w:pPr>
    </w:p>
    <w:p w14:paraId="4A798E07" w14:textId="3C79AFD6" w:rsidR="009819F4" w:rsidRPr="00C454A1" w:rsidRDefault="009819F4" w:rsidP="00321FAF">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rPr>
        <w:t xml:space="preserve">En concreto, el Ministerio de Defensa informó que, entre los años 2022 y 2024, se habían reportado tres ataques contra los firmantes en la región del Catatumbo. En contraste, para la fecha en que el </w:t>
      </w:r>
      <w:r w:rsidR="007525E1" w:rsidRPr="00C454A1">
        <w:rPr>
          <w:rFonts w:eastAsia="Times New Roman" w:cs="Times New Roman"/>
          <w:color w:val="000000" w:themeColor="text1"/>
        </w:rPr>
        <w:t>Gobierno nacional</w:t>
      </w:r>
      <w:r w:rsidRPr="00C454A1">
        <w:rPr>
          <w:rFonts w:eastAsia="Times New Roman" w:cs="Times New Roman"/>
          <w:color w:val="000000" w:themeColor="text1"/>
        </w:rPr>
        <w:t xml:space="preserve"> dictó el Decreto 62 de 2025, la ARN había reportado 102 firmantes desplazados, 5 asesinados y 11 desaparecidos en la región del Catatumbo. </w:t>
      </w:r>
      <w:r w:rsidRPr="00C454A1">
        <w:rPr>
          <w:rFonts w:eastAsia="Times New Roman" w:cs="Times New Roman"/>
          <w:color w:val="000000" w:themeColor="text1"/>
          <w:szCs w:val="28"/>
        </w:rPr>
        <w:t xml:space="preserve">Adicionalmente, </w:t>
      </w:r>
      <w:r w:rsidRPr="00C454A1">
        <w:rPr>
          <w:rFonts w:eastAsia="Times New Roman" w:cs="Times New Roman"/>
          <w:color w:val="000000" w:themeColor="text1"/>
          <w:szCs w:val="28"/>
        </w:rPr>
        <w:lastRenderedPageBreak/>
        <w:t>datos históricos del Ministerio del Interior sobre homicidios de firmantes de paz en esta zona revelan que los asesinatos cometidos en enero de 2025 duplicaron la cifra total de homicidios ocurridos entre 2020 y 2024, y superaron el total de los reportados en los municipios del Catatumbo durante el periodo 2022-2024.</w:t>
      </w:r>
    </w:p>
    <w:p w14:paraId="2C9674CE" w14:textId="77777777" w:rsidR="001078E6" w:rsidRPr="00C454A1" w:rsidRDefault="001078E6" w:rsidP="00631C27">
      <w:pPr>
        <w:rPr>
          <w:color w:val="000000" w:themeColor="text1"/>
          <w:lang w:eastAsia="es-ES"/>
        </w:rPr>
      </w:pPr>
    </w:p>
    <w:p w14:paraId="18D5BA98" w14:textId="60E2DB2D" w:rsidR="004A5560" w:rsidRPr="00C454A1" w:rsidRDefault="004A5560" w:rsidP="004A5560">
      <w:pPr>
        <w:jc w:val="center"/>
        <w:rPr>
          <w:color w:val="000000" w:themeColor="text1"/>
          <w:sz w:val="20"/>
          <w:szCs w:val="20"/>
        </w:rPr>
      </w:pPr>
      <w:r w:rsidRPr="00C454A1">
        <w:rPr>
          <w:rFonts w:eastAsia="Times New Roman" w:cs="Times New Roman"/>
          <w:i/>
          <w:iCs/>
          <w:color w:val="000000" w:themeColor="text1"/>
          <w:sz w:val="20"/>
          <w:szCs w:val="20"/>
        </w:rPr>
        <w:t xml:space="preserve">Gráfica </w:t>
      </w:r>
      <w:r w:rsidR="00476125" w:rsidRPr="00C454A1">
        <w:rPr>
          <w:rFonts w:eastAsia="Times New Roman" w:cs="Times New Roman"/>
          <w:i/>
          <w:iCs/>
          <w:color w:val="000000" w:themeColor="text1"/>
          <w:sz w:val="20"/>
          <w:szCs w:val="20"/>
        </w:rPr>
        <w:t>7</w:t>
      </w:r>
      <w:r w:rsidRPr="00C454A1">
        <w:rPr>
          <w:rFonts w:eastAsia="Times New Roman" w:cs="Times New Roman"/>
          <w:i/>
          <w:iCs/>
          <w:color w:val="000000" w:themeColor="text1"/>
          <w:sz w:val="20"/>
          <w:szCs w:val="20"/>
        </w:rPr>
        <w:t xml:space="preserve">. Homicidios de la población firmante de Paz en el Catatumbo. </w:t>
      </w:r>
    </w:p>
    <w:p w14:paraId="4A36D4FD" w14:textId="4D87AEE0" w:rsidR="004A5560" w:rsidRPr="00C454A1" w:rsidRDefault="004A5560" w:rsidP="004A5560">
      <w:pPr>
        <w:jc w:val="center"/>
        <w:rPr>
          <w:color w:val="000000" w:themeColor="text1"/>
          <w:sz w:val="20"/>
          <w:szCs w:val="20"/>
        </w:rPr>
      </w:pPr>
      <w:r w:rsidRPr="00C454A1">
        <w:rPr>
          <w:rFonts w:eastAsia="Times New Roman" w:cs="Times New Roman"/>
          <w:i/>
          <w:iCs/>
          <w:color w:val="000000" w:themeColor="text1"/>
          <w:sz w:val="20"/>
          <w:szCs w:val="20"/>
        </w:rPr>
        <w:t>Periodo 2017-2025</w:t>
      </w:r>
    </w:p>
    <w:p w14:paraId="72AF5050" w14:textId="41016BF5" w:rsidR="004A5560" w:rsidRPr="00C454A1" w:rsidRDefault="004A5560" w:rsidP="00C87BB6">
      <w:pPr>
        <w:jc w:val="center"/>
        <w:rPr>
          <w:color w:val="000000" w:themeColor="text1"/>
        </w:rPr>
      </w:pPr>
      <w:r w:rsidRPr="00C454A1">
        <w:rPr>
          <w:noProof/>
          <w:color w:val="000000" w:themeColor="text1"/>
          <w:lang w:val="en-US"/>
        </w:rPr>
        <w:drawing>
          <wp:inline distT="0" distB="0" distL="0" distR="0" wp14:anchorId="1569E28D" wp14:editId="3400D6DC">
            <wp:extent cx="3796825" cy="1739682"/>
            <wp:effectExtent l="0" t="0" r="0" b="0"/>
            <wp:docPr id="766228431" name="Picture 766228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796825" cy="1739682"/>
                    </a:xfrm>
                    <a:prstGeom prst="rect">
                      <a:avLst/>
                    </a:prstGeom>
                  </pic:spPr>
                </pic:pic>
              </a:graphicData>
            </a:graphic>
          </wp:inline>
        </w:drawing>
      </w:r>
    </w:p>
    <w:p w14:paraId="7C14F94F" w14:textId="1F3F7A55" w:rsidR="00950ED9" w:rsidRPr="00C454A1" w:rsidRDefault="004A5560" w:rsidP="00F842E0">
      <w:pPr>
        <w:jc w:val="center"/>
        <w:rPr>
          <w:color w:val="000000" w:themeColor="text1"/>
        </w:rPr>
      </w:pPr>
      <w:r w:rsidRPr="00C454A1">
        <w:rPr>
          <w:rFonts w:eastAsia="Times New Roman" w:cs="Times New Roman"/>
          <w:color w:val="000000" w:themeColor="text1"/>
          <w:sz w:val="20"/>
          <w:szCs w:val="20"/>
        </w:rPr>
        <w:t>Fuente: Dirección de Derechos Humanos del Ministerio del Interior</w:t>
      </w:r>
      <w:r w:rsidRPr="00C454A1">
        <w:rPr>
          <w:rFonts w:eastAsia="Times New Roman" w:cs="Times New Roman"/>
          <w:color w:val="000000" w:themeColor="text1"/>
          <w:sz w:val="20"/>
          <w:szCs w:val="20"/>
        </w:rPr>
        <w:footnoteReference w:id="349"/>
      </w:r>
      <w:r w:rsidRPr="00C454A1">
        <w:rPr>
          <w:rFonts w:eastAsia="Times New Roman" w:cs="Times New Roman"/>
          <w:color w:val="000000" w:themeColor="text1"/>
          <w:sz w:val="20"/>
          <w:szCs w:val="20"/>
        </w:rPr>
        <w:t xml:space="preserve">. Fecha de corte: 21 de enero de 2025 </w:t>
      </w:r>
    </w:p>
    <w:p w14:paraId="41405370" w14:textId="77777777" w:rsidR="00C87BB6" w:rsidRPr="00C454A1" w:rsidRDefault="00C87BB6" w:rsidP="004A5560">
      <w:pPr>
        <w:jc w:val="center"/>
        <w:rPr>
          <w:color w:val="000000" w:themeColor="text1"/>
        </w:rPr>
      </w:pPr>
    </w:p>
    <w:p w14:paraId="4BAD5485" w14:textId="0130D4EE"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La UNP también reportó un aumento exponencial de las solicitudes de protección a favor de los firmantes del A</w:t>
      </w:r>
      <w:r w:rsidR="00B51278" w:rsidRPr="00C454A1">
        <w:rPr>
          <w:color w:val="000000" w:themeColor="text1"/>
          <w:lang w:eastAsia="es-ES"/>
        </w:rPr>
        <w:t>FP</w:t>
      </w:r>
      <w:r w:rsidRPr="00C454A1">
        <w:rPr>
          <w:color w:val="000000" w:themeColor="text1"/>
          <w:lang w:eastAsia="es-ES"/>
        </w:rPr>
        <w:t xml:space="preserve">. Enfatizó en que durante el año 2025 ha recibido “una mayor cantidad de solicitudes de protección por parte de firmantes del acuerdo de paz, comparado con anualidades </w:t>
      </w:r>
      <w:r w:rsidRPr="00C454A1">
        <w:rPr>
          <w:i/>
          <w:iCs/>
          <w:color w:val="000000" w:themeColor="text1"/>
          <w:lang w:eastAsia="es-ES"/>
        </w:rPr>
        <w:t>anteriores</w:t>
      </w:r>
      <w:r w:rsidRPr="00C454A1">
        <w:rPr>
          <w:color w:val="000000" w:themeColor="text1"/>
          <w:lang w:eastAsia="es-ES"/>
        </w:rPr>
        <w:t xml:space="preserve">. Situación que permite inferir la existencia de un nivel de riesgo mayor (inminente, extremo y excepcional) en los municipios en los que el </w:t>
      </w:r>
      <w:r w:rsidR="007525E1" w:rsidRPr="00C454A1">
        <w:rPr>
          <w:color w:val="000000" w:themeColor="text1"/>
          <w:lang w:eastAsia="es-ES"/>
        </w:rPr>
        <w:t>Gobierno nacional</w:t>
      </w:r>
      <w:r w:rsidRPr="00C454A1">
        <w:rPr>
          <w:color w:val="000000" w:themeColor="text1"/>
          <w:lang w:eastAsia="es-ES"/>
        </w:rPr>
        <w:t xml:space="preserve"> declaró la conmoción interior para dicha población”</w:t>
      </w:r>
      <w:r w:rsidRPr="00C454A1">
        <w:rPr>
          <w:color w:val="000000" w:themeColor="text1"/>
          <w:vertAlign w:val="superscript"/>
          <w:lang w:eastAsia="es-ES"/>
        </w:rPr>
        <w:footnoteReference w:id="350"/>
      </w:r>
      <w:r w:rsidRPr="00C454A1">
        <w:rPr>
          <w:color w:val="000000" w:themeColor="text1"/>
          <w:lang w:eastAsia="es-ES"/>
        </w:rPr>
        <w:t>. En particular, respecto de las personas en proceso de reincorporación, la UNP informó que ha recibido las siguientes solicitudes de protección desde 2022 y hasta el 4 de febrero de 2025: (i) 42 en 2022; (ii) 24 en 2023; (iii) 29 en 2024 y (iv) 93 en 2025. La entidad precisó que, el 4 de febrero de 2025, “recibió solicitud de activación de ruta de protección mediante Trámite de Emergencia por parte del Consejo Nacional de Reincorporación - CNR-Comunes, adjuntándose para el efecto, un listado de 177 personas”</w:t>
      </w:r>
      <w:r w:rsidRPr="00C454A1">
        <w:rPr>
          <w:color w:val="000000" w:themeColor="text1"/>
          <w:vertAlign w:val="superscript"/>
          <w:lang w:eastAsia="es-ES"/>
        </w:rPr>
        <w:footnoteReference w:id="351"/>
      </w:r>
      <w:r w:rsidRPr="00C454A1">
        <w:rPr>
          <w:color w:val="000000" w:themeColor="text1"/>
          <w:lang w:eastAsia="es-ES"/>
        </w:rPr>
        <w:t xml:space="preserve">. </w:t>
      </w:r>
    </w:p>
    <w:p w14:paraId="561931C9" w14:textId="77777777" w:rsidR="004A5560" w:rsidRPr="00C454A1" w:rsidRDefault="004A5560" w:rsidP="004A5560">
      <w:pPr>
        <w:rPr>
          <w:color w:val="000000" w:themeColor="text1"/>
          <w:lang w:eastAsia="es-ES"/>
        </w:rPr>
      </w:pPr>
    </w:p>
    <w:p w14:paraId="1DDBCB98" w14:textId="5467F9DB" w:rsidR="004A5560" w:rsidRPr="00C454A1" w:rsidRDefault="004A5560" w:rsidP="00321FAF">
      <w:pPr>
        <w:numPr>
          <w:ilvl w:val="0"/>
          <w:numId w:val="2"/>
        </w:numPr>
        <w:ind w:left="0" w:firstLine="0"/>
        <w:rPr>
          <w:rFonts w:eastAsia="Times New Roman" w:cs="Times New Roman"/>
          <w:color w:val="000000" w:themeColor="text1"/>
        </w:rPr>
      </w:pPr>
      <w:r w:rsidRPr="00C454A1">
        <w:rPr>
          <w:rFonts w:eastAsia="Times New Roman" w:cs="Times New Roman"/>
          <w:color w:val="000000" w:themeColor="text1"/>
        </w:rPr>
        <w:t xml:space="preserve">La </w:t>
      </w:r>
      <w:r w:rsidR="00A6217A" w:rsidRPr="00C454A1">
        <w:rPr>
          <w:rFonts w:eastAsia="Times New Roman" w:cs="Times New Roman"/>
          <w:color w:val="000000" w:themeColor="text1"/>
        </w:rPr>
        <w:t>Corte</w:t>
      </w:r>
      <w:r w:rsidRPr="00C454A1">
        <w:rPr>
          <w:rFonts w:eastAsia="Times New Roman" w:cs="Times New Roman"/>
          <w:color w:val="000000" w:themeColor="text1"/>
        </w:rPr>
        <w:t xml:space="preserve"> resalta también que, en la última sesión técnica de la Sala Especial de Seguimiento a la Sentencia SU-020 de 2022 </w:t>
      </w:r>
      <w:r w:rsidR="009433A8" w:rsidRPr="00C454A1">
        <w:rPr>
          <w:rFonts w:eastAsia="Times New Roman" w:cs="Times New Roman"/>
          <w:color w:val="000000" w:themeColor="text1"/>
        </w:rPr>
        <w:t>-</w:t>
      </w:r>
      <w:r w:rsidRPr="00C454A1">
        <w:rPr>
          <w:rFonts w:eastAsia="Times New Roman" w:cs="Times New Roman"/>
          <w:color w:val="000000" w:themeColor="text1"/>
        </w:rPr>
        <w:t>sobre el Sistema de Prevención y Alerta para la Reacción Rápida</w:t>
      </w:r>
      <w:r w:rsidR="009433A8" w:rsidRPr="00C454A1">
        <w:rPr>
          <w:rFonts w:eastAsia="Times New Roman" w:cs="Times New Roman"/>
          <w:color w:val="000000" w:themeColor="text1"/>
        </w:rPr>
        <w:t>-</w:t>
      </w:r>
      <w:r w:rsidRPr="00C454A1">
        <w:rPr>
          <w:rFonts w:eastAsia="Times New Roman" w:cs="Times New Roman"/>
          <w:color w:val="000000" w:themeColor="text1"/>
        </w:rPr>
        <w:t xml:space="preserve">, se señaló que, en la región del Catatumbo, el desplazamiento forzado ascendió a más de 180 personas firmantes del </w:t>
      </w:r>
      <w:r w:rsidR="00A41CE1" w:rsidRPr="00C454A1">
        <w:rPr>
          <w:rFonts w:eastAsia="Times New Roman" w:cs="Times New Roman"/>
          <w:color w:val="000000" w:themeColor="text1"/>
        </w:rPr>
        <w:t>AFP</w:t>
      </w:r>
      <w:r w:rsidRPr="00C454A1">
        <w:rPr>
          <w:rFonts w:eastAsia="Times New Roman" w:cs="Times New Roman"/>
          <w:color w:val="000000" w:themeColor="text1"/>
        </w:rPr>
        <w:t xml:space="preserve">, incluyendo sus hijos e hijas; 6 firmantes de paz han sido asesinados y hay 8 personas desaparecidas. Adicionalmente, los firmantes denunciaron el posible confinamiento de quienes aún habitan el Espacio Territorial de Capacitación y Reincorporación “Caño Indio”, ubicado en Tibú, </w:t>
      </w:r>
      <w:r w:rsidRPr="00C454A1">
        <w:rPr>
          <w:rFonts w:eastAsia="Times New Roman" w:cs="Times New Roman"/>
          <w:color w:val="000000" w:themeColor="text1"/>
        </w:rPr>
        <w:lastRenderedPageBreak/>
        <w:t>junto con el de 6 personas más por fuera de esta zona. El número de personas afectadas y con un nivel extraordinario de riesgo es alarmante, si se tiene en cuenta que, a 31 de diciembre de 2024, la población firmante de paz que habitaba esta región era</w:t>
      </w:r>
      <w:r w:rsidR="00500CFF" w:rsidRPr="00C454A1">
        <w:rPr>
          <w:rFonts w:eastAsia="Times New Roman" w:cs="Times New Roman"/>
          <w:color w:val="000000" w:themeColor="text1"/>
        </w:rPr>
        <w:t xml:space="preserve"> de</w:t>
      </w:r>
      <w:r w:rsidRPr="00C454A1">
        <w:rPr>
          <w:rFonts w:eastAsia="Times New Roman" w:cs="Times New Roman"/>
          <w:color w:val="000000" w:themeColor="text1"/>
        </w:rPr>
        <w:t xml:space="preserve"> 464 personas</w:t>
      </w:r>
      <w:r w:rsidR="003B4847" w:rsidRPr="00C454A1">
        <w:rPr>
          <w:rStyle w:val="Refdenotaalpie"/>
          <w:rFonts w:eastAsia="Times New Roman" w:cs="Times New Roman"/>
          <w:color w:val="000000" w:themeColor="text1"/>
        </w:rPr>
        <w:footnoteReference w:id="352"/>
      </w:r>
      <w:r w:rsidRPr="00C454A1">
        <w:rPr>
          <w:rFonts w:eastAsia="Times New Roman" w:cs="Times New Roman"/>
          <w:color w:val="000000" w:themeColor="text1"/>
        </w:rPr>
        <w:t>.</w:t>
      </w:r>
    </w:p>
    <w:bookmarkEnd w:id="187"/>
    <w:p w14:paraId="385406E4" w14:textId="77777777" w:rsidR="00634D33" w:rsidRPr="00C454A1" w:rsidRDefault="00634D33" w:rsidP="00634D33">
      <w:pPr>
        <w:pStyle w:val="Prrafodelista"/>
        <w:rPr>
          <w:rFonts w:eastAsia="Times New Roman" w:cs="Times New Roman"/>
          <w:color w:val="000000" w:themeColor="text1"/>
        </w:rPr>
      </w:pPr>
    </w:p>
    <w:p w14:paraId="0A992F00" w14:textId="00019A0A" w:rsidR="00634D33" w:rsidRPr="00C454A1" w:rsidRDefault="00634D33" w:rsidP="00321FAF">
      <w:pPr>
        <w:numPr>
          <w:ilvl w:val="0"/>
          <w:numId w:val="2"/>
        </w:numPr>
        <w:ind w:left="0" w:firstLine="0"/>
        <w:rPr>
          <w:color w:val="000000" w:themeColor="text1"/>
          <w:lang w:eastAsia="es-ES"/>
        </w:rPr>
      </w:pPr>
      <w:bookmarkStart w:id="195" w:name="_Ref203396298"/>
      <w:r w:rsidRPr="00C454A1">
        <w:rPr>
          <w:color w:val="000000" w:themeColor="text1"/>
          <w:lang w:eastAsia="es-ES"/>
        </w:rPr>
        <w:t>La siguiente gráfica aportada por la Defensoría del Pueblo sintetiza los datos expuestos, los cuales reflejan el carácter extraordinario de la perturbación del orden público en la región del Catatumbo, como consecuencia de la intensificación inusitada de los ataques y hostilidades del ELN contra la población civil</w:t>
      </w:r>
      <w:r w:rsidR="00A41CE1" w:rsidRPr="00C454A1">
        <w:rPr>
          <w:color w:val="000000" w:themeColor="text1"/>
          <w:lang w:eastAsia="es-ES"/>
        </w:rPr>
        <w:t xml:space="preserve"> y los firmantes del AFP</w:t>
      </w:r>
      <w:r w:rsidRPr="00C454A1">
        <w:rPr>
          <w:color w:val="000000" w:themeColor="text1"/>
          <w:lang w:eastAsia="es-ES"/>
        </w:rPr>
        <w:t>:</w:t>
      </w:r>
      <w:bookmarkEnd w:id="195"/>
    </w:p>
    <w:p w14:paraId="31ACC222" w14:textId="77777777" w:rsidR="00634D33" w:rsidRPr="00C454A1" w:rsidRDefault="00634D33" w:rsidP="00634D33">
      <w:pPr>
        <w:rPr>
          <w:color w:val="000000" w:themeColor="text1"/>
          <w:lang w:eastAsia="es-ES"/>
        </w:rPr>
      </w:pPr>
    </w:p>
    <w:p w14:paraId="62AF9CEE" w14:textId="77777777" w:rsidR="003B4847" w:rsidRPr="00C454A1" w:rsidRDefault="003B4847" w:rsidP="00634D33">
      <w:pPr>
        <w:rPr>
          <w:color w:val="000000" w:themeColor="text1"/>
          <w:lang w:eastAsia="es-ES"/>
        </w:rPr>
      </w:pPr>
    </w:p>
    <w:p w14:paraId="3A3D5385" w14:textId="77777777" w:rsidR="003B4847" w:rsidRPr="00C454A1" w:rsidRDefault="003B4847" w:rsidP="00634D33">
      <w:pPr>
        <w:rPr>
          <w:color w:val="000000" w:themeColor="text1"/>
          <w:lang w:eastAsia="es-ES"/>
        </w:rPr>
      </w:pPr>
    </w:p>
    <w:p w14:paraId="3D754D1B" w14:textId="77777777" w:rsidR="003B4847" w:rsidRPr="00C454A1" w:rsidRDefault="003B4847" w:rsidP="00634D33">
      <w:pPr>
        <w:rPr>
          <w:color w:val="000000" w:themeColor="text1"/>
          <w:lang w:eastAsia="es-ES"/>
        </w:rPr>
      </w:pPr>
    </w:p>
    <w:p w14:paraId="3F08A5AF" w14:textId="77777777" w:rsidR="003B4847" w:rsidRPr="00C454A1" w:rsidRDefault="003B4847" w:rsidP="00634D33">
      <w:pPr>
        <w:rPr>
          <w:color w:val="000000" w:themeColor="text1"/>
          <w:lang w:eastAsia="es-ES"/>
        </w:rPr>
      </w:pPr>
    </w:p>
    <w:p w14:paraId="41E30F59" w14:textId="77777777" w:rsidR="003B4847" w:rsidRPr="00C454A1" w:rsidRDefault="003B4847" w:rsidP="00634D33">
      <w:pPr>
        <w:rPr>
          <w:color w:val="000000" w:themeColor="text1"/>
          <w:lang w:eastAsia="es-ES"/>
        </w:rPr>
      </w:pPr>
    </w:p>
    <w:p w14:paraId="67274899" w14:textId="77777777" w:rsidR="003B4847" w:rsidRPr="00C454A1" w:rsidRDefault="003B4847" w:rsidP="00634D33">
      <w:pPr>
        <w:rPr>
          <w:color w:val="000000" w:themeColor="text1"/>
          <w:lang w:eastAsia="es-ES"/>
        </w:rPr>
      </w:pPr>
    </w:p>
    <w:p w14:paraId="0271112E" w14:textId="77777777" w:rsidR="003B4847" w:rsidRPr="00C454A1" w:rsidRDefault="003B4847" w:rsidP="00634D33">
      <w:pPr>
        <w:rPr>
          <w:color w:val="000000" w:themeColor="text1"/>
          <w:lang w:eastAsia="es-ES"/>
        </w:rPr>
      </w:pPr>
    </w:p>
    <w:p w14:paraId="5438EEEF" w14:textId="6E97CC98" w:rsidR="00476125" w:rsidRPr="00C454A1" w:rsidRDefault="00476125" w:rsidP="00476125">
      <w:pPr>
        <w:ind w:left="709" w:right="618"/>
        <w:jc w:val="center"/>
        <w:rPr>
          <w:i/>
          <w:iCs/>
          <w:color w:val="000000" w:themeColor="text1"/>
          <w:sz w:val="22"/>
          <w:szCs w:val="22"/>
          <w:lang w:eastAsia="es-ES"/>
        </w:rPr>
      </w:pPr>
      <w:r w:rsidRPr="00C454A1">
        <w:rPr>
          <w:i/>
          <w:iCs/>
          <w:color w:val="000000" w:themeColor="text1"/>
          <w:sz w:val="22"/>
          <w:szCs w:val="22"/>
          <w:lang w:eastAsia="es-ES"/>
        </w:rPr>
        <w:t>Gráfica 8: datos relevantes sobre la crisis en la región del Catatumbo resaltados por la Defensoría del Pueblo</w:t>
      </w:r>
    </w:p>
    <w:p w14:paraId="4BA04F7E" w14:textId="77777777" w:rsidR="00634D33" w:rsidRPr="00C454A1" w:rsidRDefault="00634D33" w:rsidP="00634D33">
      <w:pPr>
        <w:jc w:val="center"/>
        <w:rPr>
          <w:color w:val="000000" w:themeColor="text1"/>
          <w:lang w:eastAsia="es-ES"/>
        </w:rPr>
      </w:pPr>
      <w:r w:rsidRPr="00C454A1">
        <w:rPr>
          <w:noProof/>
          <w:color w:val="000000" w:themeColor="text1"/>
          <w:lang w:val="en-US"/>
        </w:rPr>
        <w:drawing>
          <wp:inline distT="0" distB="0" distL="0" distR="0" wp14:anchorId="2E0CA2E6" wp14:editId="35D22361">
            <wp:extent cx="2762497" cy="1774895"/>
            <wp:effectExtent l="0" t="0" r="6350" b="3175"/>
            <wp:docPr id="7822301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64363" name="Imagen 1497464363"/>
                    <pic:cNvPicPr/>
                  </pic:nvPicPr>
                  <pic:blipFill rotWithShape="1">
                    <a:blip r:embed="rId19" cstate="print">
                      <a:extLst>
                        <a:ext uri="{28A0092B-C50C-407E-A947-70E740481C1C}">
                          <a14:useLocalDpi xmlns:a14="http://schemas.microsoft.com/office/drawing/2010/main" val="0"/>
                        </a:ext>
                      </a:extLst>
                    </a:blip>
                    <a:srcRect r="2582" b="52469"/>
                    <a:stretch/>
                  </pic:blipFill>
                  <pic:spPr bwMode="auto">
                    <a:xfrm>
                      <a:off x="0" y="0"/>
                      <a:ext cx="2803481" cy="1801227"/>
                    </a:xfrm>
                    <a:prstGeom prst="rect">
                      <a:avLst/>
                    </a:prstGeom>
                    <a:ln>
                      <a:noFill/>
                    </a:ln>
                    <a:extLst>
                      <a:ext uri="{53640926-AAD7-44D8-BBD7-CCE9431645EC}">
                        <a14:shadowObscured xmlns:a14="http://schemas.microsoft.com/office/drawing/2010/main"/>
                      </a:ext>
                    </a:extLst>
                  </pic:spPr>
                </pic:pic>
              </a:graphicData>
            </a:graphic>
          </wp:inline>
        </w:drawing>
      </w:r>
      <w:r w:rsidRPr="00C454A1">
        <w:rPr>
          <w:noProof/>
          <w:color w:val="000000" w:themeColor="text1"/>
          <w:lang w:val="en-US"/>
        </w:rPr>
        <w:drawing>
          <wp:inline distT="0" distB="0" distL="0" distR="0" wp14:anchorId="59A40133" wp14:editId="03CEEDE1">
            <wp:extent cx="2763223" cy="1782005"/>
            <wp:effectExtent l="0" t="0" r="5715" b="0"/>
            <wp:docPr id="873104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64363" name="Imagen 1497464363"/>
                    <pic:cNvPicPr/>
                  </pic:nvPicPr>
                  <pic:blipFill rotWithShape="1">
                    <a:blip r:embed="rId19" cstate="print">
                      <a:extLst>
                        <a:ext uri="{28A0092B-C50C-407E-A947-70E740481C1C}">
                          <a14:useLocalDpi xmlns:a14="http://schemas.microsoft.com/office/drawing/2010/main" val="0"/>
                        </a:ext>
                      </a:extLst>
                    </a:blip>
                    <a:srcRect t="46731" r="2563" b="160"/>
                    <a:stretch/>
                  </pic:blipFill>
                  <pic:spPr bwMode="auto">
                    <a:xfrm>
                      <a:off x="0" y="0"/>
                      <a:ext cx="2764362" cy="1782740"/>
                    </a:xfrm>
                    <a:prstGeom prst="rect">
                      <a:avLst/>
                    </a:prstGeom>
                    <a:ln>
                      <a:noFill/>
                    </a:ln>
                    <a:extLst>
                      <a:ext uri="{53640926-AAD7-44D8-BBD7-CCE9431645EC}">
                        <a14:shadowObscured xmlns:a14="http://schemas.microsoft.com/office/drawing/2010/main"/>
                      </a:ext>
                    </a:extLst>
                  </pic:spPr>
                </pic:pic>
              </a:graphicData>
            </a:graphic>
          </wp:inline>
        </w:drawing>
      </w:r>
    </w:p>
    <w:p w14:paraId="4FFDE82C" w14:textId="77777777" w:rsidR="00E22EBC" w:rsidRPr="00C454A1" w:rsidRDefault="00E22EBC" w:rsidP="00E22EBC">
      <w:pPr>
        <w:rPr>
          <w:rFonts w:eastAsia="Times New Roman" w:cs="Times New Roman"/>
          <w:color w:val="000000" w:themeColor="text1"/>
        </w:rPr>
      </w:pPr>
    </w:p>
    <w:p w14:paraId="4042EBCF" w14:textId="7EA4DA8A" w:rsidR="00E22EBC" w:rsidRPr="00C454A1" w:rsidRDefault="00FA560B" w:rsidP="00E22EBC">
      <w:pPr>
        <w:numPr>
          <w:ilvl w:val="0"/>
          <w:numId w:val="12"/>
        </w:numPr>
        <w:ind w:hanging="436"/>
        <w:rPr>
          <w:color w:val="000000" w:themeColor="text1"/>
          <w:u w:val="single"/>
          <w:lang w:eastAsia="es-ES"/>
        </w:rPr>
      </w:pPr>
      <w:r w:rsidRPr="00C454A1">
        <w:rPr>
          <w:color w:val="000000" w:themeColor="text1"/>
          <w:u w:val="single"/>
          <w:lang w:eastAsia="es-ES"/>
        </w:rPr>
        <w:t>Crisis humanitaria derivada de desplazamientos forzados -internos y transfronterizos- y confinamientos masivos que ha desbordado la capacidad institucional del Estado</w:t>
      </w:r>
    </w:p>
    <w:p w14:paraId="625D43A8" w14:textId="77777777" w:rsidR="00E22EBC" w:rsidRPr="00C454A1" w:rsidRDefault="00E22EBC" w:rsidP="00E22EBC">
      <w:pPr>
        <w:rPr>
          <w:color w:val="000000" w:themeColor="text1"/>
          <w:lang w:eastAsia="es-ES"/>
        </w:rPr>
      </w:pPr>
    </w:p>
    <w:p w14:paraId="2EF96D9B" w14:textId="4CED0236" w:rsidR="00E22EBC" w:rsidRPr="00C454A1" w:rsidRDefault="00E22EBC" w:rsidP="00321FAF">
      <w:pPr>
        <w:numPr>
          <w:ilvl w:val="0"/>
          <w:numId w:val="2"/>
        </w:numPr>
        <w:ind w:left="0" w:firstLine="0"/>
        <w:rPr>
          <w:color w:val="000000" w:themeColor="text1"/>
          <w:lang w:eastAsia="es-ES"/>
        </w:rPr>
      </w:pPr>
      <w:r w:rsidRPr="00C454A1">
        <w:rPr>
          <w:color w:val="000000" w:themeColor="text1"/>
          <w:lang w:eastAsia="es-ES"/>
        </w:rPr>
        <w:t xml:space="preserve">En la parte motiva del Decreto 62 de 2025, así como en los escritos de respuesta al auto de pruebas del 3 de enero de 2025, el </w:t>
      </w:r>
      <w:r w:rsidR="007525E1" w:rsidRPr="00C454A1">
        <w:rPr>
          <w:color w:val="000000" w:themeColor="text1"/>
          <w:lang w:eastAsia="es-ES"/>
        </w:rPr>
        <w:t>Gobierno nacional</w:t>
      </w:r>
      <w:r w:rsidRPr="00C454A1">
        <w:rPr>
          <w:color w:val="000000" w:themeColor="text1"/>
          <w:lang w:eastAsia="es-ES"/>
        </w:rPr>
        <w:t xml:space="preserve"> sostuvo que la intensificación del accionar armado del ELN y los enfrentamientos con otros </w:t>
      </w:r>
      <w:r w:rsidR="00EE77DF" w:rsidRPr="00C454A1">
        <w:rPr>
          <w:color w:val="000000" w:themeColor="text1"/>
          <w:lang w:eastAsia="es-ES"/>
        </w:rPr>
        <w:t>GAO</w:t>
      </w:r>
      <w:r w:rsidRPr="00C454A1">
        <w:rPr>
          <w:color w:val="000000" w:themeColor="text1"/>
          <w:lang w:eastAsia="es-ES"/>
        </w:rPr>
        <w:t xml:space="preserve"> </w:t>
      </w:r>
      <w:r w:rsidR="00500CFF" w:rsidRPr="00C454A1">
        <w:rPr>
          <w:color w:val="000000" w:themeColor="text1"/>
          <w:lang w:eastAsia="es-ES"/>
        </w:rPr>
        <w:t xml:space="preserve">produjeron </w:t>
      </w:r>
      <w:r w:rsidRPr="00C454A1">
        <w:rPr>
          <w:color w:val="000000" w:themeColor="text1"/>
          <w:lang w:eastAsia="es-ES"/>
        </w:rPr>
        <w:t xml:space="preserve">la mayor crisis humanitaria en la historia reciente de nuestro país. Asimismo, aseguró que esta crisis ha generado un desbordamiento institucional </w:t>
      </w:r>
      <w:r w:rsidR="00593548" w:rsidRPr="00C454A1">
        <w:rPr>
          <w:color w:val="000000" w:themeColor="text1"/>
          <w:lang w:eastAsia="es-ES"/>
        </w:rPr>
        <w:t xml:space="preserve">tanto </w:t>
      </w:r>
      <w:r w:rsidRPr="00C454A1">
        <w:rPr>
          <w:color w:val="000000" w:themeColor="text1"/>
          <w:lang w:eastAsia="es-ES"/>
        </w:rPr>
        <w:t xml:space="preserve">de las entidades territoriales, como primeras respondientes, como de las entidades del orden nacional, como respondientes subsidiarias. </w:t>
      </w:r>
    </w:p>
    <w:p w14:paraId="31EEAA87" w14:textId="77777777" w:rsidR="00E22EBC" w:rsidRPr="00C454A1" w:rsidRDefault="00E22EBC" w:rsidP="00E22EBC">
      <w:pPr>
        <w:rPr>
          <w:color w:val="000000" w:themeColor="text1"/>
          <w:lang w:eastAsia="es-ES"/>
        </w:rPr>
      </w:pPr>
    </w:p>
    <w:p w14:paraId="2C10C101" w14:textId="00C48D63" w:rsidR="00E22EBC" w:rsidRPr="00C454A1" w:rsidRDefault="00A6217A" w:rsidP="00321FAF">
      <w:pPr>
        <w:numPr>
          <w:ilvl w:val="0"/>
          <w:numId w:val="2"/>
        </w:numPr>
        <w:ind w:left="0" w:firstLine="0"/>
        <w:rPr>
          <w:color w:val="000000" w:themeColor="text1"/>
          <w:lang w:eastAsia="es-ES"/>
        </w:rPr>
      </w:pPr>
      <w:r w:rsidRPr="00C454A1">
        <w:rPr>
          <w:color w:val="000000" w:themeColor="text1"/>
          <w:lang w:eastAsia="es-ES"/>
        </w:rPr>
        <w:t>Para la Corte, no hay duda de que</w:t>
      </w:r>
      <w:r w:rsidR="00E22EBC" w:rsidRPr="00C454A1">
        <w:rPr>
          <w:color w:val="000000" w:themeColor="text1"/>
          <w:lang w:eastAsia="es-ES"/>
        </w:rPr>
        <w:t xml:space="preserve"> la crisis humanitaria en la región del Catatumbo es un hecho extraordinario. </w:t>
      </w:r>
      <w:r w:rsidR="00114156" w:rsidRPr="00C454A1">
        <w:rPr>
          <w:color w:val="000000" w:themeColor="text1"/>
          <w:lang w:eastAsia="es-ES"/>
        </w:rPr>
        <w:t>H</w:t>
      </w:r>
      <w:r w:rsidR="00E22EBC" w:rsidRPr="00C454A1">
        <w:rPr>
          <w:color w:val="000000" w:themeColor="text1"/>
          <w:lang w:eastAsia="es-ES"/>
        </w:rPr>
        <w:t xml:space="preserve">abida cuenta de la histórica presencia </w:t>
      </w:r>
      <w:r w:rsidR="00E22EBC" w:rsidRPr="00C454A1">
        <w:rPr>
          <w:color w:val="000000" w:themeColor="text1"/>
          <w:lang w:eastAsia="es-ES"/>
        </w:rPr>
        <w:lastRenderedPageBreak/>
        <w:t xml:space="preserve">de </w:t>
      </w:r>
      <w:r w:rsidR="00EE77DF" w:rsidRPr="00C454A1">
        <w:rPr>
          <w:color w:val="000000" w:themeColor="text1"/>
          <w:lang w:eastAsia="es-ES"/>
        </w:rPr>
        <w:t>GAO</w:t>
      </w:r>
      <w:r w:rsidR="00E22EBC" w:rsidRPr="00C454A1">
        <w:rPr>
          <w:color w:val="000000" w:themeColor="text1"/>
          <w:lang w:eastAsia="es-ES"/>
        </w:rPr>
        <w:t xml:space="preserve">, los desplazamientos forzados en la región del Catatumbo han sido, desafortunadamente, recurrentes. Sin embargo, las pruebas que reposan en el expediente demuestran que la emergencia humanitaria que tuvo lugar a partir del 15 de enero de 2025 es excepcional y supuso un agravamiento inusitado de esta problemática. </w:t>
      </w:r>
      <w:r w:rsidRPr="00C454A1">
        <w:rPr>
          <w:color w:val="000000" w:themeColor="text1"/>
          <w:lang w:eastAsia="es-ES"/>
        </w:rPr>
        <w:t>El</w:t>
      </w:r>
      <w:r w:rsidR="00E22EBC" w:rsidRPr="00C454A1">
        <w:rPr>
          <w:color w:val="000000" w:themeColor="text1"/>
          <w:lang w:eastAsia="es-ES"/>
        </w:rPr>
        <w:t xml:space="preserve"> carácter extraordinario se deriva</w:t>
      </w:r>
      <w:r w:rsidRPr="00C454A1">
        <w:rPr>
          <w:color w:val="000000" w:themeColor="text1"/>
          <w:lang w:eastAsia="es-ES"/>
        </w:rPr>
        <w:t xml:space="preserve"> de diferentes hechos, a saber: (i)</w:t>
      </w:r>
      <w:r w:rsidR="00E22EBC" w:rsidRPr="00C454A1">
        <w:rPr>
          <w:color w:val="000000" w:themeColor="text1"/>
          <w:lang w:eastAsia="es-ES"/>
        </w:rPr>
        <w:t xml:space="preserve"> el crecimiento</w:t>
      </w:r>
      <w:r w:rsidRPr="00C454A1">
        <w:rPr>
          <w:color w:val="000000" w:themeColor="text1"/>
          <w:lang w:eastAsia="es-ES"/>
        </w:rPr>
        <w:t xml:space="preserve"> exponencial</w:t>
      </w:r>
      <w:r w:rsidR="00E22EBC" w:rsidRPr="00C454A1">
        <w:rPr>
          <w:color w:val="000000" w:themeColor="text1"/>
          <w:lang w:eastAsia="es-ES"/>
        </w:rPr>
        <w:t xml:space="preserve"> del número de víctimas de desplazamiento forzado y confinamiento masivo</w:t>
      </w:r>
      <w:r w:rsidRPr="00C454A1">
        <w:rPr>
          <w:color w:val="000000" w:themeColor="text1"/>
          <w:lang w:eastAsia="es-ES"/>
        </w:rPr>
        <w:t>, que llevó a</w:t>
      </w:r>
      <w:r w:rsidR="00E22EBC" w:rsidRPr="00C454A1">
        <w:rPr>
          <w:color w:val="000000" w:themeColor="text1"/>
          <w:lang w:eastAsia="es-ES"/>
        </w:rPr>
        <w:t xml:space="preserve"> un incremento por encima de los momentos más críticos de la historia reciente del país y de la región</w:t>
      </w:r>
      <w:r w:rsidRPr="00C454A1">
        <w:rPr>
          <w:color w:val="000000" w:themeColor="text1"/>
          <w:lang w:eastAsia="es-ES"/>
        </w:rPr>
        <w:t>; (ii)</w:t>
      </w:r>
      <w:r w:rsidR="00E22EBC" w:rsidRPr="00C454A1">
        <w:rPr>
          <w:color w:val="000000" w:themeColor="text1"/>
          <w:lang w:eastAsia="es-ES"/>
        </w:rPr>
        <w:t xml:space="preserve"> del corto periodo en el que </w:t>
      </w:r>
      <w:r w:rsidRPr="00C454A1">
        <w:rPr>
          <w:color w:val="000000" w:themeColor="text1"/>
          <w:lang w:eastAsia="es-ES"/>
        </w:rPr>
        <w:t xml:space="preserve">dicho incremento </w:t>
      </w:r>
      <w:r w:rsidR="00E22EBC" w:rsidRPr="00C454A1">
        <w:rPr>
          <w:color w:val="000000" w:themeColor="text1"/>
          <w:lang w:eastAsia="es-ES"/>
        </w:rPr>
        <w:t>se registró</w:t>
      </w:r>
      <w:r w:rsidRPr="00C454A1">
        <w:rPr>
          <w:color w:val="000000" w:themeColor="text1"/>
          <w:lang w:eastAsia="es-ES"/>
        </w:rPr>
        <w:t>;</w:t>
      </w:r>
      <w:r w:rsidR="00E22EBC" w:rsidRPr="00C454A1">
        <w:rPr>
          <w:color w:val="000000" w:themeColor="text1"/>
          <w:lang w:eastAsia="es-ES"/>
        </w:rPr>
        <w:t xml:space="preserve"> y </w:t>
      </w:r>
      <w:r w:rsidRPr="00C454A1">
        <w:rPr>
          <w:color w:val="000000" w:themeColor="text1"/>
          <w:lang w:eastAsia="es-ES"/>
        </w:rPr>
        <w:t>(iii) d</w:t>
      </w:r>
      <w:r w:rsidR="00E22EBC" w:rsidRPr="00C454A1">
        <w:rPr>
          <w:color w:val="000000" w:themeColor="text1"/>
          <w:lang w:eastAsia="es-ES"/>
        </w:rPr>
        <w:t xml:space="preserve">el desbordamiento institucional que de ahí se derivó.  </w:t>
      </w:r>
    </w:p>
    <w:p w14:paraId="3C349DBF" w14:textId="77777777" w:rsidR="00950ED9" w:rsidRPr="00C454A1" w:rsidRDefault="00950ED9" w:rsidP="00631C27">
      <w:pPr>
        <w:rPr>
          <w:color w:val="000000" w:themeColor="text1"/>
          <w:lang w:eastAsia="es-ES"/>
        </w:rPr>
      </w:pPr>
    </w:p>
    <w:p w14:paraId="49948992" w14:textId="750E1A14"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el decreto declaratorio, el </w:t>
      </w:r>
      <w:r w:rsidR="007525E1" w:rsidRPr="00C454A1">
        <w:rPr>
          <w:color w:val="000000" w:themeColor="text1"/>
          <w:lang w:eastAsia="es-ES"/>
        </w:rPr>
        <w:t>Gobierno nacional</w:t>
      </w:r>
      <w:r w:rsidRPr="00C454A1">
        <w:rPr>
          <w:color w:val="000000" w:themeColor="text1"/>
          <w:lang w:eastAsia="es-ES"/>
        </w:rPr>
        <w:t xml:space="preserve"> reportó que, para el 21 de enero de 2025, menos de una semana después del escalamiento del accionar armado del ELN, 36.137 personas fueron desplazadas forzosamente, de las cuales 16.482 se encontraban resguardadas “en albergues y refugios”:</w:t>
      </w:r>
    </w:p>
    <w:p w14:paraId="3B8D10A9" w14:textId="77777777" w:rsidR="00A13E7A" w:rsidRPr="00C454A1" w:rsidRDefault="00A13E7A" w:rsidP="00A13E7A">
      <w:pPr>
        <w:jc w:val="center"/>
        <w:rPr>
          <w:color w:val="000000" w:themeColor="text1"/>
          <w:sz w:val="22"/>
          <w:szCs w:val="22"/>
          <w:lang w:eastAsia="es-ES"/>
        </w:rPr>
      </w:pPr>
    </w:p>
    <w:p w14:paraId="626E7011" w14:textId="754A3981" w:rsidR="00950ED9" w:rsidRPr="00C454A1" w:rsidRDefault="001078E6" w:rsidP="00A13E7A">
      <w:pPr>
        <w:jc w:val="center"/>
        <w:rPr>
          <w:i/>
          <w:iCs/>
          <w:color w:val="000000" w:themeColor="text1"/>
          <w:sz w:val="22"/>
          <w:szCs w:val="22"/>
          <w:lang w:eastAsia="es-ES"/>
        </w:rPr>
      </w:pPr>
      <w:r w:rsidRPr="00C454A1">
        <w:rPr>
          <w:i/>
          <w:iCs/>
          <w:color w:val="000000" w:themeColor="text1"/>
          <w:sz w:val="22"/>
          <w:szCs w:val="22"/>
          <w:lang w:eastAsia="es-ES"/>
        </w:rPr>
        <w:t xml:space="preserve">Tabla 11: </w:t>
      </w:r>
      <w:r w:rsidR="00A13E7A" w:rsidRPr="00C454A1">
        <w:rPr>
          <w:i/>
          <w:iCs/>
          <w:color w:val="000000" w:themeColor="text1"/>
          <w:sz w:val="22"/>
          <w:szCs w:val="22"/>
          <w:lang w:eastAsia="es-ES"/>
        </w:rPr>
        <w:t>número de albergues y víctimas por municipio</w:t>
      </w:r>
    </w:p>
    <w:tbl>
      <w:tblPr>
        <w:tblStyle w:val="Tablaconcuadrcula"/>
        <w:tblW w:w="0" w:type="auto"/>
        <w:jc w:val="center"/>
        <w:tblLook w:val="04A0" w:firstRow="1" w:lastRow="0" w:firstColumn="1" w:lastColumn="0" w:noHBand="0" w:noVBand="1"/>
      </w:tblPr>
      <w:tblGrid>
        <w:gridCol w:w="1696"/>
        <w:gridCol w:w="2127"/>
        <w:gridCol w:w="1417"/>
      </w:tblGrid>
      <w:tr w:rsidR="00C454A1" w:rsidRPr="00C454A1" w14:paraId="000CB989" w14:textId="77777777" w:rsidTr="00EE77DF">
        <w:trPr>
          <w:jc w:val="center"/>
        </w:trPr>
        <w:tc>
          <w:tcPr>
            <w:tcW w:w="1696" w:type="dxa"/>
            <w:shd w:val="clear" w:color="auto" w:fill="D9D9D9" w:themeFill="background1" w:themeFillShade="D9"/>
          </w:tcPr>
          <w:p w14:paraId="41CE27B3"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Lugar</w:t>
            </w:r>
          </w:p>
        </w:tc>
        <w:tc>
          <w:tcPr>
            <w:tcW w:w="2127" w:type="dxa"/>
            <w:shd w:val="clear" w:color="auto" w:fill="D9D9D9" w:themeFill="background1" w:themeFillShade="D9"/>
          </w:tcPr>
          <w:p w14:paraId="1CD5CA9B"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 albergues y refugios</w:t>
            </w:r>
          </w:p>
        </w:tc>
        <w:tc>
          <w:tcPr>
            <w:tcW w:w="1417" w:type="dxa"/>
            <w:shd w:val="clear" w:color="auto" w:fill="D9D9D9" w:themeFill="background1" w:themeFillShade="D9"/>
          </w:tcPr>
          <w:p w14:paraId="50CA6836" w14:textId="77777777" w:rsidR="00950ED9" w:rsidRPr="00C454A1" w:rsidRDefault="00950ED9" w:rsidP="00631C27">
            <w:pPr>
              <w:jc w:val="center"/>
              <w:rPr>
                <w:b/>
                <w:bCs/>
                <w:color w:val="000000" w:themeColor="text1"/>
                <w:kern w:val="2"/>
                <w:sz w:val="22"/>
                <w:szCs w:val="22"/>
                <w:lang w:eastAsia="es-ES"/>
                <w14:ligatures w14:val="standardContextual"/>
              </w:rPr>
            </w:pPr>
            <w:r w:rsidRPr="00C454A1">
              <w:rPr>
                <w:b/>
                <w:bCs/>
                <w:color w:val="000000" w:themeColor="text1"/>
                <w:sz w:val="22"/>
                <w:szCs w:val="22"/>
                <w:lang w:eastAsia="es-ES"/>
              </w:rPr>
              <w:t>Personas</w:t>
            </w:r>
          </w:p>
        </w:tc>
      </w:tr>
      <w:tr w:rsidR="00C454A1" w:rsidRPr="00C454A1" w14:paraId="33228200" w14:textId="77777777" w:rsidTr="00EE77DF">
        <w:trPr>
          <w:jc w:val="center"/>
        </w:trPr>
        <w:tc>
          <w:tcPr>
            <w:tcW w:w="1696" w:type="dxa"/>
          </w:tcPr>
          <w:p w14:paraId="03366F0D"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OCAÑA</w:t>
            </w:r>
          </w:p>
        </w:tc>
        <w:tc>
          <w:tcPr>
            <w:tcW w:w="2127" w:type="dxa"/>
          </w:tcPr>
          <w:p w14:paraId="5A4EF4A1"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5</w:t>
            </w:r>
          </w:p>
        </w:tc>
        <w:tc>
          <w:tcPr>
            <w:tcW w:w="1417" w:type="dxa"/>
          </w:tcPr>
          <w:p w14:paraId="220BA0BF"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5.725</w:t>
            </w:r>
          </w:p>
        </w:tc>
      </w:tr>
      <w:tr w:rsidR="00C454A1" w:rsidRPr="00C454A1" w14:paraId="78B4F0CF" w14:textId="77777777" w:rsidTr="00EE77DF">
        <w:trPr>
          <w:jc w:val="center"/>
        </w:trPr>
        <w:tc>
          <w:tcPr>
            <w:tcW w:w="1696" w:type="dxa"/>
          </w:tcPr>
          <w:p w14:paraId="4DE1FFD5"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ÁBREGO</w:t>
            </w:r>
          </w:p>
        </w:tc>
        <w:tc>
          <w:tcPr>
            <w:tcW w:w="2127" w:type="dxa"/>
          </w:tcPr>
          <w:p w14:paraId="7220734E"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1</w:t>
            </w:r>
          </w:p>
        </w:tc>
        <w:tc>
          <w:tcPr>
            <w:tcW w:w="1417" w:type="dxa"/>
          </w:tcPr>
          <w:p w14:paraId="61F46AE0"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44</w:t>
            </w:r>
          </w:p>
        </w:tc>
      </w:tr>
      <w:tr w:rsidR="00C454A1" w:rsidRPr="00C454A1" w14:paraId="7C904F3D" w14:textId="77777777" w:rsidTr="00EE77DF">
        <w:trPr>
          <w:jc w:val="center"/>
        </w:trPr>
        <w:tc>
          <w:tcPr>
            <w:tcW w:w="1696" w:type="dxa"/>
          </w:tcPr>
          <w:p w14:paraId="50872272"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TEORAMA</w:t>
            </w:r>
          </w:p>
        </w:tc>
        <w:tc>
          <w:tcPr>
            <w:tcW w:w="2127" w:type="dxa"/>
          </w:tcPr>
          <w:p w14:paraId="6B4142F5"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1</w:t>
            </w:r>
          </w:p>
        </w:tc>
        <w:tc>
          <w:tcPr>
            <w:tcW w:w="1417" w:type="dxa"/>
          </w:tcPr>
          <w:p w14:paraId="41B29F26"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9</w:t>
            </w:r>
          </w:p>
        </w:tc>
      </w:tr>
      <w:tr w:rsidR="00C454A1" w:rsidRPr="00C454A1" w14:paraId="127C7524" w14:textId="77777777" w:rsidTr="00EE77DF">
        <w:trPr>
          <w:jc w:val="center"/>
        </w:trPr>
        <w:tc>
          <w:tcPr>
            <w:tcW w:w="1696" w:type="dxa"/>
          </w:tcPr>
          <w:p w14:paraId="473CE094"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HACARÍ</w:t>
            </w:r>
          </w:p>
        </w:tc>
        <w:tc>
          <w:tcPr>
            <w:tcW w:w="2127" w:type="dxa"/>
          </w:tcPr>
          <w:p w14:paraId="05806CB4"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1</w:t>
            </w:r>
          </w:p>
        </w:tc>
        <w:tc>
          <w:tcPr>
            <w:tcW w:w="1417" w:type="dxa"/>
          </w:tcPr>
          <w:p w14:paraId="2AD6EE30"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237</w:t>
            </w:r>
          </w:p>
        </w:tc>
      </w:tr>
      <w:tr w:rsidR="00C454A1" w:rsidRPr="00C454A1" w14:paraId="129520E3" w14:textId="77777777" w:rsidTr="00EE77DF">
        <w:trPr>
          <w:jc w:val="center"/>
        </w:trPr>
        <w:tc>
          <w:tcPr>
            <w:tcW w:w="1696" w:type="dxa"/>
          </w:tcPr>
          <w:p w14:paraId="4BA6A76A"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SAN CALIXTO</w:t>
            </w:r>
          </w:p>
        </w:tc>
        <w:tc>
          <w:tcPr>
            <w:tcW w:w="2127" w:type="dxa"/>
          </w:tcPr>
          <w:p w14:paraId="53717655"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1</w:t>
            </w:r>
          </w:p>
        </w:tc>
        <w:tc>
          <w:tcPr>
            <w:tcW w:w="1417" w:type="dxa"/>
          </w:tcPr>
          <w:p w14:paraId="42D57924"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20</w:t>
            </w:r>
          </w:p>
        </w:tc>
      </w:tr>
      <w:tr w:rsidR="00C454A1" w:rsidRPr="00C454A1" w14:paraId="3B546EC6" w14:textId="77777777" w:rsidTr="00EE77DF">
        <w:trPr>
          <w:jc w:val="center"/>
        </w:trPr>
        <w:tc>
          <w:tcPr>
            <w:tcW w:w="1696" w:type="dxa"/>
          </w:tcPr>
          <w:p w14:paraId="7E1B70E3" w14:textId="23E745CC"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CONVENCIÓN</w:t>
            </w:r>
          </w:p>
        </w:tc>
        <w:tc>
          <w:tcPr>
            <w:tcW w:w="2127" w:type="dxa"/>
          </w:tcPr>
          <w:p w14:paraId="7DC6BF27"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1</w:t>
            </w:r>
          </w:p>
        </w:tc>
        <w:tc>
          <w:tcPr>
            <w:tcW w:w="1417" w:type="dxa"/>
          </w:tcPr>
          <w:p w14:paraId="4CA043C3"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120</w:t>
            </w:r>
          </w:p>
        </w:tc>
      </w:tr>
      <w:tr w:rsidR="00C454A1" w:rsidRPr="00C454A1" w14:paraId="263CCCD9" w14:textId="77777777" w:rsidTr="00EE77DF">
        <w:trPr>
          <w:jc w:val="center"/>
        </w:trPr>
        <w:tc>
          <w:tcPr>
            <w:tcW w:w="1696" w:type="dxa"/>
          </w:tcPr>
          <w:p w14:paraId="312A8117"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EL TARRA</w:t>
            </w:r>
          </w:p>
        </w:tc>
        <w:tc>
          <w:tcPr>
            <w:tcW w:w="2127" w:type="dxa"/>
          </w:tcPr>
          <w:p w14:paraId="46A71D0E"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7</w:t>
            </w:r>
          </w:p>
        </w:tc>
        <w:tc>
          <w:tcPr>
            <w:tcW w:w="1417" w:type="dxa"/>
          </w:tcPr>
          <w:p w14:paraId="141289CA"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709</w:t>
            </w:r>
          </w:p>
        </w:tc>
      </w:tr>
      <w:tr w:rsidR="00C454A1" w:rsidRPr="00C454A1" w14:paraId="3F77151B" w14:textId="77777777" w:rsidTr="00EE77DF">
        <w:trPr>
          <w:jc w:val="center"/>
        </w:trPr>
        <w:tc>
          <w:tcPr>
            <w:tcW w:w="1696" w:type="dxa"/>
          </w:tcPr>
          <w:p w14:paraId="058B58BC"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CÚCUTA</w:t>
            </w:r>
          </w:p>
        </w:tc>
        <w:tc>
          <w:tcPr>
            <w:tcW w:w="2127" w:type="dxa"/>
          </w:tcPr>
          <w:p w14:paraId="4DD7C4BE"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28</w:t>
            </w:r>
          </w:p>
        </w:tc>
        <w:tc>
          <w:tcPr>
            <w:tcW w:w="1417" w:type="dxa"/>
          </w:tcPr>
          <w:p w14:paraId="69A37973"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8.756</w:t>
            </w:r>
          </w:p>
        </w:tc>
      </w:tr>
      <w:tr w:rsidR="00C454A1" w:rsidRPr="00C454A1" w14:paraId="687F5359" w14:textId="77777777" w:rsidTr="00EE77DF">
        <w:trPr>
          <w:jc w:val="center"/>
        </w:trPr>
        <w:tc>
          <w:tcPr>
            <w:tcW w:w="1696" w:type="dxa"/>
          </w:tcPr>
          <w:p w14:paraId="56718EF7"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TIBÚ</w:t>
            </w:r>
          </w:p>
        </w:tc>
        <w:tc>
          <w:tcPr>
            <w:tcW w:w="2127" w:type="dxa"/>
          </w:tcPr>
          <w:p w14:paraId="5D86719F"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10</w:t>
            </w:r>
          </w:p>
        </w:tc>
        <w:tc>
          <w:tcPr>
            <w:tcW w:w="1417" w:type="dxa"/>
          </w:tcPr>
          <w:p w14:paraId="09C1BD14"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862</w:t>
            </w:r>
          </w:p>
        </w:tc>
      </w:tr>
      <w:tr w:rsidR="00C454A1" w:rsidRPr="00C454A1" w14:paraId="6E9C4D5B" w14:textId="77777777" w:rsidTr="00EE77DF">
        <w:trPr>
          <w:jc w:val="center"/>
        </w:trPr>
        <w:tc>
          <w:tcPr>
            <w:tcW w:w="1696" w:type="dxa"/>
          </w:tcPr>
          <w:p w14:paraId="77AD682D" w14:textId="77777777" w:rsidR="00950ED9" w:rsidRPr="00C454A1" w:rsidRDefault="00950ED9" w:rsidP="00631C27">
            <w:pPr>
              <w:rPr>
                <w:color w:val="000000" w:themeColor="text1"/>
                <w:kern w:val="2"/>
                <w:sz w:val="22"/>
                <w:szCs w:val="22"/>
                <w:lang w:eastAsia="es-ES"/>
                <w14:ligatures w14:val="standardContextual"/>
              </w:rPr>
            </w:pPr>
            <w:r w:rsidRPr="00C454A1">
              <w:rPr>
                <w:color w:val="000000" w:themeColor="text1"/>
                <w:sz w:val="22"/>
                <w:szCs w:val="22"/>
                <w:lang w:eastAsia="es-ES"/>
              </w:rPr>
              <w:t>TOTAL</w:t>
            </w:r>
          </w:p>
        </w:tc>
        <w:tc>
          <w:tcPr>
            <w:tcW w:w="2127" w:type="dxa"/>
          </w:tcPr>
          <w:p w14:paraId="5282874C"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55</w:t>
            </w:r>
          </w:p>
        </w:tc>
        <w:tc>
          <w:tcPr>
            <w:tcW w:w="1417" w:type="dxa"/>
          </w:tcPr>
          <w:p w14:paraId="748D5FAC" w14:textId="77777777" w:rsidR="00950ED9" w:rsidRPr="00C454A1" w:rsidRDefault="00950ED9" w:rsidP="00631C27">
            <w:pPr>
              <w:jc w:val="center"/>
              <w:rPr>
                <w:color w:val="000000" w:themeColor="text1"/>
                <w:kern w:val="2"/>
                <w:sz w:val="22"/>
                <w:szCs w:val="22"/>
                <w:lang w:eastAsia="es-ES"/>
                <w14:ligatures w14:val="standardContextual"/>
              </w:rPr>
            </w:pPr>
            <w:r w:rsidRPr="00C454A1">
              <w:rPr>
                <w:color w:val="000000" w:themeColor="text1"/>
                <w:sz w:val="22"/>
                <w:szCs w:val="22"/>
                <w:lang w:eastAsia="es-ES"/>
              </w:rPr>
              <w:t>16.482</w:t>
            </w:r>
          </w:p>
        </w:tc>
      </w:tr>
    </w:tbl>
    <w:p w14:paraId="7D509045" w14:textId="59748B37" w:rsidR="00950ED9" w:rsidRPr="00C454A1" w:rsidRDefault="00950ED9" w:rsidP="00631C27">
      <w:pPr>
        <w:jc w:val="center"/>
        <w:rPr>
          <w:color w:val="000000" w:themeColor="text1"/>
          <w:sz w:val="20"/>
          <w:szCs w:val="20"/>
          <w:lang w:eastAsia="es-ES"/>
        </w:rPr>
      </w:pPr>
      <w:r w:rsidRPr="00C454A1">
        <w:rPr>
          <w:color w:val="000000" w:themeColor="text1"/>
          <w:sz w:val="20"/>
          <w:szCs w:val="20"/>
          <w:lang w:eastAsia="es-ES"/>
        </w:rPr>
        <w:t>Fuente. Puesto de Mando Unificado</w:t>
      </w:r>
      <w:r w:rsidR="00114156" w:rsidRPr="00C454A1">
        <w:rPr>
          <w:color w:val="000000" w:themeColor="text1"/>
          <w:sz w:val="20"/>
          <w:szCs w:val="20"/>
          <w:lang w:eastAsia="es-ES"/>
        </w:rPr>
        <w:t xml:space="preserve"> Norte de Santander</w:t>
      </w:r>
      <w:r w:rsidRPr="00C454A1">
        <w:rPr>
          <w:color w:val="000000" w:themeColor="text1"/>
          <w:sz w:val="20"/>
          <w:szCs w:val="20"/>
          <w:lang w:eastAsia="es-ES"/>
        </w:rPr>
        <w:t>. Corte a 21 de enero de 2025.</w:t>
      </w:r>
    </w:p>
    <w:p w14:paraId="16BB9CC8" w14:textId="77777777" w:rsidR="00950ED9" w:rsidRPr="00C454A1" w:rsidRDefault="00950ED9" w:rsidP="00631C27">
      <w:pPr>
        <w:rPr>
          <w:color w:val="000000" w:themeColor="text1"/>
          <w:lang w:eastAsia="es-ES"/>
        </w:rPr>
      </w:pPr>
    </w:p>
    <w:p w14:paraId="10A4CA3B" w14:textId="4D4E338E" w:rsidR="00950ED9" w:rsidRPr="00C454A1" w:rsidRDefault="00A6217A" w:rsidP="00321FAF">
      <w:pPr>
        <w:numPr>
          <w:ilvl w:val="0"/>
          <w:numId w:val="2"/>
        </w:numPr>
        <w:ind w:left="0" w:firstLine="0"/>
        <w:rPr>
          <w:color w:val="000000" w:themeColor="text1"/>
          <w:lang w:eastAsia="es-ES"/>
        </w:rPr>
      </w:pPr>
      <w:r w:rsidRPr="00C454A1">
        <w:rPr>
          <w:color w:val="000000" w:themeColor="text1"/>
          <w:lang w:eastAsia="es-ES"/>
        </w:rPr>
        <w:t xml:space="preserve">El Gobierno nacional añadió </w:t>
      </w:r>
      <w:r w:rsidR="00950ED9" w:rsidRPr="00C454A1">
        <w:rPr>
          <w:color w:val="000000" w:themeColor="text1"/>
          <w:lang w:eastAsia="es-ES"/>
        </w:rPr>
        <w:t>que</w:t>
      </w:r>
      <w:r w:rsidRPr="00C454A1">
        <w:rPr>
          <w:color w:val="000000" w:themeColor="text1"/>
          <w:lang w:eastAsia="es-ES"/>
        </w:rPr>
        <w:t xml:space="preserve">, </w:t>
      </w:r>
      <w:r w:rsidR="00950ED9" w:rsidRPr="00C454A1">
        <w:rPr>
          <w:color w:val="000000" w:themeColor="text1"/>
          <w:lang w:eastAsia="es-ES"/>
        </w:rPr>
        <w:t xml:space="preserve">el 21 de enero de 2025, la Alcaldía de Cúcuta </w:t>
      </w:r>
      <w:r w:rsidRPr="00C454A1">
        <w:rPr>
          <w:color w:val="000000" w:themeColor="text1"/>
          <w:lang w:eastAsia="es-ES"/>
        </w:rPr>
        <w:t>reportó haber</w:t>
      </w:r>
      <w:r w:rsidR="00950ED9" w:rsidRPr="00C454A1">
        <w:rPr>
          <w:color w:val="000000" w:themeColor="text1"/>
          <w:lang w:eastAsia="es-ES"/>
        </w:rPr>
        <w:t xml:space="preserve"> atendido a 15.086 personas “como consecuencia del escalamiento de las hostilidades y los ataques a la población civil en la región del Catatumbo en los últimos días”. A su vez, manifestó que, para esa misma fecha, se presentaron 7.122 confinamientos en Tibú, Teorama y San Calixto</w:t>
      </w:r>
      <w:r w:rsidR="00114156" w:rsidRPr="00C454A1">
        <w:rPr>
          <w:color w:val="000000" w:themeColor="text1"/>
          <w:lang w:eastAsia="es-ES"/>
        </w:rPr>
        <w:t>,</w:t>
      </w:r>
      <w:r w:rsidR="00950ED9" w:rsidRPr="00C454A1">
        <w:rPr>
          <w:color w:val="000000" w:themeColor="text1"/>
          <w:lang w:eastAsia="es-ES"/>
        </w:rPr>
        <w:t xml:space="preserve"> y que “los municipios receptores de población víctima del conflicto afronta[ba]n desbordamiento institucional, lo cual afecta[ba] negativamente su capacidad de protección de derechos de esta población”. Sobre este punto, aseguró que los municipios de Río de Oro y González, “como colindantes de la región del Catatumbo, han venido recibiendo población víctima de desplazamiento forzado como consecuencias</w:t>
      </w:r>
      <w:r w:rsidR="00581876" w:rsidRPr="00C454A1">
        <w:rPr>
          <w:color w:val="000000" w:themeColor="text1"/>
          <w:lang w:eastAsia="es-ES"/>
        </w:rPr>
        <w:t xml:space="preserve"> (sic)</w:t>
      </w:r>
      <w:r w:rsidR="00950ED9" w:rsidRPr="00C454A1">
        <w:rPr>
          <w:color w:val="000000" w:themeColor="text1"/>
          <w:lang w:eastAsia="es-ES"/>
        </w:rPr>
        <w:t xml:space="preserve"> de las graves afectaciones del orden público derivadas de los atentados y amenazas perpetrados por el ELN en esa región”. Además, explicó que entre los días 17 y 19 de enero de 2025 “se presentó un flujo migratorio hacia territorio venezolano que alcanzó las 700 personas diarias”. En todo caso, apuntó que los días 20 y 21 siguientes, hubo una disminución a 400 personas por día.  </w:t>
      </w:r>
    </w:p>
    <w:p w14:paraId="5E7A97F5" w14:textId="77777777" w:rsidR="003A0DA8" w:rsidRPr="00C454A1" w:rsidRDefault="003A0DA8" w:rsidP="003A0DA8">
      <w:pPr>
        <w:rPr>
          <w:color w:val="000000" w:themeColor="text1"/>
          <w:lang w:eastAsia="es-ES"/>
        </w:rPr>
      </w:pPr>
    </w:p>
    <w:p w14:paraId="1CEEF574" w14:textId="0C559B3E"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En el escrito de respuesta al auto de pruebas, la UARIV expuso que la “crisis humanitaria ha desbordado la capacidad de respuesta institucional de </w:t>
      </w:r>
      <w:r w:rsidRPr="00C454A1">
        <w:rPr>
          <w:color w:val="000000" w:themeColor="text1"/>
          <w:lang w:eastAsia="es-ES"/>
        </w:rPr>
        <w:lastRenderedPageBreak/>
        <w:t>todos los respondientes”, así como que no fue posible prever “la magnitud de víctimas afectadas masivamente”</w:t>
      </w:r>
      <w:r w:rsidRPr="00C454A1">
        <w:rPr>
          <w:color w:val="000000" w:themeColor="text1"/>
          <w:vertAlign w:val="superscript"/>
          <w:lang w:eastAsia="es-ES"/>
        </w:rPr>
        <w:footnoteReference w:id="353"/>
      </w:r>
      <w:r w:rsidRPr="00C454A1">
        <w:rPr>
          <w:color w:val="000000" w:themeColor="text1"/>
          <w:lang w:eastAsia="es-ES"/>
        </w:rPr>
        <w:t>. Lo anterior, porque</w:t>
      </w:r>
      <w:r w:rsidR="004F13F8" w:rsidRPr="00C454A1">
        <w:rPr>
          <w:color w:val="000000" w:themeColor="text1"/>
          <w:lang w:eastAsia="es-ES"/>
        </w:rPr>
        <w:t>,</w:t>
      </w:r>
      <w:r w:rsidRPr="00C454A1">
        <w:rPr>
          <w:color w:val="000000" w:themeColor="text1"/>
          <w:lang w:eastAsia="es-ES"/>
        </w:rPr>
        <w:t xml:space="preserve"> </w:t>
      </w:r>
      <w:r w:rsidR="00593548" w:rsidRPr="00C454A1">
        <w:rPr>
          <w:color w:val="000000" w:themeColor="text1"/>
          <w:lang w:eastAsia="es-ES"/>
        </w:rPr>
        <w:t xml:space="preserve">como se indicó en precedencia, los números de personas desplazadas y confinadas han aumentado y alcanzado cifras sin precedentes (ver </w:t>
      </w:r>
      <w:r w:rsidR="00593548" w:rsidRPr="00C454A1">
        <w:rPr>
          <w:i/>
          <w:iCs/>
          <w:color w:val="000000" w:themeColor="text1"/>
          <w:lang w:eastAsia="es-ES"/>
        </w:rPr>
        <w:t xml:space="preserve">supra </w:t>
      </w:r>
      <w:r w:rsidR="00593548" w:rsidRPr="00C454A1">
        <w:rPr>
          <w:color w:val="000000" w:themeColor="text1"/>
          <w:lang w:eastAsia="es-ES"/>
        </w:rPr>
        <w:t xml:space="preserve">fundamentos jurídicos </w:t>
      </w:r>
      <w:r w:rsidR="00593548" w:rsidRPr="00C454A1">
        <w:rPr>
          <w:color w:val="000000" w:themeColor="text1"/>
          <w:lang w:eastAsia="es-ES"/>
        </w:rPr>
        <w:fldChar w:fldCharType="begin"/>
      </w:r>
      <w:r w:rsidR="00593548" w:rsidRPr="00C454A1">
        <w:rPr>
          <w:color w:val="000000" w:themeColor="text1"/>
          <w:lang w:eastAsia="es-ES"/>
        </w:rPr>
        <w:instrText xml:space="preserve"> REF _Ref219371306 \r \h  \* MERGEFORMAT </w:instrText>
      </w:r>
      <w:r w:rsidR="00593548" w:rsidRPr="00C454A1">
        <w:rPr>
          <w:color w:val="000000" w:themeColor="text1"/>
          <w:lang w:eastAsia="es-ES"/>
        </w:rPr>
      </w:r>
      <w:r w:rsidR="00593548" w:rsidRPr="00C454A1">
        <w:rPr>
          <w:color w:val="000000" w:themeColor="text1"/>
          <w:lang w:eastAsia="es-ES"/>
        </w:rPr>
        <w:fldChar w:fldCharType="separate"/>
      </w:r>
      <w:r w:rsidR="00881E6A">
        <w:rPr>
          <w:color w:val="000000" w:themeColor="text1"/>
          <w:lang w:eastAsia="es-ES"/>
        </w:rPr>
        <w:t>248</w:t>
      </w:r>
      <w:r w:rsidR="00593548" w:rsidRPr="00C454A1">
        <w:rPr>
          <w:color w:val="000000" w:themeColor="text1"/>
          <w:lang w:eastAsia="es-ES"/>
        </w:rPr>
        <w:fldChar w:fldCharType="end"/>
      </w:r>
      <w:r w:rsidR="00593548" w:rsidRPr="00C454A1">
        <w:rPr>
          <w:color w:val="000000" w:themeColor="text1"/>
          <w:lang w:eastAsia="es-ES"/>
        </w:rPr>
        <w:t xml:space="preserve"> a </w:t>
      </w:r>
      <w:r w:rsidR="00593548" w:rsidRPr="00C454A1">
        <w:rPr>
          <w:color w:val="000000" w:themeColor="text1"/>
          <w:lang w:eastAsia="es-ES"/>
        </w:rPr>
        <w:fldChar w:fldCharType="begin"/>
      </w:r>
      <w:r w:rsidR="00593548" w:rsidRPr="00C454A1">
        <w:rPr>
          <w:color w:val="000000" w:themeColor="text1"/>
          <w:lang w:eastAsia="es-ES"/>
        </w:rPr>
        <w:instrText xml:space="preserve"> REF _Ref198036187 \r \h  \* MERGEFORMAT </w:instrText>
      </w:r>
      <w:r w:rsidR="00593548" w:rsidRPr="00C454A1">
        <w:rPr>
          <w:color w:val="000000" w:themeColor="text1"/>
          <w:lang w:eastAsia="es-ES"/>
        </w:rPr>
      </w:r>
      <w:r w:rsidR="00593548" w:rsidRPr="00C454A1">
        <w:rPr>
          <w:color w:val="000000" w:themeColor="text1"/>
          <w:lang w:eastAsia="es-ES"/>
        </w:rPr>
        <w:fldChar w:fldCharType="separate"/>
      </w:r>
      <w:r w:rsidR="00881E6A">
        <w:rPr>
          <w:color w:val="000000" w:themeColor="text1"/>
          <w:lang w:eastAsia="es-ES"/>
        </w:rPr>
        <w:t>252</w:t>
      </w:r>
      <w:r w:rsidR="00593548" w:rsidRPr="00C454A1">
        <w:rPr>
          <w:color w:val="000000" w:themeColor="text1"/>
          <w:lang w:eastAsia="es-ES"/>
        </w:rPr>
        <w:fldChar w:fldCharType="end"/>
      </w:r>
      <w:r w:rsidR="00593548" w:rsidRPr="00C454A1">
        <w:rPr>
          <w:color w:val="000000" w:themeColor="text1"/>
          <w:lang w:eastAsia="es-ES"/>
        </w:rPr>
        <w:t>)</w:t>
      </w:r>
      <w:r w:rsidRPr="00C454A1">
        <w:rPr>
          <w:color w:val="000000" w:themeColor="text1"/>
          <w:lang w:eastAsia="es-ES"/>
        </w:rPr>
        <w:t xml:space="preserve">. La unidad insistió en que esto denotaba un desbordamiento de las capacidades técnicas, presupuestales y operativas de las entidades territoriales e incluso de la </w:t>
      </w:r>
      <w:r w:rsidR="00593548" w:rsidRPr="00C454A1">
        <w:rPr>
          <w:color w:val="000000" w:themeColor="text1"/>
          <w:lang w:eastAsia="es-ES"/>
        </w:rPr>
        <w:t>propi</w:t>
      </w:r>
      <w:r w:rsidRPr="00C454A1">
        <w:rPr>
          <w:color w:val="000000" w:themeColor="text1"/>
          <w:lang w:eastAsia="es-ES"/>
        </w:rPr>
        <w:t>a UARIV</w:t>
      </w:r>
      <w:r w:rsidRPr="00C454A1">
        <w:rPr>
          <w:color w:val="000000" w:themeColor="text1"/>
          <w:vertAlign w:val="superscript"/>
          <w:lang w:eastAsia="es-ES"/>
        </w:rPr>
        <w:footnoteReference w:id="354"/>
      </w:r>
      <w:r w:rsidRPr="00C454A1">
        <w:rPr>
          <w:color w:val="000000" w:themeColor="text1"/>
          <w:lang w:eastAsia="es-ES"/>
        </w:rPr>
        <w:t xml:space="preserve">. </w:t>
      </w:r>
    </w:p>
    <w:p w14:paraId="164B2993" w14:textId="77777777" w:rsidR="00950ED9" w:rsidRPr="00C454A1" w:rsidRDefault="00950ED9" w:rsidP="00631C27">
      <w:pPr>
        <w:rPr>
          <w:color w:val="000000" w:themeColor="text1"/>
          <w:lang w:eastAsia="es-ES"/>
        </w:rPr>
      </w:pPr>
    </w:p>
    <w:p w14:paraId="4422A3A9" w14:textId="77777777" w:rsidR="00E22EBC" w:rsidRPr="00C454A1" w:rsidRDefault="00E22EBC" w:rsidP="00321FAF">
      <w:pPr>
        <w:numPr>
          <w:ilvl w:val="0"/>
          <w:numId w:val="2"/>
        </w:numPr>
        <w:ind w:left="0" w:firstLine="0"/>
        <w:rPr>
          <w:color w:val="000000" w:themeColor="text1"/>
          <w:lang w:eastAsia="es-ES"/>
        </w:rPr>
      </w:pPr>
      <w:r w:rsidRPr="00C454A1">
        <w:rPr>
          <w:color w:val="000000" w:themeColor="text1"/>
          <w:lang w:eastAsia="es-ES"/>
        </w:rPr>
        <w:t>Por su parte, la directora general encargada de la Unidad Administrativa Especial Migración Colombia puso de presente que “[l]a crisis derivada de los desplazamientos transfronterizos hacia territorio venezolano ha generado una presión sin precedentes sobre las capacidades institucionales del Ministerio de Relaciones Exteriores en los ámbitos de su competencia y de Migración Colombia en el ejercicio de vigilancia y control dentro del territorio nacional”</w:t>
      </w:r>
      <w:r w:rsidRPr="00C454A1">
        <w:rPr>
          <w:color w:val="000000" w:themeColor="text1"/>
          <w:vertAlign w:val="superscript"/>
          <w:lang w:eastAsia="es-ES"/>
        </w:rPr>
        <w:footnoteReference w:id="355"/>
      </w:r>
      <w:r w:rsidRPr="00C454A1">
        <w:rPr>
          <w:color w:val="000000" w:themeColor="text1"/>
          <w:lang w:eastAsia="es-ES"/>
        </w:rPr>
        <w:t>. Indicó que “el volumen de personas que requiere atención supera significativamente los recursos humanos, técnicos y financieros disponibles”, lo que dificultaba la orientación migratoria, expedición de documentos, entre otros “necesarios para el apoyo en materia humanitaria”</w:t>
      </w:r>
      <w:r w:rsidRPr="00C454A1">
        <w:rPr>
          <w:color w:val="000000" w:themeColor="text1"/>
          <w:vertAlign w:val="superscript"/>
          <w:lang w:eastAsia="es-ES"/>
        </w:rPr>
        <w:footnoteReference w:id="356"/>
      </w:r>
      <w:r w:rsidRPr="00C454A1">
        <w:rPr>
          <w:color w:val="000000" w:themeColor="text1"/>
          <w:lang w:eastAsia="es-ES"/>
        </w:rPr>
        <w:t>. En ese contexto, explicó que el personal de Migración Colombia en Norte de Santander lo conforman 13 funcionarios que, en 2024, “realizaron 6.345 verificaciones respondiendo a las dinámicas propias de la región, entre ellas el control al flujo irregular de migrantes provenientes de Venezuela”</w:t>
      </w:r>
      <w:r w:rsidRPr="00C454A1">
        <w:rPr>
          <w:color w:val="000000" w:themeColor="text1"/>
          <w:vertAlign w:val="superscript"/>
          <w:lang w:eastAsia="es-ES"/>
        </w:rPr>
        <w:footnoteReference w:id="357"/>
      </w:r>
      <w:r w:rsidRPr="00C454A1">
        <w:rPr>
          <w:color w:val="000000" w:themeColor="text1"/>
          <w:lang w:eastAsia="es-ES"/>
        </w:rPr>
        <w:t xml:space="preserve">. Para el 24 de enero de 2025, habían realizado 732 verificaciones, de las cuales 516 ocurrieron entre los días 16 y 24 de ese mes. </w:t>
      </w:r>
    </w:p>
    <w:p w14:paraId="37F49B44" w14:textId="77777777" w:rsidR="00950ED9" w:rsidRPr="00C454A1" w:rsidRDefault="00950ED9" w:rsidP="00631C27">
      <w:pPr>
        <w:rPr>
          <w:color w:val="000000" w:themeColor="text1"/>
          <w:lang w:eastAsia="es-ES"/>
        </w:rPr>
      </w:pPr>
    </w:p>
    <w:p w14:paraId="3DF55FFD" w14:textId="035850C8"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 xml:space="preserve">Las intervenciones de las entidades territoriales también evidencian el carácter extraordinario de la crisis humanitaria y el desbordamiento institucional. El municipio de La Playa de Belén indicó que los desplazamientos han </w:t>
      </w:r>
      <w:r w:rsidR="004F13F8" w:rsidRPr="00C454A1">
        <w:rPr>
          <w:color w:val="000000" w:themeColor="text1"/>
          <w:lang w:eastAsia="es-ES"/>
        </w:rPr>
        <w:t>supuest</w:t>
      </w:r>
      <w:r w:rsidRPr="00C454A1">
        <w:rPr>
          <w:color w:val="000000" w:themeColor="text1"/>
          <w:lang w:eastAsia="es-ES"/>
        </w:rPr>
        <w:t>o un desbordamiento de las capacidades institucionales</w:t>
      </w:r>
      <w:r w:rsidR="004F13F8" w:rsidRPr="00C454A1">
        <w:rPr>
          <w:color w:val="000000" w:themeColor="text1"/>
          <w:lang w:eastAsia="es-ES"/>
        </w:rPr>
        <w:t>,</w:t>
      </w:r>
      <w:r w:rsidRPr="00C454A1">
        <w:rPr>
          <w:color w:val="000000" w:themeColor="text1"/>
          <w:lang w:eastAsia="es-ES"/>
        </w:rPr>
        <w:t xml:space="preserve"> técnicas, económicas y de atención a la población</w:t>
      </w:r>
      <w:r w:rsidR="004F13F8" w:rsidRPr="00C454A1">
        <w:rPr>
          <w:color w:val="000000" w:themeColor="text1"/>
          <w:lang w:eastAsia="es-ES"/>
        </w:rPr>
        <w:t>,</w:t>
      </w:r>
      <w:r w:rsidRPr="00C454A1">
        <w:rPr>
          <w:color w:val="000000" w:themeColor="text1"/>
          <w:lang w:eastAsia="es-ES"/>
        </w:rPr>
        <w:t xml:space="preserve"> </w:t>
      </w:r>
      <w:r w:rsidR="004F13F8" w:rsidRPr="00C454A1">
        <w:rPr>
          <w:color w:val="000000" w:themeColor="text1"/>
          <w:lang w:eastAsia="es-ES"/>
        </w:rPr>
        <w:t>debido</w:t>
      </w:r>
      <w:r w:rsidRPr="00C454A1">
        <w:rPr>
          <w:color w:val="000000" w:themeColor="text1"/>
          <w:lang w:eastAsia="es-ES"/>
        </w:rPr>
        <w:t xml:space="preserve"> a la falta de recursos. Por su parte, el alcalde de Ocaña explicó que su territorio “no ha sido escenario de desplazamientos forzados de su población, pero sí ha sido un municipio receptor de personas desplazadas provenientes de otras regiones, principalmente debido a la presencia y accionar de grupos armados ilegales en zonas rurales y municipios vecinos”</w:t>
      </w:r>
      <w:r w:rsidRPr="00C454A1">
        <w:rPr>
          <w:color w:val="000000" w:themeColor="text1"/>
          <w:vertAlign w:val="superscript"/>
          <w:lang w:eastAsia="es-ES"/>
        </w:rPr>
        <w:footnoteReference w:id="358"/>
      </w:r>
      <w:r w:rsidRPr="00C454A1">
        <w:rPr>
          <w:color w:val="000000" w:themeColor="text1"/>
          <w:lang w:eastAsia="es-ES"/>
        </w:rPr>
        <w:t>. En efecto, ha recibido “10.228 personas organizadas en 4.089 núcleos familiares”</w:t>
      </w:r>
      <w:r w:rsidRPr="00C454A1">
        <w:rPr>
          <w:color w:val="000000" w:themeColor="text1"/>
          <w:vertAlign w:val="superscript"/>
          <w:lang w:eastAsia="es-ES"/>
        </w:rPr>
        <w:footnoteReference w:id="359"/>
      </w:r>
      <w:r w:rsidRPr="00C454A1">
        <w:rPr>
          <w:color w:val="000000" w:themeColor="text1"/>
          <w:lang w:eastAsia="es-ES"/>
        </w:rPr>
        <w:t xml:space="preserve">. Esta es una cifra que desborda “por completo la capacidad operativa, logística y financiera de la Administración Municipal, generando una emergencia que requirió la intervención urgente de otros niveles </w:t>
      </w:r>
      <w:r w:rsidRPr="00C454A1">
        <w:rPr>
          <w:color w:val="000000" w:themeColor="text1"/>
          <w:lang w:eastAsia="es-ES"/>
        </w:rPr>
        <w:lastRenderedPageBreak/>
        <w:t>de gobierno”</w:t>
      </w:r>
      <w:r w:rsidRPr="00C454A1">
        <w:rPr>
          <w:color w:val="000000" w:themeColor="text1"/>
          <w:vertAlign w:val="superscript"/>
          <w:lang w:eastAsia="es-ES"/>
        </w:rPr>
        <w:footnoteReference w:id="360"/>
      </w:r>
      <w:r w:rsidRPr="00C454A1">
        <w:rPr>
          <w:color w:val="000000" w:themeColor="text1"/>
          <w:lang w:eastAsia="es-ES"/>
        </w:rPr>
        <w:t>. En el mismo sentido, el municipio de Sardinata aseguró que desbordó “la capacidad presupuestal para atender la emergencia de manera inmediata”</w:t>
      </w:r>
      <w:r w:rsidRPr="00C454A1">
        <w:rPr>
          <w:color w:val="000000" w:themeColor="text1"/>
          <w:vertAlign w:val="superscript"/>
          <w:lang w:eastAsia="es-ES"/>
        </w:rPr>
        <w:footnoteReference w:id="361"/>
      </w:r>
      <w:r w:rsidRPr="00C454A1">
        <w:rPr>
          <w:color w:val="000000" w:themeColor="text1"/>
          <w:lang w:eastAsia="es-ES"/>
        </w:rPr>
        <w:t>. En todo caso, ha recibido apoyo de la UARIV y de la Gobernación de Norte de Santander para atender la emergencia.</w:t>
      </w:r>
    </w:p>
    <w:p w14:paraId="0970300D" w14:textId="77777777" w:rsidR="00950ED9" w:rsidRPr="00C454A1" w:rsidRDefault="00950ED9" w:rsidP="00631C27">
      <w:pPr>
        <w:rPr>
          <w:color w:val="000000" w:themeColor="text1"/>
          <w:lang w:eastAsia="es-ES"/>
        </w:rPr>
      </w:pPr>
    </w:p>
    <w:p w14:paraId="2FF00C9C" w14:textId="39E28092" w:rsidR="00950ED9" w:rsidRPr="00C454A1" w:rsidRDefault="00950ED9" w:rsidP="00321FAF">
      <w:pPr>
        <w:numPr>
          <w:ilvl w:val="0"/>
          <w:numId w:val="2"/>
        </w:numPr>
        <w:ind w:left="0" w:firstLine="0"/>
        <w:rPr>
          <w:color w:val="000000" w:themeColor="text1"/>
          <w:lang w:eastAsia="es-ES"/>
        </w:rPr>
      </w:pPr>
      <w:r w:rsidRPr="00C454A1">
        <w:rPr>
          <w:color w:val="000000" w:themeColor="text1"/>
          <w:lang w:eastAsia="es-ES"/>
        </w:rPr>
        <w:t>La Alcaldía de Ábrego indicó que, por los desplazamientos, “se generaron ayudas humanitarias de manera inmediata, teniendo alojamiento en albergues, alimentación y transporte de emergencia en caso de que se requiera”</w:t>
      </w:r>
      <w:r w:rsidRPr="00C454A1">
        <w:rPr>
          <w:color w:val="000000" w:themeColor="text1"/>
          <w:vertAlign w:val="superscript"/>
          <w:lang w:eastAsia="es-ES"/>
        </w:rPr>
        <w:footnoteReference w:id="362"/>
      </w:r>
      <w:r w:rsidRPr="00C454A1">
        <w:rPr>
          <w:color w:val="000000" w:themeColor="text1"/>
          <w:lang w:eastAsia="es-ES"/>
        </w:rPr>
        <w:t>. La Alcaldía de El Carmen informó que la situación actual desbordaba la capacidad económica e institucional de la administración</w:t>
      </w:r>
      <w:r w:rsidR="00593548" w:rsidRPr="00C454A1">
        <w:rPr>
          <w:color w:val="000000" w:themeColor="text1"/>
          <w:vertAlign w:val="superscript"/>
          <w:lang w:eastAsia="es-ES"/>
        </w:rPr>
        <w:footnoteReference w:id="363"/>
      </w:r>
      <w:r w:rsidRPr="00C454A1">
        <w:rPr>
          <w:color w:val="000000" w:themeColor="text1"/>
          <w:lang w:eastAsia="es-ES"/>
        </w:rPr>
        <w:t xml:space="preserve">. Esto, porque se habían registrado 50 personas por desplazamiento forzado (11 núcleos o familias) y 706 familias confinadas en 16 veredas con un promedio de 3500 personas. Esto implicó que el municipio tuviera que acudir al apoyo de las instancias departamentales y nacionales o de cooperación internacional. Por su parte, el alcalde de Hacarí puso de presente que, en 2025, ese municipio recibió 242 personas en condición de desplazamiento provenientes de distintas veredas. Por su parte, el municipio de Tibú informó que </w:t>
      </w:r>
      <w:r w:rsidR="00593548" w:rsidRPr="00C454A1">
        <w:rPr>
          <w:color w:val="000000" w:themeColor="text1"/>
          <w:lang w:eastAsia="es-ES"/>
        </w:rPr>
        <w:t>ha presentado</w:t>
      </w:r>
      <w:r w:rsidRPr="00C454A1">
        <w:rPr>
          <w:color w:val="000000" w:themeColor="text1"/>
          <w:lang w:eastAsia="es-ES"/>
        </w:rPr>
        <w:t xml:space="preserve"> un desbordamiento de la capacidad administrativa en el histórico del año 2022 a la fecha, como consecuencia de “la baja asignación de recursos”. </w:t>
      </w:r>
    </w:p>
    <w:p w14:paraId="272084C1" w14:textId="77777777" w:rsidR="00950ED9" w:rsidRPr="00C454A1" w:rsidRDefault="00950ED9" w:rsidP="00631C27">
      <w:pPr>
        <w:rPr>
          <w:color w:val="000000" w:themeColor="text1"/>
          <w:lang w:eastAsia="es-ES"/>
        </w:rPr>
      </w:pPr>
    </w:p>
    <w:p w14:paraId="2591AFEA" w14:textId="37B91429" w:rsidR="00950ED9" w:rsidRPr="00C454A1" w:rsidRDefault="00593548" w:rsidP="00321FAF">
      <w:pPr>
        <w:numPr>
          <w:ilvl w:val="0"/>
          <w:numId w:val="2"/>
        </w:numPr>
        <w:ind w:left="0" w:firstLine="0"/>
        <w:rPr>
          <w:color w:val="000000" w:themeColor="text1"/>
          <w:lang w:eastAsia="es-ES"/>
        </w:rPr>
      </w:pPr>
      <w:r w:rsidRPr="00C454A1">
        <w:rPr>
          <w:color w:val="000000" w:themeColor="text1"/>
          <w:lang w:eastAsia="es-ES"/>
        </w:rPr>
        <w:t>De igual forma</w:t>
      </w:r>
      <w:r w:rsidR="00950ED9" w:rsidRPr="00C454A1">
        <w:rPr>
          <w:color w:val="000000" w:themeColor="text1"/>
          <w:lang w:eastAsia="es-ES"/>
        </w:rPr>
        <w:t xml:space="preserve">, la Gobernación del departamento del Cesar y los municipios de Río de Oro y de González aportaron información </w:t>
      </w:r>
      <w:r w:rsidRPr="00C454A1">
        <w:rPr>
          <w:color w:val="000000" w:themeColor="text1"/>
          <w:lang w:eastAsia="es-ES"/>
        </w:rPr>
        <w:t>sobre</w:t>
      </w:r>
      <w:r w:rsidR="00950ED9" w:rsidRPr="00C454A1">
        <w:rPr>
          <w:color w:val="000000" w:themeColor="text1"/>
          <w:lang w:eastAsia="es-ES"/>
        </w:rPr>
        <w:t xml:space="preserve"> este aspecto. La Gobernación del Cesar indicó, de manera general, que la situación actual “afecta la capacidad institucional en términos de asistencia humanitaria”</w:t>
      </w:r>
      <w:r w:rsidR="00950ED9" w:rsidRPr="00C454A1">
        <w:rPr>
          <w:color w:val="000000" w:themeColor="text1"/>
          <w:vertAlign w:val="superscript"/>
          <w:lang w:eastAsia="es-ES"/>
        </w:rPr>
        <w:footnoteReference w:id="364"/>
      </w:r>
      <w:r w:rsidR="00950ED9" w:rsidRPr="00C454A1">
        <w:rPr>
          <w:color w:val="000000" w:themeColor="text1"/>
          <w:lang w:eastAsia="es-ES"/>
        </w:rPr>
        <w:t xml:space="preserve">. En particular, manifestó que el escenario de desplazamiento forzado de la región del Catatumbo </w:t>
      </w:r>
      <w:r w:rsidR="00D505D5" w:rsidRPr="00C454A1">
        <w:rPr>
          <w:color w:val="000000" w:themeColor="text1"/>
          <w:lang w:eastAsia="es-ES"/>
        </w:rPr>
        <w:t>desbordó</w:t>
      </w:r>
      <w:r w:rsidR="00950ED9" w:rsidRPr="00C454A1">
        <w:rPr>
          <w:color w:val="000000" w:themeColor="text1"/>
          <w:lang w:eastAsia="es-ES"/>
        </w:rPr>
        <w:t xml:space="preserve"> las capacidades de respuesta de las autoridades locales. El municipio de González, por su parte, indicó que recibió 33 familias desplazadas de los municipios de Teorama, Convención, Tibú y El Carmen, las cuales ascendían a 82 personas</w:t>
      </w:r>
      <w:r w:rsidR="00950ED9" w:rsidRPr="00C454A1">
        <w:rPr>
          <w:color w:val="000000" w:themeColor="text1"/>
          <w:vertAlign w:val="superscript"/>
          <w:lang w:eastAsia="es-ES"/>
        </w:rPr>
        <w:footnoteReference w:id="365"/>
      </w:r>
      <w:r w:rsidR="00950ED9" w:rsidRPr="00C454A1">
        <w:rPr>
          <w:color w:val="000000" w:themeColor="text1"/>
          <w:lang w:eastAsia="es-ES"/>
        </w:rPr>
        <w:t xml:space="preserve">. </w:t>
      </w:r>
    </w:p>
    <w:p w14:paraId="611668A4" w14:textId="77777777" w:rsidR="00950ED9" w:rsidRPr="00C454A1" w:rsidRDefault="00950ED9" w:rsidP="00631C27">
      <w:pPr>
        <w:rPr>
          <w:color w:val="000000" w:themeColor="text1"/>
          <w:lang w:eastAsia="es-ES"/>
        </w:rPr>
      </w:pPr>
    </w:p>
    <w:p w14:paraId="3371D8D6" w14:textId="200308E7" w:rsidR="00D62239" w:rsidRPr="00C454A1" w:rsidRDefault="00D62239" w:rsidP="00321FAF">
      <w:pPr>
        <w:numPr>
          <w:ilvl w:val="0"/>
          <w:numId w:val="2"/>
        </w:numPr>
        <w:ind w:left="0" w:firstLine="0"/>
        <w:rPr>
          <w:color w:val="000000" w:themeColor="text1"/>
          <w:lang w:eastAsia="es-ES"/>
        </w:rPr>
      </w:pPr>
      <w:r w:rsidRPr="00C454A1">
        <w:rPr>
          <w:i/>
          <w:iCs/>
          <w:color w:val="000000" w:themeColor="text1"/>
          <w:lang w:eastAsia="es-ES"/>
        </w:rPr>
        <w:t xml:space="preserve">Sobre la presunta responsabilidad del Gobierno nacional en el agravamiento de los problemas de orden público </w:t>
      </w:r>
      <w:r w:rsidR="00B64B2E" w:rsidRPr="00C454A1">
        <w:rPr>
          <w:i/>
          <w:iCs/>
          <w:color w:val="000000" w:themeColor="text1"/>
          <w:lang w:eastAsia="es-ES"/>
        </w:rPr>
        <w:t xml:space="preserve">y la crisis humanitaria </w:t>
      </w:r>
      <w:r w:rsidRPr="00C454A1">
        <w:rPr>
          <w:i/>
          <w:iCs/>
          <w:color w:val="000000" w:themeColor="text1"/>
          <w:lang w:eastAsia="es-ES"/>
        </w:rPr>
        <w:t xml:space="preserve">en la región del Catatumbo. </w:t>
      </w:r>
      <w:r w:rsidRPr="00C454A1">
        <w:rPr>
          <w:iCs/>
          <w:color w:val="000000" w:themeColor="text1"/>
          <w:lang w:eastAsia="es-ES"/>
        </w:rPr>
        <w:t>Algunos intervinientes</w:t>
      </w:r>
      <w:r w:rsidR="00E264D0" w:rsidRPr="00C454A1">
        <w:rPr>
          <w:rStyle w:val="Refdenotaalpie"/>
          <w:iCs/>
          <w:color w:val="000000" w:themeColor="text1"/>
          <w:lang w:eastAsia="es-ES"/>
        </w:rPr>
        <w:footnoteReference w:id="366"/>
      </w:r>
      <w:r w:rsidRPr="00C454A1">
        <w:rPr>
          <w:iCs/>
          <w:color w:val="000000" w:themeColor="text1"/>
          <w:lang w:eastAsia="es-ES"/>
        </w:rPr>
        <w:t xml:space="preserve"> </w:t>
      </w:r>
      <w:r w:rsidR="00E264D0" w:rsidRPr="00C454A1">
        <w:rPr>
          <w:iCs/>
          <w:color w:val="000000" w:themeColor="text1"/>
          <w:lang w:eastAsia="es-ES"/>
        </w:rPr>
        <w:t>alegan</w:t>
      </w:r>
      <w:r w:rsidR="00774DB2" w:rsidRPr="00C454A1">
        <w:rPr>
          <w:iCs/>
          <w:color w:val="000000" w:themeColor="text1"/>
          <w:lang w:eastAsia="es-ES"/>
        </w:rPr>
        <w:t xml:space="preserve"> que </w:t>
      </w:r>
      <w:r w:rsidR="00E264D0" w:rsidRPr="00C454A1">
        <w:rPr>
          <w:iCs/>
          <w:color w:val="000000" w:themeColor="text1"/>
          <w:lang w:eastAsia="es-ES"/>
        </w:rPr>
        <w:t xml:space="preserve">el </w:t>
      </w:r>
      <w:r w:rsidR="00DD19AB" w:rsidRPr="00C454A1">
        <w:rPr>
          <w:iCs/>
          <w:color w:val="000000" w:themeColor="text1"/>
          <w:lang w:eastAsia="es-ES"/>
        </w:rPr>
        <w:t>a</w:t>
      </w:r>
      <w:r w:rsidR="00E264D0" w:rsidRPr="00C454A1">
        <w:rPr>
          <w:iCs/>
          <w:color w:val="000000" w:themeColor="text1"/>
          <w:lang w:eastAsia="es-ES"/>
        </w:rPr>
        <w:t xml:space="preserve">gravamiento de las perturbaciones del orden público y la consecuente crisis humanitaria </w:t>
      </w:r>
      <w:r w:rsidR="009D0ABF" w:rsidRPr="00C454A1">
        <w:rPr>
          <w:iCs/>
          <w:color w:val="000000" w:themeColor="text1"/>
          <w:lang w:eastAsia="es-ES"/>
        </w:rPr>
        <w:t>en la región del Catatumbo en l</w:t>
      </w:r>
      <w:r w:rsidR="00B64B2E" w:rsidRPr="00C454A1">
        <w:rPr>
          <w:iCs/>
          <w:color w:val="000000" w:themeColor="text1"/>
          <w:lang w:eastAsia="es-ES"/>
        </w:rPr>
        <w:t>os</w:t>
      </w:r>
      <w:r w:rsidR="009D0ABF" w:rsidRPr="00C454A1">
        <w:rPr>
          <w:iCs/>
          <w:color w:val="000000" w:themeColor="text1"/>
          <w:lang w:eastAsia="es-ES"/>
        </w:rPr>
        <w:t xml:space="preserve"> primero</w:t>
      </w:r>
      <w:r w:rsidR="00B64B2E" w:rsidRPr="00C454A1">
        <w:rPr>
          <w:iCs/>
          <w:color w:val="000000" w:themeColor="text1"/>
          <w:lang w:eastAsia="es-ES"/>
        </w:rPr>
        <w:t>s</w:t>
      </w:r>
      <w:r w:rsidR="009D0ABF" w:rsidRPr="00C454A1">
        <w:rPr>
          <w:iCs/>
          <w:color w:val="000000" w:themeColor="text1"/>
          <w:lang w:eastAsia="es-ES"/>
        </w:rPr>
        <w:t xml:space="preserve"> meses de 2025 </w:t>
      </w:r>
      <w:r w:rsidR="00E264D0" w:rsidRPr="00C454A1">
        <w:rPr>
          <w:iCs/>
          <w:color w:val="000000" w:themeColor="text1"/>
          <w:lang w:eastAsia="es-ES"/>
        </w:rPr>
        <w:t>no constituyen fenómenos extraordinarios</w:t>
      </w:r>
      <w:r w:rsidR="009D0ABF" w:rsidRPr="00C454A1">
        <w:rPr>
          <w:iCs/>
          <w:color w:val="000000" w:themeColor="text1"/>
          <w:lang w:eastAsia="es-ES"/>
        </w:rPr>
        <w:t>. Lo anterior, por cuanto:</w:t>
      </w:r>
      <w:r w:rsidR="00E264D0" w:rsidRPr="00C454A1">
        <w:rPr>
          <w:iCs/>
          <w:color w:val="000000" w:themeColor="text1"/>
          <w:lang w:eastAsia="es-ES"/>
        </w:rPr>
        <w:t xml:space="preserve"> (i) la Defensoría del Pueblo emitió vari</w:t>
      </w:r>
      <w:r w:rsidR="009D0ABF" w:rsidRPr="00C454A1">
        <w:rPr>
          <w:iCs/>
          <w:color w:val="000000" w:themeColor="text1"/>
          <w:lang w:eastAsia="es-ES"/>
        </w:rPr>
        <w:t>a</w:t>
      </w:r>
      <w:r w:rsidR="00E264D0" w:rsidRPr="00C454A1">
        <w:rPr>
          <w:iCs/>
          <w:color w:val="000000" w:themeColor="text1"/>
          <w:lang w:eastAsia="es-ES"/>
        </w:rPr>
        <w:t xml:space="preserve">s alertas tempranas durante 2024 que advertían </w:t>
      </w:r>
      <w:r w:rsidR="007F026A" w:rsidRPr="00C454A1">
        <w:rPr>
          <w:iCs/>
          <w:color w:val="000000" w:themeColor="text1"/>
          <w:lang w:eastAsia="es-ES"/>
        </w:rPr>
        <w:t>el recrudecimiento</w:t>
      </w:r>
      <w:r w:rsidR="00E264D0" w:rsidRPr="00C454A1">
        <w:rPr>
          <w:iCs/>
          <w:color w:val="000000" w:themeColor="text1"/>
          <w:lang w:eastAsia="es-ES"/>
        </w:rPr>
        <w:t xml:space="preserve"> de la </w:t>
      </w:r>
      <w:r w:rsidR="00E264D0" w:rsidRPr="00C454A1">
        <w:rPr>
          <w:iCs/>
          <w:color w:val="000000" w:themeColor="text1"/>
          <w:lang w:eastAsia="es-ES"/>
        </w:rPr>
        <w:lastRenderedPageBreak/>
        <w:t>violencia en la región</w:t>
      </w:r>
      <w:r w:rsidR="00EF2549" w:rsidRPr="00C454A1">
        <w:rPr>
          <w:iCs/>
          <w:color w:val="000000" w:themeColor="text1"/>
          <w:lang w:eastAsia="es-ES"/>
        </w:rPr>
        <w:t>, información que también tenía el Gobierno nacional como resultado de ejercicios de inteligencia</w:t>
      </w:r>
      <w:r w:rsidR="00B64B2E" w:rsidRPr="00C454A1">
        <w:rPr>
          <w:iCs/>
          <w:color w:val="000000" w:themeColor="text1"/>
          <w:lang w:eastAsia="es-ES"/>
        </w:rPr>
        <w:t>, lo que significa que el Gobierno nacional conocía de antemano el riesgo</w:t>
      </w:r>
      <w:r w:rsidR="00975887" w:rsidRPr="00C454A1">
        <w:rPr>
          <w:iCs/>
          <w:color w:val="000000" w:themeColor="text1"/>
          <w:lang w:eastAsia="es-ES"/>
        </w:rPr>
        <w:t xml:space="preserve"> y no adoptó medidas adecuadas</w:t>
      </w:r>
      <w:r w:rsidR="004969C5" w:rsidRPr="00C454A1">
        <w:rPr>
          <w:iCs/>
          <w:color w:val="000000" w:themeColor="text1"/>
          <w:lang w:eastAsia="es-ES"/>
        </w:rPr>
        <w:t>;</w:t>
      </w:r>
      <w:r w:rsidR="00E264D0" w:rsidRPr="00C454A1">
        <w:rPr>
          <w:iCs/>
          <w:color w:val="000000" w:themeColor="text1"/>
          <w:lang w:eastAsia="es-ES"/>
        </w:rPr>
        <w:t xml:space="preserve"> (ii) </w:t>
      </w:r>
      <w:r w:rsidR="004969C5" w:rsidRPr="00C454A1">
        <w:rPr>
          <w:iCs/>
          <w:color w:val="000000" w:themeColor="text1"/>
          <w:lang w:eastAsia="es-ES"/>
        </w:rPr>
        <w:t>e</w:t>
      </w:r>
      <w:r w:rsidR="00B64B2E" w:rsidRPr="00C454A1">
        <w:rPr>
          <w:iCs/>
          <w:color w:val="000000" w:themeColor="text1"/>
          <w:lang w:eastAsia="es-ES"/>
        </w:rPr>
        <w:t>l Gobierno nacional incidió en la intensificación de la vio</w:t>
      </w:r>
      <w:r w:rsidR="0067241E" w:rsidRPr="00C454A1">
        <w:rPr>
          <w:iCs/>
          <w:color w:val="000000" w:themeColor="text1"/>
          <w:lang w:eastAsia="es-ES"/>
        </w:rPr>
        <w:t>l</w:t>
      </w:r>
      <w:r w:rsidR="00B64B2E" w:rsidRPr="00C454A1">
        <w:rPr>
          <w:iCs/>
          <w:color w:val="000000" w:themeColor="text1"/>
          <w:lang w:eastAsia="es-ES"/>
        </w:rPr>
        <w:t xml:space="preserve">encia en la medida </w:t>
      </w:r>
      <w:r w:rsidR="009D76D4" w:rsidRPr="00C454A1">
        <w:rPr>
          <w:iCs/>
          <w:color w:val="000000" w:themeColor="text1"/>
          <w:lang w:eastAsia="es-ES"/>
        </w:rPr>
        <w:t xml:space="preserve">en </w:t>
      </w:r>
      <w:r w:rsidR="00B64B2E" w:rsidRPr="00C454A1">
        <w:rPr>
          <w:iCs/>
          <w:color w:val="000000" w:themeColor="text1"/>
          <w:lang w:eastAsia="es-ES"/>
        </w:rPr>
        <w:t xml:space="preserve">que </w:t>
      </w:r>
      <w:r w:rsidR="00490002" w:rsidRPr="00C454A1">
        <w:rPr>
          <w:iCs/>
          <w:color w:val="000000" w:themeColor="text1"/>
          <w:lang w:eastAsia="es-ES"/>
        </w:rPr>
        <w:t>llevó a cabo negociaciones de paz con el ELN sin garantías de desmovilización</w:t>
      </w:r>
      <w:r w:rsidR="009D76D4" w:rsidRPr="00C454A1">
        <w:rPr>
          <w:iCs/>
          <w:color w:val="000000" w:themeColor="text1"/>
          <w:lang w:eastAsia="es-ES"/>
        </w:rPr>
        <w:t xml:space="preserve">, </w:t>
      </w:r>
      <w:r w:rsidR="00E92C02" w:rsidRPr="00C454A1">
        <w:rPr>
          <w:iCs/>
          <w:color w:val="000000" w:themeColor="text1"/>
          <w:lang w:eastAsia="es-ES"/>
        </w:rPr>
        <w:t>debilitó</w:t>
      </w:r>
      <w:r w:rsidR="009D76D4" w:rsidRPr="00C454A1">
        <w:rPr>
          <w:iCs/>
          <w:color w:val="000000" w:themeColor="text1"/>
          <w:lang w:eastAsia="es-ES"/>
        </w:rPr>
        <w:t xml:space="preserve"> las fuerzas militares como parte de su política de Paz Total</w:t>
      </w:r>
      <w:r w:rsidR="00E92C02" w:rsidRPr="00C454A1">
        <w:rPr>
          <w:iCs/>
          <w:color w:val="000000" w:themeColor="text1"/>
          <w:lang w:eastAsia="es-ES"/>
        </w:rPr>
        <w:t xml:space="preserve"> y dispuso ceses al fuego con grupos armados con quienes negociaba</w:t>
      </w:r>
      <w:r w:rsidR="009D76D4" w:rsidRPr="00C454A1">
        <w:rPr>
          <w:iCs/>
          <w:color w:val="000000" w:themeColor="text1"/>
          <w:lang w:eastAsia="es-ES"/>
        </w:rPr>
        <w:t>.</w:t>
      </w:r>
    </w:p>
    <w:p w14:paraId="014751BC" w14:textId="77777777" w:rsidR="000D05B1" w:rsidRPr="00C454A1" w:rsidRDefault="000D05B1" w:rsidP="000D05B1">
      <w:pPr>
        <w:rPr>
          <w:color w:val="000000" w:themeColor="text1"/>
          <w:lang w:eastAsia="es-ES"/>
        </w:rPr>
      </w:pPr>
    </w:p>
    <w:p w14:paraId="5792BB98" w14:textId="439386F6" w:rsidR="004969C5" w:rsidRPr="00C454A1" w:rsidRDefault="004969C5" w:rsidP="004969C5">
      <w:pPr>
        <w:numPr>
          <w:ilvl w:val="0"/>
          <w:numId w:val="2"/>
        </w:numPr>
        <w:ind w:left="0" w:firstLine="0"/>
        <w:rPr>
          <w:color w:val="000000" w:themeColor="text1"/>
          <w:lang w:eastAsia="es-ES"/>
        </w:rPr>
      </w:pPr>
      <w:r w:rsidRPr="00C454A1">
        <w:rPr>
          <w:color w:val="000000" w:themeColor="text1"/>
          <w:lang w:eastAsia="es-ES"/>
        </w:rPr>
        <w:t xml:space="preserve">Para responder este punto se requieren dos precisiones. La primera consiste en reiterar que en el control jurídico del decreto declaratorio, la Corte verifica que las circunstancias invocadas tengan magnitudes inusitadas o excepcionales. En este caso, </w:t>
      </w:r>
      <w:r w:rsidR="00D65030" w:rsidRPr="00C454A1">
        <w:rPr>
          <w:color w:val="000000" w:themeColor="text1"/>
          <w:lang w:eastAsia="es-ES"/>
        </w:rPr>
        <w:t xml:space="preserve">además de que no existe evidencia que permita establecer una relación causal entre las decisiones del Gobierno y la crisis de orden público y humanitaria que enfrentó la región del Catatumbo a inicio de 2025, </w:t>
      </w:r>
      <w:r w:rsidRPr="00C454A1">
        <w:rPr>
          <w:color w:val="000000" w:themeColor="text1"/>
          <w:lang w:eastAsia="es-ES"/>
        </w:rPr>
        <w:t xml:space="preserve">la alegada incidencia del Gobierno nacional por acción u omisión </w:t>
      </w:r>
      <w:r w:rsidR="00D65030" w:rsidRPr="00C454A1">
        <w:rPr>
          <w:color w:val="000000" w:themeColor="text1"/>
          <w:lang w:eastAsia="es-ES"/>
        </w:rPr>
        <w:t>tampoco</w:t>
      </w:r>
      <w:r w:rsidRPr="00C454A1">
        <w:rPr>
          <w:color w:val="000000" w:themeColor="text1"/>
          <w:lang w:eastAsia="es-ES"/>
        </w:rPr>
        <w:t xml:space="preserve"> desvirtúa el carácter extraordinario de </w:t>
      </w:r>
      <w:r w:rsidR="00D65030" w:rsidRPr="00C454A1">
        <w:rPr>
          <w:color w:val="000000" w:themeColor="text1"/>
          <w:lang w:eastAsia="es-ES"/>
        </w:rPr>
        <w:t>los hechos</w:t>
      </w:r>
      <w:r w:rsidRPr="00C454A1">
        <w:rPr>
          <w:color w:val="000000" w:themeColor="text1"/>
          <w:lang w:eastAsia="es-ES"/>
        </w:rPr>
        <w:t>. La segunda está relacionada con la imprevisibilidad de la magnitud de la crisis que motivó la declaración de la conmoción interior.</w:t>
      </w:r>
    </w:p>
    <w:p w14:paraId="33339C32" w14:textId="77777777" w:rsidR="004969C5" w:rsidRPr="00C454A1" w:rsidRDefault="004969C5" w:rsidP="004969C5">
      <w:pPr>
        <w:pStyle w:val="Prrafodelista"/>
        <w:rPr>
          <w:color w:val="000000" w:themeColor="text1"/>
          <w:lang w:eastAsia="es-ES"/>
        </w:rPr>
      </w:pPr>
    </w:p>
    <w:p w14:paraId="2A811910" w14:textId="742EDE02" w:rsidR="004969C5" w:rsidRPr="00C454A1" w:rsidRDefault="004969C5" w:rsidP="001F3006">
      <w:pPr>
        <w:numPr>
          <w:ilvl w:val="0"/>
          <w:numId w:val="2"/>
        </w:numPr>
        <w:ind w:left="0" w:firstLine="0"/>
        <w:rPr>
          <w:color w:val="000000" w:themeColor="text1"/>
          <w:lang w:eastAsia="es-ES"/>
        </w:rPr>
      </w:pPr>
      <w:r w:rsidRPr="00C454A1">
        <w:rPr>
          <w:color w:val="000000" w:themeColor="text1"/>
          <w:lang w:eastAsia="es-ES"/>
        </w:rPr>
        <w:t>Sobre la primera precisión, debe tenerse en cuenta que en diferentes oportunidades la Corte ha examinado decretos declaratorios de estados de excepción frente a los que se han cuestionado acciones u omisiones del Estado. Como sucede en esta ocasión, también se ha puesto en discusión si la acción u omisión estatal fue determinante en la configuración de graves perturbaciones a alguno de los órdenes protegidos mediante el régimen de excepción -social, económico, público e</w:t>
      </w:r>
      <w:r w:rsidR="00ED7BE0" w:rsidRPr="00C454A1">
        <w:rPr>
          <w:color w:val="000000" w:themeColor="text1"/>
          <w:lang w:eastAsia="es-ES"/>
        </w:rPr>
        <w:t>,</w:t>
      </w:r>
      <w:r w:rsidRPr="00C454A1">
        <w:rPr>
          <w:color w:val="000000" w:themeColor="text1"/>
          <w:lang w:eastAsia="es-ES"/>
        </w:rPr>
        <w:t xml:space="preserve"> incluso</w:t>
      </w:r>
      <w:r w:rsidR="00ED7BE0" w:rsidRPr="00C454A1">
        <w:rPr>
          <w:color w:val="000000" w:themeColor="text1"/>
          <w:lang w:eastAsia="es-ES"/>
        </w:rPr>
        <w:t>,</w:t>
      </w:r>
      <w:r w:rsidRPr="00C454A1">
        <w:rPr>
          <w:color w:val="000000" w:themeColor="text1"/>
          <w:lang w:eastAsia="es-ES"/>
        </w:rPr>
        <w:t xml:space="preserve"> ecológico-</w:t>
      </w:r>
      <w:r w:rsidRPr="00C454A1">
        <w:rPr>
          <w:rStyle w:val="Refdenotaalpie"/>
          <w:color w:val="000000" w:themeColor="text1"/>
          <w:lang w:eastAsia="es-ES"/>
        </w:rPr>
        <w:footnoteReference w:id="367"/>
      </w:r>
      <w:r w:rsidRPr="00C454A1">
        <w:rPr>
          <w:color w:val="000000" w:themeColor="text1"/>
          <w:lang w:eastAsia="es-ES"/>
        </w:rPr>
        <w:t>. Frente a estos planteamientos la Corte ha precisado que: (i) en la evaluación del carácter extraordinario de los hechos debe verificarse que se trate de situaciones fuera de lo común, con independencia de la responsabilidad del Estado en su configuración; (ii) el tipo de control asignado a la Corte es de naturaleza jurídica y no política; y (iii) en el ordenamiento existen mecanismos y competencias asignadas a otras autoridades en los que se define la responsabilidad del Estado o de los funcionarios en la generación de las condiciones que contribuyeron con una situación de anormalidad.</w:t>
      </w:r>
    </w:p>
    <w:p w14:paraId="35AB369B" w14:textId="77777777" w:rsidR="004969C5" w:rsidRPr="00C454A1" w:rsidRDefault="004969C5" w:rsidP="004969C5">
      <w:pPr>
        <w:pStyle w:val="Prrafodelista"/>
        <w:rPr>
          <w:color w:val="000000" w:themeColor="text1"/>
          <w:lang w:eastAsia="es-ES"/>
        </w:rPr>
      </w:pPr>
    </w:p>
    <w:p w14:paraId="2B4CF433" w14:textId="3A1A610B" w:rsidR="003D285F" w:rsidRPr="00C454A1" w:rsidRDefault="003D285F" w:rsidP="003D285F">
      <w:pPr>
        <w:numPr>
          <w:ilvl w:val="0"/>
          <w:numId w:val="2"/>
        </w:numPr>
        <w:ind w:left="0" w:firstLine="0"/>
        <w:rPr>
          <w:color w:val="000000" w:themeColor="text1"/>
          <w:lang w:eastAsia="es-ES"/>
        </w:rPr>
      </w:pPr>
      <w:r w:rsidRPr="00C454A1">
        <w:rPr>
          <w:color w:val="000000" w:themeColor="text1"/>
          <w:lang w:eastAsia="es-ES"/>
        </w:rPr>
        <w:t xml:space="preserve">La postura que ha mantenido la Corte, y que se reitera en esta oportunidad, no pretende excusar o expiar omisiones estatales. Por el contrario, </w:t>
      </w:r>
      <w:r w:rsidRPr="00C454A1">
        <w:rPr>
          <w:color w:val="000000" w:themeColor="text1"/>
          <w:lang w:eastAsia="es-ES"/>
        </w:rPr>
        <w:lastRenderedPageBreak/>
        <w:t>se sustenta en la razón última del poder público y, de hecho, del estado de excepción, cual es la protección de la población.</w:t>
      </w:r>
      <w:r w:rsidRPr="00C454A1">
        <w:rPr>
          <w:color w:val="000000" w:themeColor="text1"/>
        </w:rPr>
        <w:t xml:space="preserve"> Tanto el</w:t>
      </w:r>
      <w:r w:rsidRPr="00C454A1">
        <w:rPr>
          <w:color w:val="000000" w:themeColor="text1"/>
          <w:lang w:eastAsia="es-ES"/>
        </w:rPr>
        <w:t xml:space="preserve"> debate ciudadano que se adelanta en el trámite constitucional como el control judicial por parte de este Tribunal no pueden perder de vista que la principal justificación de los estados de excepción es la protección de las personas frente a situaciones extraordinarias. Un sacrificio tan intenso de principios esenciales como la separación de poderes únicamente se justifica en la medida en que se asegure una respuesta oportuna que, ante circunstancias extraordinarias, permita restablecer y asegurar las condiciones mínimas necesarias para el ejercicio de los derechos. Mal haría una Corte al obviar las circunstancias extremas en la que se ve la población ante circunstancias extraordinarias, con el argumento que los gobiernos contribuyeron en ellas. </w:t>
      </w:r>
    </w:p>
    <w:p w14:paraId="189B4CB9" w14:textId="77777777" w:rsidR="003D285F" w:rsidRPr="00C454A1" w:rsidRDefault="003D285F" w:rsidP="003D285F">
      <w:pPr>
        <w:rPr>
          <w:color w:val="000000" w:themeColor="text1"/>
          <w:lang w:eastAsia="es-ES"/>
        </w:rPr>
      </w:pPr>
    </w:p>
    <w:p w14:paraId="27DFFC9E" w14:textId="32CE5695" w:rsidR="003D285F" w:rsidRPr="00C454A1" w:rsidRDefault="003D285F" w:rsidP="003D285F">
      <w:pPr>
        <w:numPr>
          <w:ilvl w:val="0"/>
          <w:numId w:val="2"/>
        </w:numPr>
        <w:ind w:left="0" w:firstLine="0"/>
        <w:rPr>
          <w:color w:val="000000" w:themeColor="text1"/>
          <w:lang w:eastAsia="es-ES"/>
        </w:rPr>
      </w:pPr>
      <w:r w:rsidRPr="00C454A1">
        <w:rPr>
          <w:color w:val="000000" w:themeColor="text1"/>
          <w:lang w:eastAsia="es-ES"/>
        </w:rPr>
        <w:t>Bajo esta perspectiva</w:t>
      </w:r>
      <w:r w:rsidR="00E91D86" w:rsidRPr="00C454A1">
        <w:rPr>
          <w:color w:val="000000" w:themeColor="text1"/>
          <w:lang w:eastAsia="es-ES"/>
        </w:rPr>
        <w:t>,</w:t>
      </w:r>
      <w:r w:rsidRPr="00C454A1">
        <w:rPr>
          <w:color w:val="000000" w:themeColor="text1"/>
          <w:lang w:eastAsia="es-ES"/>
        </w:rPr>
        <w:t xml:space="preserve"> pierden fuerza aquellos argumentos que pretenden descartar el carácter extraordinario de una crisis humanitaria como la examinada por la Corte en esta ocasión a partir de las presuntas </w:t>
      </w:r>
      <w:r w:rsidR="00E91D86" w:rsidRPr="00C454A1">
        <w:rPr>
          <w:color w:val="000000" w:themeColor="text1"/>
          <w:lang w:eastAsia="es-ES"/>
        </w:rPr>
        <w:t xml:space="preserve">acciones u </w:t>
      </w:r>
      <w:r w:rsidRPr="00C454A1">
        <w:rPr>
          <w:color w:val="000000" w:themeColor="text1"/>
          <w:lang w:eastAsia="es-ES"/>
        </w:rPr>
        <w:t>omisiones del Gobierno nacional. Ello</w:t>
      </w:r>
      <w:r w:rsidR="00E91D86" w:rsidRPr="00C454A1">
        <w:rPr>
          <w:color w:val="000000" w:themeColor="text1"/>
          <w:lang w:eastAsia="es-ES"/>
        </w:rPr>
        <w:t xml:space="preserve"> es así porque</w:t>
      </w:r>
      <w:r w:rsidR="00D65030" w:rsidRPr="00C454A1">
        <w:rPr>
          <w:color w:val="000000" w:themeColor="text1"/>
          <w:lang w:eastAsia="es-ES"/>
        </w:rPr>
        <w:t>, en primer lugar, no obra en el expediente evidencia que permita establecer una relación causal entre acciones u omisiones del Gobierno nacional</w:t>
      </w:r>
      <w:r w:rsidR="00E91D86" w:rsidRPr="00C454A1">
        <w:rPr>
          <w:color w:val="000000" w:themeColor="text1"/>
          <w:lang w:eastAsia="es-ES"/>
        </w:rPr>
        <w:t xml:space="preserve">, especialmente en relación con las alertas tempranas emitidas por la Defensoría del Pueblo, </w:t>
      </w:r>
      <w:r w:rsidR="00D65030" w:rsidRPr="00C454A1">
        <w:rPr>
          <w:color w:val="000000" w:themeColor="text1"/>
          <w:lang w:eastAsia="es-ES"/>
        </w:rPr>
        <w:t>y los hechos invocados para la declaración de la conmoción interior</w:t>
      </w:r>
      <w:r w:rsidR="00E91D86" w:rsidRPr="00C454A1">
        <w:rPr>
          <w:color w:val="000000" w:themeColor="text1"/>
          <w:lang w:eastAsia="es-ES"/>
        </w:rPr>
        <w:t>. Debe tenerse en cuenta, además, que dichas alertas tempranas no daban cuenta ni de la magnitud ni de la velocidad con que se agravaría la situación de orden público, ni de la intensidad de las afectaciones a la población civil que posteriormente debió enfrentar el Gobierno nacional. En estas condiciones, no es posible atribuir al Gobierno nacional una omisión que haya contribuido al agravamiento de la situación de orden público en esa zona del país. E</w:t>
      </w:r>
      <w:r w:rsidR="00D65030" w:rsidRPr="00C454A1">
        <w:rPr>
          <w:color w:val="000000" w:themeColor="text1"/>
          <w:lang w:eastAsia="es-ES"/>
        </w:rPr>
        <w:t>n segundo lugar,</w:t>
      </w:r>
      <w:r w:rsidRPr="00C454A1">
        <w:rPr>
          <w:color w:val="000000" w:themeColor="text1"/>
          <w:lang w:eastAsia="es-ES"/>
        </w:rPr>
        <w:t xml:space="preserve"> las cifras ampliamente presentadas en este trámite constitucional demuestran una crisis humanitaria sin precedentes en la historia reciente del país. Admitir dichos planteamientos como motivos de inconstitucionalidad no solo desnaturalizaría el tipo de control asignado a la Corte, sino que privilegiaría un juicio de las eventuales acciones u omisiones del Estado sobre la protección efectiva de la población afectada por la crisis humanitaria en el Catatumbo.</w:t>
      </w:r>
    </w:p>
    <w:p w14:paraId="56EAF424" w14:textId="77777777" w:rsidR="003D285F" w:rsidRPr="00C454A1" w:rsidRDefault="003D285F" w:rsidP="003D285F">
      <w:pPr>
        <w:rPr>
          <w:color w:val="000000" w:themeColor="text1"/>
          <w:lang w:eastAsia="es-ES"/>
        </w:rPr>
      </w:pPr>
    </w:p>
    <w:p w14:paraId="1E6D11A7" w14:textId="195CECB4" w:rsidR="003D285F" w:rsidRPr="00C454A1" w:rsidRDefault="003D285F" w:rsidP="001F3006">
      <w:pPr>
        <w:numPr>
          <w:ilvl w:val="0"/>
          <w:numId w:val="2"/>
        </w:numPr>
        <w:ind w:left="0" w:firstLine="0"/>
        <w:rPr>
          <w:color w:val="000000" w:themeColor="text1"/>
          <w:lang w:eastAsia="es-ES"/>
        </w:rPr>
      </w:pPr>
      <w:bookmarkStart w:id="196" w:name="_Ref223950233"/>
      <w:r w:rsidRPr="00C454A1">
        <w:rPr>
          <w:color w:val="000000" w:themeColor="text1"/>
          <w:lang w:eastAsia="es-ES"/>
        </w:rPr>
        <w:t xml:space="preserve">En segundo lugar y en línea con lo anterior, debe tenerse en cuenta la imprevisibilidad de la magnitud de la crisis. En este aspecto, hay que insistir en las cifras analizadas en los fundamentos jurídicos </w:t>
      </w:r>
      <w:r w:rsidRPr="00C454A1">
        <w:rPr>
          <w:color w:val="000000" w:themeColor="text1"/>
          <w:lang w:eastAsia="es-ES"/>
        </w:rPr>
        <w:fldChar w:fldCharType="begin"/>
      </w:r>
      <w:r w:rsidRPr="00C454A1">
        <w:rPr>
          <w:color w:val="000000" w:themeColor="text1"/>
          <w:lang w:eastAsia="es-ES"/>
        </w:rPr>
        <w:instrText xml:space="preserve"> REF _Ref203401531 \r \h  \* MERGEFORMAT </w:instrText>
      </w:r>
      <w:r w:rsidRPr="00C454A1">
        <w:rPr>
          <w:color w:val="000000" w:themeColor="text1"/>
          <w:lang w:eastAsia="es-ES"/>
        </w:rPr>
      </w:r>
      <w:r w:rsidRPr="00C454A1">
        <w:rPr>
          <w:color w:val="000000" w:themeColor="text1"/>
          <w:lang w:eastAsia="es-ES"/>
        </w:rPr>
        <w:fldChar w:fldCharType="separate"/>
      </w:r>
      <w:r w:rsidR="00881E6A">
        <w:rPr>
          <w:color w:val="000000" w:themeColor="text1"/>
          <w:lang w:eastAsia="es-ES"/>
        </w:rPr>
        <w:t>173</w:t>
      </w:r>
      <w:r w:rsidRPr="00C454A1">
        <w:rPr>
          <w:color w:val="000000" w:themeColor="text1"/>
          <w:lang w:eastAsia="es-ES"/>
        </w:rPr>
        <w:fldChar w:fldCharType="end"/>
      </w:r>
      <w:r w:rsidRPr="00C454A1">
        <w:rPr>
          <w:color w:val="000000" w:themeColor="text1"/>
          <w:lang w:eastAsia="es-ES"/>
        </w:rPr>
        <w:t xml:space="preserve"> a </w:t>
      </w:r>
      <w:r w:rsidRPr="00C454A1">
        <w:rPr>
          <w:color w:val="000000" w:themeColor="text1"/>
          <w:lang w:eastAsia="es-ES"/>
        </w:rPr>
        <w:fldChar w:fldCharType="begin"/>
      </w:r>
      <w:r w:rsidRPr="00C454A1">
        <w:rPr>
          <w:color w:val="000000" w:themeColor="text1"/>
          <w:lang w:eastAsia="es-ES"/>
        </w:rPr>
        <w:instrText xml:space="preserve"> REF _Ref219382526 \r \h  \* MERGEFORMAT </w:instrText>
      </w:r>
      <w:r w:rsidRPr="00C454A1">
        <w:rPr>
          <w:color w:val="000000" w:themeColor="text1"/>
          <w:lang w:eastAsia="es-ES"/>
        </w:rPr>
      </w:r>
      <w:r w:rsidRPr="00C454A1">
        <w:rPr>
          <w:color w:val="000000" w:themeColor="text1"/>
          <w:lang w:eastAsia="es-ES"/>
        </w:rPr>
        <w:fldChar w:fldCharType="separate"/>
      </w:r>
      <w:r w:rsidR="00881E6A">
        <w:rPr>
          <w:color w:val="000000" w:themeColor="text1"/>
          <w:lang w:eastAsia="es-ES"/>
        </w:rPr>
        <w:t>177</w:t>
      </w:r>
      <w:r w:rsidRPr="00C454A1">
        <w:rPr>
          <w:color w:val="000000" w:themeColor="text1"/>
          <w:lang w:eastAsia="es-ES"/>
        </w:rPr>
        <w:fldChar w:fldCharType="end"/>
      </w:r>
      <w:r w:rsidRPr="00C454A1">
        <w:rPr>
          <w:color w:val="000000" w:themeColor="text1"/>
          <w:lang w:eastAsia="es-ES"/>
        </w:rPr>
        <w:t xml:space="preserve"> y </w:t>
      </w:r>
      <w:r w:rsidRPr="00C454A1">
        <w:rPr>
          <w:color w:val="000000" w:themeColor="text1"/>
          <w:lang w:eastAsia="es-ES"/>
        </w:rPr>
        <w:fldChar w:fldCharType="begin"/>
      </w:r>
      <w:r w:rsidRPr="00C454A1">
        <w:rPr>
          <w:color w:val="000000" w:themeColor="text1"/>
          <w:lang w:eastAsia="es-ES"/>
        </w:rPr>
        <w:instrText xml:space="preserve"> REF _Ref198036184 \r \h  \* MERGEFORMAT </w:instrText>
      </w:r>
      <w:r w:rsidRPr="00C454A1">
        <w:rPr>
          <w:color w:val="000000" w:themeColor="text1"/>
          <w:lang w:eastAsia="es-ES"/>
        </w:rPr>
      </w:r>
      <w:r w:rsidRPr="00C454A1">
        <w:rPr>
          <w:color w:val="000000" w:themeColor="text1"/>
          <w:lang w:eastAsia="es-ES"/>
        </w:rPr>
        <w:fldChar w:fldCharType="separate"/>
      </w:r>
      <w:r w:rsidR="00881E6A">
        <w:rPr>
          <w:color w:val="000000" w:themeColor="text1"/>
          <w:lang w:eastAsia="es-ES"/>
        </w:rPr>
        <w:t>243</w:t>
      </w:r>
      <w:r w:rsidRPr="00C454A1">
        <w:rPr>
          <w:color w:val="000000" w:themeColor="text1"/>
          <w:lang w:eastAsia="es-ES"/>
        </w:rPr>
        <w:fldChar w:fldCharType="end"/>
      </w:r>
      <w:r w:rsidRPr="00C454A1">
        <w:rPr>
          <w:color w:val="000000" w:themeColor="text1"/>
          <w:lang w:eastAsia="es-ES"/>
        </w:rPr>
        <w:t xml:space="preserve"> y siguientes, las cuales dan cuenta de un aumento repentino y acelerado, concentrado en un periodo breve, de hechos victimizantes contra la población civil, especialmente de desplazamientos forzados y confinamientos. Por ello, la Defensoría del Pueblo ha clasificado la situación como la peor crisis humanitaria registrada en la historia reciente del país. Estos incrementos se derivaron, a su vez, de cambios en el modo de operar del ELN y otros GAO ocurridos a inicios de 2025, como la persecución directa de liderazgos sociales y personas firmantes del AFP, el uso de drones con artefactos explosivos -sin consideración por los riesgos para la población civil- y la intensificación de formas de control social de la población civil como los confinamientos. Se trata de hechos que el </w:t>
      </w:r>
      <w:r w:rsidRPr="00C454A1">
        <w:rPr>
          <w:color w:val="000000" w:themeColor="text1"/>
          <w:lang w:eastAsia="es-ES"/>
        </w:rPr>
        <w:lastRenderedPageBreak/>
        <w:t>Gobierno nacional difícilmente podía prever, incluso en el contexto de violencia estructural que ha afectado la región del Catatumbo por décadas.</w:t>
      </w:r>
      <w:bookmarkEnd w:id="196"/>
    </w:p>
    <w:p w14:paraId="3160095E" w14:textId="77777777" w:rsidR="003D285F" w:rsidRPr="00C454A1" w:rsidRDefault="003D285F" w:rsidP="003D285F">
      <w:pPr>
        <w:rPr>
          <w:color w:val="000000" w:themeColor="text1"/>
          <w:lang w:eastAsia="es-ES"/>
        </w:rPr>
      </w:pPr>
    </w:p>
    <w:p w14:paraId="54B82CED" w14:textId="750A90C0" w:rsidR="003D285F" w:rsidRPr="00C454A1" w:rsidRDefault="003D285F" w:rsidP="003D285F">
      <w:pPr>
        <w:numPr>
          <w:ilvl w:val="0"/>
          <w:numId w:val="2"/>
        </w:numPr>
        <w:ind w:left="0" w:firstLine="0"/>
        <w:rPr>
          <w:color w:val="000000" w:themeColor="text1"/>
          <w:lang w:eastAsia="es-ES"/>
        </w:rPr>
      </w:pPr>
      <w:r w:rsidRPr="00C454A1">
        <w:rPr>
          <w:rFonts w:cs="Times New Roman"/>
          <w:color w:val="000000" w:themeColor="text1"/>
          <w:szCs w:val="28"/>
        </w:rPr>
        <w:t>Por las razones expuestas, la Corte no encuentra fundamentados los alegatos de los intervinientes.</w:t>
      </w:r>
    </w:p>
    <w:p w14:paraId="31986528" w14:textId="77777777" w:rsidR="00D62239" w:rsidRPr="00C454A1" w:rsidRDefault="00D62239" w:rsidP="003D285F">
      <w:pPr>
        <w:rPr>
          <w:color w:val="000000" w:themeColor="text1"/>
          <w:lang w:eastAsia="es-ES"/>
        </w:rPr>
      </w:pPr>
    </w:p>
    <w:p w14:paraId="33B9441B" w14:textId="2F358667" w:rsidR="00950ED9" w:rsidRPr="00C454A1" w:rsidRDefault="00950ED9" w:rsidP="00321FAF">
      <w:pPr>
        <w:numPr>
          <w:ilvl w:val="0"/>
          <w:numId w:val="2"/>
        </w:numPr>
        <w:ind w:left="0" w:firstLine="0"/>
        <w:rPr>
          <w:color w:val="000000" w:themeColor="text1"/>
          <w:u w:val="single"/>
          <w:lang w:eastAsia="es-ES"/>
        </w:rPr>
      </w:pPr>
      <w:r w:rsidRPr="00C454A1">
        <w:rPr>
          <w:i/>
          <w:iCs/>
          <w:color w:val="000000" w:themeColor="text1"/>
          <w:lang w:eastAsia="es-ES"/>
        </w:rPr>
        <w:t>Conclusión sobre el carácter extraordinario de los hechos</w:t>
      </w:r>
      <w:r w:rsidRPr="00C454A1">
        <w:rPr>
          <w:color w:val="000000" w:themeColor="text1"/>
          <w:lang w:eastAsia="es-ES"/>
        </w:rPr>
        <w:t xml:space="preserve">. En síntesis, respecto del carácter </w:t>
      </w:r>
      <w:r w:rsidRPr="00C454A1">
        <w:rPr>
          <w:i/>
          <w:iCs/>
          <w:color w:val="000000" w:themeColor="text1"/>
          <w:lang w:eastAsia="es-ES"/>
        </w:rPr>
        <w:t>extraordinario</w:t>
      </w:r>
      <w:r w:rsidRPr="00C454A1">
        <w:rPr>
          <w:color w:val="000000" w:themeColor="text1"/>
          <w:lang w:eastAsia="es-ES"/>
        </w:rPr>
        <w:t xml:space="preserve"> de los hechos –segundo elemento del presupuesto valorativo– la Corte concluye lo siguiente:</w:t>
      </w:r>
    </w:p>
    <w:p w14:paraId="2D1B8F96" w14:textId="77777777" w:rsidR="00E22EBC" w:rsidRPr="00C454A1" w:rsidRDefault="00E22EBC" w:rsidP="00631C27">
      <w:pPr>
        <w:rPr>
          <w:color w:val="000000" w:themeColor="text1"/>
          <w:lang w:eastAsia="es-ES"/>
        </w:rPr>
      </w:pPr>
    </w:p>
    <w:p w14:paraId="00852B87" w14:textId="5FFE7109" w:rsidR="00E22EBC" w:rsidRPr="00C454A1" w:rsidRDefault="00E22EBC" w:rsidP="00321FAF">
      <w:pPr>
        <w:numPr>
          <w:ilvl w:val="0"/>
          <w:numId w:val="2"/>
        </w:numPr>
        <w:ind w:left="0" w:firstLine="0"/>
        <w:rPr>
          <w:color w:val="000000" w:themeColor="text1"/>
          <w:lang w:eastAsia="es-ES"/>
        </w:rPr>
      </w:pPr>
      <w:bookmarkStart w:id="197" w:name="_Hlk195171264"/>
      <w:r w:rsidRPr="00C454A1">
        <w:rPr>
          <w:color w:val="000000" w:themeColor="text1"/>
          <w:lang w:eastAsia="es-ES"/>
        </w:rPr>
        <w:t xml:space="preserve">Por una parte, el </w:t>
      </w:r>
      <w:r w:rsidR="007525E1" w:rsidRPr="00C454A1">
        <w:rPr>
          <w:color w:val="000000" w:themeColor="text1"/>
          <w:lang w:eastAsia="es-ES"/>
        </w:rPr>
        <w:t>Gobierno nacional</w:t>
      </w:r>
      <w:r w:rsidRPr="00C454A1">
        <w:rPr>
          <w:color w:val="000000" w:themeColor="text1"/>
          <w:lang w:eastAsia="es-ES"/>
        </w:rPr>
        <w:t xml:space="preserve"> demostró que, a partir del 15 de enero de 2025, se </w:t>
      </w:r>
      <w:r w:rsidR="00593548" w:rsidRPr="00C454A1">
        <w:rPr>
          <w:color w:val="000000" w:themeColor="text1"/>
          <w:lang w:eastAsia="es-ES"/>
        </w:rPr>
        <w:t>agravó</w:t>
      </w:r>
      <w:r w:rsidRPr="00C454A1">
        <w:rPr>
          <w:color w:val="000000" w:themeColor="text1"/>
          <w:lang w:eastAsia="es-ES"/>
        </w:rPr>
        <w:t xml:space="preserve"> la situación de orden público en la región del Catatumbo, el área metropolitana de Cúcuta y los municipios de </w:t>
      </w:r>
      <w:r w:rsidR="00500CFF" w:rsidRPr="00C454A1">
        <w:rPr>
          <w:color w:val="000000" w:themeColor="text1"/>
          <w:lang w:eastAsia="es-ES"/>
        </w:rPr>
        <w:t xml:space="preserve">Río </w:t>
      </w:r>
      <w:r w:rsidRPr="00C454A1">
        <w:rPr>
          <w:color w:val="000000" w:themeColor="text1"/>
          <w:lang w:eastAsia="es-ES"/>
        </w:rPr>
        <w:t xml:space="preserve">de Oro y González. Este agravamiento se entrelaza con </w:t>
      </w:r>
      <w:r w:rsidR="00D853E2" w:rsidRPr="00C454A1">
        <w:rPr>
          <w:color w:val="000000" w:themeColor="text1"/>
          <w:lang w:eastAsia="es-ES"/>
        </w:rPr>
        <w:t>dos</w:t>
      </w:r>
      <w:r w:rsidRPr="00C454A1">
        <w:rPr>
          <w:color w:val="000000" w:themeColor="text1"/>
          <w:lang w:eastAsia="es-ES"/>
        </w:rPr>
        <w:t xml:space="preserve"> hechos que el Gobierno </w:t>
      </w:r>
      <w:r w:rsidR="00D853E2" w:rsidRPr="00C454A1">
        <w:rPr>
          <w:color w:val="000000" w:themeColor="text1"/>
          <w:lang w:eastAsia="es-ES"/>
        </w:rPr>
        <w:t>de forma justificada</w:t>
      </w:r>
      <w:r w:rsidRPr="00C454A1">
        <w:rPr>
          <w:color w:val="000000" w:themeColor="text1"/>
          <w:lang w:eastAsia="es-ES"/>
        </w:rPr>
        <w:t xml:space="preserve"> calificó como </w:t>
      </w:r>
      <w:r w:rsidRPr="00C454A1">
        <w:rPr>
          <w:i/>
          <w:iCs/>
          <w:color w:val="000000" w:themeColor="text1"/>
          <w:lang w:eastAsia="es-ES"/>
        </w:rPr>
        <w:t>extraordinarios</w:t>
      </w:r>
      <w:r w:rsidRPr="00C454A1">
        <w:rPr>
          <w:color w:val="000000" w:themeColor="text1"/>
          <w:lang w:eastAsia="es-ES"/>
        </w:rPr>
        <w:t xml:space="preserve">: </w:t>
      </w:r>
      <w:bookmarkEnd w:id="197"/>
      <w:r w:rsidR="00D853E2" w:rsidRPr="00C454A1">
        <w:rPr>
          <w:rFonts w:cs="Times New Roman"/>
          <w:color w:val="000000" w:themeColor="text1"/>
          <w:szCs w:val="28"/>
          <w:bdr w:val="none" w:sz="0" w:space="0" w:color="auto" w:frame="1"/>
        </w:rPr>
        <w:t xml:space="preserve">(i) la intensificación de los enfrentamientos entre el ELN y otros </w:t>
      </w:r>
      <w:r w:rsidR="00EE77DF" w:rsidRPr="00C454A1">
        <w:rPr>
          <w:rFonts w:cs="Times New Roman"/>
          <w:color w:val="000000" w:themeColor="text1"/>
          <w:szCs w:val="28"/>
          <w:bdr w:val="none" w:sz="0" w:space="0" w:color="auto" w:frame="1"/>
        </w:rPr>
        <w:t>GAO</w:t>
      </w:r>
      <w:r w:rsidR="00D853E2" w:rsidRPr="00C454A1">
        <w:rPr>
          <w:rFonts w:cs="Times New Roman"/>
          <w:color w:val="000000" w:themeColor="text1"/>
          <w:szCs w:val="28"/>
          <w:bdr w:val="none" w:sz="0" w:space="0" w:color="auto" w:frame="1"/>
        </w:rPr>
        <w:t>, así como los ataques y hostilidades dirigidos de forma indiscriminada contra la población civil y los firmantes del Acuerdo Final de Paz con las FARC y (ii) la crisis humanitaria derivada de desplazamientos forzados -internos y transfronterizos- y confinamientos masivos que ha desbordado la capacidad institucional del Estado para atenderla.</w:t>
      </w:r>
      <w:r w:rsidR="00B26B6D" w:rsidRPr="00C454A1">
        <w:rPr>
          <w:rFonts w:cs="Times New Roman"/>
          <w:color w:val="000000" w:themeColor="text1"/>
          <w:szCs w:val="28"/>
          <w:bdr w:val="none" w:sz="0" w:space="0" w:color="auto" w:frame="1"/>
        </w:rPr>
        <w:t xml:space="preserve"> </w:t>
      </w:r>
      <w:r w:rsidR="00CD4CFC" w:rsidRPr="00C454A1">
        <w:rPr>
          <w:color w:val="000000" w:themeColor="text1"/>
        </w:rPr>
        <w:t>La Corte reitera que la conclusión según la cual el Gobierno nacional realizó una calificación acertada de la extraordinariedad se circunscribe exclusivamente a estos hechos, en tanto evidencian un agravamiento inusitado y concentrado en un corto periodo de tiempo de los problemas de orden público que aquejan la región y que han desencadenado una grave crisis humanitaria. En consecuencia, la calificación de extraordinariedad que aquí se avala no comprende los problemas estructurales e históricos que desde hace décadas afectan al Catatumbo. Por esta razón, la Corte continuará con el examen de constitucionalidad del Decreto Legislativo 62 de 2025 únicamente respecto de los hechos descritos en este fundamento.</w:t>
      </w:r>
    </w:p>
    <w:p w14:paraId="3DAF0A49" w14:textId="77777777" w:rsidR="00D853E2" w:rsidRPr="00C454A1" w:rsidRDefault="00D853E2" w:rsidP="00D853E2">
      <w:pPr>
        <w:rPr>
          <w:color w:val="000000" w:themeColor="text1"/>
          <w:lang w:eastAsia="es-ES"/>
        </w:rPr>
      </w:pPr>
    </w:p>
    <w:p w14:paraId="3D594A2F" w14:textId="3C2E8786" w:rsidR="00E22EBC" w:rsidRPr="00C454A1" w:rsidRDefault="00E22EBC" w:rsidP="00321FAF">
      <w:pPr>
        <w:numPr>
          <w:ilvl w:val="0"/>
          <w:numId w:val="2"/>
        </w:numPr>
        <w:ind w:left="0" w:firstLine="0"/>
        <w:rPr>
          <w:color w:val="000000" w:themeColor="text1"/>
          <w:szCs w:val="28"/>
          <w:u w:val="single"/>
          <w:lang w:eastAsia="es-ES"/>
        </w:rPr>
      </w:pPr>
      <w:r w:rsidRPr="00C454A1">
        <w:rPr>
          <w:color w:val="000000" w:themeColor="text1"/>
          <w:lang w:eastAsia="es-ES"/>
        </w:rPr>
        <w:t xml:space="preserve">Por otra parte, el </w:t>
      </w:r>
      <w:r w:rsidR="007525E1" w:rsidRPr="00C454A1">
        <w:rPr>
          <w:color w:val="000000" w:themeColor="text1"/>
          <w:lang w:eastAsia="es-ES"/>
        </w:rPr>
        <w:t>Gobierno nacional</w:t>
      </w:r>
      <w:r w:rsidRPr="00C454A1">
        <w:rPr>
          <w:color w:val="000000" w:themeColor="text1"/>
          <w:lang w:eastAsia="es-ES"/>
        </w:rPr>
        <w:t xml:space="preserve"> incurrió en un error manifiesto de apreciación al calificar como extraordinarios los siguientes hechos: (a) la presencia de </w:t>
      </w:r>
      <w:r w:rsidR="00EE77DF" w:rsidRPr="00C454A1">
        <w:rPr>
          <w:color w:val="000000" w:themeColor="text1"/>
          <w:lang w:eastAsia="es-ES"/>
        </w:rPr>
        <w:t>GAO</w:t>
      </w:r>
      <w:r w:rsidRPr="00C454A1">
        <w:rPr>
          <w:color w:val="000000" w:themeColor="text1"/>
          <w:lang w:eastAsia="es-ES"/>
        </w:rPr>
        <w:t xml:space="preserve"> en la región del Catatumbo, (b) la concentración y el incremento de cultivos ilícitos, (c) las deficiencias y los incumplimientos en la implementación del PNIS, (d) las necesidades básicas insatisfechas de la población del Catatumbo por la insuficiencia en la política social y la precaria institucionalidad, y (e) los daños a la infraestructura energética y vial, así como las afectaciones a las operaciones del sector de hidrocarburos. Lo anterior</w:t>
      </w:r>
      <w:r w:rsidR="000873C4" w:rsidRPr="00C454A1">
        <w:rPr>
          <w:color w:val="000000" w:themeColor="text1"/>
          <w:lang w:eastAsia="es-ES"/>
        </w:rPr>
        <w:t xml:space="preserve"> se</w:t>
      </w:r>
      <w:r w:rsidRPr="00C454A1">
        <w:rPr>
          <w:color w:val="000000" w:themeColor="text1"/>
          <w:lang w:eastAsia="es-ES"/>
        </w:rPr>
        <w:t xml:space="preserve"> deb</w:t>
      </w:r>
      <w:r w:rsidR="000873C4" w:rsidRPr="00C454A1">
        <w:rPr>
          <w:color w:val="000000" w:themeColor="text1"/>
          <w:lang w:eastAsia="es-ES"/>
        </w:rPr>
        <w:t>e</w:t>
      </w:r>
      <w:r w:rsidRPr="00C454A1">
        <w:rPr>
          <w:color w:val="000000" w:themeColor="text1"/>
          <w:lang w:eastAsia="es-ES"/>
        </w:rPr>
        <w:t xml:space="preserve"> a que estos hechos son manifestaciones de problemáticas estructurales, endémicas y crónicas que, conforme a la Constitución Política, la LEEE y la jurisprudencia constitucional, “no autoriza</w:t>
      </w:r>
      <w:r w:rsidR="000873C4" w:rsidRPr="00C454A1">
        <w:rPr>
          <w:color w:val="000000" w:themeColor="text1"/>
          <w:lang w:eastAsia="es-ES"/>
        </w:rPr>
        <w:t>n</w:t>
      </w:r>
      <w:r w:rsidRPr="00C454A1">
        <w:rPr>
          <w:color w:val="000000" w:themeColor="text1"/>
          <w:lang w:eastAsia="es-ES"/>
        </w:rPr>
        <w:t xml:space="preserve"> la declaratoria del estado de excepción”</w:t>
      </w:r>
      <w:r w:rsidRPr="00C454A1">
        <w:rPr>
          <w:color w:val="000000" w:themeColor="text1"/>
          <w:vertAlign w:val="superscript"/>
          <w:lang w:eastAsia="es-ES"/>
        </w:rPr>
        <w:footnoteReference w:id="368"/>
      </w:r>
      <w:r w:rsidRPr="00C454A1">
        <w:rPr>
          <w:color w:val="000000" w:themeColor="text1"/>
          <w:lang w:eastAsia="es-ES"/>
        </w:rPr>
        <w:t xml:space="preserve">. Las medidas para resolver estas problemáticas deben adoptarse por medio de las instituciones que garantizan la deliberación democrática suficiente y en el marco del régimen constitucional de normalidad, no a través del derecho de excepción. </w:t>
      </w:r>
    </w:p>
    <w:p w14:paraId="7DAE3B80" w14:textId="77777777" w:rsidR="000339C5" w:rsidRPr="00C454A1" w:rsidRDefault="000339C5" w:rsidP="00631C27">
      <w:pPr>
        <w:rPr>
          <w:b/>
          <w:bCs/>
          <w:color w:val="000000" w:themeColor="text1"/>
          <w:lang w:eastAsia="es-ES"/>
        </w:rPr>
      </w:pPr>
    </w:p>
    <w:p w14:paraId="734BA3B5" w14:textId="42999FB7" w:rsidR="00950ED9" w:rsidRPr="00C454A1" w:rsidRDefault="00954BA3" w:rsidP="001C693F">
      <w:pPr>
        <w:pStyle w:val="Prrafodelista"/>
        <w:widowControl w:val="0"/>
        <w:numPr>
          <w:ilvl w:val="2"/>
          <w:numId w:val="3"/>
        </w:numPr>
        <w:ind w:left="567"/>
        <w:outlineLvl w:val="0"/>
        <w:rPr>
          <w:b/>
          <w:bCs/>
          <w:color w:val="000000" w:themeColor="text1"/>
          <w:lang w:eastAsia="es-ES"/>
        </w:rPr>
      </w:pPr>
      <w:bookmarkStart w:id="198" w:name="_Toc223979954"/>
      <w:r w:rsidRPr="00C454A1">
        <w:rPr>
          <w:b/>
          <w:bCs/>
          <w:color w:val="000000" w:themeColor="text1"/>
          <w:lang w:eastAsia="es-ES"/>
        </w:rPr>
        <w:t xml:space="preserve">Afectación </w:t>
      </w:r>
      <w:r w:rsidRPr="00C454A1">
        <w:rPr>
          <w:b/>
          <w:bCs/>
          <w:i/>
          <w:iCs/>
          <w:color w:val="000000" w:themeColor="text1"/>
          <w:lang w:eastAsia="es-ES"/>
        </w:rPr>
        <w:t>inminente</w:t>
      </w:r>
      <w:r w:rsidRPr="00C454A1">
        <w:rPr>
          <w:b/>
          <w:bCs/>
          <w:color w:val="000000" w:themeColor="text1"/>
          <w:lang w:eastAsia="es-ES"/>
        </w:rPr>
        <w:t xml:space="preserve"> a la estabilidad institucional, la seguridad del Estado o a la convivencia ciudadana</w:t>
      </w:r>
      <w:bookmarkEnd w:id="198"/>
    </w:p>
    <w:p w14:paraId="21E9B696" w14:textId="77777777" w:rsidR="00B77090" w:rsidRPr="00C454A1" w:rsidRDefault="00B77090" w:rsidP="00631C27">
      <w:pPr>
        <w:rPr>
          <w:color w:val="000000" w:themeColor="text1"/>
          <w:lang w:eastAsia="es-ES"/>
        </w:rPr>
      </w:pPr>
    </w:p>
    <w:p w14:paraId="60657047" w14:textId="2427F0A1" w:rsidR="00B77090" w:rsidRPr="00C454A1" w:rsidRDefault="00F315B7" w:rsidP="00321FAF">
      <w:pPr>
        <w:numPr>
          <w:ilvl w:val="0"/>
          <w:numId w:val="2"/>
        </w:numPr>
        <w:ind w:left="0" w:firstLine="0"/>
        <w:rPr>
          <w:color w:val="000000" w:themeColor="text1"/>
          <w:lang w:eastAsia="es-ES"/>
        </w:rPr>
      </w:pPr>
      <w:bookmarkStart w:id="199" w:name="_Ref198033143"/>
      <w:r w:rsidRPr="00C454A1">
        <w:rPr>
          <w:color w:val="000000" w:themeColor="text1"/>
          <w:lang w:eastAsia="es-ES"/>
        </w:rPr>
        <w:t xml:space="preserve">Como se indicó en el fundamento </w:t>
      </w:r>
      <w:r w:rsidR="008A6774" w:rsidRPr="00C454A1">
        <w:rPr>
          <w:color w:val="000000" w:themeColor="text1"/>
          <w:lang w:eastAsia="es-ES"/>
        </w:rPr>
        <w:fldChar w:fldCharType="begin"/>
      </w:r>
      <w:r w:rsidR="008A6774" w:rsidRPr="00C454A1">
        <w:rPr>
          <w:color w:val="000000" w:themeColor="text1"/>
          <w:lang w:eastAsia="es-ES"/>
        </w:rPr>
        <w:instrText xml:space="preserve"> REF _Ref203395838 \r \h </w:instrText>
      </w:r>
      <w:r w:rsidR="00DD0E75" w:rsidRPr="00C454A1">
        <w:rPr>
          <w:color w:val="000000" w:themeColor="text1"/>
          <w:lang w:eastAsia="es-ES"/>
        </w:rPr>
        <w:instrText xml:space="preserve"> \* MERGEFORMAT </w:instrText>
      </w:r>
      <w:r w:rsidR="008A6774" w:rsidRPr="00C454A1">
        <w:rPr>
          <w:color w:val="000000" w:themeColor="text1"/>
          <w:lang w:eastAsia="es-ES"/>
        </w:rPr>
      </w:r>
      <w:r w:rsidR="008A6774" w:rsidRPr="00C454A1">
        <w:rPr>
          <w:color w:val="000000" w:themeColor="text1"/>
          <w:lang w:eastAsia="es-ES"/>
        </w:rPr>
        <w:fldChar w:fldCharType="separate"/>
      </w:r>
      <w:r w:rsidR="00881E6A">
        <w:rPr>
          <w:color w:val="000000" w:themeColor="text1"/>
          <w:lang w:eastAsia="es-ES"/>
        </w:rPr>
        <w:t>80</w:t>
      </w:r>
      <w:r w:rsidR="008A6774" w:rsidRPr="00C454A1">
        <w:rPr>
          <w:color w:val="000000" w:themeColor="text1"/>
          <w:lang w:eastAsia="es-ES"/>
        </w:rPr>
        <w:fldChar w:fldCharType="end"/>
      </w:r>
      <w:r w:rsidRPr="00C454A1">
        <w:rPr>
          <w:color w:val="000000" w:themeColor="text1"/>
          <w:lang w:eastAsia="es-ES"/>
        </w:rPr>
        <w:t>, l</w:t>
      </w:r>
      <w:r w:rsidR="00B77090" w:rsidRPr="00C454A1">
        <w:rPr>
          <w:color w:val="000000" w:themeColor="text1"/>
          <w:lang w:eastAsia="es-ES"/>
        </w:rPr>
        <w:t xml:space="preserve">os artículos 213 de la Constitución Política y 34 de la LEEE exigen que el </w:t>
      </w:r>
      <w:r w:rsidR="00EC6A9B" w:rsidRPr="00C454A1">
        <w:rPr>
          <w:color w:val="000000" w:themeColor="text1"/>
          <w:lang w:eastAsia="es-ES"/>
        </w:rPr>
        <w:t>presidente</w:t>
      </w:r>
      <w:r w:rsidR="00B77090" w:rsidRPr="00C454A1">
        <w:rPr>
          <w:color w:val="000000" w:themeColor="text1"/>
          <w:lang w:eastAsia="es-ES"/>
        </w:rPr>
        <w:t xml:space="preserve"> de la República demuestre que la perturbación del orden público, además de ser grave y extraordinaria, atenta de forma “inminente” contra: (i) “la estabilidad institucional”, (ii) “la seguridad del Estado”, “</w:t>
      </w:r>
      <w:r w:rsidR="00B77090" w:rsidRPr="00C454A1">
        <w:rPr>
          <w:i/>
          <w:iCs/>
          <w:color w:val="000000" w:themeColor="text1"/>
          <w:u w:val="single"/>
          <w:lang w:eastAsia="es-ES"/>
        </w:rPr>
        <w:t>o</w:t>
      </w:r>
      <w:r w:rsidR="00B77090" w:rsidRPr="00C454A1">
        <w:rPr>
          <w:color w:val="000000" w:themeColor="text1"/>
          <w:lang w:eastAsia="es-ES"/>
        </w:rPr>
        <w:t>” (iii) la convivencia ciudadana. La conjunción disyuntiva “o” denota carácter alternativo, por lo que basta con que la grave alteración del orden público atente contra uno de esos tres ámbitos</w:t>
      </w:r>
      <w:r w:rsidR="00B77090" w:rsidRPr="00C454A1">
        <w:rPr>
          <w:color w:val="000000" w:themeColor="text1"/>
          <w:vertAlign w:val="superscript"/>
          <w:lang w:eastAsia="es-ES"/>
        </w:rPr>
        <w:footnoteReference w:id="369"/>
      </w:r>
      <w:r w:rsidR="00B77090" w:rsidRPr="00C454A1">
        <w:rPr>
          <w:color w:val="000000" w:themeColor="text1"/>
          <w:lang w:eastAsia="es-ES"/>
        </w:rPr>
        <w:t>. El carácter “inminente” significa que la afectación está “por suceder prontamente”</w:t>
      </w:r>
      <w:r w:rsidR="00B77090" w:rsidRPr="00C454A1">
        <w:rPr>
          <w:color w:val="000000" w:themeColor="text1"/>
          <w:vertAlign w:val="superscript"/>
          <w:lang w:eastAsia="es-ES"/>
        </w:rPr>
        <w:footnoteReference w:id="370"/>
      </w:r>
      <w:r w:rsidR="00B77090" w:rsidRPr="00C454A1">
        <w:rPr>
          <w:color w:val="000000" w:themeColor="text1"/>
          <w:lang w:eastAsia="es-ES"/>
        </w:rPr>
        <w:t xml:space="preserve"> y tiene la “virtualidad de (…) poner en serio peligro, de amenazar [o] de generar un riesgo efectivo”</w:t>
      </w:r>
      <w:r w:rsidR="00B77090" w:rsidRPr="00C454A1">
        <w:rPr>
          <w:color w:val="000000" w:themeColor="text1"/>
          <w:vertAlign w:val="superscript"/>
          <w:lang w:eastAsia="es-ES"/>
        </w:rPr>
        <w:footnoteReference w:id="371"/>
      </w:r>
      <w:r w:rsidR="00B77090" w:rsidRPr="00C454A1">
        <w:rPr>
          <w:color w:val="000000" w:themeColor="text1"/>
          <w:lang w:eastAsia="es-ES"/>
        </w:rPr>
        <w:t>. El peligro “eventual o remoto no habilita la declaratoria del Estado de Conmoción Interior</w:t>
      </w:r>
      <w:r w:rsidR="00B77090" w:rsidRPr="00C454A1">
        <w:rPr>
          <w:color w:val="000000" w:themeColor="text1"/>
          <w:vertAlign w:val="superscript"/>
          <w:lang w:eastAsia="es-ES"/>
        </w:rPr>
        <w:footnoteReference w:id="372"/>
      </w:r>
      <w:r w:rsidR="00B77090" w:rsidRPr="00C454A1">
        <w:rPr>
          <w:color w:val="000000" w:themeColor="text1"/>
          <w:lang w:eastAsia="es-ES"/>
        </w:rPr>
        <w:t>.</w:t>
      </w:r>
      <w:bookmarkEnd w:id="199"/>
    </w:p>
    <w:p w14:paraId="74C5F0FD" w14:textId="77777777" w:rsidR="00B77090" w:rsidRPr="00C454A1" w:rsidRDefault="00B77090" w:rsidP="00631C27">
      <w:pPr>
        <w:rPr>
          <w:color w:val="000000" w:themeColor="text1"/>
          <w:lang w:eastAsia="es-ES"/>
        </w:rPr>
      </w:pPr>
    </w:p>
    <w:p w14:paraId="40AA6A5F" w14:textId="061B2A40" w:rsidR="00680DAF" w:rsidRPr="00C454A1" w:rsidRDefault="00620EF3" w:rsidP="00321FAF">
      <w:pPr>
        <w:numPr>
          <w:ilvl w:val="0"/>
          <w:numId w:val="2"/>
        </w:numPr>
        <w:ind w:left="0" w:firstLine="0"/>
        <w:rPr>
          <w:color w:val="000000" w:themeColor="text1"/>
          <w:lang w:eastAsia="es-ES"/>
        </w:rPr>
      </w:pPr>
      <w:r w:rsidRPr="00C454A1">
        <w:rPr>
          <w:color w:val="000000" w:themeColor="text1"/>
          <w:lang w:eastAsia="es-ES"/>
        </w:rPr>
        <w:t xml:space="preserve">De la justificación que el Decreto Legislativo 62 de 2025 formula en el acápite II sobre el presupuesto valorativo y las pruebas allegadas al expediente, se desprende que la alteración del orden público derivada de </w:t>
      </w:r>
      <w:r w:rsidR="00F239AC" w:rsidRPr="00C454A1">
        <w:rPr>
          <w:rFonts w:cs="Times New Roman"/>
          <w:color w:val="000000" w:themeColor="text1"/>
          <w:szCs w:val="28"/>
          <w:bdr w:val="none" w:sz="0" w:space="0" w:color="auto" w:frame="1"/>
        </w:rPr>
        <w:t xml:space="preserve">(i) la intensificación de los enfrentamientos entre el ELN y otros </w:t>
      </w:r>
      <w:r w:rsidR="00EE77DF" w:rsidRPr="00C454A1">
        <w:rPr>
          <w:rFonts w:cs="Times New Roman"/>
          <w:color w:val="000000" w:themeColor="text1"/>
          <w:szCs w:val="28"/>
          <w:bdr w:val="none" w:sz="0" w:space="0" w:color="auto" w:frame="1"/>
        </w:rPr>
        <w:t>GAO</w:t>
      </w:r>
      <w:r w:rsidR="00F239AC" w:rsidRPr="00C454A1">
        <w:rPr>
          <w:rFonts w:cs="Times New Roman"/>
          <w:color w:val="000000" w:themeColor="text1"/>
          <w:szCs w:val="28"/>
          <w:bdr w:val="none" w:sz="0" w:space="0" w:color="auto" w:frame="1"/>
        </w:rPr>
        <w:t xml:space="preserve">, así como los ataques y hostilidades dirigidos de forma indiscriminada contra la población civil y los firmantes del </w:t>
      </w:r>
      <w:r w:rsidR="005F389C" w:rsidRPr="00C454A1">
        <w:rPr>
          <w:rFonts w:cs="Times New Roman"/>
          <w:color w:val="000000" w:themeColor="text1"/>
          <w:szCs w:val="28"/>
          <w:bdr w:val="none" w:sz="0" w:space="0" w:color="auto" w:frame="1"/>
        </w:rPr>
        <w:t>AFP</w:t>
      </w:r>
      <w:r w:rsidR="00F239AC" w:rsidRPr="00C454A1">
        <w:rPr>
          <w:rFonts w:cs="Times New Roman"/>
          <w:color w:val="000000" w:themeColor="text1"/>
          <w:szCs w:val="28"/>
          <w:bdr w:val="none" w:sz="0" w:space="0" w:color="auto" w:frame="1"/>
        </w:rPr>
        <w:t xml:space="preserve"> y (ii) la crisis humanitaria derivada de desplazamientos forzados -internos y transfronterizos- y confinamientos masivos que ha desbordado la capacidad institucional del Estado para atenderla</w:t>
      </w:r>
      <w:r w:rsidRPr="00C454A1">
        <w:rPr>
          <w:color w:val="000000" w:themeColor="text1"/>
          <w:lang w:eastAsia="es-ES"/>
        </w:rPr>
        <w:t xml:space="preserve">, genera afectaciones actuales e inminentes a la convivencia ciudadana, a la seguridad y la estabilidad institucional. </w:t>
      </w:r>
    </w:p>
    <w:p w14:paraId="24810F2A" w14:textId="77777777" w:rsidR="00680DAF" w:rsidRPr="00C454A1" w:rsidRDefault="00680DAF" w:rsidP="00680DAF">
      <w:pPr>
        <w:rPr>
          <w:color w:val="000000" w:themeColor="text1"/>
          <w:lang w:eastAsia="es-ES"/>
        </w:rPr>
      </w:pPr>
    </w:p>
    <w:p w14:paraId="1D91DC2F" w14:textId="2D46F3B5" w:rsidR="00680DAF" w:rsidRPr="00C454A1" w:rsidRDefault="00620EF3" w:rsidP="00321FAF">
      <w:pPr>
        <w:numPr>
          <w:ilvl w:val="0"/>
          <w:numId w:val="2"/>
        </w:numPr>
        <w:ind w:left="0" w:firstLine="0"/>
        <w:rPr>
          <w:color w:val="000000" w:themeColor="text1"/>
          <w:lang w:eastAsia="es-ES"/>
        </w:rPr>
      </w:pPr>
      <w:r w:rsidRPr="00C454A1">
        <w:rPr>
          <w:rFonts w:eastAsia="Times New Roman" w:cs="Times New Roman"/>
          <w:color w:val="000000" w:themeColor="text1"/>
          <w:szCs w:val="28"/>
        </w:rPr>
        <w:t xml:space="preserve">En este punto, la Corte subraya que, al justificar el cumplimiento del presupuesto valorativo en el Decreto 62 de 2025, 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aludió a diversas afectaciones a servicios</w:t>
      </w:r>
      <w:r w:rsidRPr="00C454A1">
        <w:rPr>
          <w:color w:val="000000" w:themeColor="text1"/>
          <w:lang w:eastAsia="es-ES"/>
        </w:rPr>
        <w:t xml:space="preserve"> prestados por el Estado y particulares.  La Corte estudiará entonces las afectaciones mencionadas por el Gobierno a la luz de las tres categorías </w:t>
      </w:r>
      <w:r w:rsidR="00500CFF" w:rsidRPr="00C454A1">
        <w:rPr>
          <w:color w:val="000000" w:themeColor="text1"/>
          <w:lang w:eastAsia="es-ES"/>
        </w:rPr>
        <w:t>d</w:t>
      </w:r>
      <w:r w:rsidRPr="00C454A1">
        <w:rPr>
          <w:color w:val="000000" w:themeColor="text1"/>
          <w:lang w:eastAsia="es-ES"/>
        </w:rPr>
        <w:t xml:space="preserve">el fundamento </w:t>
      </w:r>
      <w:r w:rsidR="00E6583B" w:rsidRPr="00C454A1">
        <w:rPr>
          <w:color w:val="000000" w:themeColor="text1"/>
          <w:lang w:eastAsia="es-ES"/>
        </w:rPr>
        <w:fldChar w:fldCharType="begin"/>
      </w:r>
      <w:r w:rsidR="00E6583B" w:rsidRPr="00C454A1">
        <w:rPr>
          <w:color w:val="000000" w:themeColor="text1"/>
          <w:lang w:eastAsia="es-ES"/>
        </w:rPr>
        <w:instrText xml:space="preserve"> REF _Ref203395838 \r \h </w:instrText>
      </w:r>
      <w:r w:rsidR="009421B8" w:rsidRPr="00C454A1">
        <w:rPr>
          <w:color w:val="000000" w:themeColor="text1"/>
          <w:lang w:eastAsia="es-ES"/>
        </w:rPr>
        <w:instrText xml:space="preserve"> \* MERGEFORMAT </w:instrText>
      </w:r>
      <w:r w:rsidR="00E6583B" w:rsidRPr="00C454A1">
        <w:rPr>
          <w:color w:val="000000" w:themeColor="text1"/>
          <w:lang w:eastAsia="es-ES"/>
        </w:rPr>
      </w:r>
      <w:r w:rsidR="00E6583B" w:rsidRPr="00C454A1">
        <w:rPr>
          <w:color w:val="000000" w:themeColor="text1"/>
          <w:lang w:eastAsia="es-ES"/>
        </w:rPr>
        <w:fldChar w:fldCharType="separate"/>
      </w:r>
      <w:r w:rsidR="00881E6A">
        <w:rPr>
          <w:color w:val="000000" w:themeColor="text1"/>
          <w:lang w:eastAsia="es-ES"/>
        </w:rPr>
        <w:t>80</w:t>
      </w:r>
      <w:r w:rsidR="00E6583B" w:rsidRPr="00C454A1">
        <w:rPr>
          <w:color w:val="000000" w:themeColor="text1"/>
          <w:lang w:eastAsia="es-ES"/>
        </w:rPr>
        <w:fldChar w:fldCharType="end"/>
      </w:r>
      <w:r w:rsidRPr="00C454A1">
        <w:rPr>
          <w:color w:val="000000" w:themeColor="text1"/>
          <w:lang w:eastAsia="es-ES"/>
        </w:rPr>
        <w:t xml:space="preserve">, pues esta es la carga que se requiere para demostrar </w:t>
      </w:r>
      <w:r w:rsidR="00500CFF" w:rsidRPr="00C454A1">
        <w:rPr>
          <w:color w:val="000000" w:themeColor="text1"/>
          <w:lang w:eastAsia="es-ES"/>
        </w:rPr>
        <w:t>el</w:t>
      </w:r>
      <w:r w:rsidRPr="00C454A1">
        <w:rPr>
          <w:color w:val="000000" w:themeColor="text1"/>
          <w:lang w:eastAsia="es-ES"/>
        </w:rPr>
        <w:t xml:space="preserve"> </w:t>
      </w:r>
      <w:r w:rsidR="00500CFF" w:rsidRPr="00C454A1">
        <w:rPr>
          <w:color w:val="000000" w:themeColor="text1"/>
          <w:lang w:eastAsia="es-ES"/>
        </w:rPr>
        <w:t>cumplimiento d</w:t>
      </w:r>
      <w:r w:rsidRPr="00C454A1">
        <w:rPr>
          <w:color w:val="000000" w:themeColor="text1"/>
          <w:lang w:eastAsia="es-ES"/>
        </w:rPr>
        <w:t>el presupuesto valorativo.</w:t>
      </w:r>
    </w:p>
    <w:p w14:paraId="21D3484E" w14:textId="77777777" w:rsidR="005D7E38" w:rsidRPr="00C454A1" w:rsidRDefault="005D7E38" w:rsidP="005D7E38">
      <w:pPr>
        <w:rPr>
          <w:color w:val="000000" w:themeColor="text1"/>
          <w:lang w:eastAsia="es-ES"/>
        </w:rPr>
      </w:pPr>
    </w:p>
    <w:p w14:paraId="7FB8B4BD" w14:textId="35FC1D1A" w:rsidR="00680DAF" w:rsidRPr="00C454A1" w:rsidRDefault="00680DAF" w:rsidP="005F4A6F">
      <w:pPr>
        <w:pStyle w:val="Prrafodelista"/>
        <w:numPr>
          <w:ilvl w:val="0"/>
          <w:numId w:val="18"/>
        </w:numPr>
        <w:rPr>
          <w:rFonts w:eastAsia="Times New Roman" w:cs="Times New Roman"/>
          <w:color w:val="000000" w:themeColor="text1"/>
        </w:rPr>
      </w:pPr>
      <w:r w:rsidRPr="00C454A1">
        <w:rPr>
          <w:b/>
          <w:bCs/>
          <w:color w:val="000000" w:themeColor="text1"/>
          <w:lang w:eastAsia="es-ES"/>
        </w:rPr>
        <w:t>Afectación a la seguridad del Estado y la convivencia ciudadana</w:t>
      </w:r>
    </w:p>
    <w:p w14:paraId="6BFAA34E" w14:textId="77777777" w:rsidR="00680DAF" w:rsidRPr="00C454A1" w:rsidRDefault="00680DAF" w:rsidP="00680DAF">
      <w:pPr>
        <w:rPr>
          <w:color w:val="000000" w:themeColor="text1"/>
          <w:lang w:eastAsia="es-ES"/>
        </w:rPr>
      </w:pPr>
    </w:p>
    <w:p w14:paraId="0957CFDD" w14:textId="09370B42" w:rsidR="00680DAF" w:rsidRPr="00C454A1" w:rsidRDefault="00680DAF" w:rsidP="00321FAF">
      <w:pPr>
        <w:numPr>
          <w:ilvl w:val="0"/>
          <w:numId w:val="2"/>
        </w:numPr>
        <w:ind w:left="0" w:firstLine="0"/>
        <w:rPr>
          <w:color w:val="000000" w:themeColor="text1"/>
          <w:lang w:eastAsia="es-ES"/>
        </w:rPr>
      </w:pPr>
      <w:r w:rsidRPr="00C454A1">
        <w:rPr>
          <w:color w:val="000000" w:themeColor="text1"/>
          <w:lang w:eastAsia="es-ES"/>
        </w:rPr>
        <w:t xml:space="preserve">El DAPRE señaló que la intensificación de los enfrentamientos y de las capacidades de los grupos armados ilegales afecta la seguridad del Estado porque amenaza el control estatal del territorio que, en este caso, es de particular importancia para la soberanía </w:t>
      </w:r>
      <w:r w:rsidR="00E6583B" w:rsidRPr="00C454A1">
        <w:rPr>
          <w:color w:val="000000" w:themeColor="text1"/>
          <w:lang w:eastAsia="es-ES"/>
        </w:rPr>
        <w:t xml:space="preserve">nacional </w:t>
      </w:r>
      <w:r w:rsidRPr="00C454A1">
        <w:rPr>
          <w:color w:val="000000" w:themeColor="text1"/>
          <w:lang w:eastAsia="es-ES"/>
        </w:rPr>
        <w:t xml:space="preserve">porque se trata de una zona de frontera por la cual pueden entrar migrantes, armas y combatientes. Asimismo, la situación descrita en el presupuesto fáctico afecta la convivencia ciudadana </w:t>
      </w:r>
      <w:r w:rsidRPr="00C454A1">
        <w:rPr>
          <w:color w:val="000000" w:themeColor="text1"/>
          <w:lang w:eastAsia="es-ES"/>
        </w:rPr>
        <w:lastRenderedPageBreak/>
        <w:t xml:space="preserve">porque los enfrentamientos </w:t>
      </w:r>
      <w:r w:rsidRPr="00C454A1">
        <w:rPr>
          <w:rFonts w:eastAsia="Times New Roman" w:cs="Times New Roman"/>
          <w:color w:val="000000" w:themeColor="text1"/>
        </w:rPr>
        <w:t>“generaron una situación de permanente zozobra, miedo e inseguridad, afectando la vida cotidiana de la población y el ejercicio de derechos y libertades”</w:t>
      </w:r>
      <w:r w:rsidRPr="00C454A1">
        <w:rPr>
          <w:rStyle w:val="Refdenotaalpie"/>
          <w:rFonts w:eastAsia="Times New Roman" w:cs="Times New Roman"/>
          <w:color w:val="000000" w:themeColor="text1"/>
        </w:rPr>
        <w:footnoteReference w:id="373"/>
      </w:r>
      <w:r w:rsidRPr="00C454A1">
        <w:rPr>
          <w:rFonts w:eastAsia="Times New Roman" w:cs="Times New Roman"/>
          <w:color w:val="000000" w:themeColor="text1"/>
        </w:rPr>
        <w:t xml:space="preserve">. </w:t>
      </w:r>
    </w:p>
    <w:p w14:paraId="08CE13C0" w14:textId="77777777" w:rsidR="00680DAF" w:rsidRPr="00C454A1" w:rsidRDefault="00680DAF" w:rsidP="00680DAF">
      <w:pPr>
        <w:rPr>
          <w:color w:val="000000" w:themeColor="text1"/>
          <w:lang w:eastAsia="es-ES"/>
        </w:rPr>
      </w:pPr>
    </w:p>
    <w:p w14:paraId="64D864A5" w14:textId="755E35D9" w:rsidR="00680DAF" w:rsidRPr="00C454A1" w:rsidRDefault="00680DAF" w:rsidP="00321FAF">
      <w:pPr>
        <w:numPr>
          <w:ilvl w:val="0"/>
          <w:numId w:val="2"/>
        </w:numPr>
        <w:ind w:left="0" w:firstLine="0"/>
        <w:rPr>
          <w:color w:val="000000" w:themeColor="text1"/>
          <w:lang w:eastAsia="es-ES"/>
        </w:rPr>
      </w:pPr>
      <w:r w:rsidRPr="00C454A1">
        <w:rPr>
          <w:color w:val="000000" w:themeColor="text1"/>
          <w:lang w:eastAsia="es-ES"/>
        </w:rPr>
        <w:t xml:space="preserve">Para la Corte, en este caso hay una afectación inminente a la seguridad del Estado y </w:t>
      </w:r>
      <w:r w:rsidR="00500CFF" w:rsidRPr="00C454A1">
        <w:rPr>
          <w:color w:val="000000" w:themeColor="text1"/>
          <w:lang w:eastAsia="es-ES"/>
        </w:rPr>
        <w:t xml:space="preserve">a </w:t>
      </w:r>
      <w:r w:rsidRPr="00C454A1">
        <w:rPr>
          <w:color w:val="000000" w:themeColor="text1"/>
          <w:lang w:eastAsia="es-ES"/>
        </w:rPr>
        <w:t xml:space="preserve">la convivencia ciudadana que proviene directamente de la magnitud de los enfrentamientos </w:t>
      </w:r>
      <w:r w:rsidR="00500CFF" w:rsidRPr="00C454A1">
        <w:rPr>
          <w:color w:val="000000" w:themeColor="text1"/>
          <w:lang w:eastAsia="es-ES"/>
        </w:rPr>
        <w:t>ocurridos</w:t>
      </w:r>
      <w:r w:rsidRPr="00C454A1">
        <w:rPr>
          <w:color w:val="000000" w:themeColor="text1"/>
          <w:lang w:eastAsia="es-ES"/>
        </w:rPr>
        <w:t xml:space="preserve"> en el Catatumbo y</w:t>
      </w:r>
      <w:r w:rsidR="00500CFF" w:rsidRPr="00C454A1">
        <w:rPr>
          <w:color w:val="000000" w:themeColor="text1"/>
          <w:lang w:eastAsia="es-ES"/>
        </w:rPr>
        <w:t xml:space="preserve"> de</w:t>
      </w:r>
      <w:r w:rsidRPr="00C454A1">
        <w:rPr>
          <w:color w:val="000000" w:themeColor="text1"/>
          <w:lang w:eastAsia="es-ES"/>
        </w:rPr>
        <w:t xml:space="preserve"> la crisis humanitaria desatada por ellos. Esto significa que las afectaciones a la seguridad del Estado y la convivencia ciudadana están relacionadas entre sí, pues el riesgo que existe sobre la seguridad de las instituciones estatales impacta su capacidad de proteger a los ciudadanos. </w:t>
      </w:r>
    </w:p>
    <w:p w14:paraId="5C99FB1C" w14:textId="77777777" w:rsidR="00680DAF" w:rsidRPr="00C454A1" w:rsidRDefault="00680DAF" w:rsidP="00680DAF">
      <w:pPr>
        <w:pStyle w:val="Prrafodelista"/>
        <w:rPr>
          <w:color w:val="000000" w:themeColor="text1"/>
          <w:lang w:eastAsia="es-ES"/>
        </w:rPr>
      </w:pPr>
    </w:p>
    <w:p w14:paraId="1A4353F7" w14:textId="46BBFDC2" w:rsidR="00680DAF" w:rsidRPr="00C454A1" w:rsidRDefault="00680DAF" w:rsidP="00321FAF">
      <w:pPr>
        <w:numPr>
          <w:ilvl w:val="0"/>
          <w:numId w:val="2"/>
        </w:numPr>
        <w:ind w:left="0" w:firstLine="0"/>
        <w:rPr>
          <w:color w:val="000000" w:themeColor="text1"/>
          <w:lang w:eastAsia="es-ES"/>
        </w:rPr>
      </w:pPr>
      <w:r w:rsidRPr="00C454A1">
        <w:rPr>
          <w:color w:val="000000" w:themeColor="text1"/>
          <w:lang w:eastAsia="es-ES"/>
        </w:rPr>
        <w:t xml:space="preserve">Por una parte, la amenaza inminente a la seguridad del Estado proviene del grado extraordinario de la capacidad delictiva del ELN y otros </w:t>
      </w:r>
      <w:r w:rsidR="00EE77DF" w:rsidRPr="00C454A1">
        <w:rPr>
          <w:color w:val="000000" w:themeColor="text1"/>
          <w:lang w:eastAsia="es-ES"/>
        </w:rPr>
        <w:t>GAO</w:t>
      </w:r>
      <w:r w:rsidRPr="00C454A1">
        <w:rPr>
          <w:color w:val="000000" w:themeColor="text1"/>
          <w:lang w:eastAsia="es-ES"/>
        </w:rPr>
        <w:t xml:space="preserve"> que se registró al estudiar dicho componente del presupuesto valorativo. En otras palabras, la posibilidad de que el Estado no pueda responder a la escalada de violencia y garantizar la seguridad de los habitantes es un riesgo inminente, que se complementa</w:t>
      </w:r>
      <w:r w:rsidR="00AD355C" w:rsidRPr="00C454A1">
        <w:rPr>
          <w:color w:val="000000" w:themeColor="text1"/>
          <w:lang w:eastAsia="es-ES"/>
        </w:rPr>
        <w:t>,</w:t>
      </w:r>
      <w:r w:rsidRPr="00C454A1">
        <w:rPr>
          <w:color w:val="000000" w:themeColor="text1"/>
          <w:lang w:eastAsia="es-ES"/>
        </w:rPr>
        <w:t xml:space="preserve"> además</w:t>
      </w:r>
      <w:r w:rsidR="00AD355C" w:rsidRPr="00C454A1">
        <w:rPr>
          <w:color w:val="000000" w:themeColor="text1"/>
          <w:lang w:eastAsia="es-ES"/>
        </w:rPr>
        <w:t>,</w:t>
      </w:r>
      <w:r w:rsidRPr="00C454A1">
        <w:rPr>
          <w:color w:val="000000" w:themeColor="text1"/>
          <w:lang w:eastAsia="es-ES"/>
        </w:rPr>
        <w:t xml:space="preserve"> </w:t>
      </w:r>
      <w:r w:rsidR="00AD355C" w:rsidRPr="00C454A1">
        <w:rPr>
          <w:color w:val="000000" w:themeColor="text1"/>
          <w:lang w:eastAsia="es-ES"/>
        </w:rPr>
        <w:t>con</w:t>
      </w:r>
      <w:r w:rsidRPr="00C454A1">
        <w:rPr>
          <w:color w:val="000000" w:themeColor="text1"/>
          <w:lang w:eastAsia="es-ES"/>
        </w:rPr>
        <w:t xml:space="preserve"> la particular afectación a la seguridad de las autoridades locales y servidores públicos en la zona</w:t>
      </w:r>
      <w:r w:rsidRPr="00C454A1">
        <w:rPr>
          <w:rStyle w:val="Refdenotaalpie"/>
          <w:color w:val="000000" w:themeColor="text1"/>
          <w:lang w:eastAsia="es-ES"/>
        </w:rPr>
        <w:footnoteReference w:id="374"/>
      </w:r>
      <w:r w:rsidRPr="00C454A1">
        <w:rPr>
          <w:color w:val="000000" w:themeColor="text1"/>
          <w:lang w:eastAsia="es-ES"/>
        </w:rPr>
        <w:t>. Por otra parte, los datos sobre el escalamiento del conflicto armado que se relacionaron en los fundamentos</w:t>
      </w:r>
      <w:r w:rsidR="00E6583B" w:rsidRPr="00C454A1">
        <w:rPr>
          <w:color w:val="000000" w:themeColor="text1"/>
          <w:lang w:eastAsia="es-ES"/>
        </w:rPr>
        <w:t xml:space="preserve"> </w:t>
      </w:r>
      <w:r w:rsidR="00E6583B" w:rsidRPr="00C454A1">
        <w:rPr>
          <w:color w:val="000000" w:themeColor="text1"/>
          <w:lang w:eastAsia="es-ES"/>
        </w:rPr>
        <w:fldChar w:fldCharType="begin"/>
      </w:r>
      <w:r w:rsidR="00E6583B" w:rsidRPr="00C454A1">
        <w:rPr>
          <w:color w:val="000000" w:themeColor="text1"/>
          <w:lang w:eastAsia="es-ES"/>
        </w:rPr>
        <w:instrText xml:space="preserve"> REF _Ref198036184 \r \h </w:instrText>
      </w:r>
      <w:r w:rsidR="009421B8" w:rsidRPr="00C454A1">
        <w:rPr>
          <w:color w:val="000000" w:themeColor="text1"/>
          <w:lang w:eastAsia="es-ES"/>
        </w:rPr>
        <w:instrText xml:space="preserve"> \* MERGEFORMAT </w:instrText>
      </w:r>
      <w:r w:rsidR="00E6583B" w:rsidRPr="00C454A1">
        <w:rPr>
          <w:color w:val="000000" w:themeColor="text1"/>
          <w:lang w:eastAsia="es-ES"/>
        </w:rPr>
      </w:r>
      <w:r w:rsidR="00E6583B" w:rsidRPr="00C454A1">
        <w:rPr>
          <w:color w:val="000000" w:themeColor="text1"/>
          <w:lang w:eastAsia="es-ES"/>
        </w:rPr>
        <w:fldChar w:fldCharType="separate"/>
      </w:r>
      <w:r w:rsidR="00881E6A">
        <w:rPr>
          <w:color w:val="000000" w:themeColor="text1"/>
          <w:lang w:eastAsia="es-ES"/>
        </w:rPr>
        <w:t>243</w:t>
      </w:r>
      <w:r w:rsidR="00E6583B" w:rsidRPr="00C454A1">
        <w:rPr>
          <w:color w:val="000000" w:themeColor="text1"/>
          <w:lang w:eastAsia="es-ES"/>
        </w:rPr>
        <w:fldChar w:fldCharType="end"/>
      </w:r>
      <w:r w:rsidR="00E6583B" w:rsidRPr="00C454A1">
        <w:rPr>
          <w:color w:val="000000" w:themeColor="text1"/>
          <w:lang w:eastAsia="es-ES"/>
        </w:rPr>
        <w:t xml:space="preserve"> </w:t>
      </w:r>
      <w:r w:rsidRPr="00C454A1">
        <w:rPr>
          <w:color w:val="000000" w:themeColor="text1"/>
          <w:lang w:eastAsia="es-ES"/>
        </w:rPr>
        <w:t>a</w:t>
      </w:r>
      <w:r w:rsidR="00C908A9" w:rsidRPr="00C454A1">
        <w:rPr>
          <w:color w:val="000000" w:themeColor="text1"/>
          <w:lang w:eastAsia="es-ES"/>
        </w:rPr>
        <w:t xml:space="preserve"> </w:t>
      </w:r>
      <w:r w:rsidR="00C908A9" w:rsidRPr="00C454A1">
        <w:rPr>
          <w:color w:val="000000" w:themeColor="text1"/>
          <w:lang w:eastAsia="es-ES"/>
        </w:rPr>
        <w:fldChar w:fldCharType="begin"/>
      </w:r>
      <w:r w:rsidR="00C908A9" w:rsidRPr="00C454A1">
        <w:rPr>
          <w:color w:val="000000" w:themeColor="text1"/>
          <w:lang w:eastAsia="es-ES"/>
        </w:rPr>
        <w:instrText xml:space="preserve"> REF _Ref203396298 \r \h </w:instrText>
      </w:r>
      <w:r w:rsidR="009421B8" w:rsidRPr="00C454A1">
        <w:rPr>
          <w:color w:val="000000" w:themeColor="text1"/>
          <w:lang w:eastAsia="es-ES"/>
        </w:rPr>
        <w:instrText xml:space="preserve"> \* MERGEFORMAT </w:instrText>
      </w:r>
      <w:r w:rsidR="00C908A9" w:rsidRPr="00C454A1">
        <w:rPr>
          <w:color w:val="000000" w:themeColor="text1"/>
          <w:lang w:eastAsia="es-ES"/>
        </w:rPr>
      </w:r>
      <w:r w:rsidR="00C908A9" w:rsidRPr="00C454A1">
        <w:rPr>
          <w:color w:val="000000" w:themeColor="text1"/>
          <w:lang w:eastAsia="es-ES"/>
        </w:rPr>
        <w:fldChar w:fldCharType="separate"/>
      </w:r>
      <w:r w:rsidR="00881E6A">
        <w:rPr>
          <w:color w:val="000000" w:themeColor="text1"/>
          <w:lang w:eastAsia="es-ES"/>
        </w:rPr>
        <w:t>258</w:t>
      </w:r>
      <w:r w:rsidR="00C908A9" w:rsidRPr="00C454A1">
        <w:rPr>
          <w:color w:val="000000" w:themeColor="text1"/>
          <w:lang w:eastAsia="es-ES"/>
        </w:rPr>
        <w:fldChar w:fldCharType="end"/>
      </w:r>
      <w:r w:rsidR="00C908A9" w:rsidRPr="00C454A1">
        <w:rPr>
          <w:color w:val="000000" w:themeColor="text1"/>
          <w:lang w:eastAsia="es-ES"/>
        </w:rPr>
        <w:t xml:space="preserve"> </w:t>
      </w:r>
      <w:r w:rsidRPr="00C454A1">
        <w:rPr>
          <w:color w:val="000000" w:themeColor="text1"/>
          <w:lang w:eastAsia="es-ES"/>
        </w:rPr>
        <w:t>de esta sentencia muestran que la perturbación del orden público en este caso ha afectado especialmente a la población civil. La consecuencia de este hecho es que los enfrentamientos no solo impactan la seguridad estatal en abstracto, sino que se traducen en una violación generalizada de los derechos de la población civil que resulta atrapada en las confrontaciones armadas y que recibe sus efectos –como los desplazamientos masivos y confinamientos–. En este sentido, son los ciudadanos quienes están recibiendo la mayor parte de los impactos de la escalada de violencia que el Estado no ha podido conjurar.</w:t>
      </w:r>
    </w:p>
    <w:p w14:paraId="23F8E8B3" w14:textId="77777777" w:rsidR="00680DAF" w:rsidRPr="00C454A1" w:rsidRDefault="00680DAF" w:rsidP="00680DAF">
      <w:pPr>
        <w:rPr>
          <w:color w:val="000000" w:themeColor="text1"/>
          <w:lang w:eastAsia="es-ES"/>
        </w:rPr>
      </w:pPr>
    </w:p>
    <w:p w14:paraId="1F03D6D3" w14:textId="020780E3" w:rsidR="00680DAF" w:rsidRPr="00C454A1" w:rsidRDefault="00680DAF" w:rsidP="005F4A6F">
      <w:pPr>
        <w:pStyle w:val="Prrafodelista"/>
        <w:numPr>
          <w:ilvl w:val="0"/>
          <w:numId w:val="18"/>
        </w:numPr>
        <w:rPr>
          <w:color w:val="000000" w:themeColor="text1"/>
          <w:lang w:eastAsia="es-ES"/>
        </w:rPr>
      </w:pPr>
      <w:r w:rsidRPr="00C454A1">
        <w:rPr>
          <w:b/>
          <w:bCs/>
          <w:color w:val="000000" w:themeColor="text1"/>
          <w:lang w:eastAsia="es-ES"/>
        </w:rPr>
        <w:t xml:space="preserve"> Afectación a la estabilidad institucional</w:t>
      </w:r>
    </w:p>
    <w:p w14:paraId="71550E2D" w14:textId="77777777" w:rsidR="00680DAF" w:rsidRPr="00C454A1" w:rsidRDefault="00680DAF" w:rsidP="00680DAF">
      <w:pPr>
        <w:rPr>
          <w:color w:val="000000" w:themeColor="text1"/>
          <w:lang w:eastAsia="es-ES"/>
        </w:rPr>
      </w:pPr>
    </w:p>
    <w:p w14:paraId="670DD705" w14:textId="7820C027" w:rsidR="00680DAF" w:rsidRPr="00C454A1" w:rsidRDefault="00680DAF" w:rsidP="00321FAF">
      <w:pPr>
        <w:numPr>
          <w:ilvl w:val="0"/>
          <w:numId w:val="2"/>
        </w:numPr>
        <w:ind w:left="0" w:firstLine="0"/>
        <w:rPr>
          <w:color w:val="000000" w:themeColor="text1"/>
          <w:lang w:eastAsia="es-ES"/>
        </w:rPr>
      </w:pPr>
      <w:r w:rsidRPr="00C454A1">
        <w:rPr>
          <w:color w:val="000000" w:themeColor="text1"/>
          <w:lang w:eastAsia="es-ES"/>
        </w:rPr>
        <w:t xml:space="preserve">Las instituciones del Estado están previstas para funcionar en situaciones normales e incluso en las que esta Corte </w:t>
      </w:r>
      <w:r w:rsidR="005F389C" w:rsidRPr="00C454A1">
        <w:rPr>
          <w:color w:val="000000" w:themeColor="text1"/>
          <w:lang w:eastAsia="es-ES"/>
        </w:rPr>
        <w:t>denomina</w:t>
      </w:r>
      <w:r w:rsidRPr="00C454A1">
        <w:rPr>
          <w:color w:val="000000" w:themeColor="text1"/>
          <w:lang w:eastAsia="es-ES"/>
        </w:rPr>
        <w:t xml:space="preserve"> estados de “anormalidad permanente” o “normalidad anormal”</w:t>
      </w:r>
      <w:r w:rsidRPr="00C454A1">
        <w:rPr>
          <w:rStyle w:val="Refdenotaalpie"/>
          <w:color w:val="000000" w:themeColor="text1"/>
          <w:lang w:eastAsia="es-ES"/>
        </w:rPr>
        <w:footnoteReference w:id="375"/>
      </w:r>
      <w:r w:rsidRPr="00C454A1">
        <w:rPr>
          <w:color w:val="000000" w:themeColor="text1"/>
          <w:lang w:eastAsia="es-ES"/>
        </w:rPr>
        <w:t xml:space="preserve">, como es el caso del persistente estado de violencia y conflicto armado que caracteriza a Colombia. Sin embargo, cuando la perturbación del orden público es tan grave y extraordinaria que supera ese estado, es posible que afecte la estabilidad de las instituciones porque impide que </w:t>
      </w:r>
      <w:r w:rsidR="009449B8" w:rsidRPr="00C454A1">
        <w:rPr>
          <w:color w:val="000000" w:themeColor="text1"/>
          <w:lang w:eastAsia="es-ES"/>
        </w:rPr>
        <w:t>e</w:t>
      </w:r>
      <w:r w:rsidRPr="00C454A1">
        <w:rPr>
          <w:color w:val="000000" w:themeColor="text1"/>
          <w:lang w:eastAsia="es-ES"/>
        </w:rPr>
        <w:t xml:space="preserve">stas respondan a los hechos en cuestión.  </w:t>
      </w:r>
    </w:p>
    <w:p w14:paraId="18FED2A1" w14:textId="77777777" w:rsidR="00680DAF" w:rsidRPr="00C454A1" w:rsidRDefault="00680DAF" w:rsidP="00680DAF">
      <w:pPr>
        <w:rPr>
          <w:color w:val="000000" w:themeColor="text1"/>
          <w:lang w:eastAsia="es-ES"/>
        </w:rPr>
      </w:pPr>
    </w:p>
    <w:p w14:paraId="02E32EFA" w14:textId="01771FBE" w:rsidR="00680DAF" w:rsidRPr="00C454A1" w:rsidRDefault="00680DAF" w:rsidP="00321FAF">
      <w:pPr>
        <w:numPr>
          <w:ilvl w:val="0"/>
          <w:numId w:val="2"/>
        </w:numPr>
        <w:ind w:left="0" w:firstLine="0"/>
        <w:rPr>
          <w:color w:val="000000" w:themeColor="text1"/>
          <w:lang w:eastAsia="es-ES"/>
        </w:rPr>
      </w:pPr>
      <w:r w:rsidRPr="00C454A1">
        <w:rPr>
          <w:color w:val="000000" w:themeColor="text1"/>
          <w:lang w:eastAsia="es-ES"/>
        </w:rPr>
        <w:t xml:space="preserve">En este sentido, las afectaciones enunciadas por el </w:t>
      </w:r>
      <w:r w:rsidR="007525E1" w:rsidRPr="00C454A1">
        <w:rPr>
          <w:color w:val="000000" w:themeColor="text1"/>
          <w:lang w:eastAsia="es-ES"/>
        </w:rPr>
        <w:t>Gobierno nacional</w:t>
      </w:r>
      <w:r w:rsidRPr="00C454A1">
        <w:rPr>
          <w:color w:val="000000" w:themeColor="text1"/>
          <w:lang w:eastAsia="es-ES"/>
        </w:rPr>
        <w:t xml:space="preserve"> en el Decreto 62 de 2025 y los datos aportados por varias entidades gubernamentales dan cuenta de serias afectaciones al funcionamiento de las </w:t>
      </w:r>
      <w:r w:rsidRPr="00C454A1">
        <w:rPr>
          <w:color w:val="000000" w:themeColor="text1"/>
          <w:lang w:eastAsia="es-ES"/>
        </w:rPr>
        <w:lastRenderedPageBreak/>
        <w:t xml:space="preserve">instituciones en la región del Catatumbo, y se ejemplifica con los impactos en materia de (i) atención en salud; (ii) acueducto y alcantarillado; (iii) educación; (iv) acceso a la justicia y (v) acceso y distribución de alimentos. En este sentido, a pesar de que la Corte encuentra que el </w:t>
      </w:r>
      <w:r w:rsidR="007525E1" w:rsidRPr="00C454A1">
        <w:rPr>
          <w:color w:val="000000" w:themeColor="text1"/>
          <w:lang w:eastAsia="es-ES"/>
        </w:rPr>
        <w:t>Gobierno nacional</w:t>
      </w:r>
      <w:r w:rsidRPr="00C454A1">
        <w:rPr>
          <w:color w:val="000000" w:themeColor="text1"/>
          <w:lang w:eastAsia="es-ES"/>
        </w:rPr>
        <w:t xml:space="preserve"> no justificó explícitamente por qué cada una de estas afectaciones se traducía en una amenaza a la estabilidad institucional, la evidencia aportada muestra que en efecto las instituciones enfrentan un aumento inusitado de la demanda de sus servicios que amenaza con desbordamiento institucional y que pone en peligro su estabilidad. Para evidenciar la seriedad de las afectaciones, la Corte se referirá a cada una de dichas materias.</w:t>
      </w:r>
    </w:p>
    <w:p w14:paraId="32EE3366" w14:textId="77777777" w:rsidR="005F245D" w:rsidRPr="00C454A1" w:rsidRDefault="005F245D" w:rsidP="005F245D">
      <w:pPr>
        <w:rPr>
          <w:iCs/>
          <w:color w:val="000000" w:themeColor="text1"/>
          <w:u w:val="single"/>
          <w:lang w:eastAsia="es-ES"/>
        </w:rPr>
      </w:pPr>
    </w:p>
    <w:p w14:paraId="5A66D09F" w14:textId="77777777" w:rsidR="00A6217A" w:rsidRPr="00C454A1" w:rsidRDefault="005F245D" w:rsidP="00321FAF">
      <w:pPr>
        <w:numPr>
          <w:ilvl w:val="0"/>
          <w:numId w:val="2"/>
        </w:numPr>
        <w:ind w:left="0" w:firstLine="0"/>
        <w:rPr>
          <w:color w:val="000000" w:themeColor="text1"/>
          <w:lang w:eastAsia="es-ES"/>
        </w:rPr>
      </w:pPr>
      <w:r w:rsidRPr="00C454A1">
        <w:rPr>
          <w:i/>
          <w:iCs/>
          <w:color w:val="000000" w:themeColor="text1"/>
          <w:lang w:eastAsia="es-ES"/>
        </w:rPr>
        <w:t xml:space="preserve">Atención en salud. </w:t>
      </w:r>
      <w:r w:rsidRPr="00C454A1">
        <w:rPr>
          <w:color w:val="000000" w:themeColor="text1"/>
          <w:lang w:eastAsia="es-ES"/>
        </w:rPr>
        <w:t xml:space="preserve">La Corte constata que la prestación del servicio de salud y la estabilidad de las instituciones de este sector están comprometidas, debido a (i) la presión que los desplazamientos forzados generan sobre la infraestructura de salud de entidades territoriales receptoras y (ii) los riesgos a los que el personal de salud está expuesto cuando intenta movilizarse hacia sectores afectados por la alteración del orden público o hacia las comunidades confinadas. </w:t>
      </w:r>
    </w:p>
    <w:p w14:paraId="355E37C2" w14:textId="77777777" w:rsidR="00A6217A" w:rsidRPr="00C454A1" w:rsidRDefault="00A6217A" w:rsidP="00F858F2">
      <w:pPr>
        <w:pStyle w:val="Prrafodelista"/>
        <w:rPr>
          <w:color w:val="000000" w:themeColor="text1"/>
          <w:lang w:eastAsia="es-ES"/>
        </w:rPr>
      </w:pPr>
    </w:p>
    <w:p w14:paraId="2EBF5951" w14:textId="7C74A9AC" w:rsidR="00A6217A" w:rsidRPr="00C454A1" w:rsidRDefault="005F245D" w:rsidP="00321FAF">
      <w:pPr>
        <w:numPr>
          <w:ilvl w:val="0"/>
          <w:numId w:val="2"/>
        </w:numPr>
        <w:ind w:left="0" w:firstLine="0"/>
        <w:rPr>
          <w:color w:val="000000" w:themeColor="text1"/>
          <w:lang w:eastAsia="es-ES"/>
        </w:rPr>
      </w:pPr>
      <w:r w:rsidRPr="00C454A1">
        <w:rPr>
          <w:color w:val="000000" w:themeColor="text1"/>
          <w:lang w:eastAsia="es-ES"/>
        </w:rPr>
        <w:t xml:space="preserve">En este sentido, </w:t>
      </w:r>
      <w:r w:rsidR="00742384" w:rsidRPr="00C454A1">
        <w:rPr>
          <w:color w:val="000000" w:themeColor="text1"/>
          <w:lang w:eastAsia="es-ES"/>
        </w:rPr>
        <w:t>MinSalud</w:t>
      </w:r>
      <w:r w:rsidRPr="00C454A1">
        <w:rPr>
          <w:color w:val="000000" w:themeColor="text1"/>
          <w:lang w:eastAsia="es-ES"/>
        </w:rPr>
        <w:t xml:space="preserve"> informó que, para el 3 de febrero de 2025, había 31.358 personas confinadas</w:t>
      </w:r>
      <w:r w:rsidRPr="00C454A1">
        <w:rPr>
          <w:color w:val="000000" w:themeColor="text1"/>
          <w:vertAlign w:val="superscript"/>
          <w:lang w:eastAsia="es-ES"/>
        </w:rPr>
        <w:footnoteReference w:id="376"/>
      </w:r>
      <w:r w:rsidRPr="00C454A1">
        <w:rPr>
          <w:color w:val="000000" w:themeColor="text1"/>
          <w:lang w:eastAsia="es-ES"/>
        </w:rPr>
        <w:t>, lo que significa que, dados los altos riesgos de seguridad, no pueden movilizarse a centros de salud y los centros de salud no pueden trasladar sus equipos médicos a las veredas afectadas. También resaltó que el paso está prohibido incluso para actores humanitarios que prestan servicios de salud como la Cruz Roja Internacional</w:t>
      </w:r>
      <w:r w:rsidRPr="00C454A1">
        <w:rPr>
          <w:color w:val="000000" w:themeColor="text1"/>
          <w:vertAlign w:val="superscript"/>
          <w:lang w:eastAsia="es-ES"/>
        </w:rPr>
        <w:footnoteReference w:id="377"/>
      </w:r>
      <w:r w:rsidRPr="00C454A1">
        <w:rPr>
          <w:color w:val="000000" w:themeColor="text1"/>
          <w:lang w:eastAsia="es-ES"/>
        </w:rPr>
        <w:t xml:space="preserve">. </w:t>
      </w:r>
    </w:p>
    <w:p w14:paraId="7DD24FDD" w14:textId="77777777" w:rsidR="00A6217A" w:rsidRPr="00C454A1" w:rsidRDefault="00A6217A" w:rsidP="00F858F2">
      <w:pPr>
        <w:pStyle w:val="Prrafodelista"/>
        <w:rPr>
          <w:color w:val="000000" w:themeColor="text1"/>
          <w:lang w:eastAsia="es-ES"/>
        </w:rPr>
      </w:pPr>
    </w:p>
    <w:p w14:paraId="773695E3" w14:textId="1B788677" w:rsidR="005F245D" w:rsidRPr="00C454A1" w:rsidRDefault="005F245D" w:rsidP="00321FAF">
      <w:pPr>
        <w:numPr>
          <w:ilvl w:val="0"/>
          <w:numId w:val="2"/>
        </w:numPr>
        <w:ind w:left="0" w:firstLine="0"/>
        <w:rPr>
          <w:color w:val="000000" w:themeColor="text1"/>
          <w:lang w:eastAsia="es-ES"/>
        </w:rPr>
      </w:pPr>
      <w:r w:rsidRPr="00C454A1">
        <w:rPr>
          <w:color w:val="000000" w:themeColor="text1"/>
          <w:lang w:eastAsia="es-ES"/>
        </w:rPr>
        <w:t>Respecto de la población desplazada, este ministerio indicó que en los municipios de Ocaña y Cúcuta la llegada de las víctimas genera “presión sobre los servicios de cuidado intensivo que se prestan en las instituciones de estas ciudades”</w:t>
      </w:r>
      <w:r w:rsidRPr="00C454A1">
        <w:rPr>
          <w:color w:val="000000" w:themeColor="text1"/>
          <w:vertAlign w:val="superscript"/>
          <w:lang w:eastAsia="es-ES"/>
        </w:rPr>
        <w:footnoteReference w:id="378"/>
      </w:r>
      <w:r w:rsidRPr="00C454A1">
        <w:rPr>
          <w:color w:val="000000" w:themeColor="text1"/>
          <w:lang w:eastAsia="es-ES"/>
        </w:rPr>
        <w:t>. En concreto, los municipios de Ocaña y de Cúcuta tienen una disponibilidad reducida para atender servicios de urgencias y hospitalización general, medida por camillas y sillas disponibles. A lo anterior se suma que los municipios más afectados por la violencia, como Teorama, San Calixto, La Playa y Hacarí, no cuentan siquiera con esos servicios en caso de ser demandados</w:t>
      </w:r>
      <w:r w:rsidRPr="00C454A1">
        <w:rPr>
          <w:color w:val="000000" w:themeColor="text1"/>
          <w:vertAlign w:val="superscript"/>
          <w:lang w:eastAsia="es-ES"/>
        </w:rPr>
        <w:footnoteReference w:id="379"/>
      </w:r>
      <w:r w:rsidRPr="00C454A1">
        <w:rPr>
          <w:color w:val="000000" w:themeColor="text1"/>
          <w:lang w:eastAsia="es-ES"/>
        </w:rPr>
        <w:t>. El DNP confirmó este diagnóstico y resaltó que la crisis de orden público “ha tensionado la ya insuficiente capacidad del sistema de salud de la región, lo que ha llevado a la declaratoria de la alerta amarilla hospitalaria en toda la región”</w:t>
      </w:r>
      <w:r w:rsidRPr="00C454A1">
        <w:rPr>
          <w:color w:val="000000" w:themeColor="text1"/>
          <w:vertAlign w:val="superscript"/>
          <w:lang w:eastAsia="es-ES"/>
        </w:rPr>
        <w:footnoteReference w:id="380"/>
      </w:r>
      <w:r w:rsidRPr="00C454A1">
        <w:rPr>
          <w:color w:val="000000" w:themeColor="text1"/>
          <w:lang w:eastAsia="es-ES"/>
        </w:rPr>
        <w:t>. Además, aseguró que existen “limitaciones severas en suministro de medicamentos y una presión constante sobre las capacidades instaladas”</w:t>
      </w:r>
      <w:r w:rsidRPr="00C454A1">
        <w:rPr>
          <w:color w:val="000000" w:themeColor="text1"/>
          <w:vertAlign w:val="superscript"/>
          <w:lang w:eastAsia="es-ES"/>
        </w:rPr>
        <w:footnoteReference w:id="381"/>
      </w:r>
      <w:r w:rsidRPr="00C454A1">
        <w:rPr>
          <w:color w:val="000000" w:themeColor="text1"/>
          <w:lang w:eastAsia="es-ES"/>
        </w:rPr>
        <w:t xml:space="preserve">. </w:t>
      </w:r>
    </w:p>
    <w:p w14:paraId="04210A66" w14:textId="77777777" w:rsidR="005F245D" w:rsidRPr="00C454A1" w:rsidRDefault="005F245D" w:rsidP="005F245D">
      <w:pPr>
        <w:rPr>
          <w:color w:val="000000" w:themeColor="text1"/>
          <w:lang w:eastAsia="es-ES"/>
        </w:rPr>
      </w:pPr>
    </w:p>
    <w:p w14:paraId="029891F2" w14:textId="30BF367E" w:rsidR="005F245D" w:rsidRPr="00C454A1" w:rsidRDefault="005F245D" w:rsidP="00321FAF">
      <w:pPr>
        <w:numPr>
          <w:ilvl w:val="0"/>
          <w:numId w:val="2"/>
        </w:numPr>
        <w:ind w:left="0" w:firstLine="0"/>
        <w:rPr>
          <w:color w:val="000000" w:themeColor="text1"/>
          <w:lang w:eastAsia="es-ES"/>
        </w:rPr>
      </w:pPr>
      <w:r w:rsidRPr="00C454A1">
        <w:rPr>
          <w:i/>
          <w:iCs/>
          <w:color w:val="000000" w:themeColor="text1"/>
          <w:lang w:eastAsia="es-ES"/>
        </w:rPr>
        <w:lastRenderedPageBreak/>
        <w:t xml:space="preserve">Acueducto y alcantarillado. </w:t>
      </w:r>
      <w:r w:rsidRPr="00C454A1">
        <w:rPr>
          <w:color w:val="000000" w:themeColor="text1"/>
          <w:lang w:eastAsia="es-ES"/>
        </w:rPr>
        <w:t xml:space="preserve">Para la Sala, la afectación de la estabilidad de las instituciones que prestan los servicios públicos de acueducto y alcantarillado también es inminente. El Ministerio de Vivienda, Ciudad y Territorio </w:t>
      </w:r>
      <w:r w:rsidR="00351A64" w:rsidRPr="00C454A1">
        <w:rPr>
          <w:color w:val="000000" w:themeColor="text1"/>
          <w:lang w:eastAsia="es-ES"/>
        </w:rPr>
        <w:t xml:space="preserve">(MVCT) </w:t>
      </w:r>
      <w:r w:rsidRPr="00C454A1">
        <w:rPr>
          <w:color w:val="000000" w:themeColor="text1"/>
          <w:lang w:eastAsia="es-ES"/>
        </w:rPr>
        <w:t>informó que en los municipios receptores de víctimas de desplazamiento “sería necesario que los prestadores del servicio de acueducto tengan disponibilidad de agua potable del orden de 2,5 millones de litros al día”, lo que “puede afectar la operación normal de los sistemas, incrementa[r] costos operativos y supera la capacidad de la infraestructura existente”</w:t>
      </w:r>
      <w:r w:rsidRPr="00C454A1">
        <w:rPr>
          <w:color w:val="000000" w:themeColor="text1"/>
          <w:vertAlign w:val="superscript"/>
          <w:lang w:eastAsia="es-ES"/>
        </w:rPr>
        <w:footnoteReference w:id="382"/>
      </w:r>
      <w:r w:rsidRPr="00C454A1">
        <w:rPr>
          <w:color w:val="000000" w:themeColor="text1"/>
          <w:lang w:eastAsia="es-ES"/>
        </w:rPr>
        <w:t xml:space="preserve">. Al parecer, esta situación se podría tornar crítica en municipios como Tibú, que han recibido </w:t>
      </w:r>
      <w:r w:rsidR="00646DA4" w:rsidRPr="00C454A1">
        <w:rPr>
          <w:color w:val="000000" w:themeColor="text1"/>
          <w:lang w:eastAsia="es-ES"/>
        </w:rPr>
        <w:t xml:space="preserve">a </w:t>
      </w:r>
      <w:r w:rsidRPr="00C454A1">
        <w:rPr>
          <w:color w:val="000000" w:themeColor="text1"/>
          <w:lang w:eastAsia="es-ES"/>
        </w:rPr>
        <w:t>más de 13.000 personas desplazadas. Asimismo, sostuvo que en los municipios de origen de las personas desplazadas se “dejarán de pagar [las] tarifas [de los servicios de acueducto y alcantarillado], implicando serias afectaciones en el equilibrio financiero de los prestadores”</w:t>
      </w:r>
      <w:r w:rsidRPr="00C454A1">
        <w:rPr>
          <w:color w:val="000000" w:themeColor="text1"/>
          <w:vertAlign w:val="superscript"/>
          <w:lang w:eastAsia="es-ES"/>
        </w:rPr>
        <w:footnoteReference w:id="383"/>
      </w:r>
      <w:r w:rsidRPr="00C454A1">
        <w:rPr>
          <w:color w:val="000000" w:themeColor="text1"/>
          <w:lang w:eastAsia="es-ES"/>
        </w:rPr>
        <w:t>. Resaltó que lo mismo puede ocurrir con las 31.358 personas confinadas, quienes, al ver reducidos sus ingresos, “tampoco tendrán recursos para poder hacer los pagos tarifarios”</w:t>
      </w:r>
      <w:r w:rsidRPr="00C454A1">
        <w:rPr>
          <w:color w:val="000000" w:themeColor="text1"/>
          <w:vertAlign w:val="superscript"/>
          <w:lang w:eastAsia="es-ES"/>
        </w:rPr>
        <w:footnoteReference w:id="384"/>
      </w:r>
      <w:r w:rsidRPr="00C454A1">
        <w:rPr>
          <w:color w:val="000000" w:themeColor="text1"/>
          <w:lang w:eastAsia="es-ES"/>
        </w:rPr>
        <w:t xml:space="preserve">. Por último, este ministerio puso de presente que, de conformidad con la información del gestor del Plan Departamental de Agua, al inicio de la crisis, el confinamiento implicó la suspensión temporal del servicio de agua en los municipios del Catatumbo </w:t>
      </w:r>
      <w:r w:rsidR="00646DA4" w:rsidRPr="00C454A1">
        <w:rPr>
          <w:color w:val="000000" w:themeColor="text1"/>
          <w:lang w:eastAsia="es-ES"/>
        </w:rPr>
        <w:t>donde</w:t>
      </w:r>
      <w:r w:rsidRPr="00C454A1">
        <w:rPr>
          <w:color w:val="000000" w:themeColor="text1"/>
          <w:lang w:eastAsia="es-ES"/>
        </w:rPr>
        <w:t xml:space="preserve"> se presentaron enfrentamientos violentos.</w:t>
      </w:r>
    </w:p>
    <w:p w14:paraId="3223AECE" w14:textId="77777777" w:rsidR="005F245D" w:rsidRPr="00C454A1" w:rsidRDefault="005F245D" w:rsidP="005F245D">
      <w:pPr>
        <w:rPr>
          <w:iCs/>
          <w:color w:val="000000" w:themeColor="text1"/>
          <w:u w:val="single"/>
          <w:lang w:eastAsia="es-ES"/>
        </w:rPr>
      </w:pPr>
    </w:p>
    <w:p w14:paraId="1DF5F007" w14:textId="329A3D71" w:rsidR="005F245D" w:rsidRPr="00C454A1" w:rsidRDefault="005F245D" w:rsidP="00321FAF">
      <w:pPr>
        <w:numPr>
          <w:ilvl w:val="0"/>
          <w:numId w:val="2"/>
        </w:numPr>
        <w:ind w:left="0" w:firstLine="0"/>
        <w:rPr>
          <w:color w:val="000000" w:themeColor="text1"/>
          <w:lang w:eastAsia="es-ES"/>
        </w:rPr>
      </w:pPr>
      <w:r w:rsidRPr="00C454A1">
        <w:rPr>
          <w:i/>
          <w:iCs/>
          <w:color w:val="000000" w:themeColor="text1"/>
          <w:lang w:eastAsia="es-ES"/>
        </w:rPr>
        <w:t xml:space="preserve">Educación. </w:t>
      </w:r>
      <w:r w:rsidRPr="00C454A1">
        <w:rPr>
          <w:color w:val="000000" w:themeColor="text1"/>
          <w:lang w:eastAsia="es-ES"/>
        </w:rPr>
        <w:t>Las afectaciones inminentes también se advierten en relación con los servicios de educación -preescolar, básica y media-, por al menos tres razones. Primero, un alto porcentaje de docentes se encuentra en situación de desplazamiento. La Secretaría de Educación de Norte de Santander informó que (i) el 55,51% de sus docentes no “se encuentran en el municipio en el que laboran”; (ii) el 50,94% de sus docentes están “por fuera del lugar donde laboran”, y (iii) el 4,57% de sus docentes no se encuentran en el departamento</w:t>
      </w:r>
      <w:r w:rsidRPr="00C454A1">
        <w:rPr>
          <w:color w:val="000000" w:themeColor="text1"/>
          <w:vertAlign w:val="superscript"/>
          <w:lang w:eastAsia="es-ES"/>
        </w:rPr>
        <w:footnoteReference w:id="385"/>
      </w:r>
      <w:r w:rsidRPr="00C454A1">
        <w:rPr>
          <w:color w:val="000000" w:themeColor="text1"/>
          <w:lang w:eastAsia="es-ES"/>
        </w:rPr>
        <w:t xml:space="preserve">. Segundo, el calendario escolar fue modificado con ocasión de la crisis de orden público que motivó la declaratoria de la </w:t>
      </w:r>
      <w:r w:rsidR="00F9357D" w:rsidRPr="00C454A1">
        <w:rPr>
          <w:color w:val="000000" w:themeColor="text1"/>
          <w:lang w:eastAsia="es-ES"/>
        </w:rPr>
        <w:t>c</w:t>
      </w:r>
      <w:r w:rsidRPr="00C454A1">
        <w:rPr>
          <w:color w:val="000000" w:themeColor="text1"/>
          <w:lang w:eastAsia="es-ES"/>
        </w:rPr>
        <w:t xml:space="preserve">onmoción </w:t>
      </w:r>
      <w:r w:rsidR="00F9357D" w:rsidRPr="00C454A1">
        <w:rPr>
          <w:color w:val="000000" w:themeColor="text1"/>
          <w:lang w:eastAsia="es-ES"/>
        </w:rPr>
        <w:t>i</w:t>
      </w:r>
      <w:r w:rsidRPr="00C454A1">
        <w:rPr>
          <w:color w:val="000000" w:themeColor="text1"/>
          <w:lang w:eastAsia="es-ES"/>
        </w:rPr>
        <w:t>nterior. Por medio de la Resolución 210 de 17 de enero de 2025, la Secretaría de Educación de Norte de Santander modificó el calendario académico en los municipios de Tibú, El Tarra, Teorama, Convención, Hacarí, San Calixto y en la zona rural de los municipios El Carmen, Ábrego, La Playa y Sardinata. En criterio de la Defensoría del Pueblo, esa medida afecta a 46.032 NNA por la interrupción escolar</w:t>
      </w:r>
      <w:r w:rsidRPr="00C454A1">
        <w:rPr>
          <w:color w:val="000000" w:themeColor="text1"/>
          <w:vertAlign w:val="superscript"/>
          <w:lang w:eastAsia="es-ES"/>
        </w:rPr>
        <w:footnoteReference w:id="386"/>
      </w:r>
      <w:r w:rsidRPr="00C454A1">
        <w:rPr>
          <w:color w:val="000000" w:themeColor="text1"/>
          <w:lang w:eastAsia="es-ES"/>
        </w:rPr>
        <w:t>. Tercero, existen barreras para el acceso al servicio de educación de los menores de edad desplazados. La Defensoría del Pueblo advirtió que, si bien las clases en Cúcuta y Ocaña se han ido normalizando, la dificultad de acceder al servicio de educación persiste para los NNA en situación de desplazamiento o de nacionalidad venezolana</w:t>
      </w:r>
      <w:r w:rsidRPr="00C454A1">
        <w:rPr>
          <w:color w:val="000000" w:themeColor="text1"/>
          <w:vertAlign w:val="superscript"/>
          <w:lang w:eastAsia="es-ES"/>
        </w:rPr>
        <w:footnoteReference w:id="387"/>
      </w:r>
      <w:r w:rsidRPr="00C454A1">
        <w:rPr>
          <w:color w:val="000000" w:themeColor="text1"/>
          <w:lang w:eastAsia="es-ES"/>
        </w:rPr>
        <w:t xml:space="preserve">. </w:t>
      </w:r>
    </w:p>
    <w:p w14:paraId="7F060931" w14:textId="77777777" w:rsidR="005F245D" w:rsidRPr="00C454A1" w:rsidRDefault="005F245D" w:rsidP="005F245D">
      <w:pPr>
        <w:rPr>
          <w:i/>
          <w:color w:val="000000" w:themeColor="text1"/>
          <w:lang w:eastAsia="es-ES"/>
        </w:rPr>
      </w:pPr>
    </w:p>
    <w:p w14:paraId="259B9609" w14:textId="6EFA19DF" w:rsidR="005F245D" w:rsidRPr="00C454A1" w:rsidRDefault="005F245D" w:rsidP="00321FAF">
      <w:pPr>
        <w:numPr>
          <w:ilvl w:val="0"/>
          <w:numId w:val="2"/>
        </w:numPr>
        <w:ind w:left="0" w:firstLine="0"/>
        <w:rPr>
          <w:iCs/>
          <w:color w:val="000000" w:themeColor="text1"/>
          <w:u w:val="single"/>
          <w:lang w:eastAsia="es-ES"/>
        </w:rPr>
      </w:pPr>
      <w:r w:rsidRPr="00C454A1">
        <w:rPr>
          <w:i/>
          <w:iCs/>
          <w:color w:val="000000" w:themeColor="text1"/>
          <w:lang w:eastAsia="es-ES"/>
        </w:rPr>
        <w:t xml:space="preserve">Acceso a la justicia. </w:t>
      </w:r>
      <w:r w:rsidRPr="00C454A1">
        <w:rPr>
          <w:color w:val="000000" w:themeColor="text1"/>
          <w:lang w:eastAsia="es-ES"/>
        </w:rPr>
        <w:t>La Sala Plena constata que la situación de orden público a la que se enfrenta la región del Catatumbo es inminente en tanto que también perjudica el acceso a la justicia. El Ministerio de Justicia y del Derecho advirtió una “afectación institucional en la oferta de servicios”</w:t>
      </w:r>
      <w:r w:rsidRPr="00C454A1">
        <w:rPr>
          <w:color w:val="000000" w:themeColor="text1"/>
          <w:vertAlign w:val="superscript"/>
          <w:lang w:eastAsia="es-ES"/>
        </w:rPr>
        <w:footnoteReference w:id="388"/>
      </w:r>
      <w:r w:rsidRPr="00C454A1">
        <w:rPr>
          <w:color w:val="000000" w:themeColor="text1"/>
          <w:lang w:eastAsia="es-ES"/>
        </w:rPr>
        <w:t xml:space="preserve"> de las comisarías de familia de los municipios objeto del </w:t>
      </w:r>
      <w:r w:rsidR="00F9357D" w:rsidRPr="00C454A1">
        <w:rPr>
          <w:color w:val="000000" w:themeColor="text1"/>
          <w:lang w:eastAsia="es-ES"/>
        </w:rPr>
        <w:t>e</w:t>
      </w:r>
      <w:r w:rsidRPr="00C454A1">
        <w:rPr>
          <w:color w:val="000000" w:themeColor="text1"/>
          <w:lang w:eastAsia="es-ES"/>
        </w:rPr>
        <w:t xml:space="preserve">stado de </w:t>
      </w:r>
      <w:r w:rsidR="00F9357D" w:rsidRPr="00C454A1">
        <w:rPr>
          <w:color w:val="000000" w:themeColor="text1"/>
          <w:lang w:eastAsia="es-ES"/>
        </w:rPr>
        <w:t>c</w:t>
      </w:r>
      <w:r w:rsidRPr="00C454A1">
        <w:rPr>
          <w:color w:val="000000" w:themeColor="text1"/>
          <w:lang w:eastAsia="es-ES"/>
        </w:rPr>
        <w:t xml:space="preserve">onmoción </w:t>
      </w:r>
      <w:r w:rsidR="00F9357D" w:rsidRPr="00C454A1">
        <w:rPr>
          <w:color w:val="000000" w:themeColor="text1"/>
          <w:lang w:eastAsia="es-ES"/>
        </w:rPr>
        <w:t>i</w:t>
      </w:r>
      <w:r w:rsidRPr="00C454A1">
        <w:rPr>
          <w:color w:val="000000" w:themeColor="text1"/>
          <w:lang w:eastAsia="es-ES"/>
        </w:rPr>
        <w:t>nterior. En particular, informó que “se ha reducido o restringido la posibilidad de prestación de los servicios en condiciones de normalidad, presencialidad, y han obligado a los funcionarios a restringir la atención presencial a la comunidad y la implementación de medidas, y reducir su accionar a mínimos que eviten los riesgos del personal”</w:t>
      </w:r>
      <w:r w:rsidRPr="00C454A1">
        <w:rPr>
          <w:color w:val="000000" w:themeColor="text1"/>
          <w:vertAlign w:val="superscript"/>
          <w:lang w:eastAsia="es-ES"/>
        </w:rPr>
        <w:footnoteReference w:id="389"/>
      </w:r>
      <w:r w:rsidRPr="00C454A1">
        <w:rPr>
          <w:color w:val="000000" w:themeColor="text1"/>
          <w:lang w:eastAsia="es-ES"/>
        </w:rPr>
        <w:t>. De igual manera, el ministerio indicó la existencia de “limitaciones de capacidad técnica y logística de las alcaldías para mitigar las restricciones a la oferta institucional presencial en materia de acceso a justicia y protección de [NNA]”</w:t>
      </w:r>
      <w:r w:rsidRPr="00C454A1">
        <w:rPr>
          <w:color w:val="000000" w:themeColor="text1"/>
          <w:vertAlign w:val="superscript"/>
          <w:lang w:eastAsia="es-ES"/>
        </w:rPr>
        <w:footnoteReference w:id="390"/>
      </w:r>
      <w:r w:rsidRPr="00C454A1">
        <w:rPr>
          <w:color w:val="000000" w:themeColor="text1"/>
          <w:lang w:eastAsia="es-ES"/>
        </w:rPr>
        <w:t>. Por otra parte, la alteración del orden público ha aumentado la carga para algunas entidades del sector justicia. Por ejemplo, el Ministerio de Justicia y del Derecho indicó</w:t>
      </w:r>
      <w:r w:rsidR="00D47214" w:rsidRPr="00C454A1">
        <w:rPr>
          <w:color w:val="000000" w:themeColor="text1"/>
          <w:lang w:eastAsia="es-ES"/>
        </w:rPr>
        <w:t xml:space="preserve"> que </w:t>
      </w:r>
      <w:r w:rsidRPr="00C454A1">
        <w:rPr>
          <w:color w:val="000000" w:themeColor="text1"/>
          <w:lang w:eastAsia="es-ES"/>
        </w:rPr>
        <w:t>el Centro de Convivencia Ciudadana de Villa del Rosario, un municipio receptor de víctimas, reportó un aumento del 10,51% en el número de atenciones a usuarios.</w:t>
      </w:r>
      <w:r w:rsidRPr="00C454A1">
        <w:rPr>
          <w:color w:val="000000" w:themeColor="text1"/>
          <w:vertAlign w:val="superscript"/>
          <w:lang w:eastAsia="es-ES"/>
        </w:rPr>
        <w:footnoteReference w:id="391"/>
      </w:r>
      <w:r w:rsidRPr="00C454A1">
        <w:rPr>
          <w:color w:val="000000" w:themeColor="text1"/>
          <w:lang w:eastAsia="es-ES"/>
        </w:rPr>
        <w:t xml:space="preserve"> </w:t>
      </w:r>
    </w:p>
    <w:p w14:paraId="5CD7AD36" w14:textId="77777777" w:rsidR="005F245D" w:rsidRPr="00C454A1" w:rsidRDefault="005F245D" w:rsidP="005F245D">
      <w:pPr>
        <w:rPr>
          <w:i/>
          <w:iCs/>
          <w:color w:val="000000" w:themeColor="text1"/>
          <w:lang w:eastAsia="es-ES"/>
        </w:rPr>
      </w:pPr>
    </w:p>
    <w:p w14:paraId="591CD791" w14:textId="16CEE701" w:rsidR="005F245D" w:rsidRPr="00C454A1" w:rsidRDefault="005F245D" w:rsidP="00321FAF">
      <w:pPr>
        <w:numPr>
          <w:ilvl w:val="0"/>
          <w:numId w:val="2"/>
        </w:numPr>
        <w:ind w:left="0" w:firstLine="0"/>
        <w:rPr>
          <w:color w:val="000000" w:themeColor="text1"/>
          <w:lang w:eastAsia="es-ES"/>
        </w:rPr>
      </w:pPr>
      <w:r w:rsidRPr="00C454A1">
        <w:rPr>
          <w:i/>
          <w:iCs/>
          <w:color w:val="000000" w:themeColor="text1"/>
          <w:lang w:eastAsia="es-ES"/>
        </w:rPr>
        <w:t xml:space="preserve">Acceso y distribución de alimentos. </w:t>
      </w:r>
      <w:r w:rsidRPr="00C454A1">
        <w:rPr>
          <w:color w:val="000000" w:themeColor="text1"/>
          <w:lang w:eastAsia="es-ES"/>
        </w:rPr>
        <w:t>Por último, la Sala advierte que el acceso a alimentos y su distribución también está</w:t>
      </w:r>
      <w:r w:rsidR="00CC5732" w:rsidRPr="00C454A1">
        <w:rPr>
          <w:color w:val="000000" w:themeColor="text1"/>
          <w:lang w:eastAsia="es-ES"/>
        </w:rPr>
        <w:t>n</w:t>
      </w:r>
      <w:r w:rsidRPr="00C454A1">
        <w:rPr>
          <w:color w:val="000000" w:themeColor="text1"/>
          <w:lang w:eastAsia="es-ES"/>
        </w:rPr>
        <w:t xml:space="preserve"> comprometid</w:t>
      </w:r>
      <w:r w:rsidR="00DD19AB" w:rsidRPr="00C454A1">
        <w:rPr>
          <w:color w:val="000000" w:themeColor="text1"/>
          <w:lang w:eastAsia="es-ES"/>
        </w:rPr>
        <w:t>o</w:t>
      </w:r>
      <w:r w:rsidR="00CC5732" w:rsidRPr="00C454A1">
        <w:rPr>
          <w:color w:val="000000" w:themeColor="text1"/>
          <w:lang w:eastAsia="es-ES"/>
        </w:rPr>
        <w:t>s</w:t>
      </w:r>
      <w:r w:rsidRPr="00C454A1">
        <w:rPr>
          <w:color w:val="000000" w:themeColor="text1"/>
          <w:lang w:eastAsia="es-ES"/>
        </w:rPr>
        <w:t xml:space="preserve"> debido a la crisis de orden público. </w:t>
      </w:r>
      <w:r w:rsidR="00D47214" w:rsidRPr="00C454A1">
        <w:rPr>
          <w:color w:val="000000" w:themeColor="text1"/>
          <w:lang w:eastAsia="es-ES"/>
        </w:rPr>
        <w:t>S</w:t>
      </w:r>
      <w:r w:rsidRPr="00C454A1">
        <w:rPr>
          <w:color w:val="000000" w:themeColor="text1"/>
          <w:lang w:eastAsia="es-ES"/>
        </w:rPr>
        <w:t>egún el Ministerio de Agricultura y Desarrollo Rural</w:t>
      </w:r>
      <w:r w:rsidR="00CC5732" w:rsidRPr="00C454A1">
        <w:rPr>
          <w:color w:val="000000" w:themeColor="text1"/>
          <w:lang w:eastAsia="es-ES"/>
        </w:rPr>
        <w:t xml:space="preserve"> (M</w:t>
      </w:r>
      <w:r w:rsidR="00DA048D" w:rsidRPr="00C454A1">
        <w:rPr>
          <w:color w:val="000000" w:themeColor="text1"/>
          <w:lang w:eastAsia="es-ES"/>
        </w:rPr>
        <w:t>inAgricultura</w:t>
      </w:r>
      <w:r w:rsidR="00CC5732" w:rsidRPr="00C454A1">
        <w:rPr>
          <w:color w:val="000000" w:themeColor="text1"/>
          <w:lang w:eastAsia="es-ES"/>
        </w:rPr>
        <w:t>)</w:t>
      </w:r>
      <w:r w:rsidRPr="00C454A1">
        <w:rPr>
          <w:color w:val="000000" w:themeColor="text1"/>
          <w:lang w:eastAsia="es-ES"/>
        </w:rPr>
        <w:t>, la región es epicentro de la producción de múltiples alimentos de consumo regional y nacional</w:t>
      </w:r>
      <w:r w:rsidRPr="00C454A1">
        <w:rPr>
          <w:color w:val="000000" w:themeColor="text1"/>
          <w:vertAlign w:val="superscript"/>
          <w:lang w:eastAsia="es-ES"/>
        </w:rPr>
        <w:footnoteReference w:id="392"/>
      </w:r>
      <w:r w:rsidRPr="00C454A1">
        <w:rPr>
          <w:color w:val="000000" w:themeColor="text1"/>
          <w:lang w:eastAsia="es-ES"/>
        </w:rPr>
        <w:t>. Debido a la crisis de orden público, “existe un riesgo inminente de afectación de las condiciones de acceso y distribución de alimentos que pueden causar crisis alimentaria” en la región y en el país.</w:t>
      </w:r>
      <w:r w:rsidRPr="00C454A1">
        <w:rPr>
          <w:i/>
          <w:iCs/>
          <w:color w:val="000000" w:themeColor="text1"/>
          <w:lang w:eastAsia="es-ES"/>
        </w:rPr>
        <w:t xml:space="preserve"> </w:t>
      </w:r>
      <w:r w:rsidRPr="00C454A1">
        <w:rPr>
          <w:color w:val="000000" w:themeColor="text1"/>
          <w:lang w:eastAsia="es-ES"/>
        </w:rPr>
        <w:t>Por ejemplo, el “desplazamiento masivo de la población campesina y productora genera riesgos de acaparamiento y alteración en la propiedad y uso de la tierra, afectando la producción y el acceso a la seguridad alimentaria”</w:t>
      </w:r>
      <w:r w:rsidRPr="00C454A1">
        <w:rPr>
          <w:color w:val="000000" w:themeColor="text1"/>
          <w:vertAlign w:val="superscript"/>
          <w:lang w:eastAsia="es-ES"/>
        </w:rPr>
        <w:footnoteReference w:id="393"/>
      </w:r>
      <w:r w:rsidRPr="00C454A1">
        <w:rPr>
          <w:color w:val="000000" w:themeColor="text1"/>
          <w:lang w:eastAsia="es-ES"/>
        </w:rPr>
        <w:t>. Además, el abandono de especies menores y ganado “o la disrupción en cadenas agrícolas y pecuarias tendrían [...] efectos negativos en la siembra y cosecha de alimentos y frutales que, ante el desplazamiento masivo y colectivo de campesinos y trabajadores agrarios, dificultaría el desabastecimiento de la canasta en la zona afectada y región subsiguiente”</w:t>
      </w:r>
      <w:r w:rsidRPr="00C454A1">
        <w:rPr>
          <w:color w:val="000000" w:themeColor="text1"/>
          <w:vertAlign w:val="superscript"/>
          <w:lang w:eastAsia="es-ES"/>
        </w:rPr>
        <w:footnoteReference w:id="394"/>
      </w:r>
      <w:r w:rsidRPr="00C454A1">
        <w:rPr>
          <w:color w:val="000000" w:themeColor="text1"/>
          <w:lang w:eastAsia="es-ES"/>
        </w:rPr>
        <w:t>. Al respecto, resaltó que</w:t>
      </w:r>
      <w:r w:rsidR="00D64AEA" w:rsidRPr="00C454A1">
        <w:rPr>
          <w:color w:val="000000" w:themeColor="text1"/>
          <w:lang w:eastAsia="es-ES"/>
        </w:rPr>
        <w:t>,</w:t>
      </w:r>
      <w:r w:rsidRPr="00C454A1">
        <w:rPr>
          <w:color w:val="000000" w:themeColor="text1"/>
          <w:lang w:eastAsia="es-ES"/>
        </w:rPr>
        <w:t xml:space="preserve"> en enero de 2025, identificó que en la zona hubo reducción en la producción, </w:t>
      </w:r>
      <w:r w:rsidRPr="00C454A1">
        <w:rPr>
          <w:color w:val="000000" w:themeColor="text1"/>
          <w:lang w:eastAsia="es-ES"/>
        </w:rPr>
        <w:lastRenderedPageBreak/>
        <w:t xml:space="preserve">así como dificultades en el acopio, la movilización, </w:t>
      </w:r>
      <w:r w:rsidR="00DD19AB" w:rsidRPr="00C454A1">
        <w:rPr>
          <w:color w:val="000000" w:themeColor="text1"/>
          <w:lang w:eastAsia="es-ES"/>
        </w:rPr>
        <w:t xml:space="preserve">la </w:t>
      </w:r>
      <w:r w:rsidRPr="00C454A1">
        <w:rPr>
          <w:color w:val="000000" w:themeColor="text1"/>
          <w:lang w:eastAsia="es-ES"/>
        </w:rPr>
        <w:t xml:space="preserve">distribución y </w:t>
      </w:r>
      <w:r w:rsidR="00DD19AB" w:rsidRPr="00C454A1">
        <w:rPr>
          <w:color w:val="000000" w:themeColor="text1"/>
          <w:lang w:eastAsia="es-ES"/>
        </w:rPr>
        <w:t xml:space="preserve">la </w:t>
      </w:r>
      <w:r w:rsidRPr="00C454A1">
        <w:rPr>
          <w:color w:val="000000" w:themeColor="text1"/>
          <w:lang w:eastAsia="es-ES"/>
        </w:rPr>
        <w:t>comercialización de productos</w:t>
      </w:r>
      <w:r w:rsidRPr="00C454A1">
        <w:rPr>
          <w:color w:val="000000" w:themeColor="text1"/>
          <w:vertAlign w:val="superscript"/>
          <w:lang w:eastAsia="es-ES"/>
        </w:rPr>
        <w:footnoteReference w:id="395"/>
      </w:r>
      <w:r w:rsidRPr="00C454A1">
        <w:rPr>
          <w:color w:val="000000" w:themeColor="text1"/>
          <w:lang w:eastAsia="es-ES"/>
        </w:rPr>
        <w:t>. Por último, el ministerio identificó afectaciones particulares en los municipios de Tibú, Ábrego y el Tarra</w:t>
      </w:r>
      <w:r w:rsidRPr="00C454A1">
        <w:rPr>
          <w:color w:val="000000" w:themeColor="text1"/>
          <w:vertAlign w:val="superscript"/>
          <w:lang w:eastAsia="es-ES"/>
        </w:rPr>
        <w:footnoteReference w:id="396"/>
      </w:r>
      <w:r w:rsidRPr="00C454A1">
        <w:rPr>
          <w:color w:val="000000" w:themeColor="text1"/>
          <w:lang w:eastAsia="es-ES"/>
        </w:rPr>
        <w:t xml:space="preserve">. Advirtió que allí se presentan problemas como (a) la reducción en la producción; (b) dificultades derivadas de las restricciones a la movilidad de los productores; (c) obstáculos a la comercialización de productos debido al cierre de vías; (d) </w:t>
      </w:r>
      <w:r w:rsidR="00D47214" w:rsidRPr="00C454A1">
        <w:rPr>
          <w:color w:val="000000" w:themeColor="text1"/>
          <w:lang w:eastAsia="es-ES"/>
        </w:rPr>
        <w:t xml:space="preserve">la </w:t>
      </w:r>
      <w:r w:rsidRPr="00C454A1">
        <w:rPr>
          <w:color w:val="000000" w:themeColor="text1"/>
          <w:lang w:eastAsia="es-ES"/>
        </w:rPr>
        <w:t xml:space="preserve">reducción de rendimientos de alimentos para animales y semillas; (e) la pérdida total de cosechas por abandono de las tierras, animales y bienes pecuarios, y (f) el riesgo de la seguridad alimentaria y el sustento de las comunidades rurales. </w:t>
      </w:r>
    </w:p>
    <w:p w14:paraId="4286C58B" w14:textId="77777777" w:rsidR="005F245D" w:rsidRPr="00C454A1" w:rsidRDefault="005F245D" w:rsidP="005F245D">
      <w:pPr>
        <w:rPr>
          <w:color w:val="000000" w:themeColor="text1"/>
        </w:rPr>
      </w:pPr>
    </w:p>
    <w:p w14:paraId="60C0E142" w14:textId="7FD3309B" w:rsidR="005F245D" w:rsidRPr="00C454A1" w:rsidRDefault="005F245D" w:rsidP="00321FAF">
      <w:pPr>
        <w:numPr>
          <w:ilvl w:val="0"/>
          <w:numId w:val="2"/>
        </w:numPr>
        <w:ind w:left="0" w:firstLine="0"/>
        <w:rPr>
          <w:color w:val="000000" w:themeColor="text1"/>
          <w:lang w:eastAsia="es-ES"/>
        </w:rPr>
      </w:pPr>
      <w:r w:rsidRPr="00C454A1">
        <w:rPr>
          <w:rFonts w:eastAsia="Times New Roman" w:cs="Times New Roman"/>
          <w:color w:val="000000" w:themeColor="text1"/>
          <w:szCs w:val="28"/>
        </w:rPr>
        <w:t xml:space="preserve">Para la Corte, los datos sobre las afectaciones </w:t>
      </w:r>
      <w:r w:rsidR="00DD19AB" w:rsidRPr="00C454A1">
        <w:rPr>
          <w:rFonts w:eastAsia="Times New Roman" w:cs="Times New Roman"/>
          <w:color w:val="000000" w:themeColor="text1"/>
          <w:szCs w:val="28"/>
        </w:rPr>
        <w:t>a</w:t>
      </w:r>
      <w:r w:rsidRPr="00C454A1">
        <w:rPr>
          <w:rFonts w:eastAsia="Times New Roman" w:cs="Times New Roman"/>
          <w:color w:val="000000" w:themeColor="text1"/>
          <w:szCs w:val="28"/>
        </w:rPr>
        <w:t xml:space="preserve"> la prestación de servicios esenciales</w:t>
      </w:r>
      <w:r w:rsidR="00DD19AB"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como salud, educación, acueducto, alcantarillado y abastecimiento de alimentos</w:t>
      </w:r>
      <w:r w:rsidR="00DD19AB"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evidencian una incapacidad del Estado para cumplir sus funciones básicas. La grave y extraordinaria escalada de violencia en el Catatumbo agudiza los problemas estructurales preexistentes en la prestación de estos servicios, hasta comprometer su estabilidad y continuidad. En otras palabras, la provisión de estos servicios, ya precaria bajo las condiciones de "normalidad anormal" que han caracterizado históricamente al Catatumbo, se ha deteriorado significativamente desde enero de 2025, lo que impone un riesgo inminente </w:t>
      </w:r>
      <w:r w:rsidR="00DD19AB" w:rsidRPr="00C454A1">
        <w:rPr>
          <w:rFonts w:eastAsia="Times New Roman" w:cs="Times New Roman"/>
          <w:color w:val="000000" w:themeColor="text1"/>
          <w:szCs w:val="28"/>
        </w:rPr>
        <w:t>para</w:t>
      </w:r>
      <w:r w:rsidRPr="00C454A1">
        <w:rPr>
          <w:rFonts w:eastAsia="Times New Roman" w:cs="Times New Roman"/>
          <w:color w:val="000000" w:themeColor="text1"/>
          <w:szCs w:val="28"/>
        </w:rPr>
        <w:t xml:space="preserve"> la estabilidad institucional.</w:t>
      </w:r>
    </w:p>
    <w:p w14:paraId="10D3951C" w14:textId="77777777" w:rsidR="004A3F3A" w:rsidRPr="00C454A1" w:rsidRDefault="004A3F3A" w:rsidP="004A3F3A">
      <w:pPr>
        <w:rPr>
          <w:color w:val="000000" w:themeColor="text1"/>
          <w:lang w:eastAsia="es-ES"/>
        </w:rPr>
      </w:pPr>
    </w:p>
    <w:p w14:paraId="43081312" w14:textId="7FB258C5" w:rsidR="00950ED9" w:rsidRPr="00C454A1" w:rsidRDefault="00950ED9" w:rsidP="00A847BE">
      <w:pPr>
        <w:pStyle w:val="Prrafodelista"/>
        <w:widowControl w:val="0"/>
        <w:numPr>
          <w:ilvl w:val="2"/>
          <w:numId w:val="3"/>
        </w:numPr>
        <w:outlineLvl w:val="0"/>
        <w:rPr>
          <w:b/>
          <w:bCs/>
          <w:color w:val="000000" w:themeColor="text1"/>
          <w:lang w:eastAsia="es-ES"/>
        </w:rPr>
      </w:pPr>
      <w:bookmarkStart w:id="200" w:name="_Toc223979955"/>
      <w:r w:rsidRPr="00C454A1">
        <w:rPr>
          <w:b/>
          <w:bCs/>
          <w:color w:val="000000" w:themeColor="text1"/>
          <w:lang w:eastAsia="es-ES"/>
        </w:rPr>
        <w:t>Conclusión</w:t>
      </w:r>
      <w:r w:rsidR="00321FAF" w:rsidRPr="00C454A1">
        <w:rPr>
          <w:b/>
          <w:bCs/>
          <w:color w:val="000000" w:themeColor="text1"/>
          <w:lang w:eastAsia="es-ES"/>
        </w:rPr>
        <w:t xml:space="preserve"> sobre el presupuesto valorativo</w:t>
      </w:r>
      <w:bookmarkEnd w:id="200"/>
      <w:r w:rsidRPr="00C454A1">
        <w:rPr>
          <w:b/>
          <w:bCs/>
          <w:color w:val="000000" w:themeColor="text1"/>
          <w:lang w:eastAsia="es-ES"/>
        </w:rPr>
        <w:t xml:space="preserve"> </w:t>
      </w:r>
    </w:p>
    <w:p w14:paraId="45D85235" w14:textId="77777777" w:rsidR="005D7E38" w:rsidRPr="00C454A1" w:rsidRDefault="005D7E38" w:rsidP="005D7E38">
      <w:pPr>
        <w:rPr>
          <w:color w:val="000000" w:themeColor="text1"/>
          <w:lang w:eastAsia="es-ES"/>
        </w:rPr>
      </w:pPr>
    </w:p>
    <w:p w14:paraId="1A709759" w14:textId="77777777" w:rsidR="005D7E38" w:rsidRPr="00C454A1" w:rsidRDefault="005D7E38" w:rsidP="00321FAF">
      <w:pPr>
        <w:numPr>
          <w:ilvl w:val="0"/>
          <w:numId w:val="2"/>
        </w:numPr>
        <w:ind w:left="0" w:firstLine="0"/>
        <w:rPr>
          <w:color w:val="000000" w:themeColor="text1"/>
          <w:lang w:eastAsia="es-ES"/>
        </w:rPr>
      </w:pPr>
      <w:r w:rsidRPr="00C454A1">
        <w:rPr>
          <w:color w:val="000000" w:themeColor="text1"/>
          <w:lang w:eastAsia="es-ES"/>
        </w:rPr>
        <w:t>En síntesis, la Corte concluye que el Decreto 62 de 2025 satisface de forma parcial el presupuesto valorativo</w:t>
      </w:r>
      <w:r w:rsidRPr="00C454A1">
        <w:rPr>
          <w:rFonts w:eastAsia="Times New Roman" w:cs="Times New Roman"/>
          <w:color w:val="000000" w:themeColor="text1"/>
          <w:szCs w:val="28"/>
        </w:rPr>
        <w:t xml:space="preserve">, </w:t>
      </w:r>
      <w:r w:rsidRPr="00C454A1">
        <w:rPr>
          <w:color w:val="000000" w:themeColor="text1"/>
          <w:lang w:eastAsia="es-ES"/>
        </w:rPr>
        <w:t>por las siguientes razones:</w:t>
      </w:r>
    </w:p>
    <w:p w14:paraId="34CC3DEE" w14:textId="77777777" w:rsidR="005D7E38" w:rsidRPr="00C454A1" w:rsidRDefault="005D7E38" w:rsidP="005D7E38">
      <w:pPr>
        <w:rPr>
          <w:color w:val="000000" w:themeColor="text1"/>
          <w:u w:val="single"/>
          <w:lang w:eastAsia="es-ES"/>
        </w:rPr>
      </w:pPr>
    </w:p>
    <w:p w14:paraId="10442DD0" w14:textId="69CC1E80" w:rsidR="005D7E38" w:rsidRPr="00C454A1" w:rsidRDefault="005D7E38" w:rsidP="00321FAF">
      <w:pPr>
        <w:numPr>
          <w:ilvl w:val="0"/>
          <w:numId w:val="2"/>
        </w:numPr>
        <w:ind w:left="0" w:firstLine="0"/>
        <w:rPr>
          <w:color w:val="000000" w:themeColor="text1"/>
          <w:u w:val="single"/>
          <w:lang w:eastAsia="es-ES"/>
        </w:rPr>
      </w:pPr>
      <w:r w:rsidRPr="00C454A1">
        <w:rPr>
          <w:i/>
          <w:iCs/>
          <w:color w:val="000000" w:themeColor="text1"/>
          <w:lang w:eastAsia="es-ES"/>
        </w:rPr>
        <w:t>Primero</w:t>
      </w:r>
      <w:r w:rsidRPr="00C454A1">
        <w:rPr>
          <w:color w:val="000000" w:themeColor="text1"/>
          <w:lang w:eastAsia="es-ES"/>
        </w:rPr>
        <w:t xml:space="preserve">, el </w:t>
      </w:r>
      <w:r w:rsidR="007525E1" w:rsidRPr="00C454A1">
        <w:rPr>
          <w:color w:val="000000" w:themeColor="text1"/>
          <w:lang w:eastAsia="es-ES"/>
        </w:rPr>
        <w:t>Gobierno nacional</w:t>
      </w:r>
      <w:r w:rsidRPr="00C454A1">
        <w:rPr>
          <w:color w:val="000000" w:themeColor="text1"/>
          <w:lang w:eastAsia="es-ES"/>
        </w:rPr>
        <w:t xml:space="preserve"> demostró que la perturbación del orden público es grave. La gravedad de la perturbación es indiscutible y se deriva del alarmante número de víctimas, la naturaleza de las violaciones a sus derechos fundamentales y los sujetos que han sido objeto de ataques y hostilidades, </w:t>
      </w:r>
      <w:r w:rsidR="00DD19AB" w:rsidRPr="00C454A1">
        <w:rPr>
          <w:color w:val="000000" w:themeColor="text1"/>
          <w:lang w:eastAsia="es-ES"/>
        </w:rPr>
        <w:t xml:space="preserve">de </w:t>
      </w:r>
      <w:r w:rsidRPr="00C454A1">
        <w:rPr>
          <w:color w:val="000000" w:themeColor="text1"/>
          <w:lang w:eastAsia="es-ES"/>
        </w:rPr>
        <w:t xml:space="preserve">los cuales </w:t>
      </w:r>
      <w:r w:rsidR="00DD19AB" w:rsidRPr="00C454A1">
        <w:rPr>
          <w:color w:val="000000" w:themeColor="text1"/>
          <w:lang w:eastAsia="es-ES"/>
        </w:rPr>
        <w:t xml:space="preserve">muchos </w:t>
      </w:r>
      <w:r w:rsidRPr="00C454A1">
        <w:rPr>
          <w:color w:val="000000" w:themeColor="text1"/>
          <w:lang w:eastAsia="es-ES"/>
        </w:rPr>
        <w:t xml:space="preserve">son sujetos de especial protección constitucional. </w:t>
      </w:r>
    </w:p>
    <w:p w14:paraId="229E33D8" w14:textId="77777777" w:rsidR="005D7E38" w:rsidRPr="00C454A1" w:rsidRDefault="005D7E38" w:rsidP="005D7E38">
      <w:pPr>
        <w:pStyle w:val="Prrafodelista"/>
        <w:rPr>
          <w:i/>
          <w:iCs/>
          <w:color w:val="000000" w:themeColor="text1"/>
          <w:lang w:eastAsia="es-ES"/>
        </w:rPr>
      </w:pPr>
    </w:p>
    <w:p w14:paraId="2A37B08C" w14:textId="1919C3F3" w:rsidR="005D7E38" w:rsidRPr="00C454A1" w:rsidRDefault="005D7E38" w:rsidP="00321FAF">
      <w:pPr>
        <w:widowControl w:val="0"/>
        <w:numPr>
          <w:ilvl w:val="0"/>
          <w:numId w:val="2"/>
        </w:numPr>
        <w:ind w:left="0" w:firstLine="0"/>
        <w:rPr>
          <w:color w:val="000000" w:themeColor="text1"/>
          <w:lang w:eastAsia="es-ES"/>
        </w:rPr>
      </w:pPr>
      <w:r w:rsidRPr="00C454A1">
        <w:rPr>
          <w:i/>
          <w:iCs/>
          <w:color w:val="000000" w:themeColor="text1"/>
          <w:lang w:eastAsia="es-ES"/>
        </w:rPr>
        <w:t>Segundo</w:t>
      </w:r>
      <w:r w:rsidRPr="00C454A1">
        <w:rPr>
          <w:color w:val="000000" w:themeColor="text1"/>
          <w:lang w:eastAsia="es-ES"/>
        </w:rPr>
        <w:t xml:space="preserve">, el </w:t>
      </w:r>
      <w:r w:rsidR="007525E1" w:rsidRPr="00C454A1">
        <w:rPr>
          <w:color w:val="000000" w:themeColor="text1"/>
          <w:lang w:eastAsia="es-ES"/>
        </w:rPr>
        <w:t>Gobierno nacional</w:t>
      </w:r>
      <w:r w:rsidRPr="00C454A1">
        <w:rPr>
          <w:color w:val="000000" w:themeColor="text1"/>
          <w:lang w:eastAsia="es-ES"/>
        </w:rPr>
        <w:t xml:space="preserve"> valoró adecuadamente que, a partir del 15 de enero de 2025, se produjo un agravamiento inusitado de la situación de orden público en la región del Catatumbo, el área metropolitana de Cúcuta y los municipios de Río de Oro y González. Este agravamiento se dio de la mano de </w:t>
      </w:r>
      <w:r w:rsidR="00D47214" w:rsidRPr="00C454A1">
        <w:rPr>
          <w:color w:val="000000" w:themeColor="text1"/>
          <w:lang w:eastAsia="es-ES"/>
        </w:rPr>
        <w:t>dos</w:t>
      </w:r>
      <w:r w:rsidRPr="00C454A1">
        <w:rPr>
          <w:color w:val="000000" w:themeColor="text1"/>
          <w:lang w:eastAsia="es-ES"/>
        </w:rPr>
        <w:t xml:space="preserve"> hechos extraordinarios: </w:t>
      </w:r>
      <w:r w:rsidR="00D47214" w:rsidRPr="00C454A1">
        <w:rPr>
          <w:rFonts w:cs="Times New Roman"/>
          <w:color w:val="000000" w:themeColor="text1"/>
          <w:szCs w:val="28"/>
          <w:bdr w:val="none" w:sz="0" w:space="0" w:color="auto" w:frame="1"/>
        </w:rPr>
        <w:t xml:space="preserve">(i) la intensificación de los enfrentamientos entre el ELN y otros </w:t>
      </w:r>
      <w:r w:rsidR="00EE77DF" w:rsidRPr="00C454A1">
        <w:rPr>
          <w:rFonts w:cs="Times New Roman"/>
          <w:color w:val="000000" w:themeColor="text1"/>
          <w:szCs w:val="28"/>
          <w:bdr w:val="none" w:sz="0" w:space="0" w:color="auto" w:frame="1"/>
        </w:rPr>
        <w:t>GAO</w:t>
      </w:r>
      <w:r w:rsidR="00D47214" w:rsidRPr="00C454A1">
        <w:rPr>
          <w:rFonts w:cs="Times New Roman"/>
          <w:color w:val="000000" w:themeColor="text1"/>
          <w:szCs w:val="28"/>
          <w:bdr w:val="none" w:sz="0" w:space="0" w:color="auto" w:frame="1"/>
        </w:rPr>
        <w:t xml:space="preserve">, así como </w:t>
      </w:r>
      <w:r w:rsidR="00925CFD" w:rsidRPr="00C454A1">
        <w:rPr>
          <w:rFonts w:cs="Times New Roman"/>
          <w:color w:val="000000" w:themeColor="text1"/>
          <w:szCs w:val="28"/>
          <w:bdr w:val="none" w:sz="0" w:space="0" w:color="auto" w:frame="1"/>
        </w:rPr>
        <w:t xml:space="preserve">de </w:t>
      </w:r>
      <w:r w:rsidR="00D47214" w:rsidRPr="00C454A1">
        <w:rPr>
          <w:rFonts w:cs="Times New Roman"/>
          <w:color w:val="000000" w:themeColor="text1"/>
          <w:szCs w:val="28"/>
          <w:bdr w:val="none" w:sz="0" w:space="0" w:color="auto" w:frame="1"/>
        </w:rPr>
        <w:t xml:space="preserve">los ataques y hostilidades dirigidos de forma indiscriminada contra la población civil y los firmantes del </w:t>
      </w:r>
      <w:r w:rsidR="00925CFD" w:rsidRPr="00C454A1">
        <w:rPr>
          <w:rFonts w:cs="Times New Roman"/>
          <w:color w:val="000000" w:themeColor="text1"/>
          <w:szCs w:val="28"/>
          <w:bdr w:val="none" w:sz="0" w:space="0" w:color="auto" w:frame="1"/>
        </w:rPr>
        <w:t>AFP</w:t>
      </w:r>
      <w:r w:rsidR="00A117F2" w:rsidRPr="00C454A1">
        <w:rPr>
          <w:rFonts w:cs="Times New Roman"/>
          <w:color w:val="000000" w:themeColor="text1"/>
          <w:szCs w:val="28"/>
          <w:bdr w:val="none" w:sz="0" w:space="0" w:color="auto" w:frame="1"/>
        </w:rPr>
        <w:t>,</w:t>
      </w:r>
      <w:r w:rsidR="00D47214" w:rsidRPr="00C454A1">
        <w:rPr>
          <w:rFonts w:cs="Times New Roman"/>
          <w:color w:val="000000" w:themeColor="text1"/>
          <w:szCs w:val="28"/>
          <w:bdr w:val="none" w:sz="0" w:space="0" w:color="auto" w:frame="1"/>
        </w:rPr>
        <w:t xml:space="preserve"> y (ii) la crisis humanitaria derivada de desplazamientos forzados -internos y transfronterizos- y confinamientos masivos que ha desbordado la capacidad institucional del Estado para atenderla</w:t>
      </w:r>
      <w:r w:rsidRPr="00C454A1">
        <w:rPr>
          <w:color w:val="000000" w:themeColor="text1"/>
          <w:lang w:eastAsia="es-ES"/>
        </w:rPr>
        <w:t>. Para la Sala, dado</w:t>
      </w:r>
      <w:r w:rsidR="00925CFD" w:rsidRPr="00C454A1">
        <w:rPr>
          <w:color w:val="000000" w:themeColor="text1"/>
          <w:lang w:eastAsia="es-ES"/>
        </w:rPr>
        <w:t>s</w:t>
      </w:r>
      <w:r w:rsidRPr="00C454A1">
        <w:rPr>
          <w:color w:val="000000" w:themeColor="text1"/>
          <w:lang w:eastAsia="es-ES"/>
        </w:rPr>
        <w:t xml:space="preserve"> los aumentos significativos de enfrentamientos y ataques contra la población civil, por encima de </w:t>
      </w:r>
      <w:r w:rsidR="00925CFD" w:rsidRPr="00C454A1">
        <w:rPr>
          <w:color w:val="000000" w:themeColor="text1"/>
          <w:lang w:eastAsia="es-ES"/>
        </w:rPr>
        <w:t xml:space="preserve">los </w:t>
      </w:r>
      <w:r w:rsidRPr="00C454A1">
        <w:rPr>
          <w:color w:val="000000" w:themeColor="text1"/>
          <w:lang w:eastAsia="es-ES"/>
        </w:rPr>
        <w:t xml:space="preserve">promedios históricos, y los cambios </w:t>
      </w:r>
      <w:r w:rsidR="00A117F2" w:rsidRPr="00C454A1">
        <w:rPr>
          <w:color w:val="000000" w:themeColor="text1"/>
          <w:lang w:eastAsia="es-ES"/>
        </w:rPr>
        <w:t xml:space="preserve">cuantitativos y </w:t>
      </w:r>
      <w:r w:rsidRPr="00C454A1">
        <w:rPr>
          <w:color w:val="000000" w:themeColor="text1"/>
          <w:lang w:eastAsia="es-ES"/>
        </w:rPr>
        <w:t xml:space="preserve">cualitativos observados en </w:t>
      </w:r>
      <w:r w:rsidRPr="00C454A1">
        <w:rPr>
          <w:color w:val="000000" w:themeColor="text1"/>
          <w:lang w:eastAsia="es-ES"/>
        </w:rPr>
        <w:lastRenderedPageBreak/>
        <w:t xml:space="preserve">su desarrollo, el </w:t>
      </w:r>
      <w:r w:rsidR="007525E1" w:rsidRPr="00C454A1">
        <w:rPr>
          <w:color w:val="000000" w:themeColor="text1"/>
          <w:lang w:eastAsia="es-ES"/>
        </w:rPr>
        <w:t>Gobierno nacional</w:t>
      </w:r>
      <w:r w:rsidRPr="00C454A1">
        <w:rPr>
          <w:color w:val="000000" w:themeColor="text1"/>
          <w:lang w:eastAsia="es-ES"/>
        </w:rPr>
        <w:t xml:space="preserve"> razonablemente calificó estos hechos como extraordinarios.</w:t>
      </w:r>
    </w:p>
    <w:p w14:paraId="357CC4D9" w14:textId="77777777" w:rsidR="005D7E38" w:rsidRPr="00C454A1" w:rsidRDefault="005D7E38" w:rsidP="005D7E38">
      <w:pPr>
        <w:widowControl w:val="0"/>
        <w:rPr>
          <w:color w:val="000000" w:themeColor="text1"/>
          <w:lang w:eastAsia="es-ES"/>
        </w:rPr>
      </w:pPr>
    </w:p>
    <w:p w14:paraId="6F1DFC32" w14:textId="1B7D9759" w:rsidR="00794C58" w:rsidRPr="00C454A1" w:rsidRDefault="005D7E38" w:rsidP="00321FAF">
      <w:pPr>
        <w:widowControl w:val="0"/>
        <w:numPr>
          <w:ilvl w:val="0"/>
          <w:numId w:val="2"/>
        </w:numPr>
        <w:ind w:left="0" w:firstLine="0"/>
        <w:rPr>
          <w:color w:val="000000" w:themeColor="text1"/>
          <w:lang w:eastAsia="es-ES"/>
        </w:rPr>
      </w:pPr>
      <w:r w:rsidRPr="00C454A1">
        <w:rPr>
          <w:color w:val="000000" w:themeColor="text1"/>
          <w:lang w:eastAsia="es-ES"/>
        </w:rPr>
        <w:t xml:space="preserve">En cambio, la Corte considera que el </w:t>
      </w:r>
      <w:r w:rsidR="007525E1" w:rsidRPr="00C454A1">
        <w:rPr>
          <w:color w:val="000000" w:themeColor="text1"/>
          <w:lang w:eastAsia="es-ES"/>
        </w:rPr>
        <w:t>Gobierno nacional</w:t>
      </w:r>
      <w:r w:rsidRPr="00C454A1">
        <w:rPr>
          <w:color w:val="000000" w:themeColor="text1"/>
          <w:lang w:eastAsia="es-ES"/>
        </w:rPr>
        <w:t xml:space="preserve"> sí incurrió en un error manifiesto de apreciación al invocar la declaratoria de conmoción interior en relación con algunas problemáticas estructurales, crónicas y endémicas de la región del Catatumbo, el área metropolitana de Cúcuta y los municipios de Río de Oro y González,</w:t>
      </w:r>
      <w:r w:rsidR="00D47214" w:rsidRPr="00C454A1">
        <w:rPr>
          <w:color w:val="000000" w:themeColor="text1"/>
          <w:lang w:eastAsia="es-ES"/>
        </w:rPr>
        <w:t xml:space="preserve"> que no presentaron agravamientos </w:t>
      </w:r>
      <w:r w:rsidR="00A117F2" w:rsidRPr="00C454A1">
        <w:rPr>
          <w:color w:val="000000" w:themeColor="text1"/>
          <w:lang w:eastAsia="es-ES"/>
        </w:rPr>
        <w:t xml:space="preserve">súbitos e </w:t>
      </w:r>
      <w:r w:rsidR="00D47214" w:rsidRPr="00C454A1">
        <w:rPr>
          <w:color w:val="000000" w:themeColor="text1"/>
          <w:lang w:eastAsia="es-ES"/>
        </w:rPr>
        <w:t>inusitados,</w:t>
      </w:r>
      <w:r w:rsidRPr="00C454A1">
        <w:rPr>
          <w:color w:val="000000" w:themeColor="text1"/>
          <w:lang w:eastAsia="es-ES"/>
        </w:rPr>
        <w:t xml:space="preserve"> a saber: (a) la presencia de </w:t>
      </w:r>
      <w:r w:rsidR="00EE77DF" w:rsidRPr="00C454A1">
        <w:rPr>
          <w:color w:val="000000" w:themeColor="text1"/>
          <w:lang w:eastAsia="es-ES"/>
        </w:rPr>
        <w:t>GAO</w:t>
      </w:r>
      <w:r w:rsidRPr="00C454A1">
        <w:rPr>
          <w:color w:val="000000" w:themeColor="text1"/>
          <w:lang w:eastAsia="es-ES"/>
        </w:rPr>
        <w:t xml:space="preserve"> en la región del Catatumbo, (b) la concentración y el incremento de cultivos ilícitos, (c) las deficiencias y el incumplimiento en la implementación del PNIS, (d) las necesidades básicas insatisfechas de la población del Catatumbo por la insuficiencia en la política social y la precaria institucionalidad, y (e) los daños a la infraestructura energética y vial, así como las afectaciones a las operaciones del sector de hidrocarburos. Aunque son situaciones graves, su carácter estructural </w:t>
      </w:r>
      <w:r w:rsidR="00D47214" w:rsidRPr="00C454A1">
        <w:rPr>
          <w:color w:val="000000" w:themeColor="text1"/>
          <w:lang w:eastAsia="es-ES"/>
        </w:rPr>
        <w:t xml:space="preserve">y la ausencia de un agravamiento </w:t>
      </w:r>
      <w:r w:rsidR="00A117F2" w:rsidRPr="00C454A1">
        <w:rPr>
          <w:color w:val="000000" w:themeColor="text1"/>
          <w:lang w:eastAsia="es-ES"/>
        </w:rPr>
        <w:t xml:space="preserve">súbito e </w:t>
      </w:r>
      <w:r w:rsidR="00D47214" w:rsidRPr="00C454A1">
        <w:rPr>
          <w:color w:val="000000" w:themeColor="text1"/>
          <w:lang w:eastAsia="es-ES"/>
        </w:rPr>
        <w:t xml:space="preserve">inusitado </w:t>
      </w:r>
      <w:r w:rsidRPr="00C454A1">
        <w:rPr>
          <w:color w:val="000000" w:themeColor="text1"/>
          <w:lang w:eastAsia="es-ES"/>
        </w:rPr>
        <w:t>impide</w:t>
      </w:r>
      <w:r w:rsidR="00A117F2" w:rsidRPr="00C454A1">
        <w:rPr>
          <w:color w:val="000000" w:themeColor="text1"/>
          <w:lang w:eastAsia="es-ES"/>
        </w:rPr>
        <w:t>n</w:t>
      </w:r>
      <w:r w:rsidRPr="00C454A1">
        <w:rPr>
          <w:color w:val="000000" w:themeColor="text1"/>
          <w:lang w:eastAsia="es-ES"/>
        </w:rPr>
        <w:t xml:space="preserve"> calificarlas como extraordinarias, de manera que no cumplen las exigencias de los artículos 213 de la Constitución y 34 de la LEEE.</w:t>
      </w:r>
    </w:p>
    <w:p w14:paraId="69B39198" w14:textId="77777777" w:rsidR="00D56C94" w:rsidRPr="00C454A1" w:rsidRDefault="00D56C94" w:rsidP="00D56C94">
      <w:pPr>
        <w:widowControl w:val="0"/>
        <w:rPr>
          <w:color w:val="000000" w:themeColor="text1"/>
          <w:lang w:eastAsia="es-ES"/>
        </w:rPr>
      </w:pPr>
    </w:p>
    <w:p w14:paraId="1ECB7087" w14:textId="6F059C6D" w:rsidR="009D793F" w:rsidRPr="00C454A1" w:rsidRDefault="009D793F" w:rsidP="00321FAF">
      <w:pPr>
        <w:numPr>
          <w:ilvl w:val="0"/>
          <w:numId w:val="2"/>
        </w:numPr>
        <w:ind w:left="0" w:firstLine="0"/>
        <w:rPr>
          <w:rFonts w:eastAsia="Times New Roman" w:cs="Times New Roman"/>
          <w:color w:val="000000" w:themeColor="text1"/>
          <w:szCs w:val="28"/>
        </w:rPr>
      </w:pPr>
      <w:r w:rsidRPr="00C454A1">
        <w:rPr>
          <w:i/>
          <w:iCs/>
          <w:color w:val="000000" w:themeColor="text1"/>
          <w:lang w:eastAsia="es-ES"/>
        </w:rPr>
        <w:t>Tercero.</w:t>
      </w:r>
      <w:r w:rsidRPr="00C454A1">
        <w:rPr>
          <w:color w:val="000000" w:themeColor="text1"/>
          <w:lang w:eastAsia="es-ES"/>
        </w:rPr>
        <w:t xml:space="preserve"> </w:t>
      </w:r>
      <w:r w:rsidRPr="00C454A1">
        <w:rPr>
          <w:rFonts w:eastAsia="Times New Roman" w:cs="Times New Roman"/>
          <w:color w:val="000000" w:themeColor="text1"/>
          <w:szCs w:val="28"/>
        </w:rPr>
        <w:t xml:space="preserve">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demostró que el inusitado agravamiento del orden público, derivado de la intensificación del accionar armado, los ataques contra la población civil y los firmantes del AFP, y la crisis humanitaria derivada de lo anterior, representa una amenaza inminente contra la seguridad del Estado, la convivencia ciudadana y la estabilidad institucional. Esto se debe a que comprometió la capacidad del Estado para responder a la escalada de violencia y afectó gravemente a la población civil. Adicionalmente, generó un desbordamiento institucional que desestabilizó las capacidades estatales para la prestación de servicios esenciales como salud, educación, acueducto, alcantarillado y abastecimiento de alimentos.</w:t>
      </w:r>
    </w:p>
    <w:p w14:paraId="7D0967EB" w14:textId="77777777" w:rsidR="005D7E38" w:rsidRPr="00C454A1" w:rsidRDefault="005D7E38" w:rsidP="00631C27">
      <w:pPr>
        <w:pStyle w:val="Prrafodelista"/>
        <w:widowControl w:val="0"/>
        <w:tabs>
          <w:tab w:val="left" w:pos="567"/>
        </w:tabs>
        <w:ind w:left="0"/>
        <w:outlineLvl w:val="0"/>
        <w:rPr>
          <w:rFonts w:cs="Times New Roman"/>
          <w:b/>
          <w:bCs/>
          <w:color w:val="000000" w:themeColor="text1"/>
          <w:szCs w:val="28"/>
          <w:lang w:eastAsia="es-ES"/>
        </w:rPr>
      </w:pPr>
    </w:p>
    <w:p w14:paraId="6A8BF156" w14:textId="77777777" w:rsidR="003B4847" w:rsidRPr="00C454A1" w:rsidRDefault="003B4847" w:rsidP="00631C27">
      <w:pPr>
        <w:pStyle w:val="Prrafodelista"/>
        <w:widowControl w:val="0"/>
        <w:tabs>
          <w:tab w:val="left" w:pos="567"/>
        </w:tabs>
        <w:ind w:left="0"/>
        <w:outlineLvl w:val="0"/>
        <w:rPr>
          <w:rFonts w:cs="Times New Roman"/>
          <w:b/>
          <w:bCs/>
          <w:color w:val="000000" w:themeColor="text1"/>
          <w:szCs w:val="28"/>
          <w:lang w:eastAsia="es-ES"/>
        </w:rPr>
      </w:pPr>
    </w:p>
    <w:p w14:paraId="1B406125" w14:textId="298E6A96" w:rsidR="00006522" w:rsidRPr="00C454A1" w:rsidRDefault="00B505C6" w:rsidP="00A847BE">
      <w:pPr>
        <w:pStyle w:val="Prrafodelista"/>
        <w:widowControl w:val="0"/>
        <w:numPr>
          <w:ilvl w:val="1"/>
          <w:numId w:val="3"/>
        </w:numPr>
        <w:outlineLvl w:val="0"/>
        <w:rPr>
          <w:rFonts w:cs="Times New Roman"/>
          <w:b/>
          <w:bCs/>
          <w:color w:val="000000" w:themeColor="text1"/>
          <w:szCs w:val="28"/>
          <w:lang w:eastAsia="es-ES"/>
        </w:rPr>
      </w:pPr>
      <w:r w:rsidRPr="00C454A1">
        <w:rPr>
          <w:rFonts w:cs="Times New Roman"/>
          <w:b/>
          <w:bCs/>
          <w:color w:val="000000" w:themeColor="text1"/>
          <w:szCs w:val="28"/>
          <w:lang w:eastAsia="es-ES"/>
        </w:rPr>
        <w:t xml:space="preserve"> </w:t>
      </w:r>
      <w:bookmarkStart w:id="201" w:name="_Ref203393486"/>
      <w:bookmarkStart w:id="202" w:name="_Toc223979956"/>
      <w:r w:rsidR="00006522" w:rsidRPr="00C454A1">
        <w:rPr>
          <w:rFonts w:cs="Times New Roman"/>
          <w:b/>
          <w:bCs/>
          <w:color w:val="000000" w:themeColor="text1"/>
          <w:szCs w:val="28"/>
          <w:lang w:eastAsia="es-ES"/>
        </w:rPr>
        <w:t>Presupuesto de suficiencia</w:t>
      </w:r>
      <w:bookmarkEnd w:id="201"/>
      <w:bookmarkEnd w:id="202"/>
      <w:r w:rsidR="00006522" w:rsidRPr="00C454A1">
        <w:rPr>
          <w:rFonts w:cs="Times New Roman"/>
          <w:b/>
          <w:bCs/>
          <w:color w:val="000000" w:themeColor="text1"/>
          <w:szCs w:val="28"/>
          <w:lang w:eastAsia="es-ES"/>
        </w:rPr>
        <w:t xml:space="preserve"> </w:t>
      </w:r>
    </w:p>
    <w:p w14:paraId="388006DF" w14:textId="77777777" w:rsidR="00FC666F" w:rsidRPr="00C454A1" w:rsidRDefault="00FC666F" w:rsidP="00631C27">
      <w:pPr>
        <w:pStyle w:val="Prrafodelista"/>
        <w:ind w:left="0"/>
        <w:rPr>
          <w:color w:val="000000" w:themeColor="text1"/>
        </w:rPr>
      </w:pPr>
    </w:p>
    <w:p w14:paraId="0BDA7C4F" w14:textId="77777777" w:rsidR="004D3CA0" w:rsidRPr="00C454A1" w:rsidRDefault="009D793F" w:rsidP="00321FAF">
      <w:pPr>
        <w:numPr>
          <w:ilvl w:val="0"/>
          <w:numId w:val="2"/>
        </w:numPr>
        <w:ind w:left="0" w:firstLine="0"/>
        <w:rPr>
          <w:rFonts w:cs="Times New Roman"/>
          <w:color w:val="000000" w:themeColor="text1"/>
        </w:rPr>
      </w:pPr>
      <w:r w:rsidRPr="00C454A1">
        <w:rPr>
          <w:rFonts w:cs="Times New Roman"/>
          <w:color w:val="000000" w:themeColor="text1"/>
        </w:rPr>
        <w:t xml:space="preserve">El presupuesto de suficiencia exige que el </w:t>
      </w:r>
      <w:r w:rsidR="00C908A9" w:rsidRPr="00C454A1">
        <w:rPr>
          <w:rFonts w:cs="Times New Roman"/>
          <w:color w:val="000000" w:themeColor="text1"/>
        </w:rPr>
        <w:t>p</w:t>
      </w:r>
      <w:r w:rsidRPr="00C454A1">
        <w:rPr>
          <w:rFonts w:cs="Times New Roman"/>
          <w:color w:val="000000" w:themeColor="text1"/>
        </w:rPr>
        <w:t xml:space="preserve">residente de la República justifique la insuficiencia de </w:t>
      </w:r>
      <w:r w:rsidR="00262059" w:rsidRPr="00C454A1">
        <w:rPr>
          <w:rFonts w:cs="Times New Roman"/>
          <w:color w:val="000000" w:themeColor="text1"/>
        </w:rPr>
        <w:t>sus</w:t>
      </w:r>
      <w:r w:rsidRPr="00C454A1">
        <w:rPr>
          <w:rFonts w:cs="Times New Roman"/>
          <w:color w:val="000000" w:themeColor="text1"/>
        </w:rPr>
        <w:t xml:space="preserve"> atribuciones ordinarias para superar las causas y efectos de la </w:t>
      </w:r>
      <w:r w:rsidR="000D2DB0" w:rsidRPr="00C454A1">
        <w:rPr>
          <w:rFonts w:cs="Times New Roman"/>
          <w:color w:val="000000" w:themeColor="text1"/>
        </w:rPr>
        <w:t xml:space="preserve">específica </w:t>
      </w:r>
      <w:r w:rsidRPr="00C454A1">
        <w:rPr>
          <w:rFonts w:cs="Times New Roman"/>
          <w:color w:val="000000" w:themeColor="text1"/>
        </w:rPr>
        <w:t>perturbación del orden público</w:t>
      </w:r>
      <w:r w:rsidR="000D2DB0" w:rsidRPr="00C454A1">
        <w:rPr>
          <w:rFonts w:cs="Times New Roman"/>
          <w:color w:val="000000" w:themeColor="text1"/>
        </w:rPr>
        <w:t xml:space="preserve"> que da lugar a la declaración del estado de excepción</w:t>
      </w:r>
      <w:r w:rsidRPr="00C454A1">
        <w:rPr>
          <w:rFonts w:cs="Times New Roman"/>
          <w:color w:val="000000" w:themeColor="text1"/>
        </w:rPr>
        <w:t>. Esta exigencia se desprende de la voluntad constituyente de conferirle a la conmoción interior el carácter de “último recurso”</w:t>
      </w:r>
      <w:r w:rsidRPr="00C454A1">
        <w:rPr>
          <w:rFonts w:cs="Times New Roman"/>
          <w:color w:val="000000" w:themeColor="text1"/>
          <w:vertAlign w:val="superscript"/>
        </w:rPr>
        <w:footnoteReference w:id="397"/>
      </w:r>
      <w:r w:rsidRPr="00C454A1">
        <w:rPr>
          <w:rFonts w:cs="Times New Roman"/>
          <w:color w:val="000000" w:themeColor="text1"/>
        </w:rPr>
        <w:t xml:space="preserve"> para atender las perturbaciones del orden público y de última medida en la “agenda jurídica y política del Estado”</w:t>
      </w:r>
      <w:r w:rsidRPr="00C454A1">
        <w:rPr>
          <w:rFonts w:cs="Times New Roman"/>
          <w:color w:val="000000" w:themeColor="text1"/>
          <w:vertAlign w:val="superscript"/>
        </w:rPr>
        <w:footnoteReference w:id="398"/>
      </w:r>
      <w:r w:rsidRPr="00C454A1">
        <w:rPr>
          <w:rFonts w:cs="Times New Roman"/>
          <w:color w:val="000000" w:themeColor="text1"/>
        </w:rPr>
        <w:t xml:space="preserve"> para conjurar sus efectos en las instituciones y la convivencia ciudadana. </w:t>
      </w:r>
    </w:p>
    <w:p w14:paraId="36719AF4" w14:textId="77777777" w:rsidR="004D3CA0" w:rsidRPr="00C454A1" w:rsidRDefault="004D3CA0" w:rsidP="004D3CA0">
      <w:pPr>
        <w:rPr>
          <w:rFonts w:cs="Times New Roman"/>
          <w:color w:val="000000" w:themeColor="text1"/>
        </w:rPr>
      </w:pPr>
    </w:p>
    <w:p w14:paraId="49FF8905" w14:textId="33A5AE2F" w:rsidR="00223DB2" w:rsidRPr="00C454A1" w:rsidRDefault="009D793F" w:rsidP="00321FAF">
      <w:pPr>
        <w:numPr>
          <w:ilvl w:val="0"/>
          <w:numId w:val="2"/>
        </w:numPr>
        <w:ind w:left="0" w:firstLine="0"/>
        <w:rPr>
          <w:rFonts w:cs="Times New Roman"/>
          <w:color w:val="000000" w:themeColor="text1"/>
        </w:rPr>
      </w:pPr>
      <w:bookmarkStart w:id="203" w:name="_Ref223948412"/>
      <w:r w:rsidRPr="00C454A1">
        <w:rPr>
          <w:rFonts w:cs="Times New Roman"/>
          <w:color w:val="000000" w:themeColor="text1"/>
        </w:rPr>
        <w:t xml:space="preserve">Lo anterior </w:t>
      </w:r>
      <w:r w:rsidR="00500CFF" w:rsidRPr="00C454A1">
        <w:rPr>
          <w:rFonts w:cs="Times New Roman"/>
          <w:color w:val="000000" w:themeColor="text1"/>
        </w:rPr>
        <w:t xml:space="preserve">exige </w:t>
      </w:r>
      <w:r w:rsidRPr="00C454A1">
        <w:rPr>
          <w:rFonts w:cs="Times New Roman"/>
          <w:color w:val="000000" w:themeColor="text1"/>
        </w:rPr>
        <w:t xml:space="preserve">que la Corte evalúe la valoración </w:t>
      </w:r>
      <w:r w:rsidR="000703D5" w:rsidRPr="00C454A1">
        <w:rPr>
          <w:rFonts w:cs="Times New Roman"/>
          <w:color w:val="000000" w:themeColor="text1"/>
        </w:rPr>
        <w:t xml:space="preserve">efectuada por </w:t>
      </w:r>
      <w:r w:rsidRPr="00C454A1">
        <w:rPr>
          <w:rFonts w:cs="Times New Roman"/>
          <w:color w:val="000000" w:themeColor="text1"/>
        </w:rPr>
        <w:t xml:space="preserve">el </w:t>
      </w:r>
      <w:r w:rsidR="007525E1" w:rsidRPr="00C454A1">
        <w:rPr>
          <w:rFonts w:cs="Times New Roman"/>
          <w:color w:val="000000" w:themeColor="text1"/>
        </w:rPr>
        <w:t>Gobierno nacional</w:t>
      </w:r>
      <w:r w:rsidR="00500CFF" w:rsidRPr="00C454A1">
        <w:rPr>
          <w:rFonts w:cs="Times New Roman"/>
          <w:color w:val="000000" w:themeColor="text1"/>
        </w:rPr>
        <w:t xml:space="preserve"> </w:t>
      </w:r>
      <w:r w:rsidR="000703D5" w:rsidRPr="00C454A1">
        <w:rPr>
          <w:rFonts w:cs="Times New Roman"/>
          <w:color w:val="000000" w:themeColor="text1"/>
        </w:rPr>
        <w:t>acerca de</w:t>
      </w:r>
      <w:r w:rsidRPr="00C454A1">
        <w:rPr>
          <w:rFonts w:cs="Times New Roman"/>
          <w:color w:val="000000" w:themeColor="text1"/>
        </w:rPr>
        <w:t xml:space="preserve"> la insuficiencia de sus poderes habituales</w:t>
      </w:r>
      <w:r w:rsidR="000D2DB0" w:rsidRPr="00C454A1">
        <w:rPr>
          <w:rFonts w:cs="Times New Roman"/>
          <w:color w:val="000000" w:themeColor="text1"/>
        </w:rPr>
        <w:t xml:space="preserve"> </w:t>
      </w:r>
      <w:r w:rsidR="000703D5" w:rsidRPr="00C454A1">
        <w:rPr>
          <w:rFonts w:cs="Times New Roman"/>
          <w:color w:val="000000" w:themeColor="text1"/>
        </w:rPr>
        <w:t>frente a</w:t>
      </w:r>
      <w:r w:rsidR="000D2DB0" w:rsidRPr="00C454A1">
        <w:rPr>
          <w:rFonts w:cs="Times New Roman"/>
          <w:color w:val="000000" w:themeColor="text1"/>
        </w:rPr>
        <w:t xml:space="preserve"> la específica perturbación del orden público que </w:t>
      </w:r>
      <w:r w:rsidR="000703D5" w:rsidRPr="00C454A1">
        <w:rPr>
          <w:rFonts w:cs="Times New Roman"/>
          <w:color w:val="000000" w:themeColor="text1"/>
        </w:rPr>
        <w:t>afronta</w:t>
      </w:r>
      <w:r w:rsidRPr="00C454A1">
        <w:rPr>
          <w:rFonts w:cs="Times New Roman"/>
          <w:color w:val="000000" w:themeColor="text1"/>
        </w:rPr>
        <w:t xml:space="preserve">. </w:t>
      </w:r>
      <w:r w:rsidR="000703D5" w:rsidRPr="00C454A1">
        <w:rPr>
          <w:rFonts w:cs="Times New Roman"/>
          <w:color w:val="000000" w:themeColor="text1"/>
        </w:rPr>
        <w:t>Tal</w:t>
      </w:r>
      <w:r w:rsidRPr="00C454A1">
        <w:rPr>
          <w:rFonts w:cs="Times New Roman"/>
          <w:color w:val="000000" w:themeColor="text1"/>
        </w:rPr>
        <w:t xml:space="preserve"> como se detall</w:t>
      </w:r>
      <w:r w:rsidR="00D47214" w:rsidRPr="00C454A1">
        <w:rPr>
          <w:rFonts w:cs="Times New Roman"/>
          <w:color w:val="000000" w:themeColor="text1"/>
        </w:rPr>
        <w:t>ó</w:t>
      </w:r>
      <w:r w:rsidRPr="00C454A1">
        <w:rPr>
          <w:rFonts w:cs="Times New Roman"/>
          <w:color w:val="000000" w:themeColor="text1"/>
        </w:rPr>
        <w:t xml:space="preserve"> </w:t>
      </w:r>
      <w:r w:rsidR="00D47214" w:rsidRPr="00C454A1">
        <w:rPr>
          <w:rFonts w:cs="Times New Roman"/>
          <w:color w:val="000000" w:themeColor="text1"/>
        </w:rPr>
        <w:t>en los fundamentos</w:t>
      </w:r>
      <w:r w:rsidR="001D0889" w:rsidRPr="00C454A1">
        <w:rPr>
          <w:rFonts w:cs="Times New Roman"/>
          <w:color w:val="000000" w:themeColor="text1"/>
        </w:rPr>
        <w:t xml:space="preserve"> </w:t>
      </w:r>
      <w:r w:rsidR="00262059" w:rsidRPr="00C454A1">
        <w:rPr>
          <w:rFonts w:cs="Times New Roman"/>
          <w:color w:val="000000" w:themeColor="text1"/>
        </w:rPr>
        <w:fldChar w:fldCharType="begin"/>
      </w:r>
      <w:r w:rsidR="00262059" w:rsidRPr="00C454A1">
        <w:rPr>
          <w:rFonts w:cs="Times New Roman"/>
          <w:color w:val="000000" w:themeColor="text1"/>
        </w:rPr>
        <w:instrText xml:space="preserve"> REF _Ref203401394 \r \h </w:instrText>
      </w:r>
      <w:r w:rsidR="000703D5" w:rsidRPr="00C454A1">
        <w:rPr>
          <w:rFonts w:cs="Times New Roman"/>
          <w:color w:val="000000" w:themeColor="text1"/>
        </w:rPr>
        <w:instrText xml:space="preserve"> \* MERGEFORMAT </w:instrText>
      </w:r>
      <w:r w:rsidR="00262059" w:rsidRPr="00C454A1">
        <w:rPr>
          <w:rFonts w:cs="Times New Roman"/>
          <w:color w:val="000000" w:themeColor="text1"/>
        </w:rPr>
      </w:r>
      <w:r w:rsidR="00262059" w:rsidRPr="00C454A1">
        <w:rPr>
          <w:rFonts w:cs="Times New Roman"/>
          <w:color w:val="000000" w:themeColor="text1"/>
        </w:rPr>
        <w:fldChar w:fldCharType="separate"/>
      </w:r>
      <w:r w:rsidR="00881E6A">
        <w:rPr>
          <w:rFonts w:cs="Times New Roman"/>
          <w:color w:val="000000" w:themeColor="text1"/>
        </w:rPr>
        <w:t>89</w:t>
      </w:r>
      <w:r w:rsidR="00262059" w:rsidRPr="00C454A1">
        <w:rPr>
          <w:rFonts w:cs="Times New Roman"/>
          <w:color w:val="000000" w:themeColor="text1"/>
        </w:rPr>
        <w:fldChar w:fldCharType="end"/>
      </w:r>
      <w:r w:rsidR="00262059" w:rsidRPr="00C454A1">
        <w:rPr>
          <w:rFonts w:cs="Times New Roman"/>
          <w:color w:val="000000" w:themeColor="text1"/>
        </w:rPr>
        <w:t xml:space="preserve"> a </w:t>
      </w:r>
      <w:r w:rsidR="00042B82" w:rsidRPr="00C454A1">
        <w:rPr>
          <w:rFonts w:cs="Times New Roman"/>
          <w:color w:val="000000" w:themeColor="text1"/>
        </w:rPr>
        <w:fldChar w:fldCharType="begin"/>
      </w:r>
      <w:r w:rsidR="00042B82" w:rsidRPr="00C454A1">
        <w:rPr>
          <w:rFonts w:cs="Times New Roman"/>
          <w:color w:val="000000" w:themeColor="text1"/>
        </w:rPr>
        <w:instrText xml:space="preserve"> REF _Ref203401408 \r \h </w:instrText>
      </w:r>
      <w:r w:rsidR="000703D5" w:rsidRPr="00C454A1">
        <w:rPr>
          <w:rFonts w:cs="Times New Roman"/>
          <w:color w:val="000000" w:themeColor="text1"/>
        </w:rPr>
        <w:instrText xml:space="preserve"> \* MERGEFORMAT </w:instrText>
      </w:r>
      <w:r w:rsidR="00042B82" w:rsidRPr="00C454A1">
        <w:rPr>
          <w:rFonts w:cs="Times New Roman"/>
          <w:color w:val="000000" w:themeColor="text1"/>
        </w:rPr>
      </w:r>
      <w:r w:rsidR="00042B82" w:rsidRPr="00C454A1">
        <w:rPr>
          <w:rFonts w:cs="Times New Roman"/>
          <w:color w:val="000000" w:themeColor="text1"/>
        </w:rPr>
        <w:fldChar w:fldCharType="separate"/>
      </w:r>
      <w:r w:rsidR="00881E6A">
        <w:rPr>
          <w:rFonts w:cs="Times New Roman"/>
          <w:color w:val="000000" w:themeColor="text1"/>
        </w:rPr>
        <w:t>100</w:t>
      </w:r>
      <w:r w:rsidR="00042B82" w:rsidRPr="00C454A1">
        <w:rPr>
          <w:rFonts w:cs="Times New Roman"/>
          <w:color w:val="000000" w:themeColor="text1"/>
        </w:rPr>
        <w:fldChar w:fldCharType="end"/>
      </w:r>
      <w:r w:rsidRPr="00C454A1">
        <w:rPr>
          <w:rFonts w:cs="Times New Roman"/>
          <w:color w:val="000000" w:themeColor="text1"/>
        </w:rPr>
        <w:t xml:space="preserve">, </w:t>
      </w:r>
      <w:r w:rsidR="000703D5" w:rsidRPr="00C454A1">
        <w:rPr>
          <w:rFonts w:cs="Times New Roman"/>
          <w:color w:val="000000" w:themeColor="text1"/>
        </w:rPr>
        <w:t xml:space="preserve">este examen </w:t>
      </w:r>
      <w:r w:rsidRPr="00C454A1">
        <w:rPr>
          <w:rFonts w:cs="Times New Roman"/>
          <w:color w:val="000000" w:themeColor="text1"/>
        </w:rPr>
        <w:t xml:space="preserve">se circunscribe a un juicio de mera </w:t>
      </w:r>
      <w:r w:rsidRPr="00C454A1">
        <w:rPr>
          <w:rFonts w:cs="Times New Roman"/>
          <w:color w:val="000000" w:themeColor="text1"/>
        </w:rPr>
        <w:lastRenderedPageBreak/>
        <w:t xml:space="preserve">razonabilidad basado en una evaluación global de los poderes ordinarios </w:t>
      </w:r>
      <w:r w:rsidR="000703D5" w:rsidRPr="00C454A1">
        <w:rPr>
          <w:rFonts w:cs="Times New Roman"/>
          <w:color w:val="000000" w:themeColor="text1"/>
        </w:rPr>
        <w:t xml:space="preserve">disponibles </w:t>
      </w:r>
      <w:r w:rsidRPr="00C454A1">
        <w:rPr>
          <w:rFonts w:cs="Times New Roman"/>
          <w:color w:val="000000" w:themeColor="text1"/>
        </w:rPr>
        <w:t xml:space="preserve">en el contexto de las causas </w:t>
      </w:r>
      <w:r w:rsidR="000703D5" w:rsidRPr="00C454A1">
        <w:rPr>
          <w:rFonts w:cs="Times New Roman"/>
          <w:color w:val="000000" w:themeColor="text1"/>
        </w:rPr>
        <w:t>concretas</w:t>
      </w:r>
      <w:r w:rsidR="000D2DB0" w:rsidRPr="00C454A1">
        <w:rPr>
          <w:rFonts w:cs="Times New Roman"/>
          <w:color w:val="000000" w:themeColor="text1"/>
        </w:rPr>
        <w:t xml:space="preserve"> </w:t>
      </w:r>
      <w:r w:rsidRPr="00C454A1">
        <w:rPr>
          <w:rFonts w:cs="Times New Roman"/>
          <w:color w:val="000000" w:themeColor="text1"/>
        </w:rPr>
        <w:t xml:space="preserve">que dieron lugar a la declaración de la conmoción interior. </w:t>
      </w:r>
      <w:r w:rsidR="00223DB2" w:rsidRPr="00C454A1">
        <w:rPr>
          <w:rFonts w:cs="Times New Roman"/>
          <w:color w:val="000000" w:themeColor="text1"/>
        </w:rPr>
        <w:t xml:space="preserve">Este carácter global de la evaluación busca preservar un margen suficiente para el control constitucional de los decretos de desarrollo. Es </w:t>
      </w:r>
      <w:r w:rsidR="00F76B2F" w:rsidRPr="00C454A1">
        <w:rPr>
          <w:rFonts w:cs="Times New Roman"/>
          <w:color w:val="000000" w:themeColor="text1"/>
        </w:rPr>
        <w:t xml:space="preserve">en </w:t>
      </w:r>
      <w:r w:rsidR="00223DB2" w:rsidRPr="00C454A1">
        <w:rPr>
          <w:rFonts w:cs="Times New Roman"/>
          <w:color w:val="000000" w:themeColor="text1"/>
        </w:rPr>
        <w:t>este ámbito donde la Corte debe conducir un examen más detallado de la suficiencia de l</w:t>
      </w:r>
      <w:r w:rsidR="00F76B2F" w:rsidRPr="00C454A1">
        <w:rPr>
          <w:rFonts w:cs="Times New Roman"/>
          <w:color w:val="000000" w:themeColor="text1"/>
        </w:rPr>
        <w:t>os</w:t>
      </w:r>
      <w:r w:rsidR="00223DB2" w:rsidRPr="00C454A1">
        <w:rPr>
          <w:rFonts w:cs="Times New Roman"/>
          <w:color w:val="000000" w:themeColor="text1"/>
        </w:rPr>
        <w:t xml:space="preserve"> poderes ordinarios en contraste con </w:t>
      </w:r>
      <w:r w:rsidR="00F76B2F" w:rsidRPr="00C454A1">
        <w:rPr>
          <w:rFonts w:cs="Times New Roman"/>
          <w:color w:val="000000" w:themeColor="text1"/>
        </w:rPr>
        <w:t>las</w:t>
      </w:r>
      <w:r w:rsidR="00223DB2" w:rsidRPr="00C454A1">
        <w:rPr>
          <w:rFonts w:cs="Times New Roman"/>
          <w:color w:val="000000" w:themeColor="text1"/>
        </w:rPr>
        <w:t xml:space="preserve"> medidas específicas que el Gobierno nacional ha decidido adoptar para conjurar la perturbación del orden público</w:t>
      </w:r>
      <w:r w:rsidR="00F76B2F" w:rsidRPr="00C454A1">
        <w:rPr>
          <w:rFonts w:cs="Times New Roman"/>
          <w:color w:val="000000" w:themeColor="text1"/>
        </w:rPr>
        <w:t xml:space="preserve"> y su respectiva justificación.</w:t>
      </w:r>
    </w:p>
    <w:p w14:paraId="6B385AAF" w14:textId="77777777" w:rsidR="00223DB2" w:rsidRPr="00C454A1" w:rsidRDefault="00223DB2" w:rsidP="00223DB2">
      <w:pPr>
        <w:pStyle w:val="Prrafodelista"/>
        <w:rPr>
          <w:rFonts w:cs="Times New Roman"/>
          <w:color w:val="000000" w:themeColor="text1"/>
        </w:rPr>
      </w:pPr>
    </w:p>
    <w:p w14:paraId="3EFC161A" w14:textId="4D204EC9" w:rsidR="00E2427D" w:rsidRPr="00C454A1" w:rsidRDefault="000703D5" w:rsidP="00321FAF">
      <w:pPr>
        <w:numPr>
          <w:ilvl w:val="0"/>
          <w:numId w:val="2"/>
        </w:numPr>
        <w:ind w:left="0" w:firstLine="0"/>
        <w:rPr>
          <w:rFonts w:cs="Times New Roman"/>
          <w:color w:val="000000" w:themeColor="text1"/>
        </w:rPr>
      </w:pPr>
      <w:r w:rsidRPr="00C454A1">
        <w:rPr>
          <w:rFonts w:cs="Times New Roman"/>
          <w:color w:val="000000" w:themeColor="text1"/>
        </w:rPr>
        <w:t>E</w:t>
      </w:r>
      <w:r w:rsidR="004D3CA0" w:rsidRPr="00C454A1">
        <w:rPr>
          <w:rFonts w:cs="Times New Roman"/>
          <w:color w:val="000000" w:themeColor="text1"/>
        </w:rPr>
        <w:t xml:space="preserve">l juicio de la Corte sobre el presupuesto de suficiencia debe </w:t>
      </w:r>
      <w:r w:rsidRPr="00C454A1">
        <w:rPr>
          <w:rFonts w:cs="Times New Roman"/>
          <w:color w:val="000000" w:themeColor="text1"/>
        </w:rPr>
        <w:t xml:space="preserve">además </w:t>
      </w:r>
      <w:r w:rsidR="004D3CA0" w:rsidRPr="00C454A1">
        <w:rPr>
          <w:rFonts w:cs="Times New Roman"/>
          <w:color w:val="000000" w:themeColor="text1"/>
        </w:rPr>
        <w:t>conducirse</w:t>
      </w:r>
      <w:r w:rsidR="000D2DB0" w:rsidRPr="00C454A1">
        <w:rPr>
          <w:rFonts w:cs="Times New Roman"/>
          <w:color w:val="000000" w:themeColor="text1"/>
        </w:rPr>
        <w:t xml:space="preserve"> en términos funcionales y temporales, no estructurales</w:t>
      </w:r>
      <w:r w:rsidR="004D3CA0" w:rsidRPr="00C454A1">
        <w:rPr>
          <w:rFonts w:cs="Times New Roman"/>
          <w:color w:val="000000" w:themeColor="text1"/>
        </w:rPr>
        <w:t xml:space="preserve">. </w:t>
      </w:r>
      <w:r w:rsidRPr="00C454A1">
        <w:rPr>
          <w:color w:val="000000" w:themeColor="text1"/>
        </w:rPr>
        <w:t>Lo relevante no es determinar si el ordenamiento jurídico dispone, en abstracto, de instrumentos ordinarios que eventualmente podrían emplearse para conjurar perturbaciones del orden público, sino establecer si, dadas las circunstancias específicas de la crisis que se enfrenta</w:t>
      </w:r>
      <w:r w:rsidR="00223DB2" w:rsidRPr="00C454A1">
        <w:rPr>
          <w:color w:val="000000" w:themeColor="text1"/>
        </w:rPr>
        <w:t xml:space="preserve"> y de manera global</w:t>
      </w:r>
      <w:r w:rsidRPr="00C454A1">
        <w:rPr>
          <w:color w:val="000000" w:themeColor="text1"/>
        </w:rPr>
        <w:t>, tales instrumentos resultan idóneos y suficientes para ofrecer una respuesta adecuada, eficaz y oportuna</w:t>
      </w:r>
      <w:r w:rsidR="000D2DB0" w:rsidRPr="00C454A1">
        <w:rPr>
          <w:rFonts w:cs="Times New Roman"/>
          <w:color w:val="000000" w:themeColor="text1"/>
        </w:rPr>
        <w:t>.</w:t>
      </w:r>
      <w:bookmarkEnd w:id="203"/>
    </w:p>
    <w:p w14:paraId="63FACA7D" w14:textId="77777777" w:rsidR="00E2427D" w:rsidRPr="00C454A1" w:rsidRDefault="00E2427D" w:rsidP="00E2427D">
      <w:pPr>
        <w:rPr>
          <w:rFonts w:cs="Times New Roman"/>
          <w:color w:val="000000" w:themeColor="text1"/>
        </w:rPr>
      </w:pPr>
    </w:p>
    <w:p w14:paraId="7365883C" w14:textId="4006AFE6" w:rsidR="009D793F" w:rsidRPr="00C454A1" w:rsidRDefault="009D793F" w:rsidP="00321FAF">
      <w:pPr>
        <w:numPr>
          <w:ilvl w:val="0"/>
          <w:numId w:val="2"/>
        </w:numPr>
        <w:ind w:left="0" w:firstLine="0"/>
        <w:rPr>
          <w:rFonts w:cs="Times New Roman"/>
          <w:color w:val="000000" w:themeColor="text1"/>
        </w:rPr>
      </w:pPr>
      <w:r w:rsidRPr="00C454A1">
        <w:rPr>
          <w:rFonts w:cs="Times New Roman"/>
          <w:color w:val="000000" w:themeColor="text1"/>
        </w:rPr>
        <w:t xml:space="preserve">La Sala llevará a cabo el examen del presupuesto de suficiencia solamente en relación con los hechos que, como se concluyó en la sección </w:t>
      </w:r>
      <w:r w:rsidR="00AF0EA4" w:rsidRPr="00C454A1">
        <w:rPr>
          <w:rFonts w:cs="Times New Roman"/>
          <w:color w:val="000000" w:themeColor="text1"/>
        </w:rPr>
        <w:fldChar w:fldCharType="begin"/>
      </w:r>
      <w:r w:rsidR="00AF0EA4" w:rsidRPr="00C454A1">
        <w:rPr>
          <w:rFonts w:cs="Times New Roman"/>
          <w:color w:val="000000" w:themeColor="text1"/>
        </w:rPr>
        <w:instrText xml:space="preserve"> REF _Ref203397057 \r \h </w:instrText>
      </w:r>
      <w:r w:rsidR="009421B8" w:rsidRPr="00C454A1">
        <w:rPr>
          <w:rFonts w:cs="Times New Roman"/>
          <w:color w:val="000000" w:themeColor="text1"/>
        </w:rPr>
        <w:instrText xml:space="preserve"> \* MERGEFORMAT </w:instrText>
      </w:r>
      <w:r w:rsidR="00AF0EA4" w:rsidRPr="00C454A1">
        <w:rPr>
          <w:rFonts w:cs="Times New Roman"/>
          <w:color w:val="000000" w:themeColor="text1"/>
        </w:rPr>
      </w:r>
      <w:r w:rsidR="00AF0EA4" w:rsidRPr="00C454A1">
        <w:rPr>
          <w:rFonts w:cs="Times New Roman"/>
          <w:color w:val="000000" w:themeColor="text1"/>
        </w:rPr>
        <w:fldChar w:fldCharType="separate"/>
      </w:r>
      <w:r w:rsidR="00881E6A">
        <w:rPr>
          <w:rFonts w:cs="Times New Roman"/>
          <w:color w:val="000000" w:themeColor="text1"/>
        </w:rPr>
        <w:t>6.2</w:t>
      </w:r>
      <w:r w:rsidR="00AF0EA4" w:rsidRPr="00C454A1">
        <w:rPr>
          <w:rFonts w:cs="Times New Roman"/>
          <w:color w:val="000000" w:themeColor="text1"/>
        </w:rPr>
        <w:fldChar w:fldCharType="end"/>
      </w:r>
      <w:r w:rsidRPr="00C454A1">
        <w:rPr>
          <w:rFonts w:cs="Times New Roman"/>
          <w:color w:val="000000" w:themeColor="text1"/>
        </w:rPr>
        <w:t>, fueron adecuadamente valorados como graves, excepcionales y que atentan inminentemente contra la estabilidad institucional, la seguridad del Estado y la convivencia ciudadana. Respecto de ellos</w:t>
      </w:r>
      <w:r w:rsidR="0059310D" w:rsidRPr="00C454A1">
        <w:rPr>
          <w:rFonts w:cs="Times New Roman"/>
          <w:color w:val="000000" w:themeColor="text1"/>
        </w:rPr>
        <w:t>, a juicio de esta Corte,</w:t>
      </w:r>
      <w:r w:rsidRPr="00C454A1">
        <w:rPr>
          <w:rFonts w:cs="Times New Roman"/>
          <w:color w:val="000000" w:themeColor="text1"/>
        </w:rPr>
        <w:t xml:space="preserve"> se encuentra acreditada la insuficiencia de los medios ordinarios porque, </w:t>
      </w:r>
      <w:r w:rsidRPr="00C454A1">
        <w:rPr>
          <w:color w:val="000000" w:themeColor="text1"/>
        </w:rPr>
        <w:t xml:space="preserve">aunque el </w:t>
      </w:r>
      <w:r w:rsidR="007525E1" w:rsidRPr="00C454A1">
        <w:rPr>
          <w:color w:val="000000" w:themeColor="text1"/>
        </w:rPr>
        <w:t>Gobierno nacional</w:t>
      </w:r>
      <w:r w:rsidRPr="00C454A1">
        <w:rPr>
          <w:color w:val="000000" w:themeColor="text1"/>
        </w:rPr>
        <w:t xml:space="preserve"> tiene </w:t>
      </w:r>
      <w:r w:rsidR="000703D5" w:rsidRPr="00C454A1">
        <w:rPr>
          <w:color w:val="000000" w:themeColor="text1"/>
        </w:rPr>
        <w:t xml:space="preserve">en abstracto </w:t>
      </w:r>
      <w:r w:rsidRPr="00C454A1">
        <w:rPr>
          <w:color w:val="000000" w:themeColor="text1"/>
        </w:rPr>
        <w:t xml:space="preserve">atribuciones robustas para atender problemas relacionados con el orden público y la garantía de </w:t>
      </w:r>
      <w:r w:rsidR="000703D5" w:rsidRPr="00C454A1">
        <w:rPr>
          <w:color w:val="000000" w:themeColor="text1"/>
        </w:rPr>
        <w:t xml:space="preserve">los </w:t>
      </w:r>
      <w:r w:rsidRPr="00C454A1">
        <w:rPr>
          <w:color w:val="000000" w:themeColor="text1"/>
        </w:rPr>
        <w:t>derechos de la población civil ante eventos de desplazamiento forzado</w:t>
      </w:r>
      <w:r w:rsidR="000703D5" w:rsidRPr="00C454A1">
        <w:rPr>
          <w:color w:val="000000" w:themeColor="text1"/>
        </w:rPr>
        <w:t>,</w:t>
      </w:r>
      <w:r w:rsidRPr="00C454A1">
        <w:rPr>
          <w:color w:val="000000" w:themeColor="text1"/>
        </w:rPr>
        <w:t xml:space="preserve"> confinamientos</w:t>
      </w:r>
      <w:r w:rsidR="000703D5" w:rsidRPr="00C454A1">
        <w:rPr>
          <w:color w:val="000000" w:themeColor="text1"/>
        </w:rPr>
        <w:t xml:space="preserve"> y otros hechos victimizantes</w:t>
      </w:r>
      <w:r w:rsidRPr="00C454A1">
        <w:rPr>
          <w:color w:val="000000" w:themeColor="text1"/>
        </w:rPr>
        <w:t xml:space="preserve">, en este caso existen importantes indicios de desbordamiento institucional e incapacidad de esos mecanismos para responder de forma </w:t>
      </w:r>
      <w:r w:rsidR="000703D5" w:rsidRPr="00C454A1">
        <w:rPr>
          <w:color w:val="000000" w:themeColor="text1"/>
        </w:rPr>
        <w:t xml:space="preserve">adecuada, </w:t>
      </w:r>
      <w:r w:rsidRPr="00C454A1">
        <w:rPr>
          <w:color w:val="000000" w:themeColor="text1"/>
        </w:rPr>
        <w:t xml:space="preserve">oportuna </w:t>
      </w:r>
      <w:r w:rsidR="000703D5" w:rsidRPr="00C454A1">
        <w:rPr>
          <w:color w:val="000000" w:themeColor="text1"/>
        </w:rPr>
        <w:t xml:space="preserve">y eficaz </w:t>
      </w:r>
      <w:r w:rsidRPr="00C454A1">
        <w:rPr>
          <w:color w:val="000000" w:themeColor="text1"/>
        </w:rPr>
        <w:t>a una crisis de la magnitud de la que enfrenta el Catatumbo y que continuó agravándose después de la declaración del estado de conmoción interior</w:t>
      </w:r>
      <w:r w:rsidR="000703D5" w:rsidRPr="00C454A1">
        <w:rPr>
          <w:color w:val="000000" w:themeColor="text1"/>
        </w:rPr>
        <w:t>. Esto lleva a la Sala a concluir que el Gobierno nacional no erró al calificar sus poderes habituales como insuficientes ante esta específica crisis.</w:t>
      </w:r>
    </w:p>
    <w:p w14:paraId="19284868" w14:textId="77777777" w:rsidR="009D793F" w:rsidRPr="00C454A1" w:rsidRDefault="009D793F" w:rsidP="009D793F">
      <w:pPr>
        <w:rPr>
          <w:rFonts w:cs="Times New Roman"/>
          <w:color w:val="000000" w:themeColor="text1"/>
          <w:szCs w:val="28"/>
        </w:rPr>
      </w:pPr>
    </w:p>
    <w:p w14:paraId="60FE802B" w14:textId="1D9E390E" w:rsidR="00E2427D" w:rsidRPr="00C454A1" w:rsidRDefault="009D793F" w:rsidP="00321FAF">
      <w:pPr>
        <w:numPr>
          <w:ilvl w:val="0"/>
          <w:numId w:val="2"/>
        </w:numPr>
        <w:ind w:left="0" w:firstLine="0"/>
        <w:rPr>
          <w:color w:val="000000" w:themeColor="text1"/>
        </w:rPr>
      </w:pPr>
      <w:r w:rsidRPr="00C454A1">
        <w:rPr>
          <w:color w:val="000000" w:themeColor="text1"/>
        </w:rPr>
        <w:t xml:space="preserve">El estudio del presupuesto de suficiencia se dividirá en </w:t>
      </w:r>
      <w:r w:rsidR="0059310D" w:rsidRPr="00C454A1">
        <w:rPr>
          <w:color w:val="000000" w:themeColor="text1"/>
        </w:rPr>
        <w:t>cuatro</w:t>
      </w:r>
      <w:r w:rsidRPr="00C454A1">
        <w:rPr>
          <w:color w:val="000000" w:themeColor="text1"/>
        </w:rPr>
        <w:t xml:space="preserve"> partes. </w:t>
      </w:r>
      <w:r w:rsidR="009E7980" w:rsidRPr="00C454A1">
        <w:rPr>
          <w:color w:val="000000" w:themeColor="text1"/>
        </w:rPr>
        <w:t>L</w:t>
      </w:r>
      <w:r w:rsidRPr="00C454A1">
        <w:rPr>
          <w:color w:val="000000" w:themeColor="text1"/>
        </w:rPr>
        <w:t xml:space="preserve">a primera resumirá las razones por las cuales el </w:t>
      </w:r>
      <w:r w:rsidR="007525E1" w:rsidRPr="00C454A1">
        <w:rPr>
          <w:color w:val="000000" w:themeColor="text1"/>
        </w:rPr>
        <w:t>Gobierno nacional</w:t>
      </w:r>
      <w:r w:rsidRPr="00C454A1">
        <w:rPr>
          <w:color w:val="000000" w:themeColor="text1"/>
        </w:rPr>
        <w:t xml:space="preserve"> argumenta que sus poderes ordinarios son insuficientes para atender la crisis del Catatumbo. En la </w:t>
      </w:r>
      <w:r w:rsidR="001D0889" w:rsidRPr="00C454A1">
        <w:rPr>
          <w:color w:val="000000" w:themeColor="text1"/>
        </w:rPr>
        <w:t>segunda</w:t>
      </w:r>
      <w:r w:rsidRPr="00C454A1">
        <w:rPr>
          <w:color w:val="000000" w:themeColor="text1"/>
        </w:rPr>
        <w:t xml:space="preserve"> parte, la Sala </w:t>
      </w:r>
      <w:r w:rsidR="00161473" w:rsidRPr="00C454A1">
        <w:rPr>
          <w:color w:val="000000" w:themeColor="text1"/>
        </w:rPr>
        <w:t>examinará</w:t>
      </w:r>
      <w:r w:rsidR="00983BA8" w:rsidRPr="00C454A1">
        <w:rPr>
          <w:color w:val="000000" w:themeColor="text1"/>
        </w:rPr>
        <w:t>,</w:t>
      </w:r>
      <w:r w:rsidR="00161473" w:rsidRPr="00C454A1">
        <w:rPr>
          <w:color w:val="000000" w:themeColor="text1"/>
        </w:rPr>
        <w:t xml:space="preserve"> en términos generales</w:t>
      </w:r>
      <w:r w:rsidR="0072350F" w:rsidRPr="00C454A1">
        <w:rPr>
          <w:color w:val="000000" w:themeColor="text1"/>
        </w:rPr>
        <w:t xml:space="preserve"> y abstractos</w:t>
      </w:r>
      <w:r w:rsidR="00983BA8" w:rsidRPr="00C454A1">
        <w:rPr>
          <w:color w:val="000000" w:themeColor="text1"/>
        </w:rPr>
        <w:t>,</w:t>
      </w:r>
      <w:r w:rsidR="00161473" w:rsidRPr="00C454A1">
        <w:rPr>
          <w:color w:val="000000" w:themeColor="text1"/>
        </w:rPr>
        <w:t xml:space="preserve"> las atribuciones que tiene el Gobierno nacional para atender los hechos</w:t>
      </w:r>
      <w:r w:rsidR="00042636" w:rsidRPr="00C454A1">
        <w:rPr>
          <w:color w:val="000000" w:themeColor="text1"/>
        </w:rPr>
        <w:t xml:space="preserve"> que originaron la declaración de conmoción y que superaron los juicios de los presupuestos fáctico y valorativo</w:t>
      </w:r>
      <w:r w:rsidR="002B4636" w:rsidRPr="00C454A1">
        <w:rPr>
          <w:color w:val="000000" w:themeColor="text1"/>
        </w:rPr>
        <w:t xml:space="preserve">. </w:t>
      </w:r>
      <w:r w:rsidR="00F9685B" w:rsidRPr="00C454A1">
        <w:rPr>
          <w:color w:val="000000" w:themeColor="text1"/>
        </w:rPr>
        <w:t>En l</w:t>
      </w:r>
      <w:r w:rsidR="00042636" w:rsidRPr="00C454A1">
        <w:rPr>
          <w:rFonts w:cs="Times New Roman"/>
          <w:color w:val="000000" w:themeColor="text1"/>
          <w:szCs w:val="28"/>
        </w:rPr>
        <w:t xml:space="preserve">a tercera </w:t>
      </w:r>
      <w:r w:rsidR="00983BA8" w:rsidRPr="00C454A1">
        <w:rPr>
          <w:rFonts w:cs="Times New Roman"/>
          <w:color w:val="000000" w:themeColor="text1"/>
          <w:szCs w:val="28"/>
        </w:rPr>
        <w:t>parte</w:t>
      </w:r>
      <w:r w:rsidR="00042B82" w:rsidRPr="00C454A1">
        <w:rPr>
          <w:rFonts w:cs="Times New Roman"/>
          <w:color w:val="000000" w:themeColor="text1"/>
          <w:szCs w:val="28"/>
        </w:rPr>
        <w:t>,</w:t>
      </w:r>
      <w:r w:rsidR="00F9685B" w:rsidRPr="00C454A1">
        <w:rPr>
          <w:rFonts w:cs="Times New Roman"/>
          <w:color w:val="000000" w:themeColor="text1"/>
          <w:szCs w:val="28"/>
        </w:rPr>
        <w:t xml:space="preserve"> la Sala</w:t>
      </w:r>
      <w:r w:rsidR="00983BA8" w:rsidRPr="00C454A1">
        <w:rPr>
          <w:rFonts w:cs="Times New Roman"/>
          <w:color w:val="000000" w:themeColor="text1"/>
          <w:szCs w:val="28"/>
        </w:rPr>
        <w:t xml:space="preserve"> </w:t>
      </w:r>
      <w:r w:rsidRPr="00C454A1">
        <w:rPr>
          <w:color w:val="000000" w:themeColor="text1"/>
        </w:rPr>
        <w:t xml:space="preserve">valorará </w:t>
      </w:r>
      <w:r w:rsidR="00983BA8" w:rsidRPr="00C454A1">
        <w:rPr>
          <w:color w:val="000000" w:themeColor="text1"/>
        </w:rPr>
        <w:t>los argumentos y elementos de juicio aportados por el Gobierno nacional</w:t>
      </w:r>
      <w:r w:rsidRPr="00C454A1">
        <w:rPr>
          <w:color w:val="000000" w:themeColor="text1"/>
        </w:rPr>
        <w:t xml:space="preserve"> </w:t>
      </w:r>
      <w:r w:rsidR="00983BA8" w:rsidRPr="00C454A1">
        <w:rPr>
          <w:color w:val="000000" w:themeColor="text1"/>
        </w:rPr>
        <w:t xml:space="preserve">sobre la insuficiencia de </w:t>
      </w:r>
      <w:r w:rsidR="00042B82" w:rsidRPr="00C454A1">
        <w:rPr>
          <w:color w:val="000000" w:themeColor="text1"/>
        </w:rPr>
        <w:t xml:space="preserve">sus competencias </w:t>
      </w:r>
      <w:r w:rsidR="00983BA8" w:rsidRPr="00C454A1">
        <w:rPr>
          <w:color w:val="000000" w:themeColor="text1"/>
        </w:rPr>
        <w:t>ordinarias</w:t>
      </w:r>
      <w:r w:rsidR="0059310D" w:rsidRPr="00C454A1">
        <w:rPr>
          <w:color w:val="000000" w:themeColor="text1"/>
        </w:rPr>
        <w:t xml:space="preserve">. Para ello tendrá </w:t>
      </w:r>
      <w:r w:rsidR="004656B3" w:rsidRPr="00C454A1">
        <w:rPr>
          <w:color w:val="000000" w:themeColor="text1"/>
        </w:rPr>
        <w:t>en cuenta</w:t>
      </w:r>
      <w:r w:rsidR="0059310D" w:rsidRPr="00C454A1">
        <w:rPr>
          <w:color w:val="000000" w:themeColor="text1"/>
        </w:rPr>
        <w:t xml:space="preserve"> </w:t>
      </w:r>
      <w:r w:rsidRPr="00C454A1">
        <w:rPr>
          <w:color w:val="000000" w:themeColor="text1"/>
        </w:rPr>
        <w:t xml:space="preserve">la normativa vigente y los problemas de desbordamiento institucional que han sido mencionados a lo largo de este fallo. </w:t>
      </w:r>
      <w:r w:rsidR="00F9685B" w:rsidRPr="00C454A1">
        <w:rPr>
          <w:color w:val="000000" w:themeColor="text1"/>
        </w:rPr>
        <w:t>La última sección expondrá las conclusiones.</w:t>
      </w:r>
    </w:p>
    <w:p w14:paraId="0E95035C" w14:textId="77777777" w:rsidR="00983BA8" w:rsidRPr="00C454A1" w:rsidRDefault="00983BA8" w:rsidP="00983BA8">
      <w:pPr>
        <w:rPr>
          <w:color w:val="000000" w:themeColor="text1"/>
        </w:rPr>
      </w:pPr>
    </w:p>
    <w:p w14:paraId="631A3AA6" w14:textId="3F00CB92" w:rsidR="005A5FDC" w:rsidRPr="00C454A1" w:rsidRDefault="005A5FDC" w:rsidP="00A847BE">
      <w:pPr>
        <w:pStyle w:val="Prrafodelista"/>
        <w:widowControl w:val="0"/>
        <w:numPr>
          <w:ilvl w:val="2"/>
          <w:numId w:val="3"/>
        </w:numPr>
        <w:ind w:left="1134" w:hanging="708"/>
        <w:outlineLvl w:val="0"/>
        <w:rPr>
          <w:b/>
          <w:bCs/>
          <w:color w:val="000000" w:themeColor="text1"/>
        </w:rPr>
      </w:pPr>
      <w:bookmarkStart w:id="204" w:name="_Toc223979957"/>
      <w:bookmarkStart w:id="205" w:name="_Hlk198913394"/>
      <w:bookmarkStart w:id="206" w:name="_Hlk194845275"/>
      <w:bookmarkStart w:id="207" w:name="_Hlk194845227"/>
      <w:r w:rsidRPr="00C454A1">
        <w:rPr>
          <w:b/>
          <w:bCs/>
          <w:color w:val="000000" w:themeColor="text1"/>
        </w:rPr>
        <w:lastRenderedPageBreak/>
        <w:t xml:space="preserve">Resumen de los argumentos del </w:t>
      </w:r>
      <w:r w:rsidR="007525E1" w:rsidRPr="00C454A1">
        <w:rPr>
          <w:b/>
          <w:bCs/>
          <w:color w:val="000000" w:themeColor="text1"/>
        </w:rPr>
        <w:t>Gobierno nacional</w:t>
      </w:r>
      <w:r w:rsidRPr="00C454A1">
        <w:rPr>
          <w:b/>
          <w:bCs/>
          <w:color w:val="000000" w:themeColor="text1"/>
        </w:rPr>
        <w:t xml:space="preserve"> sobre la </w:t>
      </w:r>
      <w:r w:rsidRPr="00C454A1">
        <w:rPr>
          <w:b/>
          <w:bCs/>
          <w:color w:val="000000" w:themeColor="text1"/>
          <w:lang w:eastAsia="es-ES"/>
        </w:rPr>
        <w:t>insuficiencia</w:t>
      </w:r>
      <w:r w:rsidRPr="00C454A1">
        <w:rPr>
          <w:b/>
          <w:bCs/>
          <w:color w:val="000000" w:themeColor="text1"/>
        </w:rPr>
        <w:t xml:space="preserve"> de sus atribuciones ordinarias</w:t>
      </w:r>
      <w:bookmarkEnd w:id="204"/>
    </w:p>
    <w:bookmarkEnd w:id="205"/>
    <w:p w14:paraId="0048E77F" w14:textId="77777777" w:rsidR="005A5FDC" w:rsidRPr="00C454A1" w:rsidRDefault="005A5FDC" w:rsidP="005A5FDC">
      <w:pPr>
        <w:widowControl w:val="0"/>
        <w:outlineLvl w:val="0"/>
        <w:rPr>
          <w:b/>
          <w:bCs/>
          <w:color w:val="000000" w:themeColor="text1"/>
        </w:rPr>
      </w:pPr>
    </w:p>
    <w:p w14:paraId="07E5A9EA" w14:textId="20BED64A" w:rsidR="005A5FDC" w:rsidRPr="00C454A1" w:rsidRDefault="005A5FDC" w:rsidP="00321FAF">
      <w:pPr>
        <w:numPr>
          <w:ilvl w:val="0"/>
          <w:numId w:val="2"/>
        </w:numPr>
        <w:ind w:left="0" w:firstLine="0"/>
        <w:rPr>
          <w:rFonts w:cs="Times New Roman"/>
          <w:color w:val="000000" w:themeColor="text1"/>
          <w:szCs w:val="28"/>
        </w:rPr>
      </w:pPr>
      <w:bookmarkStart w:id="208" w:name="_Ref219390930"/>
      <w:r w:rsidRPr="00C454A1">
        <w:rPr>
          <w:rFonts w:cs="Times New Roman"/>
          <w:color w:val="000000" w:themeColor="text1"/>
          <w:szCs w:val="28"/>
        </w:rPr>
        <w:t xml:space="preserve">El acápite III de la parte motiva del decreto declaratorio se titula “Presupuesto de necesidad e insuficiencia de las medidas ordinarias”. Este acápite tiene 38 considerandos. Los considerandos 4-37 presentan las razones por las cuales el </w:t>
      </w:r>
      <w:r w:rsidR="007525E1" w:rsidRPr="00C454A1">
        <w:rPr>
          <w:rFonts w:cs="Times New Roman"/>
          <w:color w:val="000000" w:themeColor="text1"/>
          <w:szCs w:val="28"/>
        </w:rPr>
        <w:t>Gobierno nacional</w:t>
      </w:r>
      <w:r w:rsidRPr="00C454A1">
        <w:rPr>
          <w:rFonts w:cs="Times New Roman"/>
          <w:color w:val="000000" w:themeColor="text1"/>
          <w:szCs w:val="28"/>
        </w:rPr>
        <w:t xml:space="preserve"> considera que las medidas ordinarias son insuficientes para restaurar el orden público y conjurar sus efectos y, por lo tanto, es necesario adoptar medidas excepcionales. Los considerandos del acápite III de la parte motiva del Decreto 62 de 2025 pueden ser clasificados en ocho ejes temáticos:</w:t>
      </w:r>
      <w:bookmarkEnd w:id="208"/>
      <w:r w:rsidRPr="00C454A1">
        <w:rPr>
          <w:rFonts w:cs="Times New Roman"/>
          <w:color w:val="000000" w:themeColor="text1"/>
          <w:szCs w:val="28"/>
        </w:rPr>
        <w:t xml:space="preserve"> </w:t>
      </w:r>
    </w:p>
    <w:p w14:paraId="0D6C87B2" w14:textId="77777777" w:rsidR="00F4642E" w:rsidRPr="00C454A1" w:rsidRDefault="00F4642E" w:rsidP="005A5FDC">
      <w:pPr>
        <w:rPr>
          <w:rFonts w:cs="Times New Roman"/>
          <w:color w:val="000000" w:themeColor="text1"/>
          <w:szCs w:val="28"/>
        </w:rPr>
      </w:pPr>
    </w:p>
    <w:p w14:paraId="77E64778" w14:textId="127DC1C9" w:rsidR="00A13E7A" w:rsidRPr="00C454A1" w:rsidRDefault="00A13E7A" w:rsidP="00A13E7A">
      <w:pPr>
        <w:jc w:val="center"/>
        <w:rPr>
          <w:rFonts w:cs="Times New Roman"/>
          <w:i/>
          <w:iCs/>
          <w:color w:val="000000" w:themeColor="text1"/>
          <w:sz w:val="22"/>
          <w:szCs w:val="22"/>
        </w:rPr>
      </w:pPr>
      <w:r w:rsidRPr="00C454A1">
        <w:rPr>
          <w:rFonts w:cs="Times New Roman"/>
          <w:i/>
          <w:iCs/>
          <w:color w:val="000000" w:themeColor="text1"/>
          <w:sz w:val="22"/>
          <w:szCs w:val="22"/>
        </w:rPr>
        <w:t>Tabla 12: ejes temáticos del acápite III “Presupuesto de necesidad e insuficiencia de las medidas ordinarias” del decreto declaratorio</w:t>
      </w:r>
    </w:p>
    <w:tbl>
      <w:tblPr>
        <w:tblStyle w:val="Tablaconcuadrcula"/>
        <w:tblW w:w="0" w:type="auto"/>
        <w:tblLook w:val="04A0" w:firstRow="1" w:lastRow="0" w:firstColumn="1" w:lastColumn="0" w:noHBand="0" w:noVBand="1"/>
      </w:tblPr>
      <w:tblGrid>
        <w:gridCol w:w="8830"/>
      </w:tblGrid>
      <w:tr w:rsidR="00C454A1" w:rsidRPr="00C454A1" w14:paraId="2A8078C9" w14:textId="77777777" w:rsidTr="00EE77DF">
        <w:tc>
          <w:tcPr>
            <w:tcW w:w="8830" w:type="dxa"/>
            <w:shd w:val="clear" w:color="auto" w:fill="D9D9D9" w:themeFill="background1" w:themeFillShade="D9"/>
          </w:tcPr>
          <w:p w14:paraId="696388B5" w14:textId="77777777" w:rsidR="005A5FDC" w:rsidRPr="00C454A1" w:rsidRDefault="005A5FDC" w:rsidP="00EE77DF">
            <w:pPr>
              <w:tabs>
                <w:tab w:val="left" w:pos="567"/>
              </w:tabs>
              <w:jc w:val="center"/>
              <w:rPr>
                <w:rFonts w:cs="Times New Roman"/>
                <w:b/>
                <w:bCs/>
                <w:color w:val="000000" w:themeColor="text1"/>
                <w:sz w:val="22"/>
                <w:szCs w:val="22"/>
              </w:rPr>
            </w:pPr>
            <w:r w:rsidRPr="00C454A1">
              <w:rPr>
                <w:rFonts w:cs="Times New Roman"/>
                <w:b/>
                <w:bCs/>
                <w:color w:val="000000" w:themeColor="text1"/>
                <w:sz w:val="22"/>
                <w:szCs w:val="22"/>
              </w:rPr>
              <w:t>Presupuesto de suficiencia – ejes temáticos</w:t>
            </w:r>
          </w:p>
        </w:tc>
      </w:tr>
      <w:tr w:rsidR="005A5FDC" w:rsidRPr="00C454A1" w14:paraId="02E5F566" w14:textId="77777777" w:rsidTr="00EE77DF">
        <w:tc>
          <w:tcPr>
            <w:tcW w:w="8830" w:type="dxa"/>
          </w:tcPr>
          <w:p w14:paraId="1DA67DE7" w14:textId="33181FA9" w:rsidR="005A5FDC" w:rsidRPr="00C454A1" w:rsidRDefault="005A5FDC" w:rsidP="005D0BFA">
            <w:pPr>
              <w:pStyle w:val="Prrafodelista"/>
              <w:numPr>
                <w:ilvl w:val="0"/>
                <w:numId w:val="14"/>
              </w:numPr>
              <w:ind w:left="315" w:hanging="284"/>
              <w:rPr>
                <w:rFonts w:cs="Times New Roman"/>
                <w:color w:val="000000" w:themeColor="text1"/>
                <w:sz w:val="22"/>
                <w:szCs w:val="22"/>
              </w:rPr>
            </w:pPr>
            <w:r w:rsidRPr="00C454A1">
              <w:rPr>
                <w:rFonts w:cs="Times New Roman"/>
                <w:color w:val="000000" w:themeColor="text1"/>
                <w:sz w:val="22"/>
                <w:szCs w:val="22"/>
              </w:rPr>
              <w:t xml:space="preserve">La presunta insuficiencia de las atribuciones ordinarias de policía de la </w:t>
            </w:r>
            <w:r w:rsidR="00F858F2" w:rsidRPr="00C454A1">
              <w:rPr>
                <w:rFonts w:cs="Times New Roman"/>
                <w:color w:val="000000" w:themeColor="text1"/>
                <w:sz w:val="22"/>
                <w:szCs w:val="22"/>
              </w:rPr>
              <w:t>f</w:t>
            </w:r>
            <w:r w:rsidRPr="00C454A1">
              <w:rPr>
                <w:rFonts w:cs="Times New Roman"/>
                <w:color w:val="000000" w:themeColor="text1"/>
                <w:sz w:val="22"/>
                <w:szCs w:val="22"/>
              </w:rPr>
              <w:t xml:space="preserve">uerza </w:t>
            </w:r>
            <w:r w:rsidR="00F858F2" w:rsidRPr="00C454A1">
              <w:rPr>
                <w:rFonts w:cs="Times New Roman"/>
                <w:color w:val="000000" w:themeColor="text1"/>
                <w:sz w:val="22"/>
                <w:szCs w:val="22"/>
              </w:rPr>
              <w:t>p</w:t>
            </w:r>
            <w:r w:rsidRPr="00C454A1">
              <w:rPr>
                <w:rFonts w:cs="Times New Roman"/>
                <w:color w:val="000000" w:themeColor="text1"/>
                <w:sz w:val="22"/>
                <w:szCs w:val="22"/>
              </w:rPr>
              <w:t>ública —Fuerzas Militares y Policía Nacional— para restaurar el orden público (considerandos 5-7, 9-13 y 20).</w:t>
            </w:r>
          </w:p>
          <w:p w14:paraId="1738DA51" w14:textId="77777777" w:rsidR="005A5FDC" w:rsidRPr="00C454A1" w:rsidRDefault="005A5FDC" w:rsidP="005D0BFA">
            <w:pPr>
              <w:pStyle w:val="Prrafodelista"/>
              <w:numPr>
                <w:ilvl w:val="0"/>
                <w:numId w:val="14"/>
              </w:numPr>
              <w:ind w:left="315" w:hanging="284"/>
              <w:rPr>
                <w:rFonts w:cs="Times New Roman"/>
                <w:color w:val="000000" w:themeColor="text1"/>
                <w:sz w:val="22"/>
                <w:szCs w:val="22"/>
              </w:rPr>
            </w:pPr>
            <w:r w:rsidRPr="00C454A1">
              <w:rPr>
                <w:rFonts w:cs="Times New Roman"/>
                <w:color w:val="000000" w:themeColor="text1"/>
                <w:sz w:val="22"/>
                <w:szCs w:val="22"/>
              </w:rPr>
              <w:t xml:space="preserve">La presunta insuficiencia de las medidas ordinarias para garantizar la seguridad de la población firmante del AFP. </w:t>
            </w:r>
          </w:p>
          <w:p w14:paraId="7B1C0F44" w14:textId="77777777" w:rsidR="005A5FDC" w:rsidRPr="00C454A1" w:rsidRDefault="005A5FDC" w:rsidP="005D0BFA">
            <w:pPr>
              <w:pStyle w:val="Prrafodelista"/>
              <w:numPr>
                <w:ilvl w:val="0"/>
                <w:numId w:val="14"/>
              </w:numPr>
              <w:ind w:left="315" w:hanging="284"/>
              <w:rPr>
                <w:rFonts w:cs="Times New Roman"/>
                <w:color w:val="000000" w:themeColor="text1"/>
                <w:sz w:val="22"/>
                <w:szCs w:val="22"/>
              </w:rPr>
            </w:pPr>
            <w:r w:rsidRPr="00C454A1">
              <w:rPr>
                <w:rFonts w:cs="Times New Roman"/>
                <w:color w:val="000000" w:themeColor="text1"/>
                <w:sz w:val="22"/>
                <w:szCs w:val="22"/>
              </w:rPr>
              <w:t>La presunta insuficiencia de las medidas ordinarias para asegurar la atención humanitaria de las víctimas de desplazamiento forzado —interno y transfronterizo— y confinamiento (considerandos 8 y 14-16).</w:t>
            </w:r>
          </w:p>
          <w:p w14:paraId="7E82AC98" w14:textId="77777777" w:rsidR="005A5FDC" w:rsidRPr="00C454A1" w:rsidRDefault="005A5FDC" w:rsidP="005D0BFA">
            <w:pPr>
              <w:pStyle w:val="Prrafodelista"/>
              <w:numPr>
                <w:ilvl w:val="0"/>
                <w:numId w:val="14"/>
              </w:numPr>
              <w:ind w:left="315" w:hanging="284"/>
              <w:rPr>
                <w:rFonts w:cs="Times New Roman"/>
                <w:color w:val="000000" w:themeColor="text1"/>
                <w:sz w:val="22"/>
                <w:szCs w:val="22"/>
              </w:rPr>
            </w:pPr>
            <w:r w:rsidRPr="00C454A1">
              <w:rPr>
                <w:rFonts w:cs="Times New Roman"/>
                <w:color w:val="000000" w:themeColor="text1"/>
                <w:sz w:val="22"/>
                <w:szCs w:val="22"/>
              </w:rPr>
              <w:t>La presunta insuficiencia de las medidas ordinarias para asegurar a la población desplazada y confinada la prestación de los servicios públicos de salud, administración de justicia, agua potable, saneamiento básico, salud, educación y alimentación, entre otros.</w:t>
            </w:r>
          </w:p>
          <w:p w14:paraId="76243E06" w14:textId="77777777" w:rsidR="005A5FDC" w:rsidRPr="00C454A1" w:rsidRDefault="005A5FDC" w:rsidP="005D0BFA">
            <w:pPr>
              <w:pStyle w:val="Prrafodelista"/>
              <w:numPr>
                <w:ilvl w:val="0"/>
                <w:numId w:val="14"/>
              </w:numPr>
              <w:ind w:left="315" w:hanging="284"/>
              <w:rPr>
                <w:rFonts w:cs="Times New Roman"/>
                <w:color w:val="000000" w:themeColor="text1"/>
                <w:sz w:val="22"/>
                <w:szCs w:val="22"/>
              </w:rPr>
            </w:pPr>
            <w:r w:rsidRPr="00C454A1">
              <w:rPr>
                <w:rFonts w:cs="Times New Roman"/>
                <w:color w:val="000000" w:themeColor="text1"/>
                <w:sz w:val="22"/>
                <w:szCs w:val="22"/>
              </w:rPr>
              <w:t xml:space="preserve">La presunta insuficiencia de las medidas ordinarias para la protección de los ecosistemas y garantizar el funcionamiento de la institucionalidad ambiental. </w:t>
            </w:r>
          </w:p>
          <w:p w14:paraId="676C614A" w14:textId="77777777" w:rsidR="005A5FDC" w:rsidRPr="00C454A1" w:rsidRDefault="005A5FDC" w:rsidP="005D0BFA">
            <w:pPr>
              <w:pStyle w:val="Prrafodelista"/>
              <w:numPr>
                <w:ilvl w:val="0"/>
                <w:numId w:val="14"/>
              </w:numPr>
              <w:ind w:left="315" w:hanging="284"/>
              <w:rPr>
                <w:rFonts w:cs="Times New Roman"/>
                <w:color w:val="000000" w:themeColor="text1"/>
                <w:sz w:val="22"/>
                <w:szCs w:val="22"/>
              </w:rPr>
            </w:pPr>
            <w:r w:rsidRPr="00C454A1">
              <w:rPr>
                <w:rFonts w:cs="Times New Roman"/>
                <w:color w:val="000000" w:themeColor="text1"/>
                <w:sz w:val="22"/>
                <w:szCs w:val="22"/>
              </w:rPr>
              <w:t>Presunta insuficiencia de las medidas ordinarias para impulsar la sustitución de cultivos ilícitos e implementar el PNIS.</w:t>
            </w:r>
          </w:p>
          <w:p w14:paraId="43DD507D" w14:textId="77777777" w:rsidR="005A5FDC" w:rsidRPr="00C454A1" w:rsidRDefault="005A5FDC" w:rsidP="005D0BFA">
            <w:pPr>
              <w:pStyle w:val="Prrafodelista"/>
              <w:numPr>
                <w:ilvl w:val="0"/>
                <w:numId w:val="14"/>
              </w:numPr>
              <w:ind w:left="315" w:hanging="284"/>
              <w:rPr>
                <w:rFonts w:cs="Times New Roman"/>
                <w:color w:val="000000" w:themeColor="text1"/>
                <w:sz w:val="22"/>
                <w:szCs w:val="22"/>
              </w:rPr>
            </w:pPr>
            <w:r w:rsidRPr="00C454A1">
              <w:rPr>
                <w:rFonts w:cs="Times New Roman"/>
                <w:color w:val="000000" w:themeColor="text1"/>
                <w:sz w:val="22"/>
                <w:szCs w:val="22"/>
              </w:rPr>
              <w:t>Presunta insuficiencia de las medidas ordinarias para llevar a cabo “las inversiones, planes, programas y proyectos en la región del Catatumbo” encaminados a garantizar “la institucionalidad necesaria para superar las causas del conflicto”.</w:t>
            </w:r>
          </w:p>
          <w:p w14:paraId="1C65A7E0" w14:textId="2CD0BB56" w:rsidR="005A5FDC" w:rsidRPr="00C454A1" w:rsidRDefault="005A5FDC" w:rsidP="005D0BFA">
            <w:pPr>
              <w:pStyle w:val="Prrafodelista"/>
              <w:numPr>
                <w:ilvl w:val="0"/>
                <w:numId w:val="14"/>
              </w:numPr>
              <w:ind w:left="315" w:hanging="284"/>
              <w:rPr>
                <w:rFonts w:cs="Times New Roman"/>
                <w:color w:val="000000" w:themeColor="text1"/>
                <w:sz w:val="22"/>
                <w:szCs w:val="22"/>
              </w:rPr>
            </w:pPr>
            <w:r w:rsidRPr="00C454A1">
              <w:rPr>
                <w:rFonts w:cs="Times New Roman"/>
                <w:color w:val="000000" w:themeColor="text1"/>
                <w:sz w:val="22"/>
                <w:szCs w:val="22"/>
              </w:rPr>
              <w:t xml:space="preserve">La presunta insuficiencia de los recursos públicos financieros para atender la crisis. Este eje temático cobija las consideraciones sobre (i) la insuficiencia de recursos del </w:t>
            </w:r>
            <w:r w:rsidR="00042B82" w:rsidRPr="00C454A1">
              <w:rPr>
                <w:rFonts w:cs="Times New Roman"/>
                <w:color w:val="000000" w:themeColor="text1"/>
                <w:sz w:val="22"/>
                <w:szCs w:val="22"/>
              </w:rPr>
              <w:t>Presupuesto General de la Nación (</w:t>
            </w:r>
            <w:r w:rsidRPr="00C454A1">
              <w:rPr>
                <w:rFonts w:cs="Times New Roman"/>
                <w:color w:val="000000" w:themeColor="text1"/>
                <w:sz w:val="22"/>
                <w:szCs w:val="22"/>
              </w:rPr>
              <w:t>PGN</w:t>
            </w:r>
            <w:r w:rsidR="00042B82" w:rsidRPr="00C454A1">
              <w:rPr>
                <w:rFonts w:cs="Times New Roman"/>
                <w:color w:val="000000" w:themeColor="text1"/>
                <w:sz w:val="22"/>
                <w:szCs w:val="22"/>
              </w:rPr>
              <w:t>)</w:t>
            </w:r>
            <w:r w:rsidRPr="00C454A1">
              <w:rPr>
                <w:rFonts w:cs="Times New Roman"/>
                <w:color w:val="000000" w:themeColor="text1"/>
                <w:sz w:val="22"/>
                <w:szCs w:val="22"/>
              </w:rPr>
              <w:t xml:space="preserve">, </w:t>
            </w:r>
            <w:r w:rsidR="00042B82" w:rsidRPr="00C454A1">
              <w:rPr>
                <w:rFonts w:cs="Times New Roman"/>
                <w:color w:val="000000" w:themeColor="text1"/>
                <w:sz w:val="22"/>
                <w:szCs w:val="22"/>
              </w:rPr>
              <w:t>Sistema General de Regalías (</w:t>
            </w:r>
            <w:r w:rsidRPr="00C454A1">
              <w:rPr>
                <w:rFonts w:cs="Times New Roman"/>
                <w:color w:val="000000" w:themeColor="text1"/>
                <w:sz w:val="22"/>
                <w:szCs w:val="22"/>
              </w:rPr>
              <w:t>SGR</w:t>
            </w:r>
            <w:r w:rsidR="00042B82" w:rsidRPr="00C454A1">
              <w:rPr>
                <w:rFonts w:cs="Times New Roman"/>
                <w:color w:val="000000" w:themeColor="text1"/>
                <w:sz w:val="22"/>
                <w:szCs w:val="22"/>
              </w:rPr>
              <w:t>)</w:t>
            </w:r>
            <w:r w:rsidRPr="00C454A1">
              <w:rPr>
                <w:rFonts w:cs="Times New Roman"/>
                <w:color w:val="000000" w:themeColor="text1"/>
                <w:sz w:val="22"/>
                <w:szCs w:val="22"/>
              </w:rPr>
              <w:t xml:space="preserve"> y el </w:t>
            </w:r>
            <w:r w:rsidR="00042B82" w:rsidRPr="00C454A1">
              <w:rPr>
                <w:rFonts w:cs="Times New Roman"/>
                <w:color w:val="000000" w:themeColor="text1"/>
                <w:sz w:val="22"/>
                <w:szCs w:val="22"/>
              </w:rPr>
              <w:t>Sistema General de Participaciones (</w:t>
            </w:r>
            <w:r w:rsidRPr="00C454A1">
              <w:rPr>
                <w:rFonts w:cs="Times New Roman"/>
                <w:color w:val="000000" w:themeColor="text1"/>
                <w:sz w:val="22"/>
                <w:szCs w:val="22"/>
              </w:rPr>
              <w:t>SGP</w:t>
            </w:r>
            <w:r w:rsidR="00042B82" w:rsidRPr="00C454A1">
              <w:rPr>
                <w:rFonts w:cs="Times New Roman"/>
                <w:color w:val="000000" w:themeColor="text1"/>
                <w:sz w:val="22"/>
                <w:szCs w:val="22"/>
              </w:rPr>
              <w:t>)</w:t>
            </w:r>
            <w:r w:rsidRPr="00C454A1">
              <w:rPr>
                <w:rFonts w:cs="Times New Roman"/>
                <w:color w:val="000000" w:themeColor="text1"/>
                <w:sz w:val="22"/>
                <w:szCs w:val="22"/>
              </w:rPr>
              <w:t>, (ii) las “inflexibilidades en el gasto”, (iii) la existencia de “requisitos, condiciones y procedimientos legales” que dificultan la ejecución de los recursos del SGP, así como la falta de agilidad “en materia contractual”, y (iv) la necesidad de acudir a “mecanismos de cooperación de organismos internacionales y gobiernos aliados, para el financiamiento de programas humanitarios y de estabilización”.</w:t>
            </w:r>
          </w:p>
        </w:tc>
      </w:tr>
    </w:tbl>
    <w:p w14:paraId="4B04064C" w14:textId="77777777" w:rsidR="005A5FDC" w:rsidRPr="00C454A1" w:rsidRDefault="005A5FDC" w:rsidP="005A5FDC">
      <w:pPr>
        <w:rPr>
          <w:rFonts w:cs="Times New Roman"/>
          <w:color w:val="000000" w:themeColor="text1"/>
          <w:szCs w:val="28"/>
        </w:rPr>
      </w:pPr>
    </w:p>
    <w:p w14:paraId="3E87220B" w14:textId="3F8368AB" w:rsidR="00F9685B" w:rsidRPr="00C454A1" w:rsidRDefault="005A5FDC" w:rsidP="00321FAF">
      <w:pPr>
        <w:numPr>
          <w:ilvl w:val="0"/>
          <w:numId w:val="2"/>
        </w:numPr>
        <w:ind w:left="0" w:firstLine="0"/>
        <w:rPr>
          <w:rFonts w:cs="Times New Roman"/>
          <w:color w:val="000000" w:themeColor="text1"/>
          <w:szCs w:val="28"/>
        </w:rPr>
      </w:pPr>
      <w:r w:rsidRPr="00C454A1">
        <w:rPr>
          <w:rFonts w:cs="Times New Roman"/>
          <w:color w:val="000000" w:themeColor="text1"/>
          <w:szCs w:val="28"/>
        </w:rPr>
        <w:t xml:space="preserve">Teniendo en cuenta que solamente los hechos </w:t>
      </w:r>
      <w:r w:rsidR="004656B3" w:rsidRPr="00C454A1">
        <w:rPr>
          <w:rFonts w:cs="Times New Roman"/>
          <w:color w:val="000000" w:themeColor="text1"/>
          <w:szCs w:val="28"/>
        </w:rPr>
        <w:t xml:space="preserve">referidos a </w:t>
      </w:r>
      <w:r w:rsidR="000D122D" w:rsidRPr="00C454A1">
        <w:rPr>
          <w:rFonts w:cs="Times New Roman"/>
          <w:color w:val="000000" w:themeColor="text1"/>
          <w:szCs w:val="28"/>
          <w:bdr w:val="none" w:sz="0" w:space="0" w:color="auto" w:frame="1"/>
        </w:rPr>
        <w:t xml:space="preserve">(i) la intensificación de los enfrentamientos entre el ELN y otros </w:t>
      </w:r>
      <w:r w:rsidR="00EE77DF" w:rsidRPr="00C454A1">
        <w:rPr>
          <w:rFonts w:cs="Times New Roman"/>
          <w:color w:val="000000" w:themeColor="text1"/>
          <w:szCs w:val="28"/>
          <w:bdr w:val="none" w:sz="0" w:space="0" w:color="auto" w:frame="1"/>
        </w:rPr>
        <w:t>GAO</w:t>
      </w:r>
      <w:r w:rsidR="000D122D" w:rsidRPr="00C454A1">
        <w:rPr>
          <w:rFonts w:cs="Times New Roman"/>
          <w:color w:val="000000" w:themeColor="text1"/>
          <w:szCs w:val="28"/>
          <w:bdr w:val="none" w:sz="0" w:space="0" w:color="auto" w:frame="1"/>
        </w:rPr>
        <w:t>, así como los ataques y hostilidades dirigidos de forma indiscriminada contra la población civil y los firmantes del Acuerdo Final de Paz con las FARC y (ii) la crisis humanitaria derivada de desplazamientos forzados -internos y transfronterizos- y confinamientos masivos que ha desbordado la capacidad institucional del Estado para atenderla,</w:t>
      </w:r>
      <w:r w:rsidRPr="00C454A1">
        <w:rPr>
          <w:color w:val="000000" w:themeColor="text1"/>
          <w:lang w:eastAsia="es-ES"/>
        </w:rPr>
        <w:t xml:space="preserve"> superaron el juicio del presupuesto valorativo, la Sala se centrará en las justificaciones de los ejes temáticos 1, 2, 3, 4 y 8, pues las de los ejes 5, 6 y 7 corresponden a los problemas estructurales </w:t>
      </w:r>
      <w:r w:rsidR="00F9685B" w:rsidRPr="00C454A1">
        <w:rPr>
          <w:color w:val="000000" w:themeColor="text1"/>
          <w:lang w:eastAsia="es-ES"/>
        </w:rPr>
        <w:t>que no presentaron agravamiento inusitado y que, en consecuencia,</w:t>
      </w:r>
      <w:r w:rsidRPr="00C454A1">
        <w:rPr>
          <w:color w:val="000000" w:themeColor="text1"/>
          <w:lang w:eastAsia="es-ES"/>
        </w:rPr>
        <w:t xml:space="preserve"> no pueden fundamentar la declaración del estado de conmoción interior. </w:t>
      </w:r>
    </w:p>
    <w:p w14:paraId="519B4B9C" w14:textId="77777777" w:rsidR="00F9685B" w:rsidRPr="00C454A1" w:rsidRDefault="00F9685B" w:rsidP="00F9685B">
      <w:pPr>
        <w:rPr>
          <w:rFonts w:cs="Times New Roman"/>
          <w:color w:val="000000" w:themeColor="text1"/>
          <w:szCs w:val="28"/>
        </w:rPr>
      </w:pPr>
    </w:p>
    <w:p w14:paraId="47BE8F5A" w14:textId="0D3ECC27" w:rsidR="005A5FDC" w:rsidRPr="00C454A1" w:rsidRDefault="005A5FDC" w:rsidP="00321FAF">
      <w:pPr>
        <w:numPr>
          <w:ilvl w:val="0"/>
          <w:numId w:val="2"/>
        </w:numPr>
        <w:ind w:left="0" w:firstLine="0"/>
        <w:rPr>
          <w:rFonts w:cs="Times New Roman"/>
          <w:color w:val="000000" w:themeColor="text1"/>
          <w:szCs w:val="28"/>
        </w:rPr>
      </w:pPr>
      <w:r w:rsidRPr="00C454A1">
        <w:rPr>
          <w:color w:val="000000" w:themeColor="text1"/>
          <w:lang w:eastAsia="es-ES"/>
        </w:rPr>
        <w:lastRenderedPageBreak/>
        <w:t xml:space="preserve">Los ejes temáticos se agruparán en </w:t>
      </w:r>
      <w:r w:rsidR="00F9685B" w:rsidRPr="00C454A1">
        <w:rPr>
          <w:color w:val="000000" w:themeColor="text1"/>
          <w:lang w:eastAsia="es-ES"/>
        </w:rPr>
        <w:t>cuatro</w:t>
      </w:r>
      <w:r w:rsidRPr="00C454A1">
        <w:rPr>
          <w:color w:val="000000" w:themeColor="text1"/>
          <w:lang w:eastAsia="es-ES"/>
        </w:rPr>
        <w:t xml:space="preserve"> secciones: (i) justificación de la insuficiencia de las medidas de ordinarias </w:t>
      </w:r>
      <w:r w:rsidRPr="00C454A1">
        <w:rPr>
          <w:color w:val="000000" w:themeColor="text1"/>
        </w:rPr>
        <w:t>militares y de policía, (ii) justificación de las medidas para garantizar los derechos de la población desplazada forz</w:t>
      </w:r>
      <w:r w:rsidR="00752582" w:rsidRPr="00C454A1">
        <w:rPr>
          <w:color w:val="000000" w:themeColor="text1"/>
        </w:rPr>
        <w:t>adamente</w:t>
      </w:r>
      <w:r w:rsidRPr="00C454A1">
        <w:rPr>
          <w:color w:val="000000" w:themeColor="text1"/>
        </w:rPr>
        <w:t xml:space="preserve"> y confinada</w:t>
      </w:r>
      <w:r w:rsidR="00F9685B" w:rsidRPr="00C454A1">
        <w:rPr>
          <w:color w:val="000000" w:themeColor="text1"/>
        </w:rPr>
        <w:t xml:space="preserve">, </w:t>
      </w:r>
      <w:r w:rsidR="00322B36" w:rsidRPr="00C454A1">
        <w:rPr>
          <w:color w:val="000000" w:themeColor="text1"/>
        </w:rPr>
        <w:t xml:space="preserve">(iii) justificación de las medidas ordinarias para para garantizar la seguridad de la población firmante del AFP y </w:t>
      </w:r>
      <w:r w:rsidR="00F9685B" w:rsidRPr="00C454A1">
        <w:rPr>
          <w:color w:val="000000" w:themeColor="text1"/>
        </w:rPr>
        <w:t>(iv)</w:t>
      </w:r>
      <w:r w:rsidR="00F9685B" w:rsidRPr="00C454A1">
        <w:rPr>
          <w:rFonts w:cs="Times New Roman"/>
          <w:color w:val="000000" w:themeColor="text1"/>
          <w:szCs w:val="28"/>
        </w:rPr>
        <w:t xml:space="preserve"> justificación de</w:t>
      </w:r>
      <w:r w:rsidRPr="00C454A1">
        <w:rPr>
          <w:rFonts w:cs="Times New Roman"/>
          <w:color w:val="000000" w:themeColor="text1"/>
          <w:szCs w:val="28"/>
        </w:rPr>
        <w:t xml:space="preserve"> las razones por las cuales, según el </w:t>
      </w:r>
      <w:r w:rsidR="007525E1" w:rsidRPr="00C454A1">
        <w:rPr>
          <w:rFonts w:cs="Times New Roman"/>
          <w:color w:val="000000" w:themeColor="text1"/>
          <w:szCs w:val="28"/>
        </w:rPr>
        <w:t>Gobierno nacional</w:t>
      </w:r>
      <w:r w:rsidRPr="00C454A1">
        <w:rPr>
          <w:rFonts w:cs="Times New Roman"/>
          <w:color w:val="000000" w:themeColor="text1"/>
          <w:szCs w:val="28"/>
        </w:rPr>
        <w:t xml:space="preserve">, las medidas presupuestales ordinarias son insuficientes para responder a </w:t>
      </w:r>
      <w:r w:rsidR="00F9685B" w:rsidRPr="00C454A1">
        <w:rPr>
          <w:rFonts w:cs="Times New Roman"/>
          <w:color w:val="000000" w:themeColor="text1"/>
          <w:szCs w:val="28"/>
        </w:rPr>
        <w:t>los anteriores</w:t>
      </w:r>
      <w:r w:rsidRPr="00C454A1">
        <w:rPr>
          <w:rFonts w:cs="Times New Roman"/>
          <w:color w:val="000000" w:themeColor="text1"/>
          <w:szCs w:val="28"/>
        </w:rPr>
        <w:t xml:space="preserve"> hechos</w:t>
      </w:r>
      <w:r w:rsidR="00322B36" w:rsidRPr="00C454A1">
        <w:rPr>
          <w:rFonts w:cs="Times New Roman"/>
          <w:color w:val="000000" w:themeColor="text1"/>
          <w:szCs w:val="28"/>
        </w:rPr>
        <w:t xml:space="preserve"> y las presiones financieras que generan</w:t>
      </w:r>
      <w:r w:rsidRPr="00C454A1">
        <w:rPr>
          <w:rFonts w:cs="Times New Roman"/>
          <w:color w:val="000000" w:themeColor="text1"/>
          <w:szCs w:val="28"/>
        </w:rPr>
        <w:t xml:space="preserve">. Aunque la insuficiencia de recursos está relacionada con la insuficiencia de las medidas requeridas para atender </w:t>
      </w:r>
      <w:r w:rsidR="00F9685B" w:rsidRPr="00C454A1">
        <w:rPr>
          <w:rFonts w:cs="Times New Roman"/>
          <w:color w:val="000000" w:themeColor="text1"/>
          <w:szCs w:val="28"/>
        </w:rPr>
        <w:t>los tres primeros ejes</w:t>
      </w:r>
      <w:r w:rsidRPr="00C454A1">
        <w:rPr>
          <w:rFonts w:cs="Times New Roman"/>
          <w:color w:val="000000" w:themeColor="text1"/>
          <w:szCs w:val="28"/>
        </w:rPr>
        <w:t>,</w:t>
      </w:r>
      <w:r w:rsidR="00EC4579" w:rsidRPr="00C454A1">
        <w:rPr>
          <w:rFonts w:cs="Times New Roman"/>
          <w:color w:val="000000" w:themeColor="text1"/>
          <w:szCs w:val="28"/>
        </w:rPr>
        <w:t xml:space="preserve"> se abordará</w:t>
      </w:r>
      <w:r w:rsidR="00322B36" w:rsidRPr="00C454A1">
        <w:rPr>
          <w:rFonts w:cs="Times New Roman"/>
          <w:color w:val="000000" w:themeColor="text1"/>
          <w:szCs w:val="28"/>
        </w:rPr>
        <w:t>n</w:t>
      </w:r>
      <w:r w:rsidR="00EC4579" w:rsidRPr="00C454A1">
        <w:rPr>
          <w:rFonts w:cs="Times New Roman"/>
          <w:color w:val="000000" w:themeColor="text1"/>
          <w:szCs w:val="28"/>
        </w:rPr>
        <w:t xml:space="preserve"> </w:t>
      </w:r>
      <w:r w:rsidR="00322B36" w:rsidRPr="00C454A1">
        <w:rPr>
          <w:rFonts w:cs="Times New Roman"/>
          <w:color w:val="000000" w:themeColor="text1"/>
          <w:szCs w:val="28"/>
        </w:rPr>
        <w:t>en el</w:t>
      </w:r>
      <w:r w:rsidR="00EC4579" w:rsidRPr="00C454A1">
        <w:rPr>
          <w:rFonts w:cs="Times New Roman"/>
          <w:color w:val="000000" w:themeColor="text1"/>
          <w:szCs w:val="28"/>
        </w:rPr>
        <w:t xml:space="preserve"> cuarto eje </w:t>
      </w:r>
      <w:r w:rsidR="00322B36" w:rsidRPr="00C454A1">
        <w:rPr>
          <w:rFonts w:cs="Times New Roman"/>
          <w:color w:val="000000" w:themeColor="text1"/>
          <w:szCs w:val="28"/>
        </w:rPr>
        <w:t>los argumentos transversales y comunes</w:t>
      </w:r>
      <w:r w:rsidR="00EC4579" w:rsidRPr="00C454A1">
        <w:rPr>
          <w:rFonts w:cs="Times New Roman"/>
          <w:color w:val="000000" w:themeColor="text1"/>
          <w:szCs w:val="28"/>
        </w:rPr>
        <w:t xml:space="preserve"> expuestos por el Gobierno nacional</w:t>
      </w:r>
      <w:r w:rsidR="00322B36" w:rsidRPr="00C454A1">
        <w:rPr>
          <w:rFonts w:cs="Times New Roman"/>
          <w:color w:val="000000" w:themeColor="text1"/>
          <w:szCs w:val="28"/>
        </w:rPr>
        <w:t xml:space="preserve"> sobre las dificultades que encuentra para realizar traslados presupuestales y obtener nuevos recursos.</w:t>
      </w:r>
    </w:p>
    <w:p w14:paraId="748E4D34" w14:textId="77777777" w:rsidR="005A5FDC" w:rsidRPr="00C454A1" w:rsidRDefault="005A5FDC" w:rsidP="005A5FDC">
      <w:pPr>
        <w:pStyle w:val="Prrafodelista"/>
        <w:rPr>
          <w:rFonts w:cs="Times New Roman"/>
          <w:color w:val="000000" w:themeColor="text1"/>
          <w:szCs w:val="28"/>
        </w:rPr>
      </w:pPr>
    </w:p>
    <w:p w14:paraId="1234B81C" w14:textId="77777777" w:rsidR="005A5FDC" w:rsidRPr="00C454A1" w:rsidRDefault="005A5FDC" w:rsidP="005F4A6F">
      <w:pPr>
        <w:pStyle w:val="Prrafodelista"/>
        <w:numPr>
          <w:ilvl w:val="0"/>
          <w:numId w:val="19"/>
        </w:numPr>
        <w:rPr>
          <w:rFonts w:cs="Times New Roman"/>
          <w:b/>
          <w:bCs/>
          <w:color w:val="000000" w:themeColor="text1"/>
          <w:szCs w:val="28"/>
        </w:rPr>
      </w:pPr>
      <w:r w:rsidRPr="00C454A1">
        <w:rPr>
          <w:rFonts w:cs="Times New Roman"/>
          <w:b/>
          <w:bCs/>
          <w:color w:val="000000" w:themeColor="text1"/>
          <w:szCs w:val="28"/>
        </w:rPr>
        <w:t xml:space="preserve">Resumen de la justificación de la insuficiencia de las medidas ordinarias </w:t>
      </w:r>
      <w:r w:rsidRPr="00C454A1">
        <w:rPr>
          <w:b/>
          <w:bCs/>
          <w:color w:val="000000" w:themeColor="text1"/>
        </w:rPr>
        <w:t>militares y de policía</w:t>
      </w:r>
    </w:p>
    <w:p w14:paraId="0B87B329" w14:textId="77777777" w:rsidR="005A5FDC" w:rsidRPr="00C454A1" w:rsidRDefault="005A5FDC" w:rsidP="005A5FDC">
      <w:pPr>
        <w:pStyle w:val="Prrafodelista"/>
        <w:ind w:left="1080"/>
        <w:rPr>
          <w:rFonts w:cs="Times New Roman"/>
          <w:color w:val="000000" w:themeColor="text1"/>
          <w:szCs w:val="28"/>
        </w:rPr>
      </w:pPr>
    </w:p>
    <w:p w14:paraId="6FF0ED14" w14:textId="0A90B78F" w:rsidR="005A5FDC" w:rsidRPr="00C454A1" w:rsidRDefault="005A5FDC" w:rsidP="00321FAF">
      <w:pPr>
        <w:numPr>
          <w:ilvl w:val="0"/>
          <w:numId w:val="2"/>
        </w:numPr>
        <w:ind w:left="0" w:firstLine="0"/>
        <w:rPr>
          <w:rFonts w:cs="Times New Roman"/>
          <w:color w:val="000000" w:themeColor="text1"/>
          <w:szCs w:val="28"/>
        </w:rPr>
      </w:pPr>
      <w:r w:rsidRPr="00C454A1">
        <w:rPr>
          <w:rFonts w:cs="Times New Roman"/>
          <w:color w:val="000000" w:themeColor="text1"/>
          <w:szCs w:val="28"/>
        </w:rPr>
        <w:t xml:space="preserve">Sobre </w:t>
      </w:r>
      <w:r w:rsidRPr="00C454A1">
        <w:rPr>
          <w:color w:val="000000" w:themeColor="text1"/>
        </w:rPr>
        <w:t xml:space="preserve">la insuficiencia de las atribuciones ordinarías militares y de policía para restaurar el orden público, recuperar el control territorial y proteger a la población civil, el </w:t>
      </w:r>
      <w:r w:rsidR="007525E1" w:rsidRPr="00C454A1">
        <w:rPr>
          <w:color w:val="000000" w:themeColor="text1"/>
        </w:rPr>
        <w:t>Gobierno nacional</w:t>
      </w:r>
      <w:r w:rsidRPr="00C454A1">
        <w:rPr>
          <w:color w:val="000000" w:themeColor="text1"/>
        </w:rPr>
        <w:t xml:space="preserve"> adujo </w:t>
      </w:r>
      <w:r w:rsidR="00236F2D" w:rsidRPr="00C454A1">
        <w:rPr>
          <w:color w:val="000000" w:themeColor="text1"/>
        </w:rPr>
        <w:t xml:space="preserve">en el Decreto Legislativo 62 de 2025 </w:t>
      </w:r>
      <w:r w:rsidRPr="00C454A1">
        <w:rPr>
          <w:color w:val="000000" w:themeColor="text1"/>
        </w:rPr>
        <w:t xml:space="preserve">que ya </w:t>
      </w:r>
      <w:r w:rsidR="004656B3" w:rsidRPr="00C454A1">
        <w:rPr>
          <w:color w:val="000000" w:themeColor="text1"/>
        </w:rPr>
        <w:t>“</w:t>
      </w:r>
      <w:r w:rsidRPr="00C454A1">
        <w:rPr>
          <w:color w:val="000000" w:themeColor="text1"/>
        </w:rPr>
        <w:t xml:space="preserve">ha desplegado su capacidad institucional en </w:t>
      </w:r>
      <w:r w:rsidR="00236F2D" w:rsidRPr="00C454A1">
        <w:rPr>
          <w:color w:val="000000" w:themeColor="text1"/>
        </w:rPr>
        <w:t>la región del</w:t>
      </w:r>
      <w:r w:rsidRPr="00C454A1">
        <w:rPr>
          <w:color w:val="000000" w:themeColor="text1"/>
        </w:rPr>
        <w:t xml:space="preserve"> Catatumbo de manera progresiva y creciente</w:t>
      </w:r>
      <w:r w:rsidR="00236F2D" w:rsidRPr="00C454A1">
        <w:rPr>
          <w:color w:val="000000" w:themeColor="text1"/>
        </w:rPr>
        <w:t>, lo que le ha permitido morigerar el impacto de las conductas de las organizaciones armadas ilegales con presencia en el territorio”</w:t>
      </w:r>
      <w:r w:rsidRPr="00C454A1">
        <w:rPr>
          <w:color w:val="000000" w:themeColor="text1"/>
        </w:rPr>
        <w:t xml:space="preserve">. En particular, señaló que (i) la Policía </w:t>
      </w:r>
      <w:r w:rsidR="009E7980" w:rsidRPr="00C454A1">
        <w:rPr>
          <w:color w:val="000000" w:themeColor="text1"/>
        </w:rPr>
        <w:t>ha realizado</w:t>
      </w:r>
      <w:r w:rsidRPr="00C454A1">
        <w:rPr>
          <w:color w:val="000000" w:themeColor="text1"/>
        </w:rPr>
        <w:t xml:space="preserve"> actividades de control territorial como el patrullaje urbano, el registro a personas y vehículos y el control de establecimientos públicos, así como actividades de policía judicial; y (ii) las Fuerzas Militares </w:t>
      </w:r>
      <w:r w:rsidR="009E7980" w:rsidRPr="00C454A1">
        <w:rPr>
          <w:color w:val="000000" w:themeColor="text1"/>
        </w:rPr>
        <w:t>han desarrollado</w:t>
      </w:r>
      <w:r w:rsidRPr="00C454A1">
        <w:rPr>
          <w:color w:val="000000" w:themeColor="text1"/>
        </w:rPr>
        <w:t xml:space="preserve"> operaciones defensivas y ofensivas, que incluyen el reposicionamiento de pelotones para ejercer control militar en la zona, apoyos para el rescate de personas heridas y amenazadas, el establecimiento de puestos de mando en las bases militares del departamento, la disposición de dos helicópteros para realizar movimientos inmediatos de tropa y logísticos, y mecanismos para el reconocimiento e inteligencia aérea.</w:t>
      </w:r>
    </w:p>
    <w:p w14:paraId="08C41985" w14:textId="77777777" w:rsidR="005A5FDC" w:rsidRPr="00C454A1" w:rsidRDefault="005A5FDC" w:rsidP="005A5FDC">
      <w:pPr>
        <w:rPr>
          <w:rFonts w:cs="Times New Roman"/>
          <w:color w:val="000000" w:themeColor="text1"/>
          <w:szCs w:val="28"/>
        </w:rPr>
      </w:pPr>
    </w:p>
    <w:p w14:paraId="6613C387" w14:textId="19820712" w:rsidR="005A5FDC" w:rsidRPr="00C454A1" w:rsidRDefault="005A5FDC" w:rsidP="00321FAF">
      <w:pPr>
        <w:numPr>
          <w:ilvl w:val="0"/>
          <w:numId w:val="2"/>
        </w:numPr>
        <w:ind w:left="0" w:firstLine="0"/>
        <w:rPr>
          <w:color w:val="000000" w:themeColor="text1"/>
        </w:rPr>
      </w:pPr>
      <w:r w:rsidRPr="00C454A1">
        <w:rPr>
          <w:rFonts w:cs="Times New Roman"/>
          <w:color w:val="000000" w:themeColor="text1"/>
          <w:szCs w:val="28"/>
        </w:rPr>
        <w:t xml:space="preserve">Sin embargo, el </w:t>
      </w:r>
      <w:r w:rsidR="007525E1" w:rsidRPr="00C454A1">
        <w:rPr>
          <w:rFonts w:cs="Times New Roman"/>
          <w:color w:val="000000" w:themeColor="text1"/>
          <w:szCs w:val="28"/>
        </w:rPr>
        <w:t>Gobierno nacional</w:t>
      </w:r>
      <w:r w:rsidRPr="00C454A1">
        <w:rPr>
          <w:rFonts w:cs="Times New Roman"/>
          <w:color w:val="000000" w:themeColor="text1"/>
          <w:szCs w:val="28"/>
        </w:rPr>
        <w:t xml:space="preserve"> manifestó que las medidas adoptadas no han sido suficientes para recuperar el control del territorio, lo que se agrava por la magnitud de la crisis humanitaria causada por el escalamiento de las acciones violentas del ELN</w:t>
      </w:r>
      <w:r w:rsidR="009E7980" w:rsidRPr="00C454A1">
        <w:rPr>
          <w:rFonts w:cs="Times New Roman"/>
          <w:color w:val="000000" w:themeColor="text1"/>
          <w:szCs w:val="28"/>
        </w:rPr>
        <w:t xml:space="preserve"> y otros </w:t>
      </w:r>
      <w:r w:rsidR="00EE77DF" w:rsidRPr="00C454A1">
        <w:rPr>
          <w:rFonts w:cs="Times New Roman"/>
          <w:color w:val="000000" w:themeColor="text1"/>
          <w:szCs w:val="28"/>
        </w:rPr>
        <w:t>GAO</w:t>
      </w:r>
      <w:r w:rsidRPr="00C454A1">
        <w:rPr>
          <w:rFonts w:cs="Times New Roman"/>
          <w:color w:val="000000" w:themeColor="text1"/>
          <w:szCs w:val="28"/>
        </w:rPr>
        <w:t xml:space="preserve">. En efecto, el Gobierno </w:t>
      </w:r>
      <w:r w:rsidR="00236F2D" w:rsidRPr="00C454A1">
        <w:rPr>
          <w:rFonts w:cs="Times New Roman"/>
          <w:color w:val="000000" w:themeColor="text1"/>
          <w:szCs w:val="28"/>
        </w:rPr>
        <w:t xml:space="preserve">nacional </w:t>
      </w:r>
      <w:r w:rsidRPr="00C454A1">
        <w:rPr>
          <w:rFonts w:cs="Times New Roman"/>
          <w:color w:val="000000" w:themeColor="text1"/>
          <w:szCs w:val="28"/>
        </w:rPr>
        <w:t xml:space="preserve">afirmó que las atribuciones ordinarias de la </w:t>
      </w:r>
      <w:r w:rsidR="00F858F2" w:rsidRPr="00C454A1">
        <w:rPr>
          <w:rFonts w:cs="Times New Roman"/>
          <w:color w:val="000000" w:themeColor="text1"/>
          <w:szCs w:val="28"/>
        </w:rPr>
        <w:t>f</w:t>
      </w:r>
      <w:r w:rsidRPr="00C454A1">
        <w:rPr>
          <w:rFonts w:cs="Times New Roman"/>
          <w:color w:val="000000" w:themeColor="text1"/>
          <w:szCs w:val="28"/>
        </w:rPr>
        <w:t xml:space="preserve">uerza </w:t>
      </w:r>
      <w:r w:rsidR="00F858F2" w:rsidRPr="00C454A1">
        <w:rPr>
          <w:rFonts w:cs="Times New Roman"/>
          <w:color w:val="000000" w:themeColor="text1"/>
          <w:szCs w:val="28"/>
        </w:rPr>
        <w:t>p</w:t>
      </w:r>
      <w:r w:rsidRPr="00C454A1">
        <w:rPr>
          <w:rFonts w:cs="Times New Roman"/>
          <w:color w:val="000000" w:themeColor="text1"/>
          <w:szCs w:val="28"/>
        </w:rPr>
        <w:t xml:space="preserve">ública y de las autoridades de policía no </w:t>
      </w:r>
      <w:r w:rsidR="009E7980" w:rsidRPr="00C454A1">
        <w:rPr>
          <w:rFonts w:cs="Times New Roman"/>
          <w:color w:val="000000" w:themeColor="text1"/>
          <w:szCs w:val="28"/>
        </w:rPr>
        <w:t>son</w:t>
      </w:r>
      <w:r w:rsidRPr="00C454A1">
        <w:rPr>
          <w:rFonts w:cs="Times New Roman"/>
          <w:color w:val="000000" w:themeColor="text1"/>
          <w:szCs w:val="28"/>
        </w:rPr>
        <w:t xml:space="preserve"> suficientes para prevenir la ocurrencia de nuevos hechos de violencia y para conjurar la grave perturbación del orden público. Como manifestaciones concretas de dicha insuficiencia, señaló que sigue existiendo un número indeterminado de personas confinadas que no han podido ser evacuadas de las zonas de riesgo; </w:t>
      </w:r>
      <w:r w:rsidR="004656B3" w:rsidRPr="00C454A1">
        <w:rPr>
          <w:rFonts w:cs="Times New Roman"/>
          <w:color w:val="000000" w:themeColor="text1"/>
          <w:szCs w:val="28"/>
        </w:rPr>
        <w:t xml:space="preserve">que </w:t>
      </w:r>
      <w:r w:rsidRPr="00C454A1">
        <w:rPr>
          <w:rFonts w:cs="Times New Roman"/>
          <w:color w:val="000000" w:themeColor="text1"/>
          <w:szCs w:val="28"/>
        </w:rPr>
        <w:t xml:space="preserve">es necesario fortalecer el control del espacio aéreo; </w:t>
      </w:r>
      <w:r w:rsidR="004656B3" w:rsidRPr="00C454A1">
        <w:rPr>
          <w:rFonts w:cs="Times New Roman"/>
          <w:color w:val="000000" w:themeColor="text1"/>
          <w:szCs w:val="28"/>
        </w:rPr>
        <w:t xml:space="preserve">que </w:t>
      </w:r>
      <w:r w:rsidRPr="00C454A1">
        <w:rPr>
          <w:rFonts w:cs="Times New Roman"/>
          <w:color w:val="000000" w:themeColor="text1"/>
          <w:szCs w:val="28"/>
        </w:rPr>
        <w:t>se debe restringir la comercialización y el transporte de bienes, insumos y servicios usados por los grupos armados en la región para el financiamiento de sus actividades criminales</w:t>
      </w:r>
      <w:r w:rsidR="004656B3" w:rsidRPr="00C454A1">
        <w:rPr>
          <w:rFonts w:cs="Times New Roman"/>
          <w:color w:val="000000" w:themeColor="text1"/>
          <w:szCs w:val="28"/>
        </w:rPr>
        <w:t>;</w:t>
      </w:r>
      <w:r w:rsidRPr="00C454A1">
        <w:rPr>
          <w:rFonts w:cs="Times New Roman"/>
          <w:color w:val="000000" w:themeColor="text1"/>
          <w:szCs w:val="28"/>
        </w:rPr>
        <w:t xml:space="preserve"> y </w:t>
      </w:r>
      <w:r w:rsidR="004656B3" w:rsidRPr="00C454A1">
        <w:rPr>
          <w:rFonts w:cs="Times New Roman"/>
          <w:color w:val="000000" w:themeColor="text1"/>
          <w:szCs w:val="28"/>
        </w:rPr>
        <w:t xml:space="preserve">que </w:t>
      </w:r>
      <w:r w:rsidRPr="00C454A1">
        <w:rPr>
          <w:rFonts w:cs="Times New Roman"/>
          <w:color w:val="000000" w:themeColor="text1"/>
          <w:szCs w:val="28"/>
        </w:rPr>
        <w:t>se requiere recuperar el control del orden público en la frontera con Venezuela.</w:t>
      </w:r>
    </w:p>
    <w:p w14:paraId="1F41056F" w14:textId="77777777" w:rsidR="005A5FDC" w:rsidRPr="00C454A1" w:rsidRDefault="005A5FDC" w:rsidP="005A5FDC">
      <w:pPr>
        <w:rPr>
          <w:color w:val="000000" w:themeColor="text1"/>
        </w:rPr>
      </w:pPr>
    </w:p>
    <w:p w14:paraId="1C7A42AD" w14:textId="766725CE" w:rsidR="005A5FDC" w:rsidRPr="00C454A1" w:rsidRDefault="005A5FDC" w:rsidP="00321FAF">
      <w:pPr>
        <w:numPr>
          <w:ilvl w:val="0"/>
          <w:numId w:val="2"/>
        </w:numPr>
        <w:ind w:left="0" w:firstLine="0"/>
        <w:rPr>
          <w:color w:val="000000" w:themeColor="text1"/>
        </w:rPr>
      </w:pPr>
      <w:r w:rsidRPr="00C454A1">
        <w:rPr>
          <w:color w:val="000000" w:themeColor="text1"/>
        </w:rPr>
        <w:t xml:space="preserve">En el recaudo de pruebas y las intervenciones, algunas entidades de la Rama Ejecutiva complementaron las justificaciones contenidas en el decreto. </w:t>
      </w:r>
      <w:r w:rsidR="00DB32A4" w:rsidRPr="00C454A1">
        <w:rPr>
          <w:color w:val="000000" w:themeColor="text1"/>
        </w:rPr>
        <w:t>Así</w:t>
      </w:r>
      <w:r w:rsidRPr="00C454A1">
        <w:rPr>
          <w:color w:val="000000" w:themeColor="text1"/>
        </w:rPr>
        <w:t xml:space="preserve">, el DAPRE reiteró las medidas </w:t>
      </w:r>
      <w:r w:rsidR="00DB32A4" w:rsidRPr="00C454A1">
        <w:rPr>
          <w:color w:val="000000" w:themeColor="text1"/>
        </w:rPr>
        <w:t>adoptadas por</w:t>
      </w:r>
      <w:r w:rsidRPr="00C454A1">
        <w:rPr>
          <w:color w:val="000000" w:themeColor="text1"/>
        </w:rPr>
        <w:t xml:space="preserve"> las Fuerzas Militares y de Policía dirigidas a controlar el orden público en la región, en especial cuando concluyó el cese de hostilidades con el ELN. Al respecto, </w:t>
      </w:r>
      <w:r w:rsidR="009E7980" w:rsidRPr="00C454A1">
        <w:rPr>
          <w:color w:val="000000" w:themeColor="text1"/>
        </w:rPr>
        <w:t>aclaró</w:t>
      </w:r>
      <w:r w:rsidRPr="00C454A1">
        <w:rPr>
          <w:color w:val="000000" w:themeColor="text1"/>
        </w:rPr>
        <w:t xml:space="preserve"> que el Gobierno</w:t>
      </w:r>
      <w:r w:rsidR="00236F2D" w:rsidRPr="00C454A1">
        <w:rPr>
          <w:color w:val="000000" w:themeColor="text1"/>
        </w:rPr>
        <w:t xml:space="preserve"> nacional</w:t>
      </w:r>
      <w:r w:rsidRPr="00C454A1">
        <w:rPr>
          <w:color w:val="000000" w:themeColor="text1"/>
        </w:rPr>
        <w:t xml:space="preserve"> adelantó conversaciones con organizaciones armadas ilegales para solucionar el conflicto armado en la región</w:t>
      </w:r>
      <w:r w:rsidR="009E7980" w:rsidRPr="00C454A1">
        <w:rPr>
          <w:color w:val="000000" w:themeColor="text1"/>
        </w:rPr>
        <w:t>, e</w:t>
      </w:r>
      <w:r w:rsidRPr="00C454A1">
        <w:rPr>
          <w:color w:val="000000" w:themeColor="text1"/>
        </w:rPr>
        <w:t xml:space="preserve">ntre ellas, diálogos con el ELN </w:t>
      </w:r>
      <w:r w:rsidR="009E7980" w:rsidRPr="00C454A1">
        <w:rPr>
          <w:color w:val="000000" w:themeColor="text1"/>
        </w:rPr>
        <w:t xml:space="preserve">que </w:t>
      </w:r>
      <w:r w:rsidRPr="00C454A1">
        <w:rPr>
          <w:color w:val="000000" w:themeColor="text1"/>
        </w:rPr>
        <w:t>incluyeron el decreto de un cese al fuego en varias ocasiones, la última de las cuales se extendió hasta el 3 de agosto de 2024</w:t>
      </w:r>
      <w:r w:rsidRPr="00C454A1">
        <w:rPr>
          <w:color w:val="000000" w:themeColor="text1"/>
          <w:vertAlign w:val="superscript"/>
        </w:rPr>
        <w:footnoteReference w:id="399"/>
      </w:r>
      <w:r w:rsidRPr="00C454A1">
        <w:rPr>
          <w:color w:val="000000" w:themeColor="text1"/>
        </w:rPr>
        <w:t xml:space="preserve">. </w:t>
      </w:r>
    </w:p>
    <w:p w14:paraId="195CA80A" w14:textId="77777777" w:rsidR="005A5FDC" w:rsidRPr="00C454A1" w:rsidRDefault="005A5FDC" w:rsidP="005A5FDC">
      <w:pPr>
        <w:pStyle w:val="Prrafodelista"/>
        <w:rPr>
          <w:color w:val="000000" w:themeColor="text1"/>
        </w:rPr>
      </w:pPr>
    </w:p>
    <w:p w14:paraId="12A73C29" w14:textId="2375B031" w:rsidR="005A5FDC" w:rsidRPr="00C454A1" w:rsidRDefault="005A5FDC" w:rsidP="00321FAF">
      <w:pPr>
        <w:numPr>
          <w:ilvl w:val="0"/>
          <w:numId w:val="2"/>
        </w:numPr>
        <w:ind w:left="0" w:firstLine="0"/>
        <w:rPr>
          <w:color w:val="000000" w:themeColor="text1"/>
        </w:rPr>
      </w:pPr>
      <w:r w:rsidRPr="00C454A1">
        <w:rPr>
          <w:color w:val="000000" w:themeColor="text1"/>
        </w:rPr>
        <w:t xml:space="preserve">Por su parte, el </w:t>
      </w:r>
      <w:r w:rsidR="00DB32A4" w:rsidRPr="00C454A1">
        <w:rPr>
          <w:color w:val="000000" w:themeColor="text1"/>
        </w:rPr>
        <w:t xml:space="preserve">CGFM </w:t>
      </w:r>
      <w:r w:rsidRPr="00C454A1">
        <w:rPr>
          <w:color w:val="000000" w:themeColor="text1"/>
        </w:rPr>
        <w:t xml:space="preserve">adjuntó los siguientes datos sobre el pie de fuerza </w:t>
      </w:r>
      <w:r w:rsidR="00236F2D" w:rsidRPr="00C454A1">
        <w:rPr>
          <w:color w:val="000000" w:themeColor="text1"/>
        </w:rPr>
        <w:t>-</w:t>
      </w:r>
      <w:r w:rsidRPr="00C454A1">
        <w:rPr>
          <w:color w:val="000000" w:themeColor="text1"/>
        </w:rPr>
        <w:t>el cual aumentó de 7.788 en 2022 a 10.083 en 2025</w:t>
      </w:r>
      <w:r w:rsidR="00236F2D" w:rsidRPr="00C454A1">
        <w:rPr>
          <w:color w:val="000000" w:themeColor="text1"/>
        </w:rPr>
        <w:t>-</w:t>
      </w:r>
      <w:r w:rsidRPr="00C454A1">
        <w:rPr>
          <w:color w:val="000000" w:themeColor="text1"/>
        </w:rPr>
        <w:t xml:space="preserve"> y la cantidad de operaciones ofensivas, defensivas, de estabilización y de colaboración militar a la autoridad civil (COMAC) que realizó en los últimos años: </w:t>
      </w:r>
    </w:p>
    <w:p w14:paraId="34BBB109" w14:textId="77777777" w:rsidR="005A5FDC" w:rsidRPr="00C454A1" w:rsidRDefault="005A5FDC" w:rsidP="005A5FDC">
      <w:pPr>
        <w:tabs>
          <w:tab w:val="left" w:pos="567"/>
        </w:tabs>
        <w:rPr>
          <w:color w:val="000000" w:themeColor="text1"/>
        </w:rPr>
      </w:pPr>
    </w:p>
    <w:p w14:paraId="151CB6C9" w14:textId="2407A051" w:rsidR="000C0569" w:rsidRPr="00C454A1" w:rsidRDefault="000C0569" w:rsidP="00A651F7">
      <w:pPr>
        <w:tabs>
          <w:tab w:val="left" w:pos="567"/>
        </w:tabs>
        <w:jc w:val="center"/>
        <w:rPr>
          <w:i/>
          <w:iCs/>
          <w:color w:val="000000" w:themeColor="text1"/>
          <w:sz w:val="22"/>
          <w:szCs w:val="22"/>
        </w:rPr>
      </w:pPr>
      <w:r w:rsidRPr="00C454A1">
        <w:rPr>
          <w:i/>
          <w:iCs/>
          <w:color w:val="000000" w:themeColor="text1"/>
          <w:sz w:val="22"/>
          <w:szCs w:val="22"/>
        </w:rPr>
        <w:t xml:space="preserve">Tabla 13: </w:t>
      </w:r>
      <w:r w:rsidR="00A651F7" w:rsidRPr="00C454A1">
        <w:rPr>
          <w:i/>
          <w:iCs/>
          <w:color w:val="000000" w:themeColor="text1"/>
          <w:sz w:val="22"/>
          <w:szCs w:val="22"/>
        </w:rPr>
        <w:t>datos sobre pie de fuerza en la región del Catatumbo</w:t>
      </w:r>
    </w:p>
    <w:tbl>
      <w:tblPr>
        <w:tblStyle w:val="Tablaconcuadrcula"/>
        <w:tblW w:w="0" w:type="auto"/>
        <w:tblLook w:val="04A0" w:firstRow="1" w:lastRow="0" w:firstColumn="1" w:lastColumn="0" w:noHBand="0" w:noVBand="1"/>
      </w:tblPr>
      <w:tblGrid>
        <w:gridCol w:w="1765"/>
        <w:gridCol w:w="1765"/>
        <w:gridCol w:w="1766"/>
        <w:gridCol w:w="1766"/>
        <w:gridCol w:w="1766"/>
      </w:tblGrid>
      <w:tr w:rsidR="00C454A1" w:rsidRPr="00C454A1" w14:paraId="21C11FA1" w14:textId="77777777" w:rsidTr="00EE77DF">
        <w:tc>
          <w:tcPr>
            <w:tcW w:w="1765" w:type="dxa"/>
            <w:shd w:val="clear" w:color="auto" w:fill="E8E8E8" w:themeFill="background2"/>
            <w:vAlign w:val="center"/>
          </w:tcPr>
          <w:p w14:paraId="1F836C54" w14:textId="77777777" w:rsidR="005A5FDC" w:rsidRPr="00C454A1" w:rsidRDefault="005A5FDC" w:rsidP="00EE77DF">
            <w:pPr>
              <w:tabs>
                <w:tab w:val="left" w:pos="426"/>
              </w:tabs>
              <w:jc w:val="center"/>
              <w:rPr>
                <w:b/>
                <w:bCs/>
                <w:color w:val="000000" w:themeColor="text1"/>
                <w:sz w:val="22"/>
                <w:szCs w:val="22"/>
              </w:rPr>
            </w:pPr>
            <w:r w:rsidRPr="00C454A1">
              <w:rPr>
                <w:b/>
                <w:bCs/>
                <w:color w:val="000000" w:themeColor="text1"/>
                <w:sz w:val="22"/>
                <w:szCs w:val="22"/>
              </w:rPr>
              <w:t>Año</w:t>
            </w:r>
          </w:p>
        </w:tc>
        <w:tc>
          <w:tcPr>
            <w:tcW w:w="1765" w:type="dxa"/>
            <w:shd w:val="clear" w:color="auto" w:fill="E8E8E8" w:themeFill="background2"/>
            <w:vAlign w:val="center"/>
          </w:tcPr>
          <w:p w14:paraId="0FDFA5FD" w14:textId="77777777" w:rsidR="005A5FDC" w:rsidRPr="00C454A1" w:rsidRDefault="005A5FDC" w:rsidP="00EE77DF">
            <w:pPr>
              <w:tabs>
                <w:tab w:val="left" w:pos="426"/>
              </w:tabs>
              <w:jc w:val="center"/>
              <w:rPr>
                <w:b/>
                <w:bCs/>
                <w:color w:val="000000" w:themeColor="text1"/>
                <w:sz w:val="22"/>
                <w:szCs w:val="22"/>
              </w:rPr>
            </w:pPr>
            <w:r w:rsidRPr="00C454A1">
              <w:rPr>
                <w:b/>
                <w:bCs/>
                <w:color w:val="000000" w:themeColor="text1"/>
                <w:sz w:val="22"/>
                <w:szCs w:val="22"/>
              </w:rPr>
              <w:t>Ofensivas</w:t>
            </w:r>
          </w:p>
        </w:tc>
        <w:tc>
          <w:tcPr>
            <w:tcW w:w="1766" w:type="dxa"/>
            <w:shd w:val="clear" w:color="auto" w:fill="E8E8E8" w:themeFill="background2"/>
            <w:vAlign w:val="center"/>
          </w:tcPr>
          <w:p w14:paraId="11EF9BBA" w14:textId="77777777" w:rsidR="005A5FDC" w:rsidRPr="00C454A1" w:rsidRDefault="005A5FDC" w:rsidP="00EE77DF">
            <w:pPr>
              <w:tabs>
                <w:tab w:val="left" w:pos="426"/>
              </w:tabs>
              <w:jc w:val="center"/>
              <w:rPr>
                <w:b/>
                <w:bCs/>
                <w:color w:val="000000" w:themeColor="text1"/>
                <w:sz w:val="22"/>
                <w:szCs w:val="22"/>
              </w:rPr>
            </w:pPr>
            <w:r w:rsidRPr="00C454A1">
              <w:rPr>
                <w:b/>
                <w:bCs/>
                <w:color w:val="000000" w:themeColor="text1"/>
                <w:sz w:val="22"/>
                <w:szCs w:val="22"/>
              </w:rPr>
              <w:t>Defensivas</w:t>
            </w:r>
          </w:p>
        </w:tc>
        <w:tc>
          <w:tcPr>
            <w:tcW w:w="1766" w:type="dxa"/>
            <w:shd w:val="clear" w:color="auto" w:fill="E8E8E8" w:themeFill="background2"/>
            <w:vAlign w:val="center"/>
          </w:tcPr>
          <w:p w14:paraId="3035E69E" w14:textId="77777777" w:rsidR="005A5FDC" w:rsidRPr="00C454A1" w:rsidRDefault="005A5FDC" w:rsidP="00EE77DF">
            <w:pPr>
              <w:tabs>
                <w:tab w:val="left" w:pos="426"/>
              </w:tabs>
              <w:jc w:val="center"/>
              <w:rPr>
                <w:b/>
                <w:bCs/>
                <w:color w:val="000000" w:themeColor="text1"/>
                <w:sz w:val="22"/>
                <w:szCs w:val="22"/>
              </w:rPr>
            </w:pPr>
            <w:r w:rsidRPr="00C454A1">
              <w:rPr>
                <w:b/>
                <w:bCs/>
                <w:color w:val="000000" w:themeColor="text1"/>
                <w:sz w:val="22"/>
                <w:szCs w:val="22"/>
              </w:rPr>
              <w:t>Estabilidad</w:t>
            </w:r>
          </w:p>
        </w:tc>
        <w:tc>
          <w:tcPr>
            <w:tcW w:w="1766" w:type="dxa"/>
            <w:shd w:val="clear" w:color="auto" w:fill="E8E8E8" w:themeFill="background2"/>
            <w:vAlign w:val="center"/>
          </w:tcPr>
          <w:p w14:paraId="1EDD1025" w14:textId="77777777" w:rsidR="005A5FDC" w:rsidRPr="00C454A1" w:rsidRDefault="005A5FDC" w:rsidP="00EE77DF">
            <w:pPr>
              <w:tabs>
                <w:tab w:val="left" w:pos="426"/>
              </w:tabs>
              <w:jc w:val="center"/>
              <w:rPr>
                <w:b/>
                <w:bCs/>
                <w:color w:val="000000" w:themeColor="text1"/>
                <w:sz w:val="22"/>
                <w:szCs w:val="22"/>
              </w:rPr>
            </w:pPr>
            <w:r w:rsidRPr="00C454A1">
              <w:rPr>
                <w:b/>
                <w:bCs/>
                <w:color w:val="000000" w:themeColor="text1"/>
                <w:sz w:val="22"/>
                <w:szCs w:val="22"/>
              </w:rPr>
              <w:t>COMAC</w:t>
            </w:r>
          </w:p>
        </w:tc>
      </w:tr>
      <w:tr w:rsidR="00C454A1" w:rsidRPr="00C454A1" w14:paraId="0EF6E6A5" w14:textId="77777777" w:rsidTr="00EE77DF">
        <w:tc>
          <w:tcPr>
            <w:tcW w:w="1765" w:type="dxa"/>
            <w:vAlign w:val="center"/>
          </w:tcPr>
          <w:p w14:paraId="08E72235"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2022</w:t>
            </w:r>
          </w:p>
        </w:tc>
        <w:tc>
          <w:tcPr>
            <w:tcW w:w="1765" w:type="dxa"/>
            <w:vAlign w:val="center"/>
          </w:tcPr>
          <w:p w14:paraId="26180001"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510</w:t>
            </w:r>
          </w:p>
        </w:tc>
        <w:tc>
          <w:tcPr>
            <w:tcW w:w="1766" w:type="dxa"/>
            <w:vAlign w:val="center"/>
          </w:tcPr>
          <w:p w14:paraId="01C4FB69"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421</w:t>
            </w:r>
          </w:p>
        </w:tc>
        <w:tc>
          <w:tcPr>
            <w:tcW w:w="1766" w:type="dxa"/>
            <w:vAlign w:val="center"/>
          </w:tcPr>
          <w:p w14:paraId="7CEDA4D6"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1789</w:t>
            </w:r>
          </w:p>
        </w:tc>
        <w:tc>
          <w:tcPr>
            <w:tcW w:w="1766" w:type="dxa"/>
            <w:vAlign w:val="center"/>
          </w:tcPr>
          <w:p w14:paraId="43D9A0B4"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393</w:t>
            </w:r>
          </w:p>
        </w:tc>
      </w:tr>
      <w:tr w:rsidR="00C454A1" w:rsidRPr="00C454A1" w14:paraId="63999F0F" w14:textId="77777777" w:rsidTr="00EE77DF">
        <w:tc>
          <w:tcPr>
            <w:tcW w:w="1765" w:type="dxa"/>
            <w:vAlign w:val="center"/>
          </w:tcPr>
          <w:p w14:paraId="30FB05D5"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2023</w:t>
            </w:r>
          </w:p>
        </w:tc>
        <w:tc>
          <w:tcPr>
            <w:tcW w:w="1765" w:type="dxa"/>
            <w:vAlign w:val="center"/>
          </w:tcPr>
          <w:p w14:paraId="291B9792"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785</w:t>
            </w:r>
          </w:p>
        </w:tc>
        <w:tc>
          <w:tcPr>
            <w:tcW w:w="1766" w:type="dxa"/>
            <w:vAlign w:val="center"/>
          </w:tcPr>
          <w:p w14:paraId="229271B1"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2023</w:t>
            </w:r>
          </w:p>
        </w:tc>
        <w:tc>
          <w:tcPr>
            <w:tcW w:w="1766" w:type="dxa"/>
            <w:vAlign w:val="center"/>
          </w:tcPr>
          <w:p w14:paraId="672048DF"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4089</w:t>
            </w:r>
          </w:p>
        </w:tc>
        <w:tc>
          <w:tcPr>
            <w:tcW w:w="1766" w:type="dxa"/>
            <w:vAlign w:val="center"/>
          </w:tcPr>
          <w:p w14:paraId="5C988E58"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605</w:t>
            </w:r>
          </w:p>
        </w:tc>
      </w:tr>
      <w:tr w:rsidR="00C454A1" w:rsidRPr="00C454A1" w14:paraId="3FF425B3" w14:textId="77777777" w:rsidTr="00EE77DF">
        <w:tc>
          <w:tcPr>
            <w:tcW w:w="1765" w:type="dxa"/>
            <w:vAlign w:val="center"/>
          </w:tcPr>
          <w:p w14:paraId="1777DB2B"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2024</w:t>
            </w:r>
          </w:p>
        </w:tc>
        <w:tc>
          <w:tcPr>
            <w:tcW w:w="1765" w:type="dxa"/>
            <w:vAlign w:val="center"/>
          </w:tcPr>
          <w:p w14:paraId="6C1FB67E"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35</w:t>
            </w:r>
          </w:p>
        </w:tc>
        <w:tc>
          <w:tcPr>
            <w:tcW w:w="1766" w:type="dxa"/>
            <w:vAlign w:val="center"/>
          </w:tcPr>
          <w:p w14:paraId="17A8F09E"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692</w:t>
            </w:r>
          </w:p>
        </w:tc>
        <w:tc>
          <w:tcPr>
            <w:tcW w:w="1766" w:type="dxa"/>
            <w:vAlign w:val="center"/>
          </w:tcPr>
          <w:p w14:paraId="4723A627"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1151</w:t>
            </w:r>
          </w:p>
        </w:tc>
        <w:tc>
          <w:tcPr>
            <w:tcW w:w="1766" w:type="dxa"/>
            <w:vAlign w:val="center"/>
          </w:tcPr>
          <w:p w14:paraId="3DAA0E52"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26</w:t>
            </w:r>
          </w:p>
        </w:tc>
      </w:tr>
      <w:tr w:rsidR="005A5FDC" w:rsidRPr="00C454A1" w14:paraId="3294DB59" w14:textId="77777777" w:rsidTr="00EE77DF">
        <w:tc>
          <w:tcPr>
            <w:tcW w:w="1765" w:type="dxa"/>
            <w:vAlign w:val="center"/>
          </w:tcPr>
          <w:p w14:paraId="14570990"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2025</w:t>
            </w:r>
          </w:p>
        </w:tc>
        <w:tc>
          <w:tcPr>
            <w:tcW w:w="1765" w:type="dxa"/>
            <w:vAlign w:val="center"/>
          </w:tcPr>
          <w:p w14:paraId="6A16A25E"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14</w:t>
            </w:r>
          </w:p>
        </w:tc>
        <w:tc>
          <w:tcPr>
            <w:tcW w:w="1766" w:type="dxa"/>
            <w:vAlign w:val="center"/>
          </w:tcPr>
          <w:p w14:paraId="015FCDD0"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36</w:t>
            </w:r>
          </w:p>
        </w:tc>
        <w:tc>
          <w:tcPr>
            <w:tcW w:w="1766" w:type="dxa"/>
            <w:vAlign w:val="center"/>
          </w:tcPr>
          <w:p w14:paraId="536759FC"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26</w:t>
            </w:r>
          </w:p>
        </w:tc>
        <w:tc>
          <w:tcPr>
            <w:tcW w:w="1766" w:type="dxa"/>
            <w:vAlign w:val="center"/>
          </w:tcPr>
          <w:p w14:paraId="3EF405F2" w14:textId="77777777" w:rsidR="005A5FDC" w:rsidRPr="00C454A1" w:rsidRDefault="005A5FDC" w:rsidP="00EE77DF">
            <w:pPr>
              <w:tabs>
                <w:tab w:val="left" w:pos="426"/>
              </w:tabs>
              <w:jc w:val="center"/>
              <w:rPr>
                <w:color w:val="000000" w:themeColor="text1"/>
                <w:sz w:val="22"/>
                <w:szCs w:val="22"/>
              </w:rPr>
            </w:pPr>
            <w:r w:rsidRPr="00C454A1">
              <w:rPr>
                <w:color w:val="000000" w:themeColor="text1"/>
                <w:sz w:val="22"/>
                <w:szCs w:val="22"/>
              </w:rPr>
              <w:t>00</w:t>
            </w:r>
          </w:p>
        </w:tc>
      </w:tr>
    </w:tbl>
    <w:p w14:paraId="13AFB549" w14:textId="77777777" w:rsidR="005A5FDC" w:rsidRPr="00C454A1" w:rsidRDefault="005A5FDC" w:rsidP="005A5FDC">
      <w:pPr>
        <w:tabs>
          <w:tab w:val="left" w:pos="567"/>
        </w:tabs>
        <w:rPr>
          <w:color w:val="000000" w:themeColor="text1"/>
        </w:rPr>
      </w:pPr>
    </w:p>
    <w:p w14:paraId="13792C37" w14:textId="24E03107" w:rsidR="007525E1" w:rsidRPr="00C454A1" w:rsidRDefault="005A5FDC" w:rsidP="00321FAF">
      <w:pPr>
        <w:numPr>
          <w:ilvl w:val="0"/>
          <w:numId w:val="2"/>
        </w:numPr>
        <w:ind w:left="0" w:firstLine="0"/>
        <w:rPr>
          <w:color w:val="000000" w:themeColor="text1"/>
        </w:rPr>
      </w:pPr>
      <w:bookmarkStart w:id="209" w:name="_Ref219390970"/>
      <w:r w:rsidRPr="00C454A1">
        <w:rPr>
          <w:color w:val="000000" w:themeColor="text1"/>
        </w:rPr>
        <w:t xml:space="preserve">Según el CGFM, las acciones armadas del ELN y los enfrentamientos con otros </w:t>
      </w:r>
      <w:r w:rsidR="00EE77DF" w:rsidRPr="00C454A1">
        <w:rPr>
          <w:color w:val="000000" w:themeColor="text1"/>
        </w:rPr>
        <w:t>GAO</w:t>
      </w:r>
      <w:r w:rsidRPr="00C454A1">
        <w:rPr>
          <w:color w:val="000000" w:themeColor="text1"/>
        </w:rPr>
        <w:t xml:space="preserve"> aumentaron de manera inusitada y exponencial en el Catatumbo debido a la ruptura del periodo de coexistencia criminal. </w:t>
      </w:r>
      <w:r w:rsidR="00DB32A4" w:rsidRPr="00C454A1">
        <w:rPr>
          <w:color w:val="000000" w:themeColor="text1"/>
        </w:rPr>
        <w:t>Esto significó</w:t>
      </w:r>
      <w:r w:rsidRPr="00C454A1">
        <w:rPr>
          <w:color w:val="000000" w:themeColor="text1"/>
        </w:rPr>
        <w:t xml:space="preserve"> </w:t>
      </w:r>
      <w:r w:rsidR="00DB32A4" w:rsidRPr="00C454A1">
        <w:rPr>
          <w:color w:val="000000" w:themeColor="text1"/>
        </w:rPr>
        <w:t>un</w:t>
      </w:r>
      <w:r w:rsidRPr="00C454A1">
        <w:rPr>
          <w:color w:val="000000" w:themeColor="text1"/>
        </w:rPr>
        <w:t xml:space="preserve"> cambio en la dinámica del conflicto armado, </w:t>
      </w:r>
      <w:r w:rsidR="00DB32A4" w:rsidRPr="00C454A1">
        <w:rPr>
          <w:color w:val="000000" w:themeColor="text1"/>
        </w:rPr>
        <w:t>pues</w:t>
      </w:r>
      <w:r w:rsidRPr="00C454A1">
        <w:rPr>
          <w:color w:val="000000" w:themeColor="text1"/>
        </w:rPr>
        <w:t xml:space="preserve"> cada vez hay más enfrentamientos entre grupos armados ilegales, </w:t>
      </w:r>
      <w:r w:rsidR="00DB32A4" w:rsidRPr="00C454A1">
        <w:rPr>
          <w:color w:val="000000" w:themeColor="text1"/>
        </w:rPr>
        <w:t xml:space="preserve">lo que </w:t>
      </w:r>
      <w:r w:rsidRPr="00C454A1">
        <w:rPr>
          <w:color w:val="000000" w:themeColor="text1"/>
        </w:rPr>
        <w:t xml:space="preserve">generó un aumento en la violencia que no ha podido ser contenido con las atribuciones ordinarias. Como medidas concretas que se deben tomar para superar esta situación, indicó que era necesario (i) incrementar el pie de fuerza y (ii) tener un mando unificado de toda la fuerza pública que evite duplicidad en las actividades, lo que no se logra con la coordinación ordinaria entre las Fuerzas Militares y la Policía Nacional. Asimismo, en relación con la insuficiencia presupuestal, señaló que hubo </w:t>
      </w:r>
      <w:r w:rsidR="004656B3" w:rsidRPr="00C454A1">
        <w:rPr>
          <w:color w:val="000000" w:themeColor="text1"/>
        </w:rPr>
        <w:t xml:space="preserve">un </w:t>
      </w:r>
      <w:r w:rsidRPr="00C454A1">
        <w:rPr>
          <w:color w:val="000000" w:themeColor="text1"/>
        </w:rPr>
        <w:t xml:space="preserve">aplazamiento de </w:t>
      </w:r>
      <w:r w:rsidR="00DB32A4" w:rsidRPr="00C454A1">
        <w:rPr>
          <w:color w:val="000000" w:themeColor="text1"/>
        </w:rPr>
        <w:t xml:space="preserve">la destinación de </w:t>
      </w:r>
      <w:r w:rsidRPr="00C454A1">
        <w:rPr>
          <w:color w:val="000000" w:themeColor="text1"/>
        </w:rPr>
        <w:t xml:space="preserve">recursos a las Fuerzas Militares, </w:t>
      </w:r>
      <w:r w:rsidR="00DB32A4" w:rsidRPr="00C454A1">
        <w:rPr>
          <w:color w:val="000000" w:themeColor="text1"/>
        </w:rPr>
        <w:t>lo cual</w:t>
      </w:r>
      <w:r w:rsidRPr="00C454A1">
        <w:rPr>
          <w:color w:val="000000" w:themeColor="text1"/>
        </w:rPr>
        <w:t xml:space="preserve"> afect</w:t>
      </w:r>
      <w:r w:rsidR="00DB32A4" w:rsidRPr="00C454A1">
        <w:rPr>
          <w:color w:val="000000" w:themeColor="text1"/>
        </w:rPr>
        <w:t>ó</w:t>
      </w:r>
      <w:r w:rsidRPr="00C454A1">
        <w:rPr>
          <w:color w:val="000000" w:themeColor="text1"/>
        </w:rPr>
        <w:t xml:space="preserve"> su capacidad de acción y limit</w:t>
      </w:r>
      <w:r w:rsidR="00DB32A4" w:rsidRPr="00C454A1">
        <w:rPr>
          <w:color w:val="000000" w:themeColor="text1"/>
        </w:rPr>
        <w:t>ó</w:t>
      </w:r>
      <w:r w:rsidRPr="00C454A1">
        <w:rPr>
          <w:color w:val="000000" w:themeColor="text1"/>
        </w:rPr>
        <w:t xml:space="preserve"> el mantenimiento de aeronaves y redes tecnológicas</w:t>
      </w:r>
      <w:r w:rsidRPr="00C454A1">
        <w:rPr>
          <w:rStyle w:val="Refdenotaalpie"/>
          <w:color w:val="000000" w:themeColor="text1"/>
        </w:rPr>
        <w:footnoteReference w:id="400"/>
      </w:r>
      <w:r w:rsidRPr="00C454A1">
        <w:rPr>
          <w:color w:val="000000" w:themeColor="text1"/>
        </w:rPr>
        <w:t>.</w:t>
      </w:r>
      <w:bookmarkEnd w:id="209"/>
    </w:p>
    <w:p w14:paraId="201CBED1" w14:textId="77777777" w:rsidR="007525E1" w:rsidRPr="00C454A1" w:rsidRDefault="007525E1" w:rsidP="007525E1">
      <w:pPr>
        <w:rPr>
          <w:color w:val="000000" w:themeColor="text1"/>
        </w:rPr>
      </w:pPr>
    </w:p>
    <w:p w14:paraId="73E0FCB1" w14:textId="2FEE50F8" w:rsidR="005A5FDC" w:rsidRPr="00C454A1" w:rsidRDefault="00DB32A4" w:rsidP="00321FAF">
      <w:pPr>
        <w:numPr>
          <w:ilvl w:val="0"/>
          <w:numId w:val="2"/>
        </w:numPr>
        <w:ind w:left="0" w:firstLine="0"/>
        <w:rPr>
          <w:color w:val="000000" w:themeColor="text1"/>
        </w:rPr>
      </w:pPr>
      <w:r w:rsidRPr="00C454A1">
        <w:rPr>
          <w:color w:val="000000" w:themeColor="text1"/>
        </w:rPr>
        <w:t>L</w:t>
      </w:r>
      <w:r w:rsidR="005A5FDC" w:rsidRPr="00C454A1">
        <w:rPr>
          <w:color w:val="000000" w:themeColor="text1"/>
        </w:rPr>
        <w:t xml:space="preserve">a Policía Nacional indicó que para atender el incremento extraordinario </w:t>
      </w:r>
      <w:r w:rsidR="00183BA0" w:rsidRPr="00C454A1">
        <w:rPr>
          <w:color w:val="000000" w:themeColor="text1"/>
        </w:rPr>
        <w:t>de</w:t>
      </w:r>
      <w:r w:rsidR="005A5FDC" w:rsidRPr="00C454A1">
        <w:rPr>
          <w:color w:val="000000" w:themeColor="text1"/>
        </w:rPr>
        <w:t xml:space="preserve"> las acciones delincuenciales en el Catatumbo instaló un PMU como medida de atención y coordinación, el cual reportó múltiples hechos delictivos desde el 16 de enero de 2025. En una línea similar a la de las Fuerzas Militares, la Policía reportó un aumento del pie de fuerza entre 2022 y 2025, pues se pasó de 3.562 a 3.884 efectivos destinados al Catatumbo. </w:t>
      </w:r>
    </w:p>
    <w:p w14:paraId="194B08EA" w14:textId="77777777" w:rsidR="005A5FDC" w:rsidRPr="00C454A1" w:rsidRDefault="005A5FDC" w:rsidP="005A5FDC">
      <w:pPr>
        <w:pStyle w:val="Prrafodelista"/>
        <w:rPr>
          <w:color w:val="000000" w:themeColor="text1"/>
        </w:rPr>
      </w:pPr>
    </w:p>
    <w:p w14:paraId="6EA1C129" w14:textId="5FD997C2" w:rsidR="005A5FDC" w:rsidRPr="00C454A1" w:rsidRDefault="005A5FDC" w:rsidP="00321FAF">
      <w:pPr>
        <w:numPr>
          <w:ilvl w:val="0"/>
          <w:numId w:val="2"/>
        </w:numPr>
        <w:ind w:left="0" w:firstLine="0"/>
        <w:rPr>
          <w:color w:val="000000" w:themeColor="text1"/>
        </w:rPr>
      </w:pPr>
      <w:r w:rsidRPr="00C454A1">
        <w:rPr>
          <w:color w:val="000000" w:themeColor="text1"/>
        </w:rPr>
        <w:lastRenderedPageBreak/>
        <w:t xml:space="preserve">Adicionalmente, el </w:t>
      </w:r>
      <w:r w:rsidR="007525E1" w:rsidRPr="00C454A1">
        <w:rPr>
          <w:color w:val="000000" w:themeColor="text1"/>
        </w:rPr>
        <w:t>Gobierno nacional</w:t>
      </w:r>
      <w:r w:rsidRPr="00C454A1">
        <w:rPr>
          <w:color w:val="000000" w:themeColor="text1"/>
        </w:rPr>
        <w:t xml:space="preserve"> vinculó los ataques a la infraestructura petrolera y el uso de combustibles por parte de grupos armados ilegales con la perturbación del orden público, lo que</w:t>
      </w:r>
      <w:r w:rsidR="00183BA0" w:rsidRPr="00C454A1">
        <w:rPr>
          <w:color w:val="000000" w:themeColor="text1"/>
        </w:rPr>
        <w:t>, a su juicio,</w:t>
      </w:r>
      <w:r w:rsidRPr="00C454A1">
        <w:rPr>
          <w:color w:val="000000" w:themeColor="text1"/>
        </w:rPr>
        <w:t xml:space="preserve"> justificaba la adopción de medidas extraordinarias. Señaló que, aunque el Ministerio de Minas y Energía dispone de herramientas para limitar el suministro</w:t>
      </w:r>
      <w:r w:rsidR="00183BA0" w:rsidRPr="00C454A1">
        <w:rPr>
          <w:color w:val="000000" w:themeColor="text1"/>
        </w:rPr>
        <w:t xml:space="preserve"> de combustibles</w:t>
      </w:r>
      <w:r w:rsidRPr="00C454A1">
        <w:rPr>
          <w:color w:val="000000" w:themeColor="text1"/>
        </w:rPr>
        <w:t xml:space="preserve">, </w:t>
      </w:r>
      <w:r w:rsidR="00183BA0" w:rsidRPr="00C454A1">
        <w:rPr>
          <w:color w:val="000000" w:themeColor="text1"/>
        </w:rPr>
        <w:t>é</w:t>
      </w:r>
      <w:r w:rsidRPr="00C454A1">
        <w:rPr>
          <w:color w:val="000000" w:themeColor="text1"/>
        </w:rPr>
        <w:t xml:space="preserve">stas no </w:t>
      </w:r>
      <w:r w:rsidR="00183BA0" w:rsidRPr="00C454A1">
        <w:rPr>
          <w:color w:val="000000" w:themeColor="text1"/>
        </w:rPr>
        <w:t>son</w:t>
      </w:r>
      <w:r w:rsidRPr="00C454A1">
        <w:rPr>
          <w:color w:val="000000" w:themeColor="text1"/>
        </w:rPr>
        <w:t xml:space="preserve"> suficientes para impedir que los actores ilegales continúen utilizando los combustibles en actividades propias de la conducción de hostilidades. Con base en la Ley 142 de 1994, alegó que, en condiciones normales, no es posible restringir servicios públicos esenciales como la distribución de combustibles, por lo que sostuvo que requería facultades excepcionales para “controlar, limitar, suspender o sustituir” de manera total dichas actividades en la región.</w:t>
      </w:r>
    </w:p>
    <w:p w14:paraId="4E7C3F06" w14:textId="77777777" w:rsidR="005A5FDC" w:rsidRPr="00C454A1" w:rsidRDefault="005A5FDC" w:rsidP="005A5FDC">
      <w:pPr>
        <w:pStyle w:val="Prrafodelista"/>
        <w:rPr>
          <w:color w:val="000000" w:themeColor="text1"/>
        </w:rPr>
      </w:pPr>
    </w:p>
    <w:p w14:paraId="0F8AB036" w14:textId="77777777" w:rsidR="005A5FDC" w:rsidRPr="00C454A1" w:rsidRDefault="005A5FDC" w:rsidP="00321FAF">
      <w:pPr>
        <w:numPr>
          <w:ilvl w:val="0"/>
          <w:numId w:val="2"/>
        </w:numPr>
        <w:ind w:left="0" w:firstLine="0"/>
        <w:rPr>
          <w:color w:val="000000" w:themeColor="text1"/>
        </w:rPr>
      </w:pPr>
      <w:r w:rsidRPr="00C454A1">
        <w:rPr>
          <w:color w:val="000000" w:themeColor="text1"/>
        </w:rPr>
        <w:t xml:space="preserve">Por su parte, las entidades territoriales remitieron la siguiente información: </w:t>
      </w:r>
    </w:p>
    <w:p w14:paraId="5696B1BA" w14:textId="77777777" w:rsidR="005A5FDC" w:rsidRPr="00C454A1" w:rsidRDefault="005A5FDC" w:rsidP="00441B1C">
      <w:pPr>
        <w:jc w:val="center"/>
        <w:rPr>
          <w:i/>
          <w:iCs/>
          <w:color w:val="000000" w:themeColor="text1"/>
          <w:sz w:val="22"/>
          <w:szCs w:val="22"/>
        </w:rPr>
      </w:pPr>
    </w:p>
    <w:p w14:paraId="2CBF7B94" w14:textId="4A7C23A6" w:rsidR="00A651F7" w:rsidRPr="00C454A1" w:rsidRDefault="00A651F7" w:rsidP="00441B1C">
      <w:pPr>
        <w:jc w:val="center"/>
        <w:rPr>
          <w:i/>
          <w:iCs/>
          <w:color w:val="000000" w:themeColor="text1"/>
          <w:sz w:val="22"/>
          <w:szCs w:val="22"/>
        </w:rPr>
      </w:pPr>
      <w:r w:rsidRPr="00C454A1">
        <w:rPr>
          <w:i/>
          <w:iCs/>
          <w:color w:val="000000" w:themeColor="text1"/>
          <w:sz w:val="22"/>
          <w:szCs w:val="22"/>
        </w:rPr>
        <w:t>Tabla 1</w:t>
      </w:r>
      <w:r w:rsidR="00703A24" w:rsidRPr="00C454A1">
        <w:rPr>
          <w:i/>
          <w:iCs/>
          <w:color w:val="000000" w:themeColor="text1"/>
          <w:sz w:val="22"/>
          <w:szCs w:val="22"/>
        </w:rPr>
        <w:t>4</w:t>
      </w:r>
      <w:r w:rsidRPr="00C454A1">
        <w:rPr>
          <w:i/>
          <w:iCs/>
          <w:color w:val="000000" w:themeColor="text1"/>
          <w:sz w:val="22"/>
          <w:szCs w:val="22"/>
        </w:rPr>
        <w:t xml:space="preserve">: </w:t>
      </w:r>
      <w:r w:rsidR="00441B1C" w:rsidRPr="00C454A1">
        <w:rPr>
          <w:i/>
          <w:iCs/>
          <w:color w:val="000000" w:themeColor="text1"/>
          <w:sz w:val="22"/>
          <w:szCs w:val="22"/>
        </w:rPr>
        <w:t>información reportada por las entidades territoriales de la región del Catatumbo sobre las medidas adoptadas</w:t>
      </w:r>
      <w:r w:rsidR="00934370" w:rsidRPr="00C454A1">
        <w:rPr>
          <w:i/>
          <w:iCs/>
          <w:color w:val="000000" w:themeColor="text1"/>
          <w:sz w:val="22"/>
          <w:szCs w:val="22"/>
        </w:rPr>
        <w:t xml:space="preserve"> en materia de seguridad</w:t>
      </w:r>
    </w:p>
    <w:tbl>
      <w:tblPr>
        <w:tblStyle w:val="Tablaconcuadrcula"/>
        <w:tblW w:w="0" w:type="auto"/>
        <w:tblLook w:val="04A0" w:firstRow="1" w:lastRow="0" w:firstColumn="1" w:lastColumn="0" w:noHBand="0" w:noVBand="1"/>
      </w:tblPr>
      <w:tblGrid>
        <w:gridCol w:w="1271"/>
        <w:gridCol w:w="7559"/>
      </w:tblGrid>
      <w:tr w:rsidR="00C454A1" w:rsidRPr="00C454A1" w14:paraId="01CE79BA" w14:textId="77777777" w:rsidTr="00EE77DF">
        <w:tc>
          <w:tcPr>
            <w:tcW w:w="1271" w:type="dxa"/>
            <w:shd w:val="clear" w:color="auto" w:fill="D9D9D9" w:themeFill="background1" w:themeFillShade="D9"/>
            <w:vAlign w:val="center"/>
          </w:tcPr>
          <w:p w14:paraId="6E2D098E" w14:textId="77777777" w:rsidR="005A5FDC" w:rsidRPr="00C454A1" w:rsidRDefault="005A5FDC" w:rsidP="00EE77DF">
            <w:pPr>
              <w:tabs>
                <w:tab w:val="left" w:pos="567"/>
              </w:tabs>
              <w:jc w:val="center"/>
              <w:rPr>
                <w:b/>
                <w:bCs/>
                <w:color w:val="000000" w:themeColor="text1"/>
                <w:sz w:val="22"/>
                <w:szCs w:val="22"/>
              </w:rPr>
            </w:pPr>
            <w:r w:rsidRPr="00C454A1">
              <w:rPr>
                <w:b/>
                <w:bCs/>
                <w:color w:val="000000" w:themeColor="text1"/>
                <w:sz w:val="22"/>
                <w:szCs w:val="22"/>
                <w:shd w:val="clear" w:color="auto" w:fill="D9D9D9" w:themeFill="background1" w:themeFillShade="D9"/>
              </w:rPr>
              <w:t>Río de Oro</w:t>
            </w:r>
          </w:p>
        </w:tc>
        <w:tc>
          <w:tcPr>
            <w:tcW w:w="7559" w:type="dxa"/>
            <w:vAlign w:val="center"/>
          </w:tcPr>
          <w:p w14:paraId="50D47662" w14:textId="77777777" w:rsidR="005A5FDC" w:rsidRPr="00C454A1" w:rsidRDefault="005A5FDC" w:rsidP="00EE77DF">
            <w:pPr>
              <w:tabs>
                <w:tab w:val="left" w:pos="567"/>
              </w:tabs>
              <w:rPr>
                <w:color w:val="000000" w:themeColor="text1"/>
                <w:sz w:val="22"/>
                <w:szCs w:val="22"/>
              </w:rPr>
            </w:pPr>
            <w:r w:rsidRPr="00C454A1">
              <w:rPr>
                <w:color w:val="000000" w:themeColor="text1"/>
                <w:sz w:val="22"/>
                <w:szCs w:val="22"/>
              </w:rPr>
              <w:t>Informó que en los últimos meses ha adoptado decretos de orden público para establecer restricciones en horarios de establecimientos comerciales, circulación de personas y vehículos, y eventos de aglomeración, con el fin de restablecer la seguridad pública.</w:t>
            </w:r>
          </w:p>
        </w:tc>
      </w:tr>
      <w:tr w:rsidR="00C454A1" w:rsidRPr="00C454A1" w14:paraId="52E51149" w14:textId="77777777" w:rsidTr="00EE77DF">
        <w:tc>
          <w:tcPr>
            <w:tcW w:w="1271" w:type="dxa"/>
            <w:shd w:val="clear" w:color="auto" w:fill="D9D9D9" w:themeFill="background1" w:themeFillShade="D9"/>
            <w:vAlign w:val="center"/>
          </w:tcPr>
          <w:p w14:paraId="69208C2A" w14:textId="77777777" w:rsidR="005A5FDC" w:rsidRPr="00C454A1" w:rsidRDefault="005A5FDC" w:rsidP="00EE77DF">
            <w:pPr>
              <w:tabs>
                <w:tab w:val="left" w:pos="567"/>
              </w:tabs>
              <w:jc w:val="center"/>
              <w:rPr>
                <w:b/>
                <w:bCs/>
                <w:color w:val="000000" w:themeColor="text1"/>
                <w:sz w:val="22"/>
                <w:szCs w:val="22"/>
              </w:rPr>
            </w:pPr>
            <w:r w:rsidRPr="00C454A1">
              <w:rPr>
                <w:b/>
                <w:bCs/>
                <w:color w:val="000000" w:themeColor="text1"/>
                <w:sz w:val="22"/>
                <w:szCs w:val="22"/>
              </w:rPr>
              <w:t>Ocaña</w:t>
            </w:r>
          </w:p>
        </w:tc>
        <w:tc>
          <w:tcPr>
            <w:tcW w:w="7559" w:type="dxa"/>
            <w:vAlign w:val="center"/>
          </w:tcPr>
          <w:p w14:paraId="20AE1EEC" w14:textId="77777777" w:rsidR="005A5FDC" w:rsidRPr="00C454A1" w:rsidRDefault="005A5FDC" w:rsidP="00EE77DF">
            <w:pPr>
              <w:tabs>
                <w:tab w:val="left" w:pos="567"/>
              </w:tabs>
              <w:rPr>
                <w:color w:val="000000" w:themeColor="text1"/>
                <w:sz w:val="22"/>
                <w:szCs w:val="22"/>
              </w:rPr>
            </w:pPr>
            <w:r w:rsidRPr="00C454A1">
              <w:rPr>
                <w:color w:val="000000" w:themeColor="text1"/>
                <w:sz w:val="22"/>
                <w:szCs w:val="22"/>
              </w:rPr>
              <w:t>Refirió que “la administración municipal, en conjunto con la Fuerza Pública, ha fortalecido estrategias de prevención y seguridad para mitigar estos riesgos y garantizar la tranquilidad de los ciudadanos”</w:t>
            </w:r>
            <w:r w:rsidRPr="00C454A1">
              <w:rPr>
                <w:color w:val="000000" w:themeColor="text1"/>
                <w:sz w:val="22"/>
                <w:szCs w:val="22"/>
                <w:vertAlign w:val="superscript"/>
              </w:rPr>
              <w:footnoteReference w:id="401"/>
            </w:r>
            <w:r w:rsidRPr="00C454A1">
              <w:rPr>
                <w:color w:val="000000" w:themeColor="text1"/>
                <w:sz w:val="22"/>
                <w:szCs w:val="22"/>
              </w:rPr>
              <w:t>. En concreto, se activó el denominado “Plan Candado”, así como patrullajes mixtos y el Nuevo Modelo de Servicio de Policía, basado en el Trinomio de la Seguridad</w:t>
            </w:r>
            <w:r w:rsidRPr="00C454A1">
              <w:rPr>
                <w:color w:val="000000" w:themeColor="text1"/>
                <w:sz w:val="22"/>
                <w:szCs w:val="22"/>
                <w:vertAlign w:val="superscript"/>
              </w:rPr>
              <w:footnoteReference w:id="402"/>
            </w:r>
            <w:r w:rsidRPr="00C454A1">
              <w:rPr>
                <w:color w:val="000000" w:themeColor="text1"/>
                <w:sz w:val="22"/>
                <w:szCs w:val="22"/>
              </w:rPr>
              <w:t>.</w:t>
            </w:r>
            <w:r w:rsidRPr="00C454A1">
              <w:rPr>
                <w:rFonts w:cs="Times New Roman"/>
                <w:color w:val="000000" w:themeColor="text1"/>
                <w:sz w:val="22"/>
                <w:szCs w:val="22"/>
              </w:rPr>
              <w:t xml:space="preserve"> </w:t>
            </w:r>
            <w:r w:rsidRPr="00C454A1">
              <w:rPr>
                <w:color w:val="000000" w:themeColor="text1"/>
                <w:sz w:val="22"/>
                <w:szCs w:val="22"/>
              </w:rPr>
              <w:t>Agregó que ha “gestionado ante el Departamento de Policía de Norte de Santander y la Dirección de Seguridad Ciudadana de la Policía Nacional el aumento del pie de fuerza en el municipio, con el objetivo de fortalecer la presencia institucional, mejorar las capacidades de reacción ante situaciones que puedan afectar el orden público y reforzar las estrategias de seguridad en la zona”</w:t>
            </w:r>
            <w:r w:rsidRPr="00C454A1">
              <w:rPr>
                <w:color w:val="000000" w:themeColor="text1"/>
                <w:sz w:val="22"/>
                <w:szCs w:val="22"/>
                <w:vertAlign w:val="superscript"/>
              </w:rPr>
              <w:footnoteReference w:id="403"/>
            </w:r>
            <w:r w:rsidRPr="00C454A1">
              <w:rPr>
                <w:color w:val="000000" w:themeColor="text1"/>
                <w:sz w:val="22"/>
                <w:szCs w:val="22"/>
              </w:rPr>
              <w:t>.</w:t>
            </w:r>
          </w:p>
        </w:tc>
      </w:tr>
      <w:tr w:rsidR="00C454A1" w:rsidRPr="00C454A1" w14:paraId="1B074638" w14:textId="77777777" w:rsidTr="00EE77DF">
        <w:tc>
          <w:tcPr>
            <w:tcW w:w="1271" w:type="dxa"/>
            <w:shd w:val="clear" w:color="auto" w:fill="D9D9D9" w:themeFill="background1" w:themeFillShade="D9"/>
            <w:vAlign w:val="center"/>
          </w:tcPr>
          <w:p w14:paraId="38D4F749" w14:textId="77777777" w:rsidR="005A5FDC" w:rsidRPr="00C454A1" w:rsidRDefault="005A5FDC" w:rsidP="00EE77DF">
            <w:pPr>
              <w:tabs>
                <w:tab w:val="left" w:pos="567"/>
              </w:tabs>
              <w:jc w:val="center"/>
              <w:rPr>
                <w:b/>
                <w:bCs/>
                <w:color w:val="000000" w:themeColor="text1"/>
                <w:sz w:val="22"/>
                <w:szCs w:val="22"/>
              </w:rPr>
            </w:pPr>
            <w:r w:rsidRPr="00C454A1">
              <w:rPr>
                <w:b/>
                <w:bCs/>
                <w:color w:val="000000" w:themeColor="text1"/>
                <w:sz w:val="22"/>
                <w:szCs w:val="22"/>
              </w:rPr>
              <w:t>González</w:t>
            </w:r>
          </w:p>
        </w:tc>
        <w:tc>
          <w:tcPr>
            <w:tcW w:w="7559" w:type="dxa"/>
            <w:vAlign w:val="center"/>
          </w:tcPr>
          <w:p w14:paraId="5D1F7639" w14:textId="77777777" w:rsidR="005A5FDC" w:rsidRPr="00C454A1" w:rsidRDefault="005A5FDC" w:rsidP="00EE77DF">
            <w:pPr>
              <w:tabs>
                <w:tab w:val="left" w:pos="567"/>
              </w:tabs>
              <w:rPr>
                <w:color w:val="000000" w:themeColor="text1"/>
                <w:sz w:val="22"/>
                <w:szCs w:val="22"/>
              </w:rPr>
            </w:pPr>
            <w:r w:rsidRPr="00C454A1">
              <w:rPr>
                <w:color w:val="000000" w:themeColor="text1"/>
                <w:sz w:val="22"/>
                <w:szCs w:val="22"/>
              </w:rPr>
              <w:t>Indicó que ha empleado medidas como monitoreo y vigilancia continua en tiempo real, análisis de inteligencia, operativos preventivos y patrullajes, el reforzamiento del programa de prevención de delitos dirigidos a jóvenes en situación de vulnerabilidad y la implementación de las alertas tempranas de la Defensoría.</w:t>
            </w:r>
          </w:p>
        </w:tc>
      </w:tr>
      <w:tr w:rsidR="00C454A1" w:rsidRPr="00C454A1" w14:paraId="144E4246" w14:textId="77777777" w:rsidTr="00EE77DF">
        <w:tc>
          <w:tcPr>
            <w:tcW w:w="1271" w:type="dxa"/>
            <w:shd w:val="clear" w:color="auto" w:fill="D9D9D9" w:themeFill="background1" w:themeFillShade="D9"/>
            <w:vAlign w:val="center"/>
          </w:tcPr>
          <w:p w14:paraId="011DA033" w14:textId="77777777" w:rsidR="005A5FDC" w:rsidRPr="00C454A1" w:rsidRDefault="005A5FDC" w:rsidP="00EE77DF">
            <w:pPr>
              <w:tabs>
                <w:tab w:val="left" w:pos="567"/>
              </w:tabs>
              <w:jc w:val="center"/>
              <w:rPr>
                <w:b/>
                <w:bCs/>
                <w:color w:val="000000" w:themeColor="text1"/>
                <w:sz w:val="22"/>
                <w:szCs w:val="22"/>
              </w:rPr>
            </w:pPr>
            <w:r w:rsidRPr="00C454A1">
              <w:rPr>
                <w:b/>
                <w:bCs/>
                <w:color w:val="000000" w:themeColor="text1"/>
                <w:sz w:val="22"/>
                <w:szCs w:val="22"/>
              </w:rPr>
              <w:t>San Calixto</w:t>
            </w:r>
          </w:p>
        </w:tc>
        <w:tc>
          <w:tcPr>
            <w:tcW w:w="7559" w:type="dxa"/>
            <w:vAlign w:val="center"/>
          </w:tcPr>
          <w:p w14:paraId="68976D70" w14:textId="36A9DA46" w:rsidR="005A5FDC" w:rsidRPr="00C454A1" w:rsidRDefault="005A5FDC" w:rsidP="00EE77DF">
            <w:pPr>
              <w:tabs>
                <w:tab w:val="left" w:pos="567"/>
              </w:tabs>
              <w:rPr>
                <w:color w:val="000000" w:themeColor="text1"/>
                <w:sz w:val="22"/>
                <w:szCs w:val="22"/>
              </w:rPr>
            </w:pPr>
            <w:r w:rsidRPr="00C454A1">
              <w:rPr>
                <w:color w:val="000000" w:themeColor="text1"/>
                <w:sz w:val="22"/>
                <w:szCs w:val="22"/>
              </w:rPr>
              <w:t>Aseguró que ha adoptado, entre otras, las siguientes medidas para enfrentar las alteraciones del orden público: (i) implementación de espacios de coordinación intermunicipal para promover y proteger los DDHH; (ii) conformación de Equipos de Acción Inmediata para atender casos de reclutamiento de NNA y (iii) difusión de piezas comunicativas y cápsulas informativas sobre comportamientos seguros, entre otras acciones</w:t>
            </w:r>
            <w:r w:rsidRPr="00C454A1">
              <w:rPr>
                <w:color w:val="000000" w:themeColor="text1"/>
                <w:sz w:val="22"/>
                <w:szCs w:val="22"/>
                <w:vertAlign w:val="superscript"/>
              </w:rPr>
              <w:footnoteReference w:id="404"/>
            </w:r>
            <w:r w:rsidRPr="00C454A1">
              <w:rPr>
                <w:color w:val="000000" w:themeColor="text1"/>
                <w:sz w:val="22"/>
                <w:szCs w:val="22"/>
              </w:rPr>
              <w:t xml:space="preserve">. Indicó que ha advertido al </w:t>
            </w:r>
            <w:r w:rsidR="007525E1" w:rsidRPr="00C454A1">
              <w:rPr>
                <w:color w:val="000000" w:themeColor="text1"/>
                <w:sz w:val="22"/>
                <w:szCs w:val="22"/>
              </w:rPr>
              <w:t>Gobierno nacional</w:t>
            </w:r>
            <w:r w:rsidRPr="00C454A1">
              <w:rPr>
                <w:color w:val="000000" w:themeColor="text1"/>
                <w:sz w:val="22"/>
                <w:szCs w:val="22"/>
              </w:rPr>
              <w:t xml:space="preserve"> sobre la situación de orden público a través de su participación en el Subcomité de Prevención y Garantías de No Repetición, en consejos de seguridad y en comités de seguimiento electoral</w:t>
            </w:r>
            <w:r w:rsidRPr="00C454A1">
              <w:rPr>
                <w:color w:val="000000" w:themeColor="text1"/>
                <w:sz w:val="22"/>
                <w:szCs w:val="22"/>
                <w:vertAlign w:val="superscript"/>
              </w:rPr>
              <w:footnoteReference w:id="405"/>
            </w:r>
            <w:r w:rsidRPr="00C454A1">
              <w:rPr>
                <w:color w:val="000000" w:themeColor="text1"/>
                <w:sz w:val="22"/>
                <w:szCs w:val="22"/>
              </w:rPr>
              <w:t>. Sin embargo, señaló que pesar de ello, ha habido “baja respuesta institucional en materia de prevención”</w:t>
            </w:r>
            <w:r w:rsidRPr="00C454A1">
              <w:rPr>
                <w:color w:val="000000" w:themeColor="text1"/>
                <w:sz w:val="22"/>
                <w:szCs w:val="22"/>
                <w:vertAlign w:val="superscript"/>
              </w:rPr>
              <w:footnoteReference w:id="406"/>
            </w:r>
            <w:r w:rsidRPr="00C454A1">
              <w:rPr>
                <w:color w:val="000000" w:themeColor="text1"/>
                <w:sz w:val="22"/>
                <w:szCs w:val="22"/>
              </w:rPr>
              <w:t>.</w:t>
            </w:r>
          </w:p>
        </w:tc>
      </w:tr>
      <w:tr w:rsidR="005A5FDC" w:rsidRPr="00C454A1" w14:paraId="4F6458C2" w14:textId="77777777" w:rsidTr="00EE77DF">
        <w:tc>
          <w:tcPr>
            <w:tcW w:w="1271" w:type="dxa"/>
            <w:shd w:val="clear" w:color="auto" w:fill="D9D9D9" w:themeFill="background1" w:themeFillShade="D9"/>
            <w:vAlign w:val="center"/>
          </w:tcPr>
          <w:p w14:paraId="19513B8B" w14:textId="77777777" w:rsidR="005A5FDC" w:rsidRPr="00C454A1" w:rsidRDefault="005A5FDC" w:rsidP="00EE77DF">
            <w:pPr>
              <w:tabs>
                <w:tab w:val="left" w:pos="567"/>
              </w:tabs>
              <w:jc w:val="center"/>
              <w:rPr>
                <w:b/>
                <w:bCs/>
                <w:color w:val="000000" w:themeColor="text1"/>
                <w:sz w:val="22"/>
                <w:szCs w:val="22"/>
              </w:rPr>
            </w:pPr>
            <w:r w:rsidRPr="00C454A1">
              <w:rPr>
                <w:b/>
                <w:bCs/>
                <w:color w:val="000000" w:themeColor="text1"/>
                <w:sz w:val="22"/>
                <w:szCs w:val="22"/>
              </w:rPr>
              <w:t>El Tarra</w:t>
            </w:r>
          </w:p>
        </w:tc>
        <w:tc>
          <w:tcPr>
            <w:tcW w:w="7559" w:type="dxa"/>
            <w:vAlign w:val="center"/>
          </w:tcPr>
          <w:p w14:paraId="5C65FB3E" w14:textId="77777777" w:rsidR="005A5FDC" w:rsidRPr="00C454A1" w:rsidRDefault="005A5FDC" w:rsidP="00EE77DF">
            <w:pPr>
              <w:tabs>
                <w:tab w:val="left" w:pos="567"/>
              </w:tabs>
              <w:rPr>
                <w:color w:val="000000" w:themeColor="text1"/>
                <w:sz w:val="22"/>
                <w:szCs w:val="22"/>
              </w:rPr>
            </w:pPr>
            <w:r w:rsidRPr="00C454A1">
              <w:rPr>
                <w:color w:val="000000" w:themeColor="text1"/>
                <w:sz w:val="22"/>
                <w:szCs w:val="22"/>
              </w:rPr>
              <w:t xml:space="preserve">Informó que ha participado en diversos encuentros con entidades de control, en los que ha manifestado su preocupación por la situación de seguridad y la vulneración de derechos humanos. </w:t>
            </w:r>
          </w:p>
        </w:tc>
      </w:tr>
    </w:tbl>
    <w:p w14:paraId="57ADDF25" w14:textId="77777777" w:rsidR="005A5FDC" w:rsidRPr="00C454A1" w:rsidRDefault="005A5FDC" w:rsidP="005A5FDC">
      <w:pPr>
        <w:rPr>
          <w:color w:val="000000" w:themeColor="text1"/>
        </w:rPr>
      </w:pPr>
    </w:p>
    <w:p w14:paraId="44567205" w14:textId="6BAE4FF3" w:rsidR="005A5FDC" w:rsidRPr="00C454A1" w:rsidRDefault="005A5FDC" w:rsidP="00321FAF">
      <w:pPr>
        <w:numPr>
          <w:ilvl w:val="0"/>
          <w:numId w:val="2"/>
        </w:numPr>
        <w:ind w:left="0" w:firstLine="0"/>
        <w:rPr>
          <w:color w:val="000000" w:themeColor="text1"/>
        </w:rPr>
      </w:pPr>
      <w:r w:rsidRPr="00C454A1">
        <w:rPr>
          <w:color w:val="000000" w:themeColor="text1"/>
        </w:rPr>
        <w:t xml:space="preserve">En relación con los recursos requeridos para enfrentar el incremento de los enfrentamientos armados en la zona, fortalecer las capacidades de la </w:t>
      </w:r>
      <w:r w:rsidR="00BE38F1" w:rsidRPr="00C454A1">
        <w:rPr>
          <w:color w:val="000000" w:themeColor="text1"/>
        </w:rPr>
        <w:t>f</w:t>
      </w:r>
      <w:r w:rsidRPr="00C454A1">
        <w:rPr>
          <w:color w:val="000000" w:themeColor="text1"/>
        </w:rPr>
        <w:t xml:space="preserve">uerza </w:t>
      </w:r>
      <w:r w:rsidR="00BE38F1" w:rsidRPr="00C454A1">
        <w:rPr>
          <w:color w:val="000000" w:themeColor="text1"/>
        </w:rPr>
        <w:t>p</w:t>
      </w:r>
      <w:r w:rsidRPr="00C454A1">
        <w:rPr>
          <w:color w:val="000000" w:themeColor="text1"/>
        </w:rPr>
        <w:t xml:space="preserve">ública y restablecer el orden público, las entidades del Ejecutivo señalaron lo siguiente: </w:t>
      </w:r>
    </w:p>
    <w:p w14:paraId="43611304" w14:textId="77777777" w:rsidR="005A5FDC" w:rsidRPr="00C454A1" w:rsidRDefault="005A5FDC" w:rsidP="008849E1">
      <w:pPr>
        <w:rPr>
          <w:color w:val="000000" w:themeColor="text1"/>
        </w:rPr>
      </w:pPr>
    </w:p>
    <w:p w14:paraId="2DD5639B" w14:textId="0E6C14AB" w:rsidR="008849E1" w:rsidRPr="00C454A1" w:rsidRDefault="008849E1" w:rsidP="00D23982">
      <w:pPr>
        <w:jc w:val="center"/>
        <w:rPr>
          <w:i/>
          <w:iCs/>
          <w:color w:val="000000" w:themeColor="text1"/>
          <w:sz w:val="22"/>
          <w:szCs w:val="22"/>
        </w:rPr>
      </w:pPr>
      <w:r w:rsidRPr="00C454A1">
        <w:rPr>
          <w:i/>
          <w:iCs/>
          <w:color w:val="000000" w:themeColor="text1"/>
          <w:sz w:val="22"/>
          <w:szCs w:val="22"/>
        </w:rPr>
        <w:t>Tabla 1</w:t>
      </w:r>
      <w:r w:rsidR="00703A24" w:rsidRPr="00C454A1">
        <w:rPr>
          <w:i/>
          <w:iCs/>
          <w:color w:val="000000" w:themeColor="text1"/>
          <w:sz w:val="22"/>
          <w:szCs w:val="22"/>
        </w:rPr>
        <w:t>5</w:t>
      </w:r>
      <w:r w:rsidRPr="00C454A1">
        <w:rPr>
          <w:i/>
          <w:iCs/>
          <w:color w:val="000000" w:themeColor="text1"/>
          <w:sz w:val="22"/>
          <w:szCs w:val="22"/>
        </w:rPr>
        <w:t xml:space="preserve">: </w:t>
      </w:r>
      <w:r w:rsidR="00D23982" w:rsidRPr="00C454A1">
        <w:rPr>
          <w:i/>
          <w:iCs/>
          <w:color w:val="000000" w:themeColor="text1"/>
          <w:sz w:val="22"/>
          <w:szCs w:val="22"/>
        </w:rPr>
        <w:t>información reportada por entidades del Ejecutivo sobre recursos destinados a fortalecer el pie de fuerza en la región del Catatumbo</w:t>
      </w:r>
    </w:p>
    <w:tbl>
      <w:tblPr>
        <w:tblStyle w:val="Tablaconcuadrcula"/>
        <w:tblW w:w="0" w:type="auto"/>
        <w:tblLook w:val="04A0" w:firstRow="1" w:lastRow="0" w:firstColumn="1" w:lastColumn="0" w:noHBand="0" w:noVBand="1"/>
      </w:tblPr>
      <w:tblGrid>
        <w:gridCol w:w="1696"/>
        <w:gridCol w:w="7134"/>
      </w:tblGrid>
      <w:tr w:rsidR="00C454A1" w:rsidRPr="00C454A1" w14:paraId="7981C798" w14:textId="77777777" w:rsidTr="00EE77DF">
        <w:tc>
          <w:tcPr>
            <w:tcW w:w="1696" w:type="dxa"/>
            <w:shd w:val="clear" w:color="auto" w:fill="D9D9D9" w:themeFill="background1" w:themeFillShade="D9"/>
            <w:vAlign w:val="center"/>
          </w:tcPr>
          <w:p w14:paraId="7E235B30" w14:textId="77777777" w:rsidR="005A5FDC" w:rsidRPr="00C454A1" w:rsidRDefault="005A5FDC" w:rsidP="00EE77DF">
            <w:pPr>
              <w:contextualSpacing/>
              <w:jc w:val="center"/>
              <w:rPr>
                <w:rFonts w:cs="Times New Roman"/>
                <w:b/>
                <w:bCs/>
                <w:color w:val="000000" w:themeColor="text1"/>
                <w:sz w:val="22"/>
                <w:szCs w:val="22"/>
              </w:rPr>
            </w:pPr>
            <w:r w:rsidRPr="00C454A1">
              <w:rPr>
                <w:rFonts w:cs="Times New Roman"/>
                <w:b/>
                <w:bCs/>
                <w:color w:val="000000" w:themeColor="text1"/>
                <w:sz w:val="22"/>
                <w:szCs w:val="22"/>
              </w:rPr>
              <w:t>Ministerio de Defensa Nacional</w:t>
            </w:r>
          </w:p>
        </w:tc>
        <w:tc>
          <w:tcPr>
            <w:tcW w:w="7134" w:type="dxa"/>
            <w:vAlign w:val="center"/>
          </w:tcPr>
          <w:p w14:paraId="2D6E3F5E" w14:textId="49C856D8" w:rsidR="005A5FDC" w:rsidRPr="00C454A1" w:rsidRDefault="005A5FDC" w:rsidP="00EE77DF">
            <w:pPr>
              <w:contextualSpacing/>
              <w:rPr>
                <w:rFonts w:cs="Times New Roman"/>
                <w:color w:val="000000" w:themeColor="text1"/>
                <w:sz w:val="22"/>
                <w:szCs w:val="22"/>
              </w:rPr>
            </w:pPr>
            <w:r w:rsidRPr="00C454A1">
              <w:rPr>
                <w:rFonts w:cs="Times New Roman"/>
                <w:color w:val="000000" w:themeColor="text1"/>
                <w:sz w:val="22"/>
                <w:szCs w:val="22"/>
              </w:rPr>
              <w:t xml:space="preserve">Señaló que los recursos presupuestales con los que contaba eran insuficientes para atender la crisis. Por esta razón, (i) comunicó a la Dirección General del Presupuesto Público Nacional del </w:t>
            </w:r>
            <w:r w:rsidR="002D05C9" w:rsidRPr="00C454A1">
              <w:rPr>
                <w:rFonts w:cs="Times New Roman"/>
                <w:color w:val="000000" w:themeColor="text1"/>
                <w:sz w:val="22"/>
                <w:szCs w:val="22"/>
              </w:rPr>
              <w:t>MinHacienda</w:t>
            </w:r>
            <w:r w:rsidRPr="00C454A1">
              <w:rPr>
                <w:rFonts w:cs="Times New Roman"/>
                <w:color w:val="000000" w:themeColor="text1"/>
                <w:sz w:val="22"/>
                <w:szCs w:val="22"/>
              </w:rPr>
              <w:t xml:space="preserve"> “la necesidad de recursos adicionales para la </w:t>
            </w:r>
            <w:r w:rsidR="00F858F2" w:rsidRPr="00C454A1">
              <w:rPr>
                <w:rFonts w:cs="Times New Roman"/>
                <w:color w:val="000000" w:themeColor="text1"/>
                <w:sz w:val="22"/>
                <w:szCs w:val="22"/>
              </w:rPr>
              <w:t>f</w:t>
            </w:r>
            <w:r w:rsidRPr="00C454A1">
              <w:rPr>
                <w:rFonts w:cs="Times New Roman"/>
                <w:color w:val="000000" w:themeColor="text1"/>
                <w:sz w:val="22"/>
                <w:szCs w:val="22"/>
              </w:rPr>
              <w:t xml:space="preserve">uerza </w:t>
            </w:r>
            <w:r w:rsidR="00F858F2" w:rsidRPr="00C454A1">
              <w:rPr>
                <w:rFonts w:cs="Times New Roman"/>
                <w:color w:val="000000" w:themeColor="text1"/>
                <w:sz w:val="22"/>
                <w:szCs w:val="22"/>
              </w:rPr>
              <w:t>p</w:t>
            </w:r>
            <w:r w:rsidRPr="00C454A1">
              <w:rPr>
                <w:rFonts w:cs="Times New Roman"/>
                <w:color w:val="000000" w:themeColor="text1"/>
                <w:sz w:val="22"/>
                <w:szCs w:val="22"/>
              </w:rPr>
              <w:t>ública por un monto de $1,17 billones, con el fin de fortalecer las capacidades operaciones de las Fuerza que permitan el desarrollo de actividades en la región del Catatumbo, los municipios del área metropolitana de Cúcuta y los municipios de Río de Oro y González del departamento del Cesar” y (ii) solicitó el “desplazamiento parcial del bloqueo de recursos realizado mediante Decreto 0069 del 24 de enero del 2025, por valor de $428.236 millones, recursos que permitirán garantizar las capacidades operativas necesarias para la continuidad de las acciones esenciales para atender la emergencia en el Catatumbo y preservar la seguridad nacional”.</w:t>
            </w:r>
          </w:p>
        </w:tc>
      </w:tr>
      <w:tr w:rsidR="005A5FDC" w:rsidRPr="00C454A1" w14:paraId="6FC92376" w14:textId="77777777" w:rsidTr="00EE77DF">
        <w:tc>
          <w:tcPr>
            <w:tcW w:w="1696" w:type="dxa"/>
            <w:shd w:val="clear" w:color="auto" w:fill="D9D9D9" w:themeFill="background1" w:themeFillShade="D9"/>
            <w:vAlign w:val="center"/>
          </w:tcPr>
          <w:p w14:paraId="02D3193E" w14:textId="77777777" w:rsidR="005A5FDC" w:rsidRPr="00C454A1" w:rsidRDefault="005A5FDC" w:rsidP="00EE77DF">
            <w:pPr>
              <w:contextualSpacing/>
              <w:jc w:val="center"/>
              <w:rPr>
                <w:rFonts w:cs="Times New Roman"/>
                <w:b/>
                <w:bCs/>
                <w:color w:val="000000" w:themeColor="text1"/>
                <w:sz w:val="22"/>
                <w:szCs w:val="22"/>
              </w:rPr>
            </w:pPr>
            <w:r w:rsidRPr="00C454A1">
              <w:rPr>
                <w:rFonts w:cs="Times New Roman"/>
                <w:b/>
                <w:bCs/>
                <w:color w:val="000000" w:themeColor="text1"/>
                <w:sz w:val="22"/>
                <w:szCs w:val="22"/>
              </w:rPr>
              <w:t>Policía Nacional</w:t>
            </w:r>
          </w:p>
        </w:tc>
        <w:tc>
          <w:tcPr>
            <w:tcW w:w="7134" w:type="dxa"/>
            <w:vAlign w:val="center"/>
          </w:tcPr>
          <w:p w14:paraId="777C1F49" w14:textId="77777777" w:rsidR="005A5FDC" w:rsidRPr="00C454A1" w:rsidRDefault="005A5FDC" w:rsidP="00EE77DF">
            <w:pPr>
              <w:contextualSpacing/>
              <w:rPr>
                <w:rFonts w:cs="Times New Roman"/>
                <w:color w:val="000000" w:themeColor="text1"/>
                <w:sz w:val="22"/>
                <w:szCs w:val="22"/>
              </w:rPr>
            </w:pPr>
            <w:r w:rsidRPr="00C454A1">
              <w:rPr>
                <w:rFonts w:cs="Times New Roman"/>
                <w:color w:val="000000" w:themeColor="text1"/>
                <w:sz w:val="22"/>
                <w:szCs w:val="22"/>
              </w:rPr>
              <w:t>Señaló que “la Oficina de Planeación, […] solicitó ante la directora de Planeación y Presupuesto del Ministerio de Defensa Nacional, la asignación de recursos por el valor de $243.646.868.494 millones de pesos para atender la situación del Catatumbo”. A la fecha de presentación de la intervención esta solicitud no había sido respondida.</w:t>
            </w:r>
          </w:p>
        </w:tc>
      </w:tr>
    </w:tbl>
    <w:p w14:paraId="56FB60BF" w14:textId="77777777" w:rsidR="005A5FDC" w:rsidRPr="00C454A1" w:rsidRDefault="005A5FDC" w:rsidP="005A5FDC">
      <w:pPr>
        <w:tabs>
          <w:tab w:val="left" w:pos="567"/>
        </w:tabs>
        <w:rPr>
          <w:color w:val="000000" w:themeColor="text1"/>
        </w:rPr>
      </w:pPr>
    </w:p>
    <w:p w14:paraId="330A0E5B" w14:textId="77777777" w:rsidR="00703A24" w:rsidRPr="00C454A1" w:rsidRDefault="00703A24" w:rsidP="005A5FDC">
      <w:pPr>
        <w:tabs>
          <w:tab w:val="left" w:pos="567"/>
        </w:tabs>
        <w:rPr>
          <w:color w:val="000000" w:themeColor="text1"/>
        </w:rPr>
      </w:pPr>
    </w:p>
    <w:p w14:paraId="540C8C3E" w14:textId="77777777" w:rsidR="00703A24" w:rsidRPr="00C454A1" w:rsidRDefault="00703A24" w:rsidP="005A5FDC">
      <w:pPr>
        <w:tabs>
          <w:tab w:val="left" w:pos="567"/>
        </w:tabs>
        <w:rPr>
          <w:color w:val="000000" w:themeColor="text1"/>
        </w:rPr>
      </w:pPr>
    </w:p>
    <w:p w14:paraId="04BB661E" w14:textId="2A9D496C" w:rsidR="005A5FDC" w:rsidRPr="00C454A1" w:rsidRDefault="005A5FDC" w:rsidP="005F4A6F">
      <w:pPr>
        <w:pStyle w:val="Prrafodelista"/>
        <w:numPr>
          <w:ilvl w:val="0"/>
          <w:numId w:val="19"/>
        </w:numPr>
        <w:rPr>
          <w:b/>
          <w:bCs/>
          <w:color w:val="000000" w:themeColor="text1"/>
        </w:rPr>
      </w:pPr>
      <w:r w:rsidRPr="00C454A1">
        <w:rPr>
          <w:b/>
          <w:bCs/>
          <w:color w:val="000000" w:themeColor="text1"/>
        </w:rPr>
        <w:t>Resumen de la justificación de insuficiencia de las medidas para garantizar los derechos de la población desplazada f</w:t>
      </w:r>
      <w:r w:rsidR="0023037B" w:rsidRPr="00C454A1">
        <w:rPr>
          <w:b/>
          <w:bCs/>
          <w:color w:val="000000" w:themeColor="text1"/>
        </w:rPr>
        <w:t>orzadamente</w:t>
      </w:r>
      <w:r w:rsidRPr="00C454A1">
        <w:rPr>
          <w:b/>
          <w:bCs/>
          <w:color w:val="000000" w:themeColor="text1"/>
        </w:rPr>
        <w:t xml:space="preserve"> y confinada</w:t>
      </w:r>
    </w:p>
    <w:p w14:paraId="24494180" w14:textId="77777777" w:rsidR="005A5FDC" w:rsidRPr="00C454A1" w:rsidRDefault="005A5FDC" w:rsidP="005A5FDC">
      <w:pPr>
        <w:rPr>
          <w:color w:val="000000" w:themeColor="text1"/>
        </w:rPr>
      </w:pPr>
    </w:p>
    <w:p w14:paraId="2962929C" w14:textId="6EDF044D" w:rsidR="005A5FDC" w:rsidRPr="00C454A1" w:rsidRDefault="005A5FDC" w:rsidP="00321FAF">
      <w:pPr>
        <w:numPr>
          <w:ilvl w:val="0"/>
          <w:numId w:val="2"/>
        </w:numPr>
        <w:ind w:left="0" w:firstLine="0"/>
        <w:rPr>
          <w:color w:val="000000" w:themeColor="text1"/>
        </w:rPr>
      </w:pPr>
      <w:bookmarkStart w:id="210" w:name="_Ref219391185"/>
      <w:r w:rsidRPr="00C454A1">
        <w:rPr>
          <w:color w:val="000000" w:themeColor="text1"/>
        </w:rPr>
        <w:t xml:space="preserve">Sobre la insuficiencia de las medidas ordinarias para garantizar los derechos de las víctimas de desplazamiento forzado y confinamiento, el </w:t>
      </w:r>
      <w:r w:rsidR="007525E1" w:rsidRPr="00C454A1">
        <w:rPr>
          <w:color w:val="000000" w:themeColor="text1"/>
        </w:rPr>
        <w:t>Gobierno nacional</w:t>
      </w:r>
      <w:r w:rsidRPr="00C454A1">
        <w:rPr>
          <w:color w:val="000000" w:themeColor="text1"/>
        </w:rPr>
        <w:t xml:space="preserve"> adu</w:t>
      </w:r>
      <w:r w:rsidR="00CC6BC7" w:rsidRPr="00C454A1">
        <w:rPr>
          <w:color w:val="000000" w:themeColor="text1"/>
        </w:rPr>
        <w:t>jo</w:t>
      </w:r>
      <w:r w:rsidRPr="00C454A1">
        <w:rPr>
          <w:color w:val="000000" w:themeColor="text1"/>
        </w:rPr>
        <w:t xml:space="preserve"> </w:t>
      </w:r>
      <w:r w:rsidR="0023037B" w:rsidRPr="00C454A1">
        <w:rPr>
          <w:color w:val="000000" w:themeColor="text1"/>
        </w:rPr>
        <w:t xml:space="preserve">en el decreto declaratorio </w:t>
      </w:r>
      <w:r w:rsidRPr="00C454A1">
        <w:rPr>
          <w:color w:val="000000" w:themeColor="text1"/>
        </w:rPr>
        <w:t xml:space="preserve">que, </w:t>
      </w:r>
      <w:r w:rsidRPr="00C454A1">
        <w:rPr>
          <w:rFonts w:cs="Times New Roman"/>
          <w:color w:val="000000" w:themeColor="text1"/>
        </w:rPr>
        <w:t>h</w:t>
      </w:r>
      <w:r w:rsidRPr="00C454A1">
        <w:rPr>
          <w:color w:val="000000" w:themeColor="text1"/>
        </w:rPr>
        <w:t xml:space="preserve">abida cuenta de la magnitud de la crisis humanitaria, se han desbordado las capacidades técnicas y humanas de las entidades territoriales y de las demás entidades gubernamentales responsables de brindar asistencia humanitaria y garantizar la prestación de servicios públicos como salud, educación, acueducto y alcantarillado, entre otros, a la población víctima. En vista de lo anterior, el </w:t>
      </w:r>
      <w:r w:rsidR="007525E1" w:rsidRPr="00C454A1">
        <w:rPr>
          <w:color w:val="000000" w:themeColor="text1"/>
        </w:rPr>
        <w:t>Gobierno nacional</w:t>
      </w:r>
      <w:r w:rsidRPr="00C454A1">
        <w:rPr>
          <w:color w:val="000000" w:themeColor="text1"/>
        </w:rPr>
        <w:t xml:space="preserve"> debe brindar apoyo a las entidades territoriales para fortalecer su capacidad operativa y financiera, y apropiar mayores recursos para asegurar que las ayudas humanitarias y otras medidas sean suficientes y se entreguen de forma oportuna.</w:t>
      </w:r>
      <w:bookmarkEnd w:id="210"/>
    </w:p>
    <w:p w14:paraId="459F2C9C" w14:textId="77777777" w:rsidR="005A5FDC" w:rsidRPr="00C454A1" w:rsidRDefault="005A5FDC" w:rsidP="005A5FDC">
      <w:pPr>
        <w:rPr>
          <w:color w:val="000000" w:themeColor="text1"/>
        </w:rPr>
      </w:pPr>
    </w:p>
    <w:p w14:paraId="067F3085" w14:textId="77777777" w:rsidR="005A5FDC" w:rsidRPr="00C454A1" w:rsidRDefault="005A5FDC" w:rsidP="00321FAF">
      <w:pPr>
        <w:numPr>
          <w:ilvl w:val="0"/>
          <w:numId w:val="2"/>
        </w:numPr>
        <w:ind w:left="0" w:firstLine="0"/>
        <w:rPr>
          <w:color w:val="000000" w:themeColor="text1"/>
        </w:rPr>
      </w:pPr>
      <w:r w:rsidRPr="00C454A1">
        <w:rPr>
          <w:color w:val="000000" w:themeColor="text1"/>
        </w:rPr>
        <w:t>En respuesta al auto de pruebas de 31 de enero de 2025, la ANDJE resaltó que “es notorio que, un incremento súbito de más del 567%, en un solo mes, en relación con la población desplazada, supone una carga difícil de absorber”</w:t>
      </w:r>
      <w:r w:rsidRPr="00C454A1">
        <w:rPr>
          <w:rStyle w:val="Refdenotaalpie"/>
          <w:color w:val="000000" w:themeColor="text1"/>
        </w:rPr>
        <w:footnoteReference w:id="407"/>
      </w:r>
      <w:r w:rsidRPr="00C454A1">
        <w:rPr>
          <w:color w:val="000000" w:themeColor="text1"/>
        </w:rPr>
        <w:t xml:space="preserve">. </w:t>
      </w:r>
    </w:p>
    <w:p w14:paraId="58751B9B" w14:textId="77777777" w:rsidR="005A5FDC" w:rsidRPr="00C454A1" w:rsidRDefault="005A5FDC" w:rsidP="005A5FDC">
      <w:pPr>
        <w:rPr>
          <w:color w:val="000000" w:themeColor="text1"/>
        </w:rPr>
      </w:pPr>
    </w:p>
    <w:p w14:paraId="1FB0F97B" w14:textId="1802CD95" w:rsidR="005A5FDC" w:rsidRPr="00C454A1" w:rsidRDefault="005A5FDC" w:rsidP="00321FAF">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lastRenderedPageBreak/>
        <w:t>La UARIV argumentó que los mecanismos ordinarios resultan insuficientes e inidóneos para asegurar la atención humanitaria a las víctimas de desplazamiento y confinamiento masivo, por tres razones</w:t>
      </w:r>
      <w:r w:rsidR="00CC6BC7"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Primero, los requisitos establecidos en la Ley 1448 de 2011 y el Decreto 1084 de 2015 para activar el apoyo subsidiario a los entes territoriales dificultan la intervención inmediata de la UARIV en los municipios receptores</w:t>
      </w:r>
      <w:r w:rsidR="0023037B" w:rsidRPr="00C454A1">
        <w:rPr>
          <w:rFonts w:eastAsia="Times New Roman" w:cs="Times New Roman"/>
          <w:color w:val="000000" w:themeColor="text1"/>
          <w:szCs w:val="28"/>
        </w:rPr>
        <w:t xml:space="preserve"> de población desplazada</w:t>
      </w:r>
      <w:r w:rsidRPr="00C454A1">
        <w:rPr>
          <w:rFonts w:eastAsia="Times New Roman" w:cs="Times New Roman"/>
          <w:color w:val="000000" w:themeColor="text1"/>
          <w:szCs w:val="28"/>
        </w:rPr>
        <w:t>, lo que exige su flexibilización, por ejemplo, "reducir los requisitos de remisión inmediata del censo poblacional y actas para que los procedimientos administrativos no se constituyan en limitantes del derecho a recibir asistencia humanitaria en el menor tiempo posible”</w:t>
      </w:r>
      <w:r w:rsidR="004656B3" w:rsidRPr="00C454A1">
        <w:rPr>
          <w:rStyle w:val="Refdenotaalpie"/>
          <w:rFonts w:eastAsia="Times New Roman" w:cs="Times New Roman"/>
          <w:color w:val="000000" w:themeColor="text1"/>
          <w:szCs w:val="28"/>
        </w:rPr>
        <w:footnoteReference w:id="408"/>
      </w:r>
      <w:r w:rsidRPr="00C454A1">
        <w:rPr>
          <w:rFonts w:eastAsia="Times New Roman" w:cs="Times New Roman"/>
          <w:color w:val="000000" w:themeColor="text1"/>
          <w:szCs w:val="28"/>
        </w:rPr>
        <w:t xml:space="preserve">. Segundo, dichas disposiciones limitan el número de entregas de </w:t>
      </w:r>
      <w:r w:rsidR="00CC6BC7" w:rsidRPr="00C454A1">
        <w:rPr>
          <w:rFonts w:eastAsia="Times New Roman" w:cs="Times New Roman"/>
          <w:color w:val="000000" w:themeColor="text1"/>
          <w:szCs w:val="28"/>
        </w:rPr>
        <w:t>Atención Humanitaria Inmediata (AHI)</w:t>
      </w:r>
      <w:r w:rsidRPr="00C454A1">
        <w:rPr>
          <w:rFonts w:eastAsia="Times New Roman" w:cs="Times New Roman"/>
          <w:color w:val="000000" w:themeColor="text1"/>
          <w:szCs w:val="28"/>
        </w:rPr>
        <w:t xml:space="preserve"> y </w:t>
      </w:r>
      <w:r w:rsidR="00CC6BC7" w:rsidRPr="00C454A1">
        <w:rPr>
          <w:rFonts w:eastAsia="Times New Roman" w:cs="Times New Roman"/>
          <w:color w:val="000000" w:themeColor="text1"/>
          <w:szCs w:val="28"/>
        </w:rPr>
        <w:t>Atención Humanitaria de Emergencia (</w:t>
      </w:r>
      <w:r w:rsidRPr="00C454A1">
        <w:rPr>
          <w:rFonts w:eastAsia="Times New Roman" w:cs="Times New Roman"/>
          <w:color w:val="000000" w:themeColor="text1"/>
          <w:szCs w:val="28"/>
        </w:rPr>
        <w:t>AHE</w:t>
      </w:r>
      <w:r w:rsidR="00CC6BC7" w:rsidRPr="00C454A1">
        <w:rPr>
          <w:rFonts w:eastAsia="Times New Roman" w:cs="Times New Roman"/>
          <w:color w:val="000000" w:themeColor="text1"/>
          <w:szCs w:val="28"/>
        </w:rPr>
        <w:t>)</w:t>
      </w:r>
      <w:r w:rsidRPr="00C454A1">
        <w:rPr>
          <w:rFonts w:eastAsia="Times New Roman" w:cs="Times New Roman"/>
          <w:color w:val="000000" w:themeColor="text1"/>
          <w:szCs w:val="28"/>
        </w:rPr>
        <w:t xml:space="preserve"> para las víctimas de estos eventos, siendo necesaria una ampliación de su cobertura. Por ejemplo, el artículo 2.2.6.4.2 del Decreto 1084 de 2015 restringe la entrega de AHI </w:t>
      </w:r>
      <w:r w:rsidR="0023037B" w:rsidRPr="00C454A1">
        <w:rPr>
          <w:rFonts w:eastAsia="Times New Roman" w:cs="Times New Roman"/>
          <w:color w:val="000000" w:themeColor="text1"/>
          <w:szCs w:val="28"/>
        </w:rPr>
        <w:t>en</w:t>
      </w:r>
      <w:r w:rsidRPr="00C454A1">
        <w:rPr>
          <w:rFonts w:eastAsia="Times New Roman" w:cs="Times New Roman"/>
          <w:color w:val="000000" w:themeColor="text1"/>
          <w:szCs w:val="28"/>
        </w:rPr>
        <w:t xml:space="preserve"> comunidades confinadas a una única vez, sin importar la duración del confinamiento, lo que demanda medidas normativas y presupuestales urgentes para extender las entregas hasta </w:t>
      </w:r>
      <w:r w:rsidR="00CC6BC7" w:rsidRPr="00C454A1">
        <w:rPr>
          <w:rFonts w:eastAsia="Times New Roman" w:cs="Times New Roman"/>
          <w:color w:val="000000" w:themeColor="text1"/>
          <w:szCs w:val="28"/>
        </w:rPr>
        <w:t>un número de tres</w:t>
      </w:r>
      <w:r w:rsidRPr="00C454A1">
        <w:rPr>
          <w:rFonts w:eastAsia="Times New Roman" w:cs="Times New Roman"/>
          <w:color w:val="000000" w:themeColor="text1"/>
          <w:szCs w:val="28"/>
        </w:rPr>
        <w:t>. Tercero, la UARIV subrayó que el número imprevisible y elevado de víctimas en el Catatumbo ha excedido las previsiones presupuestales y la capacidad institucional de las entidades responsables.</w:t>
      </w:r>
    </w:p>
    <w:p w14:paraId="635F93F0" w14:textId="77777777" w:rsidR="005A5FDC" w:rsidRPr="00C454A1" w:rsidRDefault="005A5FDC" w:rsidP="005A5FDC">
      <w:pPr>
        <w:rPr>
          <w:rFonts w:eastAsia="Aptos" w:cs="Arial"/>
          <w:color w:val="000000" w:themeColor="text1"/>
        </w:rPr>
      </w:pPr>
    </w:p>
    <w:p w14:paraId="061CB116" w14:textId="48C432D4" w:rsidR="001D44D4" w:rsidRPr="00C454A1" w:rsidRDefault="005A5FDC" w:rsidP="00321FAF">
      <w:pPr>
        <w:numPr>
          <w:ilvl w:val="0"/>
          <w:numId w:val="2"/>
        </w:numPr>
        <w:ind w:left="0" w:firstLine="0"/>
        <w:rPr>
          <w:color w:val="000000" w:themeColor="text1"/>
        </w:rPr>
      </w:pPr>
      <w:r w:rsidRPr="00C454A1">
        <w:rPr>
          <w:color w:val="000000" w:themeColor="text1"/>
        </w:rPr>
        <w:t xml:space="preserve">En materia de salud, el DAPRE y el </w:t>
      </w:r>
      <w:r w:rsidR="00382529" w:rsidRPr="00C454A1">
        <w:rPr>
          <w:color w:val="000000" w:themeColor="text1"/>
        </w:rPr>
        <w:t>M</w:t>
      </w:r>
      <w:r w:rsidR="00C65BE6" w:rsidRPr="00C454A1">
        <w:rPr>
          <w:color w:val="000000" w:themeColor="text1"/>
        </w:rPr>
        <w:t>inSalud</w:t>
      </w:r>
      <w:r w:rsidR="00B32459" w:rsidRPr="00C454A1">
        <w:rPr>
          <w:color w:val="000000" w:themeColor="text1"/>
        </w:rPr>
        <w:t xml:space="preserve"> </w:t>
      </w:r>
      <w:r w:rsidRPr="00C454A1">
        <w:rPr>
          <w:color w:val="000000" w:themeColor="text1"/>
        </w:rPr>
        <w:t>señalaron que, de un lado, los hospitales no pueden “desplazar equipos médicos a las veredas afectadas por el confinamiento debido a que el paso está prohibido incluso para actores internacionales que pueden prestar servicios de salud en condiciones de emergencia como la Cruz Roja Internacional y</w:t>
      </w:r>
      <w:r w:rsidR="00912B1F" w:rsidRPr="00C454A1">
        <w:rPr>
          <w:color w:val="000000" w:themeColor="text1"/>
        </w:rPr>
        <w:t xml:space="preserve"> las </w:t>
      </w:r>
      <w:r w:rsidRPr="00C454A1">
        <w:rPr>
          <w:color w:val="000000" w:themeColor="text1"/>
        </w:rPr>
        <w:t>ONG</w:t>
      </w:r>
      <w:r w:rsidR="00382529" w:rsidRPr="00C454A1">
        <w:rPr>
          <w:color w:val="000000" w:themeColor="text1"/>
        </w:rPr>
        <w:t>”</w:t>
      </w:r>
      <w:r w:rsidRPr="00C454A1">
        <w:rPr>
          <w:rStyle w:val="Refdenotaalpie"/>
          <w:color w:val="000000" w:themeColor="text1"/>
        </w:rPr>
        <w:footnoteReference w:id="409"/>
      </w:r>
      <w:r w:rsidRPr="00C454A1">
        <w:rPr>
          <w:color w:val="000000" w:themeColor="text1"/>
        </w:rPr>
        <w:t xml:space="preserve">. </w:t>
      </w:r>
      <w:r w:rsidRPr="00C454A1">
        <w:rPr>
          <w:rFonts w:eastAsia="Times New Roman" w:cs="Times New Roman"/>
          <w:color w:val="000000" w:themeColor="text1"/>
        </w:rPr>
        <w:t xml:space="preserve">Por otro lado, indicaron que se han adelantado múltiples acciones para garantizar que la población víctima acceda a servicios de salud en los municipios receptores. </w:t>
      </w:r>
    </w:p>
    <w:p w14:paraId="15C25E4E" w14:textId="77777777" w:rsidR="001D44D4" w:rsidRPr="00C454A1" w:rsidRDefault="001D44D4" w:rsidP="00F858F2">
      <w:pPr>
        <w:pStyle w:val="Prrafodelista"/>
        <w:rPr>
          <w:rFonts w:eastAsia="Times New Roman" w:cs="Times New Roman"/>
          <w:color w:val="000000" w:themeColor="text1"/>
        </w:rPr>
      </w:pPr>
    </w:p>
    <w:p w14:paraId="64BB3720" w14:textId="71272754" w:rsidR="005A5FDC" w:rsidRPr="00C454A1" w:rsidRDefault="005A5FDC" w:rsidP="00321FAF">
      <w:pPr>
        <w:numPr>
          <w:ilvl w:val="0"/>
          <w:numId w:val="2"/>
        </w:numPr>
        <w:ind w:left="0" w:firstLine="0"/>
        <w:rPr>
          <w:color w:val="000000" w:themeColor="text1"/>
        </w:rPr>
      </w:pPr>
      <w:r w:rsidRPr="00C454A1">
        <w:rPr>
          <w:rFonts w:eastAsia="Times New Roman" w:cs="Times New Roman"/>
          <w:color w:val="000000" w:themeColor="text1"/>
        </w:rPr>
        <w:t xml:space="preserve">Por ejemplo, </w:t>
      </w:r>
      <w:r w:rsidRPr="00C454A1">
        <w:rPr>
          <w:color w:val="000000" w:themeColor="text1"/>
        </w:rPr>
        <w:t>el Gobierno</w:t>
      </w:r>
      <w:r w:rsidR="0023037B" w:rsidRPr="00C454A1">
        <w:rPr>
          <w:color w:val="000000" w:themeColor="text1"/>
        </w:rPr>
        <w:t xml:space="preserve"> nacional</w:t>
      </w:r>
      <w:r w:rsidRPr="00C454A1">
        <w:rPr>
          <w:color w:val="000000" w:themeColor="text1"/>
        </w:rPr>
        <w:t xml:space="preserve"> ha (i) “activado a los hospitales para que hagan gestión de riesgo directamente en albergues y modalidades de alojamiento”; (ii) ordenado que se “dispongan equipos, servicios de transporte asistencial en tales sitios con disponibilidades permanentes” y (iii) “activado” a todas las EPS que tienen afiliados en esta región “de tal forma que instalen puntos de apoyo a la gestión de pacientes y que refuercen la oferta de su red pública y privada para atender la población en los albergues”</w:t>
      </w:r>
      <w:r w:rsidRPr="00C454A1">
        <w:rPr>
          <w:rStyle w:val="Refdenotaalpie"/>
          <w:color w:val="000000" w:themeColor="text1"/>
        </w:rPr>
        <w:footnoteReference w:id="410"/>
      </w:r>
      <w:r w:rsidRPr="00C454A1">
        <w:rPr>
          <w:color w:val="000000" w:themeColor="text1"/>
        </w:rPr>
        <w:t>. No obstante, “la emergencia ‘va a desbordar la capacidad de la red pública y privada [de hospitales] tanto del Catatumbo como de Norte de Santander y va a demandar recursos adicionales que permitan cubrir el aumento en la demanda de servicios’”</w:t>
      </w:r>
      <w:r w:rsidRPr="00C454A1">
        <w:rPr>
          <w:rStyle w:val="Refdenotaalpie"/>
          <w:color w:val="000000" w:themeColor="text1"/>
        </w:rPr>
        <w:footnoteReference w:id="411"/>
      </w:r>
      <w:r w:rsidRPr="00C454A1">
        <w:rPr>
          <w:color w:val="000000" w:themeColor="text1"/>
        </w:rPr>
        <w:t xml:space="preserve">. </w:t>
      </w:r>
    </w:p>
    <w:p w14:paraId="7D3EB7C3" w14:textId="77777777" w:rsidR="005A5FDC" w:rsidRPr="00C454A1" w:rsidRDefault="005A5FDC" w:rsidP="005A5FDC">
      <w:pPr>
        <w:rPr>
          <w:color w:val="000000" w:themeColor="text1"/>
        </w:rPr>
      </w:pPr>
    </w:p>
    <w:p w14:paraId="6A1CBEAE" w14:textId="2F942772" w:rsidR="005A5FDC" w:rsidRPr="00C454A1" w:rsidRDefault="005A5FDC" w:rsidP="00321FAF">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rPr>
        <w:t xml:space="preserve">Respecto de los servicios de acueducto y alcantarillado, el DAPRE y el </w:t>
      </w:r>
      <w:r w:rsidR="00D86640" w:rsidRPr="00C454A1">
        <w:rPr>
          <w:rFonts w:eastAsia="Times New Roman" w:cs="Times New Roman"/>
          <w:color w:val="000000" w:themeColor="text1"/>
        </w:rPr>
        <w:t>MVCT</w:t>
      </w:r>
      <w:r w:rsidRPr="00C454A1">
        <w:rPr>
          <w:rFonts w:eastAsia="Times New Roman" w:cs="Times New Roman"/>
          <w:color w:val="000000" w:themeColor="text1"/>
        </w:rPr>
        <w:t xml:space="preserve"> expusieron que existe un riesgo de colapso de las redes hidrosanitarias </w:t>
      </w:r>
      <w:r w:rsidRPr="00C454A1">
        <w:rPr>
          <w:rFonts w:eastAsia="Times New Roman" w:cs="Times New Roman"/>
          <w:color w:val="000000" w:themeColor="text1"/>
        </w:rPr>
        <w:lastRenderedPageBreak/>
        <w:t xml:space="preserve">de los albergues temporales dispuestos para la población </w:t>
      </w:r>
      <w:r w:rsidR="00CC6BC7" w:rsidRPr="00C454A1">
        <w:rPr>
          <w:rFonts w:eastAsia="Times New Roman" w:cs="Times New Roman"/>
          <w:color w:val="000000" w:themeColor="text1"/>
        </w:rPr>
        <w:t>víctima</w:t>
      </w:r>
      <w:r w:rsidRPr="00C454A1">
        <w:rPr>
          <w:rFonts w:eastAsia="Times New Roman" w:cs="Times New Roman"/>
          <w:color w:val="000000" w:themeColor="text1"/>
        </w:rPr>
        <w:t>. Asimismo, aseguraron que se produjo un aumento exponencial en la demanda de las redes de acueducto, alcantarill</w:t>
      </w:r>
      <w:r w:rsidR="00CC5732" w:rsidRPr="00C454A1">
        <w:rPr>
          <w:rFonts w:eastAsia="Times New Roman" w:cs="Times New Roman"/>
          <w:color w:val="000000" w:themeColor="text1"/>
        </w:rPr>
        <w:t>ad</w:t>
      </w:r>
      <w:r w:rsidRPr="00C454A1">
        <w:rPr>
          <w:rFonts w:eastAsia="Times New Roman" w:cs="Times New Roman"/>
          <w:color w:val="000000" w:themeColor="text1"/>
        </w:rPr>
        <w:t>o y saneamiento</w:t>
      </w:r>
      <w:r w:rsidR="00382529" w:rsidRPr="00C454A1">
        <w:rPr>
          <w:rFonts w:eastAsia="Times New Roman" w:cs="Times New Roman"/>
          <w:color w:val="000000" w:themeColor="text1"/>
        </w:rPr>
        <w:t>, lo</w:t>
      </w:r>
      <w:r w:rsidRPr="00C454A1">
        <w:rPr>
          <w:rFonts w:eastAsia="Times New Roman" w:cs="Times New Roman"/>
          <w:color w:val="000000" w:themeColor="text1"/>
        </w:rPr>
        <w:t xml:space="preserve"> que podría desbordar la capacidad de las empresas prestadoras en los municipios receptores.</w:t>
      </w:r>
    </w:p>
    <w:p w14:paraId="6BCC0960" w14:textId="77777777" w:rsidR="005A5FDC" w:rsidRPr="00C454A1" w:rsidRDefault="005A5FDC" w:rsidP="005A5FDC">
      <w:pPr>
        <w:rPr>
          <w:rFonts w:eastAsia="Times New Roman" w:cs="Times New Roman"/>
          <w:color w:val="000000" w:themeColor="text1"/>
          <w:szCs w:val="28"/>
        </w:rPr>
      </w:pPr>
    </w:p>
    <w:p w14:paraId="0D90A4DC" w14:textId="22E98346" w:rsidR="005A5FDC" w:rsidRPr="00C454A1" w:rsidRDefault="005A5FDC" w:rsidP="00321FAF">
      <w:pPr>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rPr>
        <w:t>El DAPRE y el Ministerio de Justicia y del Derecho también sostuvieron que la perturbación del orden público generó dos afectaciones a la prestación del servicio de administración de justicia: (i) limitó la oferta de servicios de las comisarías de familia de los municipios afectados y (ii) ha impedido que los funcionarios judiciales puedan desplazarse a su lugar de trabajo</w:t>
      </w:r>
      <w:r w:rsidRPr="00C454A1">
        <w:rPr>
          <w:rStyle w:val="Refdenotaalpie"/>
          <w:rFonts w:eastAsia="Times New Roman" w:cs="Times New Roman"/>
          <w:color w:val="000000" w:themeColor="text1"/>
        </w:rPr>
        <w:footnoteReference w:id="412"/>
      </w:r>
      <w:r w:rsidRPr="00C454A1">
        <w:rPr>
          <w:rFonts w:eastAsia="Times New Roman" w:cs="Times New Roman"/>
          <w:color w:val="000000" w:themeColor="text1"/>
        </w:rPr>
        <w:t>. El Ministerio de Justicia y del Derecho argumentó que si bien existen medidas normativas que facilitan el acceso a la justicia y a la administración pública sin necesidad de presencia física de los usuarios y operadores</w:t>
      </w:r>
      <w:r w:rsidRPr="00C454A1">
        <w:rPr>
          <w:rStyle w:val="Refdenotaalpie"/>
          <w:rFonts w:eastAsia="Times New Roman" w:cs="Times New Roman"/>
          <w:color w:val="000000" w:themeColor="text1"/>
        </w:rPr>
        <w:footnoteReference w:id="413"/>
      </w:r>
      <w:r w:rsidRPr="00C454A1">
        <w:rPr>
          <w:rFonts w:eastAsia="Times New Roman" w:cs="Times New Roman"/>
          <w:color w:val="000000" w:themeColor="text1"/>
        </w:rPr>
        <w:t xml:space="preserve">, resulta “palmario que una situación con las características de aquellas presentes en la región del Catatumbo afecta su pleno ejercicio”. Por otro lado, señaló que conforme a la Ley 270 de 1996, el </w:t>
      </w:r>
      <w:r w:rsidR="007525E1" w:rsidRPr="00C454A1">
        <w:rPr>
          <w:rFonts w:eastAsia="Times New Roman" w:cs="Times New Roman"/>
          <w:color w:val="000000" w:themeColor="text1"/>
        </w:rPr>
        <w:t>Gobierno nacional</w:t>
      </w:r>
      <w:r w:rsidRPr="00C454A1">
        <w:rPr>
          <w:rFonts w:eastAsia="Times New Roman" w:cs="Times New Roman"/>
          <w:color w:val="000000" w:themeColor="text1"/>
        </w:rPr>
        <w:t xml:space="preserve"> no es el encargado de la administración de la rama judicial, y sus facultades se encuentran limitadas a la formulación de políticas públicas, lo cual significa que no tiene potestad para “generar modificaciones de orden legal, en vista de que las materias sobre las cuales recae dicha política pública tienen reserva de ley”.</w:t>
      </w:r>
    </w:p>
    <w:p w14:paraId="01113E81" w14:textId="77777777" w:rsidR="005A5FDC" w:rsidRPr="00C454A1" w:rsidRDefault="005A5FDC" w:rsidP="005A5FDC">
      <w:pPr>
        <w:rPr>
          <w:rFonts w:eastAsia="Times New Roman" w:cs="Times New Roman"/>
          <w:color w:val="000000" w:themeColor="text1"/>
        </w:rPr>
      </w:pPr>
    </w:p>
    <w:p w14:paraId="0D977F48" w14:textId="07B6BF8A" w:rsidR="005A5FDC" w:rsidRPr="00C454A1" w:rsidRDefault="005A5FDC" w:rsidP="00321FAF">
      <w:pPr>
        <w:numPr>
          <w:ilvl w:val="0"/>
          <w:numId w:val="2"/>
        </w:numPr>
        <w:ind w:left="0" w:firstLine="0"/>
        <w:rPr>
          <w:rFonts w:eastAsia="Times New Roman" w:cs="Times New Roman"/>
          <w:color w:val="000000" w:themeColor="text1"/>
        </w:rPr>
      </w:pPr>
      <w:bookmarkStart w:id="211" w:name="_Ref219391207"/>
      <w:r w:rsidRPr="00C454A1">
        <w:rPr>
          <w:rFonts w:eastAsia="Times New Roman" w:cs="Times New Roman"/>
          <w:color w:val="000000" w:themeColor="text1"/>
        </w:rPr>
        <w:t xml:space="preserve">Varias entidades afirmaron </w:t>
      </w:r>
      <w:r w:rsidR="00CC6BC7" w:rsidRPr="00C454A1">
        <w:rPr>
          <w:rFonts w:eastAsia="Times New Roman" w:cs="Times New Roman"/>
          <w:color w:val="000000" w:themeColor="text1"/>
        </w:rPr>
        <w:t>igualmente</w:t>
      </w:r>
      <w:r w:rsidRPr="00C454A1">
        <w:rPr>
          <w:rFonts w:eastAsia="Times New Roman" w:cs="Times New Roman"/>
          <w:color w:val="000000" w:themeColor="text1"/>
        </w:rPr>
        <w:t xml:space="preserve"> que los recursos con los que cuentan no son suficientes para garantizar los derechos de las víctimas de desplazamientos y confinamientos en el Catatumbo, por las siguientes razones:</w:t>
      </w:r>
      <w:bookmarkEnd w:id="211"/>
    </w:p>
    <w:p w14:paraId="795A22CE" w14:textId="77777777" w:rsidR="00F76B2F" w:rsidRPr="00C454A1" w:rsidRDefault="00F76B2F" w:rsidP="005A5FDC">
      <w:pPr>
        <w:rPr>
          <w:rFonts w:eastAsia="Times New Roman" w:cs="Times New Roman"/>
          <w:color w:val="000000" w:themeColor="text1"/>
        </w:rPr>
      </w:pPr>
    </w:p>
    <w:p w14:paraId="14E1FB95" w14:textId="71C7B50A" w:rsidR="005750BB" w:rsidRPr="00C454A1" w:rsidRDefault="005750BB" w:rsidP="00474564">
      <w:pPr>
        <w:jc w:val="center"/>
        <w:rPr>
          <w:rFonts w:eastAsia="Times New Roman" w:cs="Times New Roman"/>
          <w:i/>
          <w:iCs/>
          <w:color w:val="000000" w:themeColor="text1"/>
          <w:sz w:val="22"/>
          <w:szCs w:val="22"/>
        </w:rPr>
      </w:pPr>
      <w:r w:rsidRPr="00C454A1">
        <w:rPr>
          <w:rFonts w:eastAsia="Times New Roman" w:cs="Times New Roman"/>
          <w:i/>
          <w:iCs/>
          <w:color w:val="000000" w:themeColor="text1"/>
          <w:sz w:val="22"/>
          <w:szCs w:val="22"/>
        </w:rPr>
        <w:t>Tabla 1</w:t>
      </w:r>
      <w:r w:rsidR="00703A24" w:rsidRPr="00C454A1">
        <w:rPr>
          <w:rFonts w:eastAsia="Times New Roman" w:cs="Times New Roman"/>
          <w:i/>
          <w:iCs/>
          <w:color w:val="000000" w:themeColor="text1"/>
          <w:sz w:val="22"/>
          <w:szCs w:val="22"/>
        </w:rPr>
        <w:t>6</w:t>
      </w:r>
      <w:r w:rsidRPr="00C454A1">
        <w:rPr>
          <w:rFonts w:eastAsia="Times New Roman" w:cs="Times New Roman"/>
          <w:i/>
          <w:iCs/>
          <w:color w:val="000000" w:themeColor="text1"/>
          <w:sz w:val="22"/>
          <w:szCs w:val="22"/>
        </w:rPr>
        <w:t xml:space="preserve">: </w:t>
      </w:r>
      <w:r w:rsidR="00474564" w:rsidRPr="00C454A1">
        <w:rPr>
          <w:rFonts w:eastAsia="Times New Roman" w:cs="Times New Roman"/>
          <w:i/>
          <w:iCs/>
          <w:color w:val="000000" w:themeColor="text1"/>
          <w:sz w:val="22"/>
          <w:szCs w:val="22"/>
        </w:rPr>
        <w:t>recursos fiscales que requieren las entidades nacionales para responder a la crisis de la región del Catatumbo</w:t>
      </w:r>
    </w:p>
    <w:tbl>
      <w:tblPr>
        <w:tblStyle w:val="Tablaconcuadrcula"/>
        <w:tblW w:w="0" w:type="auto"/>
        <w:tblLook w:val="04A0" w:firstRow="1" w:lastRow="0" w:firstColumn="1" w:lastColumn="0" w:noHBand="0" w:noVBand="1"/>
      </w:tblPr>
      <w:tblGrid>
        <w:gridCol w:w="1790"/>
        <w:gridCol w:w="7040"/>
      </w:tblGrid>
      <w:tr w:rsidR="00C454A1" w:rsidRPr="00C454A1" w14:paraId="3CA3E9D0" w14:textId="77777777" w:rsidTr="00EE77DF">
        <w:trPr>
          <w:trHeight w:val="300"/>
        </w:trPr>
        <w:tc>
          <w:tcPr>
            <w:tcW w:w="1790" w:type="dxa"/>
            <w:shd w:val="clear" w:color="auto" w:fill="D9D9D9" w:themeFill="background1" w:themeFillShade="D9"/>
            <w:vAlign w:val="center"/>
          </w:tcPr>
          <w:p w14:paraId="368971A9" w14:textId="77777777" w:rsidR="005A5FDC" w:rsidRPr="00C454A1" w:rsidRDefault="005A5FDC" w:rsidP="00EE77DF">
            <w:pPr>
              <w:contextualSpacing/>
              <w:jc w:val="center"/>
              <w:rPr>
                <w:rFonts w:cs="Times New Roman"/>
                <w:b/>
                <w:bCs/>
                <w:color w:val="000000" w:themeColor="text1"/>
                <w:sz w:val="22"/>
                <w:szCs w:val="22"/>
              </w:rPr>
            </w:pPr>
            <w:r w:rsidRPr="00C454A1">
              <w:rPr>
                <w:rFonts w:cs="Times New Roman"/>
                <w:b/>
                <w:bCs/>
                <w:color w:val="000000" w:themeColor="text1"/>
                <w:sz w:val="22"/>
                <w:szCs w:val="22"/>
              </w:rPr>
              <w:t>UARIV</w:t>
            </w:r>
          </w:p>
        </w:tc>
        <w:tc>
          <w:tcPr>
            <w:tcW w:w="7040" w:type="dxa"/>
            <w:vAlign w:val="center"/>
          </w:tcPr>
          <w:p w14:paraId="51DA3EB1" w14:textId="3BB78698" w:rsidR="005A5FDC" w:rsidRPr="00C454A1" w:rsidRDefault="005A5FDC" w:rsidP="00EE77DF">
            <w:pPr>
              <w:spacing w:line="257" w:lineRule="auto"/>
              <w:rPr>
                <w:rFonts w:eastAsia="Times New Roman" w:cs="Times New Roman"/>
                <w:color w:val="000000" w:themeColor="text1"/>
                <w:sz w:val="22"/>
                <w:szCs w:val="22"/>
              </w:rPr>
            </w:pPr>
            <w:r w:rsidRPr="00C454A1">
              <w:rPr>
                <w:rFonts w:eastAsia="Times New Roman" w:cs="Times New Roman"/>
                <w:color w:val="000000" w:themeColor="text1"/>
                <w:sz w:val="22"/>
                <w:szCs w:val="22"/>
              </w:rPr>
              <w:t xml:space="preserve">Estimó que se requieren aproximadamente </w:t>
            </w:r>
            <w:r w:rsidRPr="00C454A1">
              <w:rPr>
                <w:rFonts w:eastAsia="Times New Roman" w:cs="Times New Roman"/>
                <w:b/>
                <w:bCs/>
                <w:color w:val="000000" w:themeColor="text1"/>
                <w:sz w:val="22"/>
                <w:szCs w:val="22"/>
              </w:rPr>
              <w:t xml:space="preserve">$218.252.627.170 </w:t>
            </w:r>
            <w:r w:rsidRPr="00C454A1">
              <w:rPr>
                <w:rFonts w:eastAsia="Times New Roman" w:cs="Times New Roman"/>
                <w:color w:val="000000" w:themeColor="text1"/>
                <w:sz w:val="22"/>
                <w:szCs w:val="22"/>
              </w:rPr>
              <w:t>para atender a las víctimas de la crisis del Catatumbo</w:t>
            </w:r>
            <w:r w:rsidRPr="00C454A1">
              <w:rPr>
                <w:rFonts w:eastAsia="Times New Roman" w:cs="Times New Roman"/>
                <w:b/>
                <w:bCs/>
                <w:color w:val="000000" w:themeColor="text1"/>
                <w:sz w:val="22"/>
                <w:szCs w:val="22"/>
              </w:rPr>
              <w:t xml:space="preserve">, </w:t>
            </w:r>
            <w:r w:rsidRPr="00C454A1">
              <w:rPr>
                <w:rFonts w:eastAsia="Times New Roman" w:cs="Times New Roman"/>
                <w:color w:val="000000" w:themeColor="text1"/>
                <w:sz w:val="22"/>
                <w:szCs w:val="22"/>
              </w:rPr>
              <w:t>distribuidos de la siguiente manera:</w:t>
            </w:r>
            <w:r w:rsidRPr="00C454A1">
              <w:rPr>
                <w:rFonts w:cs="Times New Roman"/>
                <w:color w:val="000000" w:themeColor="text1"/>
                <w:sz w:val="22"/>
                <w:szCs w:val="22"/>
              </w:rPr>
              <w:t xml:space="preserve"> (i) $109.842.221.416 para garantizar la AHI en especie a las víctimas de desplazamiento forzado, (ii) $26.634.913.024 para atender a 28.549 víctimas de confinamiento por </w:t>
            </w:r>
            <w:r w:rsidR="00CC6BC7" w:rsidRPr="00C454A1">
              <w:rPr>
                <w:rFonts w:cs="Times New Roman"/>
                <w:color w:val="000000" w:themeColor="text1"/>
                <w:sz w:val="22"/>
                <w:szCs w:val="22"/>
              </w:rPr>
              <w:t>tres</w:t>
            </w:r>
            <w:r w:rsidRPr="00C454A1">
              <w:rPr>
                <w:rFonts w:cs="Times New Roman"/>
                <w:color w:val="000000" w:themeColor="text1"/>
                <w:sz w:val="22"/>
                <w:szCs w:val="22"/>
              </w:rPr>
              <w:t xml:space="preserve"> meses (ampliación de la AHI a tres entregas), (iii) </w:t>
            </w:r>
            <w:r w:rsidRPr="00C454A1">
              <w:rPr>
                <w:rFonts w:eastAsia="Times New Roman" w:cs="Times New Roman"/>
                <w:color w:val="000000" w:themeColor="text1"/>
                <w:sz w:val="22"/>
                <w:szCs w:val="22"/>
              </w:rPr>
              <w:t>$62.900.000.000 para atención posterior en dinero para desplazados incluidos en el RUV (tres giros anuales por hogar), y (iv) $18.875.493.000 para atención posterior en especie para personas confinadas incluidas en el RUV (extensión a dos kits de alimentos y aseo por hogar).</w:t>
            </w:r>
            <w:r w:rsidRPr="00C454A1">
              <w:rPr>
                <w:rFonts w:cs="Times New Roman"/>
                <w:color w:val="000000" w:themeColor="text1"/>
                <w:sz w:val="22"/>
                <w:szCs w:val="22"/>
              </w:rPr>
              <w:t xml:space="preserve">  Para ilustrar la diferencia entre los anteriores estimados y las sumas que se presupuestaron para 2025, indicó que </w:t>
            </w:r>
            <w:r w:rsidRPr="00C454A1">
              <w:rPr>
                <w:rFonts w:eastAsia="Times New Roman" w:cs="Times New Roman"/>
                <w:color w:val="000000" w:themeColor="text1"/>
                <w:sz w:val="22"/>
                <w:szCs w:val="22"/>
              </w:rPr>
              <w:t>en la construcción del presupuesto de 2025 se habían reservado los siguientes rubros: (a) $455.169.993.009 como presupuesto total de la UARIV para 2025, (b) de los cuales $42.865.680.643 de planeó destinar para brindar atención humanitaria, alojamiento y alimentación a todos los desplazados y confinados del país, y (b) $19.020.868 para AHI específicamente en el Catatumbo (tomando como base el número de víctimas que se habían reportado en 2024, es decir, 22.381 hogares a lo largo de toda la anualidad). En consecuencia, aseguró que los recursos del presupuesto de 2025 no eran suficientes para atender la crisis y sus efectos.</w:t>
            </w:r>
          </w:p>
        </w:tc>
      </w:tr>
      <w:tr w:rsidR="00C454A1" w:rsidRPr="00C454A1" w14:paraId="12743464" w14:textId="77777777" w:rsidTr="00EE77DF">
        <w:trPr>
          <w:trHeight w:val="300"/>
        </w:trPr>
        <w:tc>
          <w:tcPr>
            <w:tcW w:w="1790" w:type="dxa"/>
            <w:shd w:val="clear" w:color="auto" w:fill="D9D9D9" w:themeFill="background1" w:themeFillShade="D9"/>
            <w:vAlign w:val="center"/>
          </w:tcPr>
          <w:p w14:paraId="774D9E69" w14:textId="77777777" w:rsidR="005A5FDC" w:rsidRPr="00C454A1" w:rsidRDefault="005A5FDC" w:rsidP="00EE77DF">
            <w:pPr>
              <w:jc w:val="center"/>
              <w:rPr>
                <w:color w:val="000000" w:themeColor="text1"/>
                <w:sz w:val="22"/>
                <w:szCs w:val="22"/>
              </w:rPr>
            </w:pPr>
            <w:r w:rsidRPr="00C454A1">
              <w:rPr>
                <w:rFonts w:eastAsia="Times New Roman" w:cs="Times New Roman"/>
                <w:b/>
                <w:bCs/>
                <w:color w:val="000000" w:themeColor="text1"/>
                <w:sz w:val="22"/>
                <w:szCs w:val="22"/>
              </w:rPr>
              <w:lastRenderedPageBreak/>
              <w:t>Ministerio de Salud y Protección Social</w:t>
            </w:r>
          </w:p>
        </w:tc>
        <w:tc>
          <w:tcPr>
            <w:tcW w:w="7040" w:type="dxa"/>
            <w:vAlign w:val="center"/>
          </w:tcPr>
          <w:p w14:paraId="77C317C7" w14:textId="5B34FDC5" w:rsidR="005A5FDC" w:rsidRPr="00C454A1" w:rsidRDefault="0046476D" w:rsidP="00EE77DF">
            <w:pPr>
              <w:spacing w:line="257" w:lineRule="auto"/>
              <w:rPr>
                <w:rFonts w:eastAsia="Times New Roman" w:cs="Times New Roman"/>
                <w:color w:val="000000" w:themeColor="text1"/>
                <w:sz w:val="22"/>
                <w:szCs w:val="22"/>
              </w:rPr>
            </w:pPr>
            <w:r w:rsidRPr="00C454A1">
              <w:rPr>
                <w:rFonts w:eastAsia="Times New Roman" w:cs="Times New Roman"/>
                <w:color w:val="000000" w:themeColor="text1"/>
                <w:sz w:val="22"/>
                <w:szCs w:val="22"/>
              </w:rPr>
              <w:t>S</w:t>
            </w:r>
            <w:r w:rsidR="005A5FDC" w:rsidRPr="00C454A1">
              <w:rPr>
                <w:rFonts w:eastAsia="Times New Roman" w:cs="Times New Roman"/>
                <w:color w:val="000000" w:themeColor="text1"/>
                <w:sz w:val="22"/>
                <w:szCs w:val="22"/>
              </w:rPr>
              <w:t>eñaló que la situación del Catatumbo ha generado una “demanda de recursos adicionales para atender a las poblaciones desplazadas y ubicadas en albergues temporales u alojamientos en hoteles o de familiares de manera transitoria”</w:t>
            </w:r>
            <w:r w:rsidR="005A5FDC" w:rsidRPr="00C454A1">
              <w:rPr>
                <w:rStyle w:val="Refdenotaalpie"/>
                <w:rFonts w:eastAsia="Times New Roman" w:cs="Times New Roman"/>
                <w:color w:val="000000" w:themeColor="text1"/>
                <w:sz w:val="22"/>
                <w:szCs w:val="22"/>
              </w:rPr>
              <w:footnoteReference w:id="414"/>
            </w:r>
            <w:r w:rsidR="005A5FDC" w:rsidRPr="00C454A1">
              <w:rPr>
                <w:rFonts w:eastAsia="Times New Roman" w:cs="Times New Roman"/>
                <w:color w:val="000000" w:themeColor="text1"/>
                <w:sz w:val="22"/>
                <w:szCs w:val="22"/>
              </w:rPr>
              <w:t xml:space="preserve">. Así mismo, sostuvo que, si se mantiene la emergencia, se “va a desbordar la capacidad de la red pública y privada tanto del Catatumbo como de Norte de Santander y va a demandar recursos adicionales que permitan cubrir el aumento en la demanda de servicios”. Finalmente, indicó que el </w:t>
            </w:r>
            <w:r w:rsidR="007525E1" w:rsidRPr="00C454A1">
              <w:rPr>
                <w:rFonts w:eastAsia="Times New Roman" w:cs="Times New Roman"/>
                <w:color w:val="000000" w:themeColor="text1"/>
                <w:sz w:val="22"/>
                <w:szCs w:val="22"/>
              </w:rPr>
              <w:t>Gobierno nacional</w:t>
            </w:r>
            <w:r w:rsidR="005A5FDC" w:rsidRPr="00C454A1">
              <w:rPr>
                <w:rFonts w:eastAsia="Times New Roman" w:cs="Times New Roman"/>
                <w:color w:val="000000" w:themeColor="text1"/>
                <w:sz w:val="22"/>
                <w:szCs w:val="22"/>
              </w:rPr>
              <w:t xml:space="preserve"> concertó un plan de transformación territorial denominado Plan Catatumbo que, entre otras, contenía un plan regional de salud para mejorar la gobernanza del sistema en la región y fortalecerlo. A su juicio, la emergencia “consolida la necesidad de ejecutar este plan de manera expedita como mecanismo de asegurar soluciones de medio plazo basado en el enfoque territorial”, lo que “requiere recursos y esfuerzos extraordinarios y específicos para que no se dilate en el tiempo y quede sujeto a las disponibilidades anuales de recursos que harían interminable tal desarrollo”. </w:t>
            </w:r>
          </w:p>
        </w:tc>
      </w:tr>
      <w:tr w:rsidR="00C454A1" w:rsidRPr="00C454A1" w14:paraId="2BF54289" w14:textId="77777777" w:rsidTr="00EE77DF">
        <w:trPr>
          <w:trHeight w:val="300"/>
        </w:trPr>
        <w:tc>
          <w:tcPr>
            <w:tcW w:w="1790" w:type="dxa"/>
            <w:shd w:val="clear" w:color="auto" w:fill="D9D9D9" w:themeFill="background1" w:themeFillShade="D9"/>
            <w:vAlign w:val="center"/>
          </w:tcPr>
          <w:p w14:paraId="0F0AA6FD" w14:textId="77777777" w:rsidR="005A5FDC" w:rsidRPr="00C454A1" w:rsidRDefault="005A5FDC" w:rsidP="00EE77DF">
            <w:pPr>
              <w:jc w:val="center"/>
              <w:rPr>
                <w:color w:val="000000" w:themeColor="text1"/>
                <w:sz w:val="22"/>
                <w:szCs w:val="22"/>
              </w:rPr>
            </w:pPr>
            <w:r w:rsidRPr="00C454A1">
              <w:rPr>
                <w:rFonts w:eastAsia="Times New Roman" w:cs="Times New Roman"/>
                <w:b/>
                <w:bCs/>
                <w:color w:val="000000" w:themeColor="text1"/>
                <w:sz w:val="22"/>
                <w:szCs w:val="22"/>
              </w:rPr>
              <w:t>Ministerio de vivienda, ciudad y territorio</w:t>
            </w:r>
          </w:p>
        </w:tc>
        <w:tc>
          <w:tcPr>
            <w:tcW w:w="7040" w:type="dxa"/>
            <w:vAlign w:val="center"/>
          </w:tcPr>
          <w:p w14:paraId="075D93A1" w14:textId="427A7836" w:rsidR="005A5FDC" w:rsidRPr="00C454A1" w:rsidRDefault="005A5FDC" w:rsidP="00EE77DF">
            <w:pPr>
              <w:spacing w:line="257" w:lineRule="auto"/>
              <w:rPr>
                <w:rFonts w:eastAsia="Times New Roman" w:cs="Times New Roman"/>
                <w:color w:val="000000" w:themeColor="text1"/>
                <w:sz w:val="22"/>
                <w:szCs w:val="22"/>
              </w:rPr>
            </w:pPr>
            <w:r w:rsidRPr="00C454A1">
              <w:rPr>
                <w:rFonts w:eastAsia="Times New Roman" w:cs="Times New Roman"/>
                <w:color w:val="000000" w:themeColor="text1"/>
                <w:sz w:val="22"/>
                <w:szCs w:val="22"/>
              </w:rPr>
              <w:t>Afirmó que la detonación de la emergencia ha generado, por una parte, (i) para los municipios receptores, una emergencia de agua para consumo humano estimada en 50 litros por habitante al día, por lo que se requiere que los operadores tengan una disponibilidad adicional de 2,6 millones de litros al día, lo que afecta la operación normal del sistema, incrementa los costos operativos y supera la capacidad de la infraestructura existente. De otro lado, (ii)</w:t>
            </w:r>
            <w:r w:rsidRPr="00C454A1">
              <w:rPr>
                <w:rFonts w:eastAsia="Times New Roman" w:cs="Times New Roman"/>
                <w:i/>
                <w:iCs/>
                <w:color w:val="000000" w:themeColor="text1"/>
                <w:sz w:val="22"/>
                <w:szCs w:val="22"/>
              </w:rPr>
              <w:t xml:space="preserve"> </w:t>
            </w:r>
            <w:r w:rsidRPr="00C454A1">
              <w:rPr>
                <w:rFonts w:eastAsia="Times New Roman" w:cs="Times New Roman"/>
                <w:color w:val="000000" w:themeColor="text1"/>
                <w:sz w:val="22"/>
                <w:szCs w:val="22"/>
              </w:rPr>
              <w:t>para los municipios expulsores, 53 mil personas desplazadas dejarán de pagar sus tarifas, lo que implica serias afectaciones al equilibrio financiero de los prestadores del servicio público. Además, 31.358 personas confinadas en estos municipios, al ver reducidos sus ingresos, “tampoco tendrían recursos para poder hacer los pagos tarifarios” del servicio de acueducto y alcantarillado</w:t>
            </w:r>
            <w:r w:rsidRPr="00C454A1">
              <w:rPr>
                <w:rStyle w:val="Refdenotaalpie"/>
                <w:rFonts w:eastAsia="Times New Roman" w:cs="Times New Roman"/>
                <w:color w:val="000000" w:themeColor="text1"/>
                <w:sz w:val="22"/>
                <w:szCs w:val="22"/>
              </w:rPr>
              <w:footnoteReference w:id="415"/>
            </w:r>
            <w:r w:rsidRPr="00C454A1">
              <w:rPr>
                <w:rFonts w:eastAsia="Times New Roman" w:cs="Times New Roman"/>
                <w:color w:val="000000" w:themeColor="text1"/>
                <w:sz w:val="22"/>
                <w:szCs w:val="22"/>
              </w:rPr>
              <w:t xml:space="preserve">. </w:t>
            </w:r>
          </w:p>
        </w:tc>
      </w:tr>
      <w:tr w:rsidR="005A5FDC" w:rsidRPr="00C454A1" w14:paraId="42B8FF0E" w14:textId="77777777" w:rsidTr="00EE77DF">
        <w:trPr>
          <w:trHeight w:val="300"/>
        </w:trPr>
        <w:tc>
          <w:tcPr>
            <w:tcW w:w="1790" w:type="dxa"/>
            <w:shd w:val="clear" w:color="auto" w:fill="D9D9D9" w:themeFill="background1" w:themeFillShade="D9"/>
            <w:vAlign w:val="center"/>
          </w:tcPr>
          <w:p w14:paraId="7B063A56" w14:textId="77777777" w:rsidR="005A5FDC" w:rsidRPr="00C454A1" w:rsidRDefault="005A5FDC" w:rsidP="00EE77DF">
            <w:pPr>
              <w:jc w:val="center"/>
              <w:rPr>
                <w:color w:val="000000" w:themeColor="text1"/>
                <w:sz w:val="22"/>
                <w:szCs w:val="22"/>
              </w:rPr>
            </w:pPr>
            <w:r w:rsidRPr="00C454A1">
              <w:rPr>
                <w:rFonts w:eastAsia="Times New Roman" w:cs="Times New Roman"/>
                <w:b/>
                <w:bCs/>
                <w:color w:val="000000" w:themeColor="text1"/>
                <w:sz w:val="22"/>
                <w:szCs w:val="22"/>
              </w:rPr>
              <w:t>Ministerio de Agricultura y Desarrollo Rural</w:t>
            </w:r>
          </w:p>
        </w:tc>
        <w:tc>
          <w:tcPr>
            <w:tcW w:w="7040" w:type="dxa"/>
            <w:vAlign w:val="center"/>
          </w:tcPr>
          <w:p w14:paraId="38F8FAC4" w14:textId="1D0E9112" w:rsidR="005A5FDC" w:rsidRPr="00C454A1" w:rsidRDefault="005A5FDC" w:rsidP="00EE77DF">
            <w:pPr>
              <w:spacing w:line="257" w:lineRule="auto"/>
              <w:rPr>
                <w:rFonts w:eastAsia="Times New Roman" w:cs="Times New Roman"/>
                <w:color w:val="000000" w:themeColor="text1"/>
                <w:sz w:val="22"/>
                <w:szCs w:val="22"/>
                <w:vertAlign w:val="superscript"/>
              </w:rPr>
            </w:pPr>
            <w:r w:rsidRPr="00C454A1">
              <w:rPr>
                <w:rFonts w:eastAsia="Times New Roman" w:cs="Times New Roman"/>
                <w:color w:val="000000" w:themeColor="text1"/>
                <w:sz w:val="22"/>
                <w:szCs w:val="22"/>
              </w:rPr>
              <w:t>Señaló que se consolidó una matriz de proyectos de inversión en la región del Catatumbo con un valor de $233.960 millones</w:t>
            </w:r>
            <w:r w:rsidRPr="00C454A1">
              <w:rPr>
                <w:rStyle w:val="Refdenotaalpie"/>
                <w:rFonts w:eastAsia="Times New Roman" w:cs="Times New Roman"/>
                <w:color w:val="000000" w:themeColor="text1"/>
                <w:sz w:val="22"/>
                <w:szCs w:val="22"/>
              </w:rPr>
              <w:footnoteReference w:id="416"/>
            </w:r>
            <w:r w:rsidRPr="00C454A1">
              <w:rPr>
                <w:rFonts w:eastAsia="Times New Roman" w:cs="Times New Roman"/>
                <w:color w:val="000000" w:themeColor="text1"/>
                <w:sz w:val="22"/>
                <w:szCs w:val="22"/>
              </w:rPr>
              <w:t xml:space="preserve"> y que, según FINAGRO, el FONSA cuenta con $85.769 millones disponibles</w:t>
            </w:r>
            <w:r w:rsidRPr="00C454A1">
              <w:rPr>
                <w:rStyle w:val="Refdenotaalpie"/>
                <w:rFonts w:eastAsia="Times New Roman" w:cs="Times New Roman"/>
                <w:color w:val="000000" w:themeColor="text1"/>
                <w:sz w:val="22"/>
                <w:szCs w:val="22"/>
              </w:rPr>
              <w:footnoteReference w:id="417"/>
            </w:r>
            <w:r w:rsidRPr="00C454A1">
              <w:rPr>
                <w:rFonts w:eastAsia="Times New Roman" w:cs="Times New Roman"/>
                <w:color w:val="000000" w:themeColor="text1"/>
                <w:sz w:val="22"/>
                <w:szCs w:val="22"/>
              </w:rPr>
              <w:t>.</w:t>
            </w:r>
          </w:p>
        </w:tc>
      </w:tr>
    </w:tbl>
    <w:p w14:paraId="6ED654C2" w14:textId="77777777" w:rsidR="00E2427D" w:rsidRPr="00C454A1" w:rsidRDefault="00E2427D" w:rsidP="00E2427D">
      <w:pPr>
        <w:rPr>
          <w:rFonts w:eastAsia="Times New Roman" w:cs="Times New Roman"/>
          <w:color w:val="000000" w:themeColor="text1"/>
          <w:szCs w:val="28"/>
        </w:rPr>
      </w:pPr>
    </w:p>
    <w:p w14:paraId="02558318" w14:textId="66630B6A" w:rsidR="00F048E4" w:rsidRPr="00C454A1" w:rsidRDefault="005A5FDC" w:rsidP="00321FAF">
      <w:pPr>
        <w:numPr>
          <w:ilvl w:val="0"/>
          <w:numId w:val="2"/>
        </w:numPr>
        <w:ind w:left="0" w:firstLine="0"/>
        <w:rPr>
          <w:rFonts w:eastAsia="Times New Roman" w:cs="Times New Roman"/>
          <w:color w:val="000000" w:themeColor="text1"/>
          <w:szCs w:val="28"/>
        </w:rPr>
      </w:pPr>
      <w:bookmarkStart w:id="212" w:name="_Ref219391293"/>
      <w:r w:rsidRPr="00C454A1">
        <w:rPr>
          <w:rFonts w:cs="Times New Roman"/>
          <w:color w:val="000000" w:themeColor="text1"/>
        </w:rPr>
        <w:t xml:space="preserve">Finalmente, la Sala </w:t>
      </w:r>
      <w:r w:rsidR="00B23760" w:rsidRPr="00C454A1">
        <w:rPr>
          <w:rFonts w:cs="Times New Roman"/>
          <w:color w:val="000000" w:themeColor="text1"/>
        </w:rPr>
        <w:t>resalta</w:t>
      </w:r>
      <w:r w:rsidRPr="00C454A1">
        <w:rPr>
          <w:rFonts w:cs="Times New Roman"/>
          <w:color w:val="000000" w:themeColor="text1"/>
        </w:rPr>
        <w:t xml:space="preserve"> que varias de las entidades territoriales cobijadas por la conmoción manifestaron su incapacidad para brindar asistencia oportuna y suficiente a la población desplazada y confinada.  La siguiente tabl</w:t>
      </w:r>
      <w:r w:rsidR="00B23760" w:rsidRPr="00C454A1">
        <w:rPr>
          <w:rFonts w:cs="Times New Roman"/>
          <w:color w:val="000000" w:themeColor="text1"/>
        </w:rPr>
        <w:t>a</w:t>
      </w:r>
      <w:r w:rsidRPr="00C454A1">
        <w:rPr>
          <w:rFonts w:cs="Times New Roman"/>
          <w:color w:val="000000" w:themeColor="text1"/>
        </w:rPr>
        <w:t xml:space="preserve"> resume las afirmaciones de algunas de las autoridades municipales:</w:t>
      </w:r>
      <w:bookmarkEnd w:id="212"/>
    </w:p>
    <w:p w14:paraId="0C51474D" w14:textId="77777777" w:rsidR="00F048E4" w:rsidRPr="00C454A1" w:rsidRDefault="00F048E4" w:rsidP="00450943">
      <w:pPr>
        <w:rPr>
          <w:color w:val="000000" w:themeColor="text1"/>
        </w:rPr>
      </w:pPr>
    </w:p>
    <w:p w14:paraId="748B7908" w14:textId="65DC0458" w:rsidR="00474564" w:rsidRPr="00C454A1" w:rsidRDefault="00474564" w:rsidP="00A06AA2">
      <w:pPr>
        <w:jc w:val="center"/>
        <w:rPr>
          <w:i/>
          <w:iCs/>
          <w:color w:val="000000" w:themeColor="text1"/>
          <w:sz w:val="22"/>
          <w:szCs w:val="22"/>
        </w:rPr>
      </w:pPr>
      <w:r w:rsidRPr="00C454A1">
        <w:rPr>
          <w:i/>
          <w:iCs/>
          <w:color w:val="000000" w:themeColor="text1"/>
          <w:sz w:val="22"/>
          <w:szCs w:val="22"/>
        </w:rPr>
        <w:t>Tabla 1</w:t>
      </w:r>
      <w:r w:rsidR="00703A24" w:rsidRPr="00C454A1">
        <w:rPr>
          <w:i/>
          <w:iCs/>
          <w:color w:val="000000" w:themeColor="text1"/>
          <w:sz w:val="22"/>
          <w:szCs w:val="22"/>
        </w:rPr>
        <w:t>7</w:t>
      </w:r>
      <w:r w:rsidRPr="00C454A1">
        <w:rPr>
          <w:i/>
          <w:iCs/>
          <w:color w:val="000000" w:themeColor="text1"/>
          <w:sz w:val="22"/>
          <w:szCs w:val="22"/>
        </w:rPr>
        <w:t xml:space="preserve">: </w:t>
      </w:r>
      <w:r w:rsidR="00A06AA2" w:rsidRPr="00C454A1">
        <w:rPr>
          <w:i/>
          <w:iCs/>
          <w:color w:val="000000" w:themeColor="text1"/>
          <w:sz w:val="22"/>
          <w:szCs w:val="22"/>
        </w:rPr>
        <w:t>limitaciones fiscales que las entidades territoriales alegan tener para atender la crisis de la región del Catatumbo</w:t>
      </w:r>
    </w:p>
    <w:tbl>
      <w:tblPr>
        <w:tblStyle w:val="Tablaconcuadrcula"/>
        <w:tblW w:w="0" w:type="auto"/>
        <w:tblLayout w:type="fixed"/>
        <w:tblLook w:val="06A0" w:firstRow="1" w:lastRow="0" w:firstColumn="1" w:lastColumn="0" w:noHBand="1" w:noVBand="1"/>
      </w:tblPr>
      <w:tblGrid>
        <w:gridCol w:w="1785"/>
        <w:gridCol w:w="7050"/>
      </w:tblGrid>
      <w:tr w:rsidR="00C454A1" w:rsidRPr="00C454A1" w14:paraId="1C9CF39C" w14:textId="77777777" w:rsidTr="00404E00">
        <w:trPr>
          <w:trHeight w:val="300"/>
        </w:trPr>
        <w:tc>
          <w:tcPr>
            <w:tcW w:w="1785" w:type="dxa"/>
            <w:shd w:val="clear" w:color="auto" w:fill="D1D1D1" w:themeFill="background2" w:themeFillShade="E6"/>
          </w:tcPr>
          <w:p w14:paraId="573124A3" w14:textId="77777777" w:rsidR="005A5FDC" w:rsidRPr="00C454A1" w:rsidRDefault="005A5FDC" w:rsidP="00404E00">
            <w:pPr>
              <w:jc w:val="center"/>
              <w:rPr>
                <w:rFonts w:cs="Times New Roman"/>
                <w:b/>
                <w:bCs/>
                <w:color w:val="000000" w:themeColor="text1"/>
                <w:sz w:val="22"/>
                <w:szCs w:val="22"/>
              </w:rPr>
            </w:pPr>
            <w:r w:rsidRPr="00C454A1">
              <w:rPr>
                <w:rFonts w:cs="Times New Roman"/>
                <w:b/>
                <w:bCs/>
                <w:color w:val="000000" w:themeColor="text1"/>
                <w:sz w:val="22"/>
                <w:szCs w:val="22"/>
              </w:rPr>
              <w:t>La Playa de Belén</w:t>
            </w:r>
          </w:p>
        </w:tc>
        <w:tc>
          <w:tcPr>
            <w:tcW w:w="7050" w:type="dxa"/>
          </w:tcPr>
          <w:p w14:paraId="13577129" w14:textId="77777777" w:rsidR="005A5FDC" w:rsidRPr="00C454A1" w:rsidRDefault="005A5FDC" w:rsidP="00EE77DF">
            <w:pPr>
              <w:rPr>
                <w:rFonts w:cs="Times New Roman"/>
                <w:color w:val="000000" w:themeColor="text1"/>
                <w:sz w:val="22"/>
                <w:szCs w:val="22"/>
              </w:rPr>
            </w:pPr>
            <w:r w:rsidRPr="00C454A1">
              <w:rPr>
                <w:rFonts w:cs="Times New Roman"/>
                <w:color w:val="000000" w:themeColor="text1"/>
                <w:sz w:val="22"/>
                <w:szCs w:val="22"/>
              </w:rPr>
              <w:t>Sostuvo que no cuenta con recursos económicos para mejorar las atenciones a la población víctima.</w:t>
            </w:r>
            <w:r w:rsidRPr="00C454A1">
              <w:rPr>
                <w:rFonts w:cs="Times New Roman"/>
                <w:color w:val="000000" w:themeColor="text1"/>
                <w:sz w:val="22"/>
                <w:szCs w:val="22"/>
              </w:rPr>
              <w:footnoteReference w:id="418"/>
            </w:r>
          </w:p>
        </w:tc>
      </w:tr>
      <w:tr w:rsidR="00C454A1" w:rsidRPr="00C454A1" w14:paraId="6C6074FB" w14:textId="77777777" w:rsidTr="00404E00">
        <w:trPr>
          <w:trHeight w:val="300"/>
        </w:trPr>
        <w:tc>
          <w:tcPr>
            <w:tcW w:w="1785" w:type="dxa"/>
            <w:shd w:val="clear" w:color="auto" w:fill="D1D1D1" w:themeFill="background2" w:themeFillShade="E6"/>
          </w:tcPr>
          <w:p w14:paraId="4C3A669C" w14:textId="77777777" w:rsidR="005A5FDC" w:rsidRPr="00C454A1" w:rsidRDefault="005A5FDC" w:rsidP="00404E00">
            <w:pPr>
              <w:jc w:val="center"/>
              <w:rPr>
                <w:rFonts w:cs="Times New Roman"/>
                <w:b/>
                <w:bCs/>
                <w:color w:val="000000" w:themeColor="text1"/>
                <w:sz w:val="22"/>
                <w:szCs w:val="22"/>
              </w:rPr>
            </w:pPr>
            <w:r w:rsidRPr="00C454A1">
              <w:rPr>
                <w:rFonts w:cs="Times New Roman"/>
                <w:b/>
                <w:bCs/>
                <w:color w:val="000000" w:themeColor="text1"/>
                <w:sz w:val="22"/>
                <w:szCs w:val="22"/>
              </w:rPr>
              <w:t>Teorama</w:t>
            </w:r>
          </w:p>
        </w:tc>
        <w:tc>
          <w:tcPr>
            <w:tcW w:w="7050" w:type="dxa"/>
          </w:tcPr>
          <w:p w14:paraId="777F5EB0" w14:textId="77777777" w:rsidR="005A5FDC" w:rsidRPr="00C454A1" w:rsidRDefault="005A5FDC" w:rsidP="00EE77DF">
            <w:pPr>
              <w:rPr>
                <w:rFonts w:cs="Times New Roman"/>
                <w:color w:val="000000" w:themeColor="text1"/>
                <w:sz w:val="22"/>
                <w:szCs w:val="22"/>
              </w:rPr>
            </w:pPr>
            <w:r w:rsidRPr="00C454A1">
              <w:rPr>
                <w:rFonts w:cs="Times New Roman"/>
                <w:color w:val="000000" w:themeColor="text1"/>
                <w:sz w:val="22"/>
                <w:szCs w:val="22"/>
              </w:rPr>
              <w:t xml:space="preserve">Afirmó que el número de víctimas de desplazamiento forzado “ha colapsado la capacidad de atención contemplada en el plan de contingencia dado que se ha establecido $15.000.000 y es insuficiente para atender la emergencia por lo </w:t>
            </w:r>
            <w:r w:rsidRPr="00C454A1">
              <w:rPr>
                <w:rFonts w:cs="Times New Roman"/>
                <w:color w:val="000000" w:themeColor="text1"/>
                <w:sz w:val="22"/>
                <w:szCs w:val="22"/>
              </w:rPr>
              <w:lastRenderedPageBreak/>
              <w:t>anteriormente expuesto. Por ende, el alcalde ha tenido que realizar un gran esfuerzo en gestión para poder traer ayudas humanitarias al municipio”</w:t>
            </w:r>
            <w:r w:rsidRPr="00C454A1">
              <w:rPr>
                <w:rFonts w:cs="Times New Roman"/>
                <w:color w:val="000000" w:themeColor="text1"/>
                <w:sz w:val="22"/>
                <w:szCs w:val="22"/>
              </w:rPr>
              <w:footnoteReference w:id="419"/>
            </w:r>
            <w:r w:rsidRPr="00C454A1">
              <w:rPr>
                <w:rFonts w:cs="Times New Roman"/>
                <w:color w:val="000000" w:themeColor="text1"/>
                <w:sz w:val="22"/>
                <w:szCs w:val="22"/>
              </w:rPr>
              <w:t>.</w:t>
            </w:r>
          </w:p>
        </w:tc>
      </w:tr>
      <w:tr w:rsidR="005A5FDC" w:rsidRPr="00C454A1" w14:paraId="05D3EF87" w14:textId="77777777" w:rsidTr="00404E00">
        <w:trPr>
          <w:trHeight w:val="300"/>
        </w:trPr>
        <w:tc>
          <w:tcPr>
            <w:tcW w:w="1785" w:type="dxa"/>
            <w:shd w:val="clear" w:color="auto" w:fill="D1D1D1" w:themeFill="background2" w:themeFillShade="E6"/>
          </w:tcPr>
          <w:p w14:paraId="4B74A284" w14:textId="77777777" w:rsidR="005A5FDC" w:rsidRPr="00C454A1" w:rsidRDefault="005A5FDC" w:rsidP="00404E00">
            <w:pPr>
              <w:jc w:val="center"/>
              <w:rPr>
                <w:rFonts w:cs="Times New Roman"/>
                <w:b/>
                <w:bCs/>
                <w:color w:val="000000" w:themeColor="text1"/>
                <w:sz w:val="22"/>
                <w:szCs w:val="22"/>
              </w:rPr>
            </w:pPr>
            <w:r w:rsidRPr="00C454A1">
              <w:rPr>
                <w:rFonts w:cs="Times New Roman"/>
                <w:b/>
                <w:bCs/>
                <w:color w:val="000000" w:themeColor="text1"/>
                <w:sz w:val="22"/>
                <w:szCs w:val="22"/>
              </w:rPr>
              <w:lastRenderedPageBreak/>
              <w:t>Ocaña</w:t>
            </w:r>
          </w:p>
        </w:tc>
        <w:tc>
          <w:tcPr>
            <w:tcW w:w="7050" w:type="dxa"/>
          </w:tcPr>
          <w:p w14:paraId="548B79FE" w14:textId="24E68701" w:rsidR="005A5FDC" w:rsidRPr="00C454A1" w:rsidRDefault="005A5FDC" w:rsidP="00EE77DF">
            <w:pPr>
              <w:rPr>
                <w:rFonts w:cs="Times New Roman"/>
                <w:color w:val="000000" w:themeColor="text1"/>
                <w:sz w:val="22"/>
                <w:szCs w:val="22"/>
              </w:rPr>
            </w:pPr>
            <w:r w:rsidRPr="00C454A1">
              <w:rPr>
                <w:rFonts w:cs="Times New Roman"/>
                <w:color w:val="000000" w:themeColor="text1"/>
                <w:sz w:val="22"/>
                <w:szCs w:val="22"/>
              </w:rPr>
              <w:t>Indicó que “se ha registrado el arribo de 10.228 personas organizadas en 4.089 núcleos familiares, una cifra que ha desbordado por completo la capacidad operativa, logística y financiera de la Administración Municipal, generando una emergencia que requirió la intervención urgente de otros niveles de gobierno”</w:t>
            </w:r>
            <w:r w:rsidRPr="00C454A1">
              <w:rPr>
                <w:rFonts w:cs="Times New Roman"/>
                <w:color w:val="000000" w:themeColor="text1"/>
                <w:sz w:val="22"/>
                <w:szCs w:val="22"/>
              </w:rPr>
              <w:footnoteReference w:id="420"/>
            </w:r>
            <w:r w:rsidRPr="00C454A1">
              <w:rPr>
                <w:rFonts w:cs="Times New Roman"/>
                <w:color w:val="000000" w:themeColor="text1"/>
                <w:sz w:val="22"/>
                <w:szCs w:val="22"/>
              </w:rPr>
              <w:t>. Agregó que</w:t>
            </w:r>
            <w:r w:rsidR="00206DAC" w:rsidRPr="00C454A1">
              <w:rPr>
                <w:rFonts w:cs="Times New Roman"/>
                <w:color w:val="000000" w:themeColor="text1"/>
                <w:sz w:val="22"/>
                <w:szCs w:val="22"/>
              </w:rPr>
              <w:t>,</w:t>
            </w:r>
            <w:r w:rsidRPr="00C454A1">
              <w:rPr>
                <w:rFonts w:cs="Times New Roman"/>
                <w:color w:val="000000" w:themeColor="text1"/>
                <w:sz w:val="22"/>
                <w:szCs w:val="22"/>
              </w:rPr>
              <w:t xml:space="preserve"> para brindar asistencia a las víctimas, celebró un contrato por $71.397.491 en ejecución del cual se entregaron ”10 toneladas de ayudas constituidas en kits de alimentación, aseo, frazadas, vajillas, colchonetas entre otros. Además, se realizó la habilitación de espacios temporales de acogida, la distribución de alimentos y agua potable, y la canalización de algunos casos hacia servicios de salud y protección. Sin embargo, la magnitud de la crisis superó rápidamente las capacidades institucionales del municipio, debido a la insuficiencia de albergues adecuados, la falta de suministros suficientes para atender a toda la población desplazada y la limitación de recursos financieros para sostener la asistencia en el mediano y largo plazo” </w:t>
            </w:r>
            <w:r w:rsidRPr="00C454A1">
              <w:rPr>
                <w:rFonts w:cs="Times New Roman"/>
                <w:color w:val="000000" w:themeColor="text1"/>
                <w:sz w:val="22"/>
                <w:szCs w:val="22"/>
              </w:rPr>
              <w:footnoteReference w:id="421"/>
            </w:r>
            <w:r w:rsidRPr="00C454A1">
              <w:rPr>
                <w:rFonts w:cs="Times New Roman"/>
                <w:color w:val="000000" w:themeColor="text1"/>
                <w:sz w:val="22"/>
                <w:szCs w:val="22"/>
              </w:rPr>
              <w:t xml:space="preserve">. También relató que el municipio ha recibido apoyo de la Gobernación de Norte de Santander, el </w:t>
            </w:r>
            <w:r w:rsidR="007525E1" w:rsidRPr="00C454A1">
              <w:rPr>
                <w:rFonts w:cs="Times New Roman"/>
                <w:color w:val="000000" w:themeColor="text1"/>
                <w:sz w:val="22"/>
                <w:szCs w:val="22"/>
              </w:rPr>
              <w:t>Gobierno nacional</w:t>
            </w:r>
            <w:r w:rsidRPr="00C454A1">
              <w:rPr>
                <w:rFonts w:cs="Times New Roman"/>
                <w:color w:val="000000" w:themeColor="text1"/>
                <w:sz w:val="22"/>
                <w:szCs w:val="22"/>
              </w:rPr>
              <w:t xml:space="preserve"> y la cooperación internacional, no obstante lo cual</w:t>
            </w:r>
            <w:r w:rsidR="00431841" w:rsidRPr="00C454A1">
              <w:rPr>
                <w:rFonts w:cs="Times New Roman"/>
                <w:color w:val="000000" w:themeColor="text1"/>
                <w:sz w:val="22"/>
                <w:szCs w:val="22"/>
              </w:rPr>
              <w:t>, “</w:t>
            </w:r>
            <w:r w:rsidRPr="00C454A1">
              <w:rPr>
                <w:rFonts w:cs="Times New Roman"/>
                <w:color w:val="000000" w:themeColor="text1"/>
                <w:sz w:val="22"/>
                <w:szCs w:val="22"/>
              </w:rPr>
              <w:t>la crisis sigue representando un reto significativo para la capacidad institucional del municipio, ya que el flujo de personas desplazadas continúa y los recursos siguen siendo insuficientes para atender de manera integral”</w:t>
            </w:r>
            <w:r w:rsidRPr="00C454A1">
              <w:rPr>
                <w:rFonts w:cs="Times New Roman"/>
                <w:color w:val="000000" w:themeColor="text1"/>
                <w:sz w:val="22"/>
                <w:szCs w:val="22"/>
              </w:rPr>
              <w:footnoteReference w:id="422"/>
            </w:r>
            <w:r w:rsidRPr="00C454A1">
              <w:rPr>
                <w:rFonts w:cs="Times New Roman"/>
                <w:color w:val="000000" w:themeColor="text1"/>
                <w:sz w:val="22"/>
                <w:szCs w:val="22"/>
              </w:rPr>
              <w:t xml:space="preserve">. </w:t>
            </w:r>
          </w:p>
        </w:tc>
      </w:tr>
    </w:tbl>
    <w:p w14:paraId="0CCEDB93" w14:textId="77777777" w:rsidR="005A5FDC" w:rsidRPr="00C454A1" w:rsidRDefault="005A5FDC" w:rsidP="005A5FDC">
      <w:pPr>
        <w:rPr>
          <w:color w:val="000000" w:themeColor="text1"/>
        </w:rPr>
      </w:pPr>
    </w:p>
    <w:p w14:paraId="11C6F7F1" w14:textId="0D97350D" w:rsidR="00983BA8" w:rsidRPr="00C454A1" w:rsidRDefault="00983BA8" w:rsidP="005F4A6F">
      <w:pPr>
        <w:pStyle w:val="Prrafodelista"/>
        <w:numPr>
          <w:ilvl w:val="0"/>
          <w:numId w:val="19"/>
        </w:numPr>
        <w:rPr>
          <w:rFonts w:cs="Times New Roman"/>
          <w:b/>
          <w:bCs/>
          <w:color w:val="000000" w:themeColor="text1"/>
          <w:szCs w:val="28"/>
        </w:rPr>
      </w:pPr>
      <w:r w:rsidRPr="00C454A1">
        <w:rPr>
          <w:rFonts w:cs="Times New Roman"/>
          <w:b/>
          <w:bCs/>
          <w:color w:val="000000" w:themeColor="text1"/>
          <w:szCs w:val="28"/>
        </w:rPr>
        <w:t xml:space="preserve">Resumen de la justificación de la insuficiencia de las medidas </w:t>
      </w:r>
      <w:r w:rsidRPr="00C454A1">
        <w:rPr>
          <w:b/>
          <w:bCs/>
          <w:color w:val="000000" w:themeColor="text1"/>
        </w:rPr>
        <w:t>ordinarias para para garantizar la seguridad y protección a la población firmante del AFP</w:t>
      </w:r>
    </w:p>
    <w:p w14:paraId="19229FA9" w14:textId="77777777" w:rsidR="00983BA8" w:rsidRPr="00C454A1" w:rsidRDefault="00983BA8" w:rsidP="00983BA8">
      <w:pPr>
        <w:widowControl w:val="0"/>
        <w:outlineLvl w:val="0"/>
        <w:rPr>
          <w:color w:val="000000" w:themeColor="text1"/>
        </w:rPr>
      </w:pPr>
    </w:p>
    <w:p w14:paraId="6053D854" w14:textId="77777777" w:rsidR="00983BA8" w:rsidRPr="00C454A1" w:rsidRDefault="00983BA8" w:rsidP="00321FAF">
      <w:pPr>
        <w:numPr>
          <w:ilvl w:val="0"/>
          <w:numId w:val="2"/>
        </w:numPr>
        <w:ind w:left="0" w:firstLine="0"/>
        <w:rPr>
          <w:color w:val="000000" w:themeColor="text1"/>
        </w:rPr>
      </w:pPr>
      <w:r w:rsidRPr="00C454A1">
        <w:rPr>
          <w:color w:val="000000" w:themeColor="text1"/>
        </w:rPr>
        <w:t>En el acápite III de la parte motiva del Decreto 62 de 2025, el Gobierno nacional hizo énfasis es sus limitaciones logísticas y de equipamiento para hacer rescates aéreos de personas amenazadas por el ELN en las regiones cobijadas por la conmoción interior y, en general, para prevenir la ocurrencia de nuevos hechos de violencia.</w:t>
      </w:r>
    </w:p>
    <w:p w14:paraId="0B9F08BA" w14:textId="77777777" w:rsidR="00983BA8" w:rsidRPr="00C454A1" w:rsidRDefault="00983BA8" w:rsidP="00983BA8">
      <w:pPr>
        <w:rPr>
          <w:color w:val="000000" w:themeColor="text1"/>
        </w:rPr>
      </w:pPr>
    </w:p>
    <w:p w14:paraId="6F1E84DC" w14:textId="77777777" w:rsidR="00983BA8" w:rsidRPr="00C454A1" w:rsidRDefault="00983BA8" w:rsidP="00321FAF">
      <w:pPr>
        <w:numPr>
          <w:ilvl w:val="0"/>
          <w:numId w:val="2"/>
        </w:numPr>
        <w:ind w:left="0" w:firstLine="0"/>
        <w:rPr>
          <w:color w:val="000000" w:themeColor="text1"/>
        </w:rPr>
      </w:pPr>
      <w:r w:rsidRPr="00C454A1">
        <w:rPr>
          <w:rFonts w:eastAsia="Times New Roman" w:cs="Times New Roman"/>
          <w:color w:val="000000" w:themeColor="text1"/>
          <w:szCs w:val="28"/>
        </w:rPr>
        <w:t>A su turno, la UNP advirtió un aumento de las solicitudes de protección por parte de esta población firmante, señalando incluso que en lo corrido de 2025 ha recibido "una mayor cantidad de solicitudes de protección por parte de firmantes del acuerdo de paz, comparado con anualidades anteriores"</w:t>
      </w:r>
      <w:r w:rsidRPr="00C454A1">
        <w:rPr>
          <w:color w:val="000000" w:themeColor="text1"/>
          <w:vertAlign w:val="superscript"/>
        </w:rPr>
        <w:footnoteReference w:id="423"/>
      </w:r>
      <w:r w:rsidRPr="00C454A1">
        <w:rPr>
          <w:color w:val="000000" w:themeColor="text1"/>
        </w:rPr>
        <w:t>.</w:t>
      </w:r>
    </w:p>
    <w:p w14:paraId="50DB8D42" w14:textId="77777777" w:rsidR="00983BA8" w:rsidRPr="00C454A1" w:rsidRDefault="00983BA8" w:rsidP="00983BA8">
      <w:pPr>
        <w:pStyle w:val="Prrafodelista"/>
        <w:ind w:left="1080"/>
        <w:rPr>
          <w:b/>
          <w:bCs/>
          <w:color w:val="000000" w:themeColor="text1"/>
        </w:rPr>
      </w:pPr>
    </w:p>
    <w:p w14:paraId="76CA5E2E" w14:textId="5A10C828" w:rsidR="005A5FDC" w:rsidRPr="00C454A1" w:rsidRDefault="005A5FDC" w:rsidP="005F4A6F">
      <w:pPr>
        <w:pStyle w:val="Prrafodelista"/>
        <w:numPr>
          <w:ilvl w:val="0"/>
          <w:numId w:val="19"/>
        </w:numPr>
        <w:rPr>
          <w:b/>
          <w:bCs/>
          <w:color w:val="000000" w:themeColor="text1"/>
        </w:rPr>
      </w:pPr>
      <w:r w:rsidRPr="00C454A1">
        <w:rPr>
          <w:b/>
          <w:bCs/>
          <w:color w:val="000000" w:themeColor="text1"/>
        </w:rPr>
        <w:t>Resumen de la justificación de insuficiencia de recursos presupuestales para restablecer la perturbación del orden público y conjurar sus efectos</w:t>
      </w:r>
    </w:p>
    <w:p w14:paraId="4AAA938B" w14:textId="77777777" w:rsidR="00E2427D" w:rsidRPr="00C454A1" w:rsidRDefault="00E2427D" w:rsidP="00E2427D">
      <w:pPr>
        <w:rPr>
          <w:rFonts w:eastAsia="Times New Roman" w:cs="Times New Roman"/>
          <w:color w:val="000000" w:themeColor="text1"/>
          <w:szCs w:val="28"/>
        </w:rPr>
      </w:pPr>
    </w:p>
    <w:p w14:paraId="70BC7B78" w14:textId="5E4FDB98" w:rsidR="00E2427D" w:rsidRPr="00C454A1" w:rsidRDefault="005A5FDC" w:rsidP="00321FAF">
      <w:pPr>
        <w:numPr>
          <w:ilvl w:val="0"/>
          <w:numId w:val="2"/>
        </w:numPr>
        <w:ind w:left="0" w:firstLine="0"/>
        <w:rPr>
          <w:rFonts w:eastAsia="Times New Roman" w:cs="Times New Roman"/>
          <w:color w:val="000000" w:themeColor="text1"/>
          <w:szCs w:val="28"/>
        </w:rPr>
      </w:pPr>
      <w:r w:rsidRPr="00C454A1">
        <w:rPr>
          <w:color w:val="000000" w:themeColor="text1"/>
        </w:rPr>
        <w:t xml:space="preserve">Como argumento transversal, </w:t>
      </w:r>
      <w:r w:rsidR="00637430" w:rsidRPr="00C454A1">
        <w:rPr>
          <w:color w:val="000000" w:themeColor="text1"/>
        </w:rPr>
        <w:t xml:space="preserve">en el Decreto Legislativo 62 de 2025 </w:t>
      </w:r>
      <w:r w:rsidRPr="00C454A1">
        <w:rPr>
          <w:color w:val="000000" w:themeColor="text1"/>
        </w:rPr>
        <w:t>e</w:t>
      </w:r>
      <w:r w:rsidRPr="00C454A1">
        <w:rPr>
          <w:rFonts w:eastAsia="Times New Roman" w:cs="Times New Roman"/>
          <w:color w:val="000000" w:themeColor="text1"/>
          <w:szCs w:val="28"/>
        </w:rPr>
        <w:t xml:space="preserve">l </w:t>
      </w:r>
      <w:r w:rsidR="007525E1" w:rsidRPr="00C454A1">
        <w:rPr>
          <w:rFonts w:eastAsia="Times New Roman" w:cs="Times New Roman"/>
          <w:color w:val="000000" w:themeColor="text1"/>
          <w:szCs w:val="28"/>
        </w:rPr>
        <w:t>Gobierno nacional</w:t>
      </w:r>
      <w:r w:rsidRPr="00C454A1">
        <w:rPr>
          <w:rFonts w:eastAsia="Times New Roman" w:cs="Times New Roman"/>
          <w:color w:val="000000" w:themeColor="text1"/>
          <w:szCs w:val="28"/>
        </w:rPr>
        <w:t xml:space="preserve"> </w:t>
      </w:r>
      <w:r w:rsidR="00583EA5" w:rsidRPr="00C454A1">
        <w:rPr>
          <w:rFonts w:eastAsia="Times New Roman" w:cs="Times New Roman"/>
          <w:color w:val="000000" w:themeColor="text1"/>
          <w:szCs w:val="28"/>
        </w:rPr>
        <w:t>indicó</w:t>
      </w:r>
      <w:r w:rsidRPr="00C454A1">
        <w:rPr>
          <w:rFonts w:eastAsia="Times New Roman" w:cs="Times New Roman"/>
          <w:color w:val="000000" w:themeColor="text1"/>
          <w:szCs w:val="28"/>
        </w:rPr>
        <w:t xml:space="preserve"> que los recursos públicos asignados en los sistemas presupuestales nacionales </w:t>
      </w:r>
      <w:r w:rsidR="00583EA5" w:rsidRPr="00C454A1">
        <w:rPr>
          <w:rFonts w:eastAsia="Times New Roman" w:cs="Times New Roman"/>
          <w:color w:val="000000" w:themeColor="text1"/>
          <w:szCs w:val="28"/>
        </w:rPr>
        <w:t>son</w:t>
      </w:r>
      <w:r w:rsidRPr="00C454A1">
        <w:rPr>
          <w:rFonts w:eastAsia="Times New Roman" w:cs="Times New Roman"/>
          <w:color w:val="000000" w:themeColor="text1"/>
          <w:szCs w:val="28"/>
        </w:rPr>
        <w:t xml:space="preserve"> insuficientes para la atender crisis y que, además, su reorientación no podía realizarse con la rapidez necesaria.</w:t>
      </w:r>
      <w:r w:rsidRPr="00C454A1">
        <w:rPr>
          <w:rFonts w:cs="Times New Roman"/>
          <w:color w:val="000000" w:themeColor="text1"/>
        </w:rPr>
        <w:t xml:space="preserve"> Específicamente, en el decreto declaratorio manifestó que (i) la situación que originó la conmoción interior creó una demanda de recursos no prevista en el Presupuesto </w:t>
      </w:r>
      <w:r w:rsidRPr="00C454A1">
        <w:rPr>
          <w:rFonts w:cs="Times New Roman"/>
          <w:color w:val="000000" w:themeColor="text1"/>
        </w:rPr>
        <w:lastRenderedPageBreak/>
        <w:t xml:space="preserve">General de la Nación (PGN); (ii) la limitación de los ingresos autorizados en el PGN y las inflexibilidades del gasto dificultan el redireccionamiento inmediato de los recursos requeridos para superar la perturbación del orden público sin afectar el gasto público social; y (iii) los recursos del Sistema General de Participaciones (SGP) y del Sistema General de Regalías (SGR) tienen una destinación específica por mandato constitucional, lo que impide su uso inmediato para atender la crisis. </w:t>
      </w:r>
    </w:p>
    <w:p w14:paraId="7E6326E3" w14:textId="77777777" w:rsidR="00E2427D" w:rsidRPr="00C454A1" w:rsidRDefault="00E2427D" w:rsidP="00E2427D">
      <w:pPr>
        <w:rPr>
          <w:rFonts w:eastAsia="Times New Roman" w:cs="Times New Roman"/>
          <w:color w:val="000000" w:themeColor="text1"/>
          <w:szCs w:val="28"/>
        </w:rPr>
      </w:pPr>
    </w:p>
    <w:p w14:paraId="1872445F" w14:textId="77777777" w:rsidR="00A90DEE" w:rsidRPr="00C454A1" w:rsidRDefault="005A5FDC" w:rsidP="00A90DEE">
      <w:pPr>
        <w:numPr>
          <w:ilvl w:val="0"/>
          <w:numId w:val="2"/>
        </w:numPr>
        <w:ind w:left="0" w:firstLine="0"/>
        <w:rPr>
          <w:rFonts w:eastAsia="Times New Roman" w:cs="Times New Roman"/>
          <w:color w:val="000000" w:themeColor="text1"/>
          <w:szCs w:val="28"/>
        </w:rPr>
      </w:pPr>
      <w:r w:rsidRPr="00C454A1">
        <w:rPr>
          <w:color w:val="000000" w:themeColor="text1"/>
        </w:rPr>
        <w:t>Por lo anterior, afirmó que era necesario acudir a medidas extraordinarias para obtener los recursos requeridos. En relación con dichas medidas extraordinarias, el Gobierno planteó las siguientes consideraciones: (i) el artículo 95 de la Constitución impone el deber a las personas de contribuir al financiamiento del Estado; (ii) incluso en estados de anormalidad se deben respetar las competencias y recursos de las entidades territoriales; (iii) se deben adoptar medidas tributarias y presupuestales, como la modificación extraordinaria del PGN y contribuciones fiscales adicionales; (iv) es necesario facilitar el uso de los recursos del SGP y SGR dentro del marco constitucional, y (v) se requiere solicitar la cooperación de organismos internacionales, gobiernos aliados y adoptar medidas extraordinarias en materia contractual para obtener y ejecutar los recursos requeridos.</w:t>
      </w:r>
    </w:p>
    <w:p w14:paraId="470C5E94" w14:textId="77777777" w:rsidR="00A90DEE" w:rsidRPr="00C454A1" w:rsidRDefault="00A90DEE" w:rsidP="00A90DEE">
      <w:pPr>
        <w:rPr>
          <w:rFonts w:eastAsia="Times New Roman" w:cs="Times New Roman"/>
          <w:color w:val="000000" w:themeColor="text1"/>
          <w:szCs w:val="28"/>
        </w:rPr>
      </w:pPr>
    </w:p>
    <w:p w14:paraId="21185073" w14:textId="1A75134E" w:rsidR="005A5FDC" w:rsidRPr="00C454A1" w:rsidRDefault="005A5FDC" w:rsidP="00A90DEE">
      <w:pPr>
        <w:numPr>
          <w:ilvl w:val="0"/>
          <w:numId w:val="2"/>
        </w:numPr>
        <w:ind w:left="0" w:firstLine="0"/>
        <w:rPr>
          <w:rFonts w:eastAsia="Times New Roman" w:cs="Times New Roman"/>
          <w:color w:val="000000" w:themeColor="text1"/>
          <w:szCs w:val="28"/>
        </w:rPr>
      </w:pPr>
      <w:r w:rsidRPr="00C454A1">
        <w:rPr>
          <w:color w:val="000000" w:themeColor="text1"/>
        </w:rPr>
        <w:t xml:space="preserve">En el transcurso del proceso, las entidades del </w:t>
      </w:r>
      <w:r w:rsidR="007525E1" w:rsidRPr="00C454A1">
        <w:rPr>
          <w:color w:val="000000" w:themeColor="text1"/>
        </w:rPr>
        <w:t>Gobierno nacional</w:t>
      </w:r>
      <w:r w:rsidRPr="00C454A1">
        <w:rPr>
          <w:color w:val="000000" w:themeColor="text1"/>
        </w:rPr>
        <w:t xml:space="preserve"> explicaron la insuficiencia de las medidas presupuestales ordinarias de la siguiente manera</w:t>
      </w:r>
      <w:r w:rsidR="0042485A" w:rsidRPr="00C454A1">
        <w:rPr>
          <w:color w:val="000000" w:themeColor="text1"/>
          <w:vertAlign w:val="superscript"/>
        </w:rPr>
        <w:footnoteReference w:id="424"/>
      </w:r>
      <w:r w:rsidRPr="00C454A1">
        <w:rPr>
          <w:color w:val="000000" w:themeColor="text1"/>
        </w:rPr>
        <w:t>:</w:t>
      </w:r>
    </w:p>
    <w:p w14:paraId="3CD2FCEE" w14:textId="77777777" w:rsidR="005A5FDC" w:rsidRPr="00C454A1" w:rsidRDefault="005A5FDC" w:rsidP="005A5FDC">
      <w:pPr>
        <w:rPr>
          <w:color w:val="000000" w:themeColor="text1"/>
        </w:rPr>
      </w:pPr>
    </w:p>
    <w:p w14:paraId="06B3E237" w14:textId="392DF765" w:rsidR="00102B04" w:rsidRPr="00C454A1" w:rsidRDefault="00102B04" w:rsidP="00800FA6">
      <w:pPr>
        <w:jc w:val="center"/>
        <w:rPr>
          <w:i/>
          <w:iCs/>
          <w:color w:val="000000" w:themeColor="text1"/>
          <w:sz w:val="22"/>
          <w:szCs w:val="22"/>
        </w:rPr>
      </w:pPr>
      <w:r w:rsidRPr="00C454A1">
        <w:rPr>
          <w:i/>
          <w:iCs/>
          <w:color w:val="000000" w:themeColor="text1"/>
          <w:sz w:val="22"/>
          <w:szCs w:val="22"/>
        </w:rPr>
        <w:t>Tabla 1</w:t>
      </w:r>
      <w:r w:rsidR="00703A24" w:rsidRPr="00C454A1">
        <w:rPr>
          <w:i/>
          <w:iCs/>
          <w:color w:val="000000" w:themeColor="text1"/>
          <w:sz w:val="22"/>
          <w:szCs w:val="22"/>
        </w:rPr>
        <w:t>8</w:t>
      </w:r>
      <w:r w:rsidRPr="00C454A1">
        <w:rPr>
          <w:i/>
          <w:iCs/>
          <w:color w:val="000000" w:themeColor="text1"/>
          <w:sz w:val="22"/>
          <w:szCs w:val="22"/>
        </w:rPr>
        <w:t xml:space="preserve">: </w:t>
      </w:r>
      <w:r w:rsidR="00800FA6" w:rsidRPr="00C454A1">
        <w:rPr>
          <w:i/>
          <w:iCs/>
          <w:color w:val="000000" w:themeColor="text1"/>
          <w:sz w:val="22"/>
          <w:szCs w:val="22"/>
        </w:rPr>
        <w:t>argumentos de las entidades nacionales sobre la insuficiencia de sus atribuciones ordinarias para responder a la crisis de la región del Catatumbo</w:t>
      </w:r>
    </w:p>
    <w:tbl>
      <w:tblPr>
        <w:tblStyle w:val="Tablaconcuadrcula"/>
        <w:tblW w:w="0" w:type="auto"/>
        <w:tblLook w:val="04A0" w:firstRow="1" w:lastRow="0" w:firstColumn="1" w:lastColumn="0" w:noHBand="0" w:noVBand="1"/>
      </w:tblPr>
      <w:tblGrid>
        <w:gridCol w:w="1790"/>
        <w:gridCol w:w="7040"/>
      </w:tblGrid>
      <w:tr w:rsidR="00C454A1" w:rsidRPr="00C454A1" w14:paraId="006FC554" w14:textId="77777777" w:rsidTr="00EE77DF">
        <w:tc>
          <w:tcPr>
            <w:tcW w:w="1790" w:type="dxa"/>
            <w:shd w:val="clear" w:color="auto" w:fill="D9D9D9" w:themeFill="background1" w:themeFillShade="D9"/>
            <w:vAlign w:val="center"/>
          </w:tcPr>
          <w:p w14:paraId="053E164C" w14:textId="77777777" w:rsidR="005A5FDC" w:rsidRPr="00C454A1" w:rsidRDefault="005A5FDC" w:rsidP="00EE77DF">
            <w:pPr>
              <w:contextualSpacing/>
              <w:jc w:val="center"/>
              <w:rPr>
                <w:rFonts w:cs="Times New Roman"/>
                <w:b/>
                <w:bCs/>
                <w:color w:val="000000" w:themeColor="text1"/>
                <w:sz w:val="22"/>
                <w:szCs w:val="22"/>
              </w:rPr>
            </w:pPr>
            <w:r w:rsidRPr="00C454A1">
              <w:rPr>
                <w:rFonts w:cs="Times New Roman"/>
                <w:b/>
                <w:bCs/>
                <w:color w:val="000000" w:themeColor="text1"/>
                <w:sz w:val="22"/>
                <w:szCs w:val="22"/>
              </w:rPr>
              <w:t xml:space="preserve">Presupuesto General de la Nación </w:t>
            </w:r>
          </w:p>
          <w:p w14:paraId="39EA214D" w14:textId="77777777" w:rsidR="005A5FDC" w:rsidRPr="00C454A1" w:rsidRDefault="005A5FDC" w:rsidP="00EE77DF">
            <w:pPr>
              <w:contextualSpacing/>
              <w:jc w:val="center"/>
              <w:rPr>
                <w:rFonts w:cs="Times New Roman"/>
                <w:b/>
                <w:bCs/>
                <w:color w:val="000000" w:themeColor="text1"/>
                <w:sz w:val="22"/>
                <w:szCs w:val="22"/>
              </w:rPr>
            </w:pPr>
            <w:r w:rsidRPr="00C454A1">
              <w:rPr>
                <w:rFonts w:cs="Times New Roman"/>
                <w:b/>
                <w:bCs/>
                <w:color w:val="000000" w:themeColor="text1"/>
                <w:sz w:val="22"/>
                <w:szCs w:val="22"/>
              </w:rPr>
              <w:t>(PGN)</w:t>
            </w:r>
          </w:p>
        </w:tc>
        <w:tc>
          <w:tcPr>
            <w:tcW w:w="7040" w:type="dxa"/>
            <w:vAlign w:val="center"/>
          </w:tcPr>
          <w:p w14:paraId="660C4995" w14:textId="621580C7" w:rsidR="005A5FDC" w:rsidRPr="00C454A1" w:rsidRDefault="005A5FDC" w:rsidP="00EE77DF">
            <w:pPr>
              <w:rPr>
                <w:rFonts w:cs="Times New Roman"/>
                <w:color w:val="000000" w:themeColor="text1"/>
                <w:sz w:val="22"/>
                <w:szCs w:val="22"/>
              </w:rPr>
            </w:pPr>
            <w:r w:rsidRPr="00C454A1">
              <w:rPr>
                <w:rFonts w:cs="Times New Roman"/>
                <w:color w:val="000000" w:themeColor="text1"/>
                <w:sz w:val="22"/>
                <w:szCs w:val="22"/>
              </w:rPr>
              <w:t xml:space="preserve">El Ministerio de Hacienda y el DAPRE señalaron que no podían atender la crisis con los recursos del PGN por dos razones: (i) el principio de legalidad del gasto, pues exige que “los ingresos y los gastos no sólo deben ser decretados previamente, sino que, además, deben estar apropiados en el presupuesto para ser efectivamente realizados”. Esto significa que, en situaciones de normalidad, el Gobierno no puede modificar el presupuesto para atender crisis de orden público y emergencias humanitarias. (ii) Dificultades para acudir a traslados y redistribuciones presupuestales, ya que estas operaciones están limitadas por la cantidad de recursos con los que cuenta cada entidad. Por tanto, adujeron que las situaciones que dieron origen al estado de conmoción interior no son superables con el presupuesto ordinario asignado a las entidades. El </w:t>
            </w:r>
            <w:r w:rsidR="007A344B" w:rsidRPr="00C454A1">
              <w:rPr>
                <w:rFonts w:cs="Times New Roman"/>
                <w:color w:val="000000" w:themeColor="text1"/>
                <w:sz w:val="22"/>
                <w:szCs w:val="22"/>
              </w:rPr>
              <w:t>MinHacienda</w:t>
            </w:r>
            <w:r w:rsidRPr="00C454A1">
              <w:rPr>
                <w:rFonts w:cs="Times New Roman"/>
                <w:color w:val="000000" w:themeColor="text1"/>
                <w:sz w:val="22"/>
                <w:szCs w:val="22"/>
              </w:rPr>
              <w:t xml:space="preserve"> agregó que, hasta el momento, las entidades del orden nacional han podido atender la crisis con los recursos asignados, pero las causas de la perturbación generaron necesidades adicionales de recursos que, de no atenderse, impedirán conjurarlas y podrían poner en riesgo la operación de las entidades en lo que resta del año.</w:t>
            </w:r>
          </w:p>
        </w:tc>
      </w:tr>
      <w:tr w:rsidR="00C454A1" w:rsidRPr="00C454A1" w14:paraId="669E4795" w14:textId="77777777" w:rsidTr="00EE77DF">
        <w:tc>
          <w:tcPr>
            <w:tcW w:w="1790" w:type="dxa"/>
            <w:shd w:val="clear" w:color="auto" w:fill="D9D9D9" w:themeFill="background1" w:themeFillShade="D9"/>
            <w:vAlign w:val="center"/>
          </w:tcPr>
          <w:p w14:paraId="5AF1E614" w14:textId="77777777" w:rsidR="005A5FDC" w:rsidRPr="00C454A1" w:rsidRDefault="005A5FDC" w:rsidP="00EE77DF">
            <w:pPr>
              <w:contextualSpacing/>
              <w:jc w:val="center"/>
              <w:rPr>
                <w:rFonts w:cs="Times New Roman"/>
                <w:b/>
                <w:bCs/>
                <w:color w:val="000000" w:themeColor="text1"/>
                <w:sz w:val="22"/>
                <w:szCs w:val="22"/>
              </w:rPr>
            </w:pPr>
            <w:r w:rsidRPr="00C454A1">
              <w:rPr>
                <w:rFonts w:cs="Times New Roman"/>
                <w:b/>
                <w:bCs/>
                <w:color w:val="000000" w:themeColor="text1"/>
                <w:sz w:val="22"/>
                <w:szCs w:val="22"/>
              </w:rPr>
              <w:t>Sistema General de Participaciones (SGP)</w:t>
            </w:r>
          </w:p>
        </w:tc>
        <w:tc>
          <w:tcPr>
            <w:tcW w:w="7040" w:type="dxa"/>
            <w:vAlign w:val="center"/>
          </w:tcPr>
          <w:p w14:paraId="0D1480CF" w14:textId="2B498A01" w:rsidR="005A5FDC" w:rsidRPr="00C454A1" w:rsidRDefault="005A5FDC" w:rsidP="00EE77DF">
            <w:pPr>
              <w:contextualSpacing/>
              <w:rPr>
                <w:rFonts w:cs="Times New Roman"/>
                <w:color w:val="000000" w:themeColor="text1"/>
                <w:sz w:val="22"/>
                <w:szCs w:val="22"/>
              </w:rPr>
            </w:pPr>
            <w:r w:rsidRPr="00C454A1">
              <w:rPr>
                <w:rFonts w:cs="Times New Roman"/>
                <w:color w:val="000000" w:themeColor="text1"/>
                <w:sz w:val="22"/>
                <w:szCs w:val="22"/>
              </w:rPr>
              <w:t xml:space="preserve">El </w:t>
            </w:r>
            <w:r w:rsidR="00A455DF" w:rsidRPr="00C454A1">
              <w:rPr>
                <w:rFonts w:cs="Times New Roman"/>
                <w:color w:val="000000" w:themeColor="text1"/>
                <w:sz w:val="22"/>
                <w:szCs w:val="22"/>
              </w:rPr>
              <w:t>MinHacienda</w:t>
            </w:r>
            <w:r w:rsidRPr="00C454A1">
              <w:rPr>
                <w:rFonts w:cs="Times New Roman"/>
                <w:color w:val="000000" w:themeColor="text1"/>
                <w:sz w:val="22"/>
                <w:szCs w:val="22"/>
              </w:rPr>
              <w:t xml:space="preserve"> aseguró que los recursos del SGP tienen una destinación específica establecida por la Constitución. Precisó además que la atención de crisis de orden público y humanitarias no está prevista dentro de las destinaciones específicas del SGP. Lo anterior significa que el </w:t>
            </w:r>
            <w:r w:rsidR="007525E1" w:rsidRPr="00C454A1">
              <w:rPr>
                <w:rFonts w:cs="Times New Roman"/>
                <w:color w:val="000000" w:themeColor="text1"/>
                <w:sz w:val="22"/>
                <w:szCs w:val="22"/>
              </w:rPr>
              <w:t>Gobierno nacional</w:t>
            </w:r>
            <w:r w:rsidRPr="00C454A1">
              <w:rPr>
                <w:rFonts w:cs="Times New Roman"/>
                <w:color w:val="000000" w:themeColor="text1"/>
                <w:sz w:val="22"/>
                <w:szCs w:val="22"/>
              </w:rPr>
              <w:t xml:space="preserve"> no puede variar el destino del SGP en ejercicio de atribuciones ordinarias. No obstante, aclaró que las entidades territoriales pueden usar </w:t>
            </w:r>
            <w:r w:rsidRPr="00C454A1">
              <w:rPr>
                <w:rFonts w:cs="Times New Roman"/>
                <w:color w:val="000000" w:themeColor="text1"/>
                <w:sz w:val="22"/>
                <w:szCs w:val="22"/>
              </w:rPr>
              <w:lastRenderedPageBreak/>
              <w:t>algunos de los recursos del SGP para conjurar los efectos de la crisis en la prestación del servicio público del acueducto; sin embargo, esta posibilidad está limitada por los procedimientos ordinarios.</w:t>
            </w:r>
          </w:p>
        </w:tc>
      </w:tr>
      <w:tr w:rsidR="005A5FDC" w:rsidRPr="00C454A1" w14:paraId="5674D754" w14:textId="77777777" w:rsidTr="00EE77DF">
        <w:tc>
          <w:tcPr>
            <w:tcW w:w="1790" w:type="dxa"/>
            <w:shd w:val="clear" w:color="auto" w:fill="D9D9D9" w:themeFill="background1" w:themeFillShade="D9"/>
            <w:vAlign w:val="center"/>
          </w:tcPr>
          <w:p w14:paraId="612D1CC8" w14:textId="77777777" w:rsidR="005A5FDC" w:rsidRPr="00C454A1" w:rsidRDefault="005A5FDC" w:rsidP="00EE77DF">
            <w:pPr>
              <w:contextualSpacing/>
              <w:jc w:val="center"/>
              <w:rPr>
                <w:rFonts w:cs="Times New Roman"/>
                <w:b/>
                <w:bCs/>
                <w:color w:val="000000" w:themeColor="text1"/>
                <w:sz w:val="22"/>
                <w:szCs w:val="22"/>
              </w:rPr>
            </w:pPr>
            <w:r w:rsidRPr="00C454A1">
              <w:rPr>
                <w:rFonts w:cs="Times New Roman"/>
                <w:b/>
                <w:bCs/>
                <w:color w:val="000000" w:themeColor="text1"/>
                <w:sz w:val="22"/>
                <w:szCs w:val="22"/>
              </w:rPr>
              <w:lastRenderedPageBreak/>
              <w:t>Sistema General de Regalías (SGR)</w:t>
            </w:r>
          </w:p>
        </w:tc>
        <w:tc>
          <w:tcPr>
            <w:tcW w:w="7040" w:type="dxa"/>
            <w:vAlign w:val="center"/>
          </w:tcPr>
          <w:p w14:paraId="1AB615F3" w14:textId="77777777" w:rsidR="005A5FDC" w:rsidRPr="00C454A1" w:rsidRDefault="005A5FDC" w:rsidP="00EE77DF">
            <w:pPr>
              <w:contextualSpacing/>
              <w:rPr>
                <w:rFonts w:cs="Times New Roman"/>
                <w:color w:val="000000" w:themeColor="text1"/>
                <w:sz w:val="22"/>
                <w:szCs w:val="22"/>
              </w:rPr>
            </w:pPr>
            <w:r w:rsidRPr="00C454A1">
              <w:rPr>
                <w:rFonts w:cs="Times New Roman"/>
                <w:color w:val="000000" w:themeColor="text1"/>
                <w:sz w:val="22"/>
                <w:szCs w:val="22"/>
              </w:rPr>
              <w:t>Según el Ministerio de Hacienda, algunos componentes de inversión del SGR podrían, en principio, financiar proyectos de inversión en la región del Catatumbo y en el área metropolitana de Cúcuta. Sin embargo, señaló que la ley no permite redireccionar los recursos del SGR cuando se presenten situaciones de anormalidad o urgencia, a lo que se suma que las entidades territoriales tienen autonomía en la administración de los recursos de regalías directas. En cualquier caso, los trámites para definir los proyectos de inversión que se pueden financiar con recursos del SGR tienen un tiempo estimado promedio de 10 meses.</w:t>
            </w:r>
          </w:p>
        </w:tc>
      </w:tr>
      <w:bookmarkEnd w:id="206"/>
      <w:bookmarkEnd w:id="207"/>
    </w:tbl>
    <w:p w14:paraId="00AB531B" w14:textId="77777777" w:rsidR="005A5FDC" w:rsidRPr="00C454A1" w:rsidRDefault="005A5FDC" w:rsidP="00631C27">
      <w:pPr>
        <w:rPr>
          <w:color w:val="000000" w:themeColor="text1"/>
        </w:rPr>
      </w:pPr>
    </w:p>
    <w:p w14:paraId="7C706F11" w14:textId="571E3D7A" w:rsidR="00FC666F" w:rsidRPr="00C454A1" w:rsidRDefault="00F43927" w:rsidP="00A90DEE">
      <w:pPr>
        <w:pStyle w:val="Prrafodelista"/>
        <w:widowControl w:val="0"/>
        <w:numPr>
          <w:ilvl w:val="2"/>
          <w:numId w:val="3"/>
        </w:numPr>
        <w:ind w:left="1134" w:hanging="708"/>
        <w:outlineLvl w:val="0"/>
        <w:rPr>
          <w:b/>
          <w:bCs/>
          <w:color w:val="000000" w:themeColor="text1"/>
        </w:rPr>
      </w:pPr>
      <w:bookmarkStart w:id="213" w:name="_Ref203401691"/>
      <w:bookmarkStart w:id="214" w:name="_Toc223979958"/>
      <w:r w:rsidRPr="00C454A1">
        <w:rPr>
          <w:b/>
          <w:bCs/>
          <w:color w:val="000000" w:themeColor="text1"/>
        </w:rPr>
        <w:t>Descripción</w:t>
      </w:r>
      <w:r w:rsidR="00FC666F" w:rsidRPr="00C454A1">
        <w:rPr>
          <w:b/>
          <w:bCs/>
          <w:color w:val="000000" w:themeColor="text1"/>
        </w:rPr>
        <w:t xml:space="preserve"> </w:t>
      </w:r>
      <w:r w:rsidRPr="00C454A1">
        <w:rPr>
          <w:b/>
          <w:bCs/>
          <w:color w:val="000000" w:themeColor="text1"/>
        </w:rPr>
        <w:t xml:space="preserve">general </w:t>
      </w:r>
      <w:r w:rsidR="00FC666F" w:rsidRPr="00C454A1">
        <w:rPr>
          <w:b/>
          <w:bCs/>
          <w:color w:val="000000" w:themeColor="text1"/>
        </w:rPr>
        <w:t xml:space="preserve">de las atribuciones, mecanismos y herramientas ordinarias </w:t>
      </w:r>
      <w:r w:rsidR="00983BA8" w:rsidRPr="00C454A1">
        <w:rPr>
          <w:b/>
          <w:bCs/>
          <w:color w:val="000000" w:themeColor="text1"/>
        </w:rPr>
        <w:t>a disposición del Gobierno nacional</w:t>
      </w:r>
      <w:bookmarkEnd w:id="213"/>
      <w:bookmarkEnd w:id="214"/>
    </w:p>
    <w:p w14:paraId="4E594B27" w14:textId="77777777" w:rsidR="00A90DEE" w:rsidRPr="00C454A1" w:rsidRDefault="00A90DEE" w:rsidP="00A90DEE">
      <w:pPr>
        <w:pStyle w:val="Prrafodelista"/>
        <w:ind w:left="0"/>
        <w:rPr>
          <w:color w:val="000000" w:themeColor="text1"/>
        </w:rPr>
      </w:pPr>
      <w:bookmarkStart w:id="215" w:name="_Hlk194992424"/>
    </w:p>
    <w:p w14:paraId="6F82C222" w14:textId="6A7E88FD" w:rsidR="001D44D4" w:rsidRPr="00C454A1" w:rsidRDefault="00DE3D42" w:rsidP="00A90DEE">
      <w:pPr>
        <w:numPr>
          <w:ilvl w:val="0"/>
          <w:numId w:val="2"/>
        </w:numPr>
        <w:ind w:left="0" w:firstLine="0"/>
        <w:rPr>
          <w:rFonts w:eastAsia="Times New Roman" w:cs="Times New Roman"/>
          <w:color w:val="000000" w:themeColor="text1"/>
          <w:szCs w:val="28"/>
        </w:rPr>
      </w:pPr>
      <w:r w:rsidRPr="00C454A1">
        <w:rPr>
          <w:color w:val="000000" w:themeColor="text1"/>
        </w:rPr>
        <w:t>Esta sección tiene como objetivo analizar en términos generales</w:t>
      </w:r>
      <w:r w:rsidR="0072350F" w:rsidRPr="00C454A1">
        <w:rPr>
          <w:color w:val="000000" w:themeColor="text1"/>
        </w:rPr>
        <w:t xml:space="preserve"> y abstractos</w:t>
      </w:r>
      <w:r w:rsidRPr="00C454A1">
        <w:rPr>
          <w:color w:val="000000" w:themeColor="text1"/>
        </w:rPr>
        <w:t xml:space="preserve"> las atribuciones ordinarias </w:t>
      </w:r>
      <w:r w:rsidR="006509ED" w:rsidRPr="00C454A1">
        <w:rPr>
          <w:color w:val="000000" w:themeColor="text1"/>
        </w:rPr>
        <w:t xml:space="preserve">de las que dispone el Gobierno nacional para atender perturbaciones del orden público y crisis humanitarias como la que enfrenta la región del Catatumbo. El estudio </w:t>
      </w:r>
      <w:r w:rsidR="0072350F" w:rsidRPr="00C454A1">
        <w:rPr>
          <w:color w:val="000000" w:themeColor="text1"/>
        </w:rPr>
        <w:t>s</w:t>
      </w:r>
      <w:r w:rsidR="006509ED" w:rsidRPr="00C454A1">
        <w:rPr>
          <w:color w:val="000000" w:themeColor="text1"/>
        </w:rPr>
        <w:t>e centra principalmente en los elementos básicos de los marcos normativos que otorgan facultades al Gobierno nacional para estos efectos, y en los tipos de medidas que el ordenamiento prevé para responder ante problemáticas</w:t>
      </w:r>
      <w:r w:rsidR="00637430" w:rsidRPr="00C454A1">
        <w:rPr>
          <w:color w:val="000000" w:themeColor="text1"/>
        </w:rPr>
        <w:t xml:space="preserve"> relacionadas con</w:t>
      </w:r>
      <w:r w:rsidR="006509ED" w:rsidRPr="00C454A1">
        <w:rPr>
          <w:color w:val="000000" w:themeColor="text1"/>
        </w:rPr>
        <w:t xml:space="preserve"> la alteración del orden público, desplazamientos forzados, confinamientos y ataques contra los firmantes del AFP, así como para movilizar recursos para financiar las actividades gubernamentales asociadas. </w:t>
      </w:r>
    </w:p>
    <w:p w14:paraId="7506A4E2" w14:textId="77777777" w:rsidR="001D44D4" w:rsidRPr="00C454A1" w:rsidRDefault="001D44D4" w:rsidP="00F858F2">
      <w:pPr>
        <w:rPr>
          <w:rFonts w:eastAsia="Times New Roman" w:cs="Times New Roman"/>
          <w:color w:val="000000" w:themeColor="text1"/>
          <w:szCs w:val="28"/>
        </w:rPr>
      </w:pPr>
    </w:p>
    <w:p w14:paraId="601323BF" w14:textId="77777777" w:rsidR="00E36A33" w:rsidRPr="00C454A1" w:rsidRDefault="006509ED" w:rsidP="00A90DEE">
      <w:pPr>
        <w:numPr>
          <w:ilvl w:val="0"/>
          <w:numId w:val="2"/>
        </w:numPr>
        <w:ind w:left="0" w:firstLine="0"/>
        <w:rPr>
          <w:rFonts w:eastAsia="Times New Roman" w:cs="Times New Roman"/>
          <w:color w:val="000000" w:themeColor="text1"/>
          <w:szCs w:val="28"/>
        </w:rPr>
      </w:pPr>
      <w:r w:rsidRPr="00C454A1">
        <w:rPr>
          <w:color w:val="000000" w:themeColor="text1"/>
        </w:rPr>
        <w:t>La descripción aquí presentada no agota toda la normativa aplicable; su objetivo es, más bien, dar cuenta en términos amplios del tipo de respuestas a disposición del Gobierno nacional</w:t>
      </w:r>
      <w:r w:rsidR="00D03DB1" w:rsidRPr="00C454A1">
        <w:rPr>
          <w:color w:val="000000" w:themeColor="text1"/>
        </w:rPr>
        <w:t xml:space="preserve"> y los requisitos para su procedencia</w:t>
      </w:r>
      <w:r w:rsidR="00E36A33" w:rsidRPr="00C454A1">
        <w:rPr>
          <w:color w:val="000000" w:themeColor="text1"/>
        </w:rPr>
        <w:t xml:space="preserve"> con el fin de brindar un un contexto para depurar posibles arbitrariedades en la valoración que realiza el Gobierno nacional. </w:t>
      </w:r>
    </w:p>
    <w:p w14:paraId="594F39C7" w14:textId="77777777" w:rsidR="00E36A33" w:rsidRPr="00C454A1" w:rsidRDefault="00E36A33" w:rsidP="00E36A33">
      <w:pPr>
        <w:pStyle w:val="Prrafodelista"/>
        <w:rPr>
          <w:color w:val="000000" w:themeColor="text1"/>
        </w:rPr>
      </w:pPr>
    </w:p>
    <w:p w14:paraId="5789AF21" w14:textId="385FCCA7" w:rsidR="00E2427D" w:rsidRPr="00C454A1" w:rsidRDefault="006509ED" w:rsidP="00A90DEE">
      <w:pPr>
        <w:numPr>
          <w:ilvl w:val="0"/>
          <w:numId w:val="2"/>
        </w:numPr>
        <w:ind w:left="0" w:firstLine="0"/>
        <w:rPr>
          <w:rFonts w:eastAsia="Times New Roman" w:cs="Times New Roman"/>
          <w:color w:val="000000" w:themeColor="text1"/>
          <w:szCs w:val="28"/>
        </w:rPr>
      </w:pPr>
      <w:r w:rsidRPr="00C454A1">
        <w:rPr>
          <w:color w:val="000000" w:themeColor="text1"/>
        </w:rPr>
        <w:t xml:space="preserve">No obstante, la Sala reitera que </w:t>
      </w:r>
      <w:r w:rsidR="00637430" w:rsidRPr="00C454A1">
        <w:rPr>
          <w:color w:val="000000" w:themeColor="text1"/>
        </w:rPr>
        <w:t xml:space="preserve">el </w:t>
      </w:r>
      <w:r w:rsidRPr="00C454A1">
        <w:rPr>
          <w:rFonts w:eastAsia="Times New Roman" w:cs="Times New Roman"/>
          <w:color w:val="000000" w:themeColor="text1"/>
          <w:lang w:val="es-ES"/>
        </w:rPr>
        <w:t xml:space="preserve">examen del presupuesto de suficiencia no puede limitarse a un análisis formal </w:t>
      </w:r>
      <w:r w:rsidR="0072350F" w:rsidRPr="00C454A1">
        <w:rPr>
          <w:rFonts w:eastAsia="Times New Roman" w:cs="Times New Roman"/>
          <w:color w:val="000000" w:themeColor="text1"/>
          <w:lang w:val="es-ES"/>
        </w:rPr>
        <w:t xml:space="preserve">y abstracto </w:t>
      </w:r>
      <w:r w:rsidRPr="00C454A1">
        <w:rPr>
          <w:rFonts w:eastAsia="Times New Roman" w:cs="Times New Roman"/>
          <w:color w:val="000000" w:themeColor="text1"/>
          <w:lang w:val="es-ES"/>
        </w:rPr>
        <w:t>de la estructura normativa</w:t>
      </w:r>
      <w:r w:rsidR="0072350F" w:rsidRPr="00C454A1">
        <w:rPr>
          <w:rFonts w:eastAsia="Times New Roman" w:cs="Times New Roman"/>
          <w:color w:val="000000" w:themeColor="text1"/>
          <w:lang w:val="es-ES"/>
        </w:rPr>
        <w:t xml:space="preserve">. Como se indicó en el fundamento jurídico </w:t>
      </w:r>
      <w:r w:rsidR="0072350F" w:rsidRPr="00C454A1">
        <w:rPr>
          <w:rFonts w:eastAsia="Times New Roman" w:cs="Times New Roman"/>
          <w:color w:val="000000" w:themeColor="text1"/>
          <w:lang w:val="es-ES"/>
        </w:rPr>
        <w:fldChar w:fldCharType="begin"/>
      </w:r>
      <w:r w:rsidR="0072350F" w:rsidRPr="00C454A1">
        <w:rPr>
          <w:rFonts w:eastAsia="Times New Roman" w:cs="Times New Roman"/>
          <w:color w:val="000000" w:themeColor="text1"/>
          <w:lang w:val="es-ES"/>
        </w:rPr>
        <w:instrText xml:space="preserve"> REF _Ref223948412 \r \h  \* MERGEFORMAT </w:instrText>
      </w:r>
      <w:r w:rsidR="0072350F" w:rsidRPr="00C454A1">
        <w:rPr>
          <w:rFonts w:eastAsia="Times New Roman" w:cs="Times New Roman"/>
          <w:color w:val="000000" w:themeColor="text1"/>
          <w:lang w:val="es-ES"/>
        </w:rPr>
      </w:r>
      <w:r w:rsidR="0072350F" w:rsidRPr="00C454A1">
        <w:rPr>
          <w:rFonts w:eastAsia="Times New Roman" w:cs="Times New Roman"/>
          <w:color w:val="000000" w:themeColor="text1"/>
          <w:lang w:val="es-ES"/>
        </w:rPr>
        <w:fldChar w:fldCharType="separate"/>
      </w:r>
      <w:r w:rsidR="00881E6A">
        <w:rPr>
          <w:rFonts w:eastAsia="Times New Roman" w:cs="Times New Roman"/>
          <w:color w:val="000000" w:themeColor="text1"/>
          <w:lang w:val="es-ES"/>
        </w:rPr>
        <w:t>300</w:t>
      </w:r>
      <w:r w:rsidR="0072350F" w:rsidRPr="00C454A1">
        <w:rPr>
          <w:rFonts w:eastAsia="Times New Roman" w:cs="Times New Roman"/>
          <w:color w:val="000000" w:themeColor="text1"/>
          <w:lang w:val="es-ES"/>
        </w:rPr>
        <w:fldChar w:fldCharType="end"/>
      </w:r>
      <w:r w:rsidR="0072350F" w:rsidRPr="00C454A1">
        <w:rPr>
          <w:rFonts w:eastAsia="Times New Roman" w:cs="Times New Roman"/>
          <w:color w:val="000000" w:themeColor="text1"/>
          <w:lang w:val="es-ES"/>
        </w:rPr>
        <w:t xml:space="preserve">, </w:t>
      </w:r>
      <w:r w:rsidR="0072350F" w:rsidRPr="00C454A1">
        <w:rPr>
          <w:rFonts w:cs="Times New Roman"/>
          <w:color w:val="000000" w:themeColor="text1"/>
        </w:rPr>
        <w:t xml:space="preserve">el juicio de la Corte sobre el presupuesto de suficiencia debe conducirse en términos funcionales y temporales. </w:t>
      </w:r>
      <w:r w:rsidR="00113C6E" w:rsidRPr="00C454A1">
        <w:rPr>
          <w:rFonts w:cs="Times New Roman"/>
          <w:color w:val="000000" w:themeColor="text1"/>
        </w:rPr>
        <w:t xml:space="preserve">Por tanto, </w:t>
      </w:r>
      <w:r w:rsidR="00113C6E" w:rsidRPr="00C454A1">
        <w:rPr>
          <w:color w:val="000000" w:themeColor="text1"/>
        </w:rPr>
        <w:t>l</w:t>
      </w:r>
      <w:r w:rsidR="0072350F" w:rsidRPr="00C454A1">
        <w:rPr>
          <w:color w:val="000000" w:themeColor="text1"/>
        </w:rPr>
        <w:t>o relevante no es determinar si el ordenamiento jurídico dispone, en abstracto, de instrumentos ordinarios que eventualmente podrían emplearse para conjurar perturbaciones del orden público, sino establecer si, dadas las circunstancias específicas de la crisis que se enfrenta, tales instrumentos resultan idóneos y suficientes para ofrecer una respuesta adecuada, eficaz y oportuna</w:t>
      </w:r>
      <w:r w:rsidR="00E36A33" w:rsidRPr="00C454A1">
        <w:rPr>
          <w:color w:val="000000" w:themeColor="text1"/>
        </w:rPr>
        <w:t xml:space="preserve"> y si el Gobierno nacional valoró la su insuficiencia de forma razonable</w:t>
      </w:r>
      <w:r w:rsidR="0072350F" w:rsidRPr="00C454A1">
        <w:rPr>
          <w:rFonts w:cs="Times New Roman"/>
          <w:color w:val="000000" w:themeColor="text1"/>
        </w:rPr>
        <w:t>.</w:t>
      </w:r>
      <w:r w:rsidRPr="00C454A1">
        <w:rPr>
          <w:rFonts w:eastAsia="Times New Roman" w:cs="Times New Roman"/>
          <w:color w:val="000000" w:themeColor="text1"/>
          <w:lang w:val="es-ES"/>
        </w:rPr>
        <w:t xml:space="preserve"> </w:t>
      </w:r>
      <w:r w:rsidR="0072350F" w:rsidRPr="00C454A1">
        <w:rPr>
          <w:rFonts w:eastAsia="Times New Roman" w:cs="Times New Roman"/>
          <w:color w:val="000000" w:themeColor="text1"/>
          <w:lang w:val="es-ES"/>
        </w:rPr>
        <w:t>Realizar este juicio</w:t>
      </w:r>
      <w:r w:rsidRPr="00C454A1">
        <w:rPr>
          <w:rFonts w:eastAsia="Times New Roman" w:cs="Times New Roman"/>
          <w:color w:val="000000" w:themeColor="text1"/>
          <w:lang w:val="es-ES"/>
        </w:rPr>
        <w:t xml:space="preserve"> demanda </w:t>
      </w:r>
      <w:r w:rsidR="0072350F" w:rsidRPr="00C454A1">
        <w:rPr>
          <w:rFonts w:eastAsia="Times New Roman" w:cs="Times New Roman"/>
          <w:color w:val="000000" w:themeColor="text1"/>
          <w:lang w:val="es-ES"/>
        </w:rPr>
        <w:t>entonces examinar</w:t>
      </w:r>
      <w:r w:rsidRPr="00C454A1">
        <w:rPr>
          <w:rFonts w:eastAsia="Times New Roman" w:cs="Times New Roman"/>
          <w:color w:val="000000" w:themeColor="text1"/>
          <w:lang w:val="es-ES"/>
        </w:rPr>
        <w:t xml:space="preserve"> las condiciones de posibilidad para la implementación de las </w:t>
      </w:r>
      <w:r w:rsidR="00113C6E" w:rsidRPr="00C454A1">
        <w:rPr>
          <w:rFonts w:eastAsia="Times New Roman" w:cs="Times New Roman"/>
          <w:color w:val="000000" w:themeColor="text1"/>
          <w:lang w:val="es-ES"/>
        </w:rPr>
        <w:t>atribuciones ordinarias previstas en abstracto por la arquitectura normativa</w:t>
      </w:r>
      <w:r w:rsidRPr="00C454A1">
        <w:rPr>
          <w:rFonts w:eastAsia="Times New Roman" w:cs="Times New Roman"/>
          <w:color w:val="000000" w:themeColor="text1"/>
          <w:lang w:val="es-ES"/>
        </w:rPr>
        <w:t xml:space="preserve">, como se revisará en la sección </w:t>
      </w:r>
      <w:r w:rsidR="002E64AF" w:rsidRPr="00C454A1">
        <w:rPr>
          <w:rFonts w:eastAsia="Times New Roman" w:cs="Times New Roman"/>
          <w:color w:val="000000" w:themeColor="text1"/>
          <w:lang w:val="es-ES"/>
        </w:rPr>
        <w:fldChar w:fldCharType="begin"/>
      </w:r>
      <w:r w:rsidR="002E64AF" w:rsidRPr="00C454A1">
        <w:rPr>
          <w:rFonts w:eastAsia="Times New Roman" w:cs="Times New Roman"/>
          <w:color w:val="000000" w:themeColor="text1"/>
          <w:lang w:val="es-ES"/>
        </w:rPr>
        <w:instrText xml:space="preserve"> REF _Ref203401265 \r \h </w:instrText>
      </w:r>
      <w:r w:rsidR="009421B8" w:rsidRPr="00C454A1">
        <w:rPr>
          <w:rFonts w:eastAsia="Times New Roman" w:cs="Times New Roman"/>
          <w:color w:val="000000" w:themeColor="text1"/>
          <w:lang w:val="es-ES"/>
        </w:rPr>
        <w:instrText xml:space="preserve"> \* MERGEFORMAT </w:instrText>
      </w:r>
      <w:r w:rsidR="002E64AF" w:rsidRPr="00C454A1">
        <w:rPr>
          <w:rFonts w:eastAsia="Times New Roman" w:cs="Times New Roman"/>
          <w:color w:val="000000" w:themeColor="text1"/>
          <w:lang w:val="es-ES"/>
        </w:rPr>
      </w:r>
      <w:r w:rsidR="002E64AF" w:rsidRPr="00C454A1">
        <w:rPr>
          <w:rFonts w:eastAsia="Times New Roman" w:cs="Times New Roman"/>
          <w:color w:val="000000" w:themeColor="text1"/>
          <w:lang w:val="es-ES"/>
        </w:rPr>
        <w:fldChar w:fldCharType="separate"/>
      </w:r>
      <w:r w:rsidR="00881E6A">
        <w:rPr>
          <w:rFonts w:eastAsia="Times New Roman" w:cs="Times New Roman"/>
          <w:color w:val="000000" w:themeColor="text1"/>
          <w:lang w:val="es-ES"/>
        </w:rPr>
        <w:t>6.3.3</w:t>
      </w:r>
      <w:r w:rsidR="002E64AF" w:rsidRPr="00C454A1">
        <w:rPr>
          <w:rFonts w:eastAsia="Times New Roman" w:cs="Times New Roman"/>
          <w:color w:val="000000" w:themeColor="text1"/>
          <w:lang w:val="es-ES"/>
        </w:rPr>
        <w:fldChar w:fldCharType="end"/>
      </w:r>
      <w:r w:rsidRPr="00C454A1">
        <w:rPr>
          <w:rFonts w:eastAsia="Times New Roman" w:cs="Times New Roman"/>
          <w:color w:val="000000" w:themeColor="text1"/>
          <w:lang w:val="es-ES"/>
        </w:rPr>
        <w:t xml:space="preserve">. </w:t>
      </w:r>
    </w:p>
    <w:p w14:paraId="6AE49212" w14:textId="77777777" w:rsidR="00983BA8" w:rsidRPr="00C454A1" w:rsidRDefault="00983BA8" w:rsidP="00983BA8">
      <w:pPr>
        <w:pStyle w:val="Prrafodelista"/>
        <w:ind w:left="426"/>
        <w:rPr>
          <w:color w:val="000000" w:themeColor="text1"/>
        </w:rPr>
      </w:pPr>
    </w:p>
    <w:bookmarkEnd w:id="215"/>
    <w:p w14:paraId="47EC8D01" w14:textId="688D9A0B" w:rsidR="003A0DA8" w:rsidRPr="00C454A1" w:rsidRDefault="00F43927" w:rsidP="005F4A6F">
      <w:pPr>
        <w:pStyle w:val="Prrafodelista"/>
        <w:numPr>
          <w:ilvl w:val="0"/>
          <w:numId w:val="20"/>
        </w:numPr>
        <w:rPr>
          <w:rFonts w:eastAsia="Times New Roman" w:cs="Times New Roman"/>
          <w:b/>
          <w:bCs/>
          <w:color w:val="000000" w:themeColor="text1"/>
          <w:lang w:val="es-ES"/>
        </w:rPr>
      </w:pPr>
      <w:r w:rsidRPr="00C454A1">
        <w:rPr>
          <w:rFonts w:eastAsia="Times New Roman" w:cs="Times New Roman"/>
          <w:b/>
          <w:bCs/>
          <w:color w:val="000000" w:themeColor="text1"/>
          <w:lang w:val="es-ES"/>
        </w:rPr>
        <w:t>Descripción</w:t>
      </w:r>
      <w:r w:rsidR="003A0DA8" w:rsidRPr="00C454A1">
        <w:rPr>
          <w:rFonts w:eastAsia="Times New Roman" w:cs="Times New Roman"/>
          <w:b/>
          <w:bCs/>
          <w:color w:val="000000" w:themeColor="text1"/>
          <w:lang w:val="es-ES"/>
        </w:rPr>
        <w:t xml:space="preserve"> general de las atribuciones ordinarias </w:t>
      </w:r>
      <w:r w:rsidR="006373D3" w:rsidRPr="00C454A1">
        <w:rPr>
          <w:rFonts w:eastAsia="Times New Roman" w:cs="Times New Roman"/>
          <w:b/>
          <w:bCs/>
          <w:color w:val="000000" w:themeColor="text1"/>
          <w:lang w:val="es-ES"/>
        </w:rPr>
        <w:t xml:space="preserve">de policía y militares </w:t>
      </w:r>
      <w:r w:rsidR="003A0DA8" w:rsidRPr="00C454A1">
        <w:rPr>
          <w:rFonts w:eastAsia="Times New Roman" w:cs="Times New Roman"/>
          <w:b/>
          <w:bCs/>
          <w:color w:val="000000" w:themeColor="text1"/>
          <w:lang w:val="es-ES"/>
        </w:rPr>
        <w:t>del Gobierno nacional</w:t>
      </w:r>
      <w:r w:rsidR="006373D3" w:rsidRPr="00C454A1">
        <w:rPr>
          <w:rFonts w:eastAsia="Times New Roman" w:cs="Times New Roman"/>
          <w:b/>
          <w:bCs/>
          <w:color w:val="000000" w:themeColor="text1"/>
          <w:lang w:val="es-ES"/>
        </w:rPr>
        <w:t xml:space="preserve"> </w:t>
      </w:r>
    </w:p>
    <w:p w14:paraId="17B6777A" w14:textId="77777777" w:rsidR="00A90DEE" w:rsidRPr="00C454A1" w:rsidRDefault="00A90DEE" w:rsidP="00A90DEE">
      <w:pPr>
        <w:rPr>
          <w:rFonts w:eastAsia="Aptos" w:cs="Arial"/>
          <w:color w:val="000000" w:themeColor="text1"/>
          <w:lang w:val="es-ES"/>
        </w:rPr>
      </w:pPr>
    </w:p>
    <w:p w14:paraId="2B2BA260" w14:textId="7855F620" w:rsidR="003A0DA8" w:rsidRPr="00C454A1" w:rsidRDefault="003A0DA8" w:rsidP="00A90DEE">
      <w:pPr>
        <w:numPr>
          <w:ilvl w:val="0"/>
          <w:numId w:val="2"/>
        </w:numPr>
        <w:ind w:left="0" w:firstLine="0"/>
        <w:rPr>
          <w:rFonts w:eastAsia="Times New Roman" w:cs="Times New Roman"/>
          <w:color w:val="000000" w:themeColor="text1"/>
          <w:szCs w:val="28"/>
        </w:rPr>
      </w:pPr>
      <w:r w:rsidRPr="00C454A1">
        <w:rPr>
          <w:color w:val="000000" w:themeColor="text1"/>
          <w:lang w:val="es-ES"/>
        </w:rPr>
        <w:t xml:space="preserve">En relación con las </w:t>
      </w:r>
      <w:r w:rsidRPr="00C454A1">
        <w:rPr>
          <w:i/>
          <w:iCs/>
          <w:color w:val="000000" w:themeColor="text1"/>
          <w:lang w:val="es-ES"/>
        </w:rPr>
        <w:t>atribuciones ordinarias de policía y militares</w:t>
      </w:r>
      <w:r w:rsidRPr="00C454A1">
        <w:rPr>
          <w:color w:val="000000" w:themeColor="text1"/>
          <w:lang w:val="es-ES"/>
        </w:rPr>
        <w:t xml:space="preserve"> para enfrentar a los grupos armados ilegales, la Corte resalta</w:t>
      </w:r>
      <w:r w:rsidR="00AF630F" w:rsidRPr="00C454A1">
        <w:rPr>
          <w:color w:val="000000" w:themeColor="text1"/>
          <w:lang w:val="es-ES"/>
        </w:rPr>
        <w:t>,</w:t>
      </w:r>
      <w:r w:rsidRPr="00C454A1">
        <w:rPr>
          <w:color w:val="000000" w:themeColor="text1"/>
          <w:lang w:val="es-ES"/>
        </w:rPr>
        <w:t xml:space="preserve"> </w:t>
      </w:r>
      <w:r w:rsidR="00E37E9E" w:rsidRPr="00C454A1">
        <w:rPr>
          <w:color w:val="000000" w:themeColor="text1"/>
          <w:lang w:val="es-ES"/>
        </w:rPr>
        <w:t>en primer lugar</w:t>
      </w:r>
      <w:r w:rsidR="00AF630F" w:rsidRPr="00C454A1">
        <w:rPr>
          <w:color w:val="000000" w:themeColor="text1"/>
          <w:lang w:val="es-ES"/>
        </w:rPr>
        <w:t>,</w:t>
      </w:r>
      <w:r w:rsidRPr="00C454A1">
        <w:rPr>
          <w:color w:val="000000" w:themeColor="text1"/>
          <w:lang w:val="es-ES"/>
        </w:rPr>
        <w:t xml:space="preserve"> que el presidente de la República es el comandante supremo de las Fuerzas Armadas y, en esa calidad, dirige la </w:t>
      </w:r>
      <w:r w:rsidR="00F858F2" w:rsidRPr="00C454A1">
        <w:rPr>
          <w:color w:val="000000" w:themeColor="text1"/>
          <w:lang w:val="es-ES"/>
        </w:rPr>
        <w:t>f</w:t>
      </w:r>
      <w:r w:rsidRPr="00C454A1">
        <w:rPr>
          <w:color w:val="000000" w:themeColor="text1"/>
          <w:lang w:val="es-ES"/>
        </w:rPr>
        <w:t xml:space="preserve">uerza </w:t>
      </w:r>
      <w:r w:rsidR="00F858F2" w:rsidRPr="00C454A1">
        <w:rPr>
          <w:color w:val="000000" w:themeColor="text1"/>
          <w:lang w:val="es-ES"/>
        </w:rPr>
        <w:t>p</w:t>
      </w:r>
      <w:r w:rsidRPr="00C454A1">
        <w:rPr>
          <w:color w:val="000000" w:themeColor="text1"/>
          <w:lang w:val="es-ES"/>
        </w:rPr>
        <w:t>ública. Además, es la máxima autoridad de policía y está encargado de conservar el orden público y de restablecerlo donde fuere turbado. Algunas de las medidas de carácter legal y reglamentario que desarrollan dicha potestad son las siguientes:</w:t>
      </w:r>
    </w:p>
    <w:p w14:paraId="440114EA" w14:textId="77777777" w:rsidR="003A0DA8" w:rsidRPr="00C454A1" w:rsidRDefault="003A0DA8" w:rsidP="003A0DA8">
      <w:pPr>
        <w:rPr>
          <w:color w:val="000000" w:themeColor="text1"/>
          <w:lang w:val="es-ES"/>
        </w:rPr>
      </w:pPr>
    </w:p>
    <w:p w14:paraId="2DFBA74B" w14:textId="357F781C" w:rsidR="00800FA6" w:rsidRPr="00C454A1" w:rsidRDefault="00800FA6" w:rsidP="00AF630F">
      <w:pPr>
        <w:jc w:val="center"/>
        <w:rPr>
          <w:i/>
          <w:iCs/>
          <w:color w:val="000000" w:themeColor="text1"/>
          <w:sz w:val="22"/>
          <w:szCs w:val="22"/>
          <w:lang w:val="es-ES"/>
        </w:rPr>
      </w:pPr>
      <w:r w:rsidRPr="00C454A1">
        <w:rPr>
          <w:i/>
          <w:iCs/>
          <w:color w:val="000000" w:themeColor="text1"/>
          <w:sz w:val="22"/>
          <w:szCs w:val="22"/>
          <w:lang w:val="es-ES"/>
        </w:rPr>
        <w:t>Tabla 1</w:t>
      </w:r>
      <w:r w:rsidR="00703A24" w:rsidRPr="00C454A1">
        <w:rPr>
          <w:i/>
          <w:iCs/>
          <w:color w:val="000000" w:themeColor="text1"/>
          <w:sz w:val="22"/>
          <w:szCs w:val="22"/>
          <w:lang w:val="es-ES"/>
        </w:rPr>
        <w:t>9</w:t>
      </w:r>
      <w:r w:rsidRPr="00C454A1">
        <w:rPr>
          <w:i/>
          <w:iCs/>
          <w:color w:val="000000" w:themeColor="text1"/>
          <w:sz w:val="22"/>
          <w:szCs w:val="22"/>
          <w:lang w:val="es-ES"/>
        </w:rPr>
        <w:t xml:space="preserve">: </w:t>
      </w:r>
      <w:r w:rsidR="00AF630F" w:rsidRPr="00C454A1">
        <w:rPr>
          <w:i/>
          <w:iCs/>
          <w:color w:val="000000" w:themeColor="text1"/>
          <w:sz w:val="22"/>
          <w:szCs w:val="22"/>
          <w:lang w:val="es-ES"/>
        </w:rPr>
        <w:t>atribuciones del presidente de la República en materia de orden público</w:t>
      </w:r>
    </w:p>
    <w:tbl>
      <w:tblPr>
        <w:tblStyle w:val="Tablaconcuadrcula"/>
        <w:tblW w:w="0" w:type="auto"/>
        <w:tblLook w:val="04A0" w:firstRow="1" w:lastRow="0" w:firstColumn="1" w:lastColumn="0" w:noHBand="0" w:noVBand="1"/>
      </w:tblPr>
      <w:tblGrid>
        <w:gridCol w:w="1838"/>
        <w:gridCol w:w="6990"/>
      </w:tblGrid>
      <w:tr w:rsidR="00C454A1" w:rsidRPr="00C454A1" w14:paraId="019F2063" w14:textId="77777777" w:rsidTr="00EE77DF">
        <w:tc>
          <w:tcPr>
            <w:tcW w:w="1838" w:type="dxa"/>
            <w:shd w:val="clear" w:color="auto" w:fill="D9D9D9" w:themeFill="background1" w:themeFillShade="D9"/>
            <w:vAlign w:val="center"/>
          </w:tcPr>
          <w:p w14:paraId="788C3F41" w14:textId="77777777" w:rsidR="003A0DA8" w:rsidRPr="00C454A1" w:rsidRDefault="003A0DA8" w:rsidP="00EE77DF">
            <w:pPr>
              <w:contextualSpacing/>
              <w:jc w:val="center"/>
              <w:rPr>
                <w:rFonts w:cs="Times New Roman"/>
                <w:b/>
                <w:bCs/>
                <w:color w:val="000000" w:themeColor="text1"/>
                <w:sz w:val="22"/>
                <w:szCs w:val="22"/>
                <w:lang w:val="es-ES"/>
              </w:rPr>
            </w:pPr>
            <w:r w:rsidRPr="00C454A1">
              <w:rPr>
                <w:rFonts w:cs="Times New Roman"/>
                <w:b/>
                <w:bCs/>
                <w:color w:val="000000" w:themeColor="text1"/>
                <w:sz w:val="22"/>
                <w:szCs w:val="22"/>
                <w:lang w:val="es-ES"/>
              </w:rPr>
              <w:t>Comandante de las Fuerzas Armadas</w:t>
            </w:r>
          </w:p>
        </w:tc>
        <w:tc>
          <w:tcPr>
            <w:tcW w:w="6990" w:type="dxa"/>
            <w:vAlign w:val="center"/>
          </w:tcPr>
          <w:p w14:paraId="3763902F" w14:textId="71FC4852" w:rsidR="003A0DA8" w:rsidRPr="00C454A1" w:rsidRDefault="003A0DA8" w:rsidP="00EE77DF">
            <w:pPr>
              <w:rPr>
                <w:rFonts w:cs="Times New Roman"/>
                <w:color w:val="000000" w:themeColor="text1"/>
                <w:sz w:val="22"/>
                <w:szCs w:val="22"/>
                <w:lang w:val="es-ES"/>
              </w:rPr>
            </w:pPr>
            <w:r w:rsidRPr="00C454A1">
              <w:rPr>
                <w:rFonts w:cs="Times New Roman"/>
                <w:color w:val="000000" w:themeColor="text1"/>
                <w:sz w:val="22"/>
                <w:szCs w:val="22"/>
                <w:lang w:val="es-ES"/>
              </w:rPr>
              <w:t xml:space="preserve">El presidente de la República, como comandante supremo de las Fuerzas Armadas, dirige y dispone de la fuerza pública. Lo hace por medio del </w:t>
            </w:r>
            <w:r w:rsidR="0002549E" w:rsidRPr="00C454A1">
              <w:rPr>
                <w:rFonts w:cs="Times New Roman"/>
                <w:color w:val="000000" w:themeColor="text1"/>
                <w:sz w:val="22"/>
                <w:szCs w:val="22"/>
                <w:lang w:val="es-ES"/>
              </w:rPr>
              <w:t>MinDefensa</w:t>
            </w:r>
            <w:r w:rsidRPr="00C454A1">
              <w:rPr>
                <w:rFonts w:cs="Times New Roman"/>
                <w:color w:val="000000" w:themeColor="text1"/>
                <w:sz w:val="22"/>
                <w:szCs w:val="22"/>
                <w:lang w:val="es-ES"/>
              </w:rPr>
              <w:t xml:space="preserve">, que es la cabeza del sector defensa, junto con la asesoría del </w:t>
            </w:r>
            <w:r w:rsidR="000E35DD" w:rsidRPr="00C454A1">
              <w:rPr>
                <w:rFonts w:cs="Times New Roman"/>
                <w:color w:val="000000" w:themeColor="text1"/>
                <w:sz w:val="22"/>
                <w:szCs w:val="22"/>
                <w:lang w:val="es-ES"/>
              </w:rPr>
              <w:t>comandante</w:t>
            </w:r>
            <w:r w:rsidRPr="00C454A1">
              <w:rPr>
                <w:rFonts w:cs="Times New Roman"/>
                <w:color w:val="000000" w:themeColor="text1"/>
                <w:sz w:val="22"/>
                <w:szCs w:val="22"/>
                <w:lang w:val="es-ES"/>
              </w:rPr>
              <w:t xml:space="preserve"> General de las Fuerzas Militares (ver, en especial, el Decreto 1070 de 2015). El presidente de la República tiene una amplia autoridad para dirigir las actuaciones de las Fuerzas Armadas que sean requeridas para la defensa de la soberanía, la independencia y la integridad territorial, así como para el mantenimiento del orden constitucional y la garantía de la convivencia democrática. Además, la fuerza pública realiza actividades de inteligencia y contrainteligencia reguladas en la Ley 1621 de 2013.</w:t>
            </w:r>
          </w:p>
        </w:tc>
      </w:tr>
      <w:tr w:rsidR="00C454A1" w:rsidRPr="00C454A1" w14:paraId="4CD04813" w14:textId="77777777" w:rsidTr="00EE77DF">
        <w:tc>
          <w:tcPr>
            <w:tcW w:w="1838" w:type="dxa"/>
            <w:shd w:val="clear" w:color="auto" w:fill="D9D9D9" w:themeFill="background1" w:themeFillShade="D9"/>
            <w:vAlign w:val="center"/>
          </w:tcPr>
          <w:p w14:paraId="50AA2A1D" w14:textId="77777777" w:rsidR="003A0DA8" w:rsidRPr="00C454A1" w:rsidRDefault="003A0DA8" w:rsidP="00EE77DF">
            <w:pPr>
              <w:contextualSpacing/>
              <w:jc w:val="center"/>
              <w:rPr>
                <w:rFonts w:cs="Times New Roman"/>
                <w:b/>
                <w:bCs/>
                <w:color w:val="000000" w:themeColor="text1"/>
                <w:sz w:val="22"/>
                <w:szCs w:val="22"/>
                <w:lang w:val="es-ES"/>
              </w:rPr>
            </w:pPr>
            <w:r w:rsidRPr="00C454A1">
              <w:rPr>
                <w:rFonts w:cs="Times New Roman"/>
                <w:b/>
                <w:bCs/>
                <w:color w:val="000000" w:themeColor="text1"/>
                <w:sz w:val="22"/>
                <w:szCs w:val="22"/>
                <w:lang w:val="es-ES"/>
              </w:rPr>
              <w:t>Máxima autoridad de Policía</w:t>
            </w:r>
          </w:p>
        </w:tc>
        <w:tc>
          <w:tcPr>
            <w:tcW w:w="6990" w:type="dxa"/>
            <w:vAlign w:val="center"/>
          </w:tcPr>
          <w:p w14:paraId="2B1E8490" w14:textId="77777777" w:rsidR="003A0DA8" w:rsidRPr="00C454A1" w:rsidRDefault="003A0DA8" w:rsidP="00EE77DF">
            <w:pPr>
              <w:contextualSpacing/>
              <w:rPr>
                <w:rFonts w:cs="Times New Roman"/>
                <w:color w:val="000000" w:themeColor="text1"/>
                <w:sz w:val="22"/>
                <w:szCs w:val="22"/>
                <w:lang w:val="es-ES"/>
              </w:rPr>
            </w:pPr>
            <w:r w:rsidRPr="00C454A1">
              <w:rPr>
                <w:rFonts w:cs="Times New Roman"/>
                <w:color w:val="000000" w:themeColor="text1"/>
                <w:sz w:val="22"/>
                <w:szCs w:val="22"/>
                <w:lang w:val="es-ES"/>
              </w:rPr>
              <w:t>Esta potestad, que está desarrollada especialmente en la Ley 1801 de 2016, establece las facultades ordinarias (y algunas facultades excepcionales) con la que cuentan las autoridades de policía para garantizar la seguridad y la convivencia ciudadana. Entre las medidas ordinarias que prevé dicha ley se encuentra la disposición de que todas las autoridades de policía, incluidos los alcaldes y gobernadores, deben ejecutar las instrucciones del presidente de la República en relación con el mantenimiento y restablecimiento de la convivencia. La ley también establece medidas extraordinarias tanto para el presidente como para las autoridades locales en eventos de alteración del orden público. Por una parte, el presidente de la República puede brindar “asistencia militar” a las autoridades territoriales “cuando hechos de grave alteración de la seguridad y la convivencia lo exijan, o ante riesgo o peligro inminente, o para afrontar emergencia o calamidad pública”. A la vez, el artículo 202 dispone que, en situaciones extraordinarias, las autoridades territoriales en coordinación con el presidente pueden adoptar medidas como decretar el toque de queda, ordenar el sellamiento o derribo de inmuebles, suspender aglomeraciones y restringir la movilidad del transporte o de personas.</w:t>
            </w:r>
          </w:p>
        </w:tc>
      </w:tr>
      <w:tr w:rsidR="00C454A1" w:rsidRPr="00C454A1" w14:paraId="615597DF" w14:textId="77777777" w:rsidTr="00EE77DF">
        <w:tc>
          <w:tcPr>
            <w:tcW w:w="1838" w:type="dxa"/>
            <w:shd w:val="clear" w:color="auto" w:fill="D9D9D9" w:themeFill="background1" w:themeFillShade="D9"/>
            <w:vAlign w:val="center"/>
          </w:tcPr>
          <w:p w14:paraId="6D69F0D8" w14:textId="71CC15F4" w:rsidR="003A0DA8" w:rsidRPr="00C454A1" w:rsidRDefault="003A0DA8" w:rsidP="00EE77DF">
            <w:pPr>
              <w:contextualSpacing/>
              <w:jc w:val="center"/>
              <w:rPr>
                <w:rFonts w:cs="Times New Roman"/>
                <w:b/>
                <w:bCs/>
                <w:color w:val="000000" w:themeColor="text1"/>
                <w:sz w:val="22"/>
                <w:szCs w:val="22"/>
                <w:lang w:val="es-ES"/>
              </w:rPr>
            </w:pPr>
            <w:r w:rsidRPr="00C454A1">
              <w:rPr>
                <w:rFonts w:cs="Times New Roman"/>
                <w:b/>
                <w:bCs/>
                <w:color w:val="000000" w:themeColor="text1"/>
                <w:sz w:val="22"/>
                <w:szCs w:val="22"/>
                <w:lang w:val="es-ES"/>
              </w:rPr>
              <w:t xml:space="preserve">Investigación y juzgamiento de </w:t>
            </w:r>
            <w:r w:rsidR="00EE77DF" w:rsidRPr="00C454A1">
              <w:rPr>
                <w:rFonts w:cs="Times New Roman"/>
                <w:b/>
                <w:bCs/>
                <w:color w:val="000000" w:themeColor="text1"/>
                <w:sz w:val="22"/>
                <w:szCs w:val="22"/>
                <w:lang w:val="es-ES"/>
              </w:rPr>
              <w:t>GAO</w:t>
            </w:r>
          </w:p>
        </w:tc>
        <w:tc>
          <w:tcPr>
            <w:tcW w:w="6990" w:type="dxa"/>
            <w:vAlign w:val="center"/>
          </w:tcPr>
          <w:p w14:paraId="1449768C" w14:textId="77777777" w:rsidR="003A0DA8" w:rsidRPr="00C454A1" w:rsidRDefault="003A0DA8" w:rsidP="00EE77DF">
            <w:pPr>
              <w:contextualSpacing/>
              <w:rPr>
                <w:rFonts w:cs="Times New Roman"/>
                <w:color w:val="000000" w:themeColor="text1"/>
                <w:sz w:val="22"/>
                <w:szCs w:val="22"/>
                <w:lang w:val="es-ES"/>
              </w:rPr>
            </w:pPr>
            <w:r w:rsidRPr="00C454A1">
              <w:rPr>
                <w:rFonts w:cs="Times New Roman"/>
                <w:color w:val="000000" w:themeColor="text1"/>
                <w:sz w:val="22"/>
                <w:szCs w:val="22"/>
                <w:lang w:val="es-ES"/>
              </w:rPr>
              <w:t>El Código de Procedimiento Penal y la Ley 1908 de 2018 contienen las atribuciones de policía judicial para investigar y judicializar organizaciones criminales. Estas atribuciones son extensivas y algunas de ellas no requieren autorización judicial previa. Entre las medidas que se pueden adoptar hay inspecciones, registros, allanamientos e interceptaciones.</w:t>
            </w:r>
          </w:p>
        </w:tc>
      </w:tr>
      <w:tr w:rsidR="003A0DA8" w:rsidRPr="00C454A1" w14:paraId="41466882" w14:textId="77777777" w:rsidTr="00EE77DF">
        <w:tc>
          <w:tcPr>
            <w:tcW w:w="1838" w:type="dxa"/>
            <w:shd w:val="clear" w:color="auto" w:fill="D9D9D9" w:themeFill="background1" w:themeFillShade="D9"/>
            <w:vAlign w:val="center"/>
          </w:tcPr>
          <w:p w14:paraId="2BB03D00" w14:textId="77777777" w:rsidR="003A0DA8" w:rsidRPr="00C454A1" w:rsidRDefault="003A0DA8" w:rsidP="00EE77DF">
            <w:pPr>
              <w:contextualSpacing/>
              <w:jc w:val="center"/>
              <w:rPr>
                <w:rFonts w:cs="Times New Roman"/>
                <w:b/>
                <w:bCs/>
                <w:color w:val="000000" w:themeColor="text1"/>
                <w:sz w:val="22"/>
                <w:szCs w:val="22"/>
                <w:lang w:val="es-ES"/>
              </w:rPr>
            </w:pPr>
            <w:r w:rsidRPr="00C454A1">
              <w:rPr>
                <w:rFonts w:cs="Times New Roman"/>
                <w:b/>
                <w:bCs/>
                <w:color w:val="000000" w:themeColor="text1"/>
                <w:sz w:val="22"/>
                <w:szCs w:val="22"/>
                <w:lang w:val="es-ES"/>
              </w:rPr>
              <w:t>Otras medidas dirigidas al control del orden público</w:t>
            </w:r>
          </w:p>
        </w:tc>
        <w:tc>
          <w:tcPr>
            <w:tcW w:w="6990" w:type="dxa"/>
            <w:vAlign w:val="center"/>
          </w:tcPr>
          <w:p w14:paraId="2320ED90" w14:textId="77777777" w:rsidR="003A0DA8" w:rsidRPr="00C454A1" w:rsidRDefault="003A0DA8" w:rsidP="00EE77DF">
            <w:pPr>
              <w:contextualSpacing/>
              <w:rPr>
                <w:rFonts w:cs="Times New Roman"/>
                <w:color w:val="000000" w:themeColor="text1"/>
                <w:sz w:val="22"/>
                <w:szCs w:val="22"/>
                <w:lang w:val="es-ES"/>
              </w:rPr>
            </w:pPr>
            <w:r w:rsidRPr="00C454A1">
              <w:rPr>
                <w:rFonts w:cs="Times New Roman"/>
                <w:color w:val="000000" w:themeColor="text1"/>
                <w:sz w:val="22"/>
                <w:szCs w:val="22"/>
                <w:lang w:val="es-ES"/>
              </w:rPr>
              <w:t>El Gobierno nacional dispone de otras facultades ordinarias para controlar el orden público como, por ejemplo, adelantar negociaciones de paz con ciertos grupos al margen de la ley. En varias oportunidades, esta Corte ha reconocido que las normas legales que autorizan al presidente de la República para buscar la solución pacífica de la violencia encuentran fundamento en la propia Constitución. Algunos ejemplos de dichas atribuciones se encuentran en la Ley 418 de 1997 y sus diversas modificaciones, incluida recientemente la Ley 2272 de 2022. Dichas atribuciones comprenden la posibilidad de adelantar diálogos para obtener, entre otros resultados, el cese de hostilidades o su disminución.</w:t>
            </w:r>
          </w:p>
        </w:tc>
      </w:tr>
    </w:tbl>
    <w:p w14:paraId="3DD13F61" w14:textId="77777777" w:rsidR="00E37E9E" w:rsidRPr="00C454A1" w:rsidRDefault="00E37E9E" w:rsidP="00E37E9E">
      <w:pPr>
        <w:rPr>
          <w:rFonts w:eastAsia="Aptos" w:cs="Arial"/>
          <w:color w:val="000000" w:themeColor="text1"/>
          <w:lang w:val="es-ES"/>
        </w:rPr>
      </w:pPr>
    </w:p>
    <w:p w14:paraId="044366E4" w14:textId="14EA036A" w:rsidR="006373D3" w:rsidRPr="00C454A1" w:rsidRDefault="002E77CA" w:rsidP="005F4A6F">
      <w:pPr>
        <w:pStyle w:val="Prrafodelista"/>
        <w:numPr>
          <w:ilvl w:val="0"/>
          <w:numId w:val="20"/>
        </w:numPr>
        <w:rPr>
          <w:rFonts w:eastAsia="Times New Roman" w:cs="Times New Roman"/>
          <w:b/>
          <w:bCs/>
          <w:color w:val="000000" w:themeColor="text1"/>
          <w:lang w:val="es-ES"/>
        </w:rPr>
      </w:pPr>
      <w:r w:rsidRPr="00C454A1">
        <w:rPr>
          <w:rFonts w:eastAsia="Times New Roman" w:cs="Times New Roman"/>
          <w:b/>
          <w:bCs/>
          <w:color w:val="000000" w:themeColor="text1"/>
          <w:lang w:val="es-ES"/>
        </w:rPr>
        <w:t>Descripción</w:t>
      </w:r>
      <w:r w:rsidR="006373D3" w:rsidRPr="00C454A1">
        <w:rPr>
          <w:rFonts w:eastAsia="Times New Roman" w:cs="Times New Roman"/>
          <w:b/>
          <w:bCs/>
          <w:color w:val="000000" w:themeColor="text1"/>
          <w:lang w:val="es-ES"/>
        </w:rPr>
        <w:t xml:space="preserve"> general de las atribuciones ordinarias del Gobierno nacional para responder an</w:t>
      </w:r>
      <w:r w:rsidR="006D7B7C" w:rsidRPr="00C454A1">
        <w:rPr>
          <w:rFonts w:eastAsia="Times New Roman" w:cs="Times New Roman"/>
          <w:b/>
          <w:bCs/>
          <w:color w:val="000000" w:themeColor="text1"/>
          <w:lang w:val="es-ES"/>
        </w:rPr>
        <w:t>te</w:t>
      </w:r>
      <w:r w:rsidR="006373D3" w:rsidRPr="00C454A1">
        <w:rPr>
          <w:rFonts w:eastAsia="Times New Roman" w:cs="Times New Roman"/>
          <w:b/>
          <w:bCs/>
          <w:color w:val="000000" w:themeColor="text1"/>
          <w:lang w:val="es-ES"/>
        </w:rPr>
        <w:t xml:space="preserve"> desplazamientos forzados y confinamientos</w:t>
      </w:r>
    </w:p>
    <w:p w14:paraId="726261B9" w14:textId="77777777" w:rsidR="00A90DEE" w:rsidRPr="00C454A1" w:rsidRDefault="00A90DEE" w:rsidP="003A0DA8">
      <w:pPr>
        <w:rPr>
          <w:rFonts w:eastAsia="Times New Roman" w:cs="Times New Roman"/>
          <w:color w:val="000000" w:themeColor="text1"/>
          <w:lang w:val="es-ES"/>
        </w:rPr>
      </w:pPr>
    </w:p>
    <w:p w14:paraId="28913A4D" w14:textId="47755D2B" w:rsidR="00403340" w:rsidRPr="00C454A1" w:rsidRDefault="00403340" w:rsidP="00403340">
      <w:pPr>
        <w:numPr>
          <w:ilvl w:val="0"/>
          <w:numId w:val="2"/>
        </w:numPr>
        <w:ind w:left="0" w:firstLine="0"/>
        <w:rPr>
          <w:rFonts w:eastAsia="Times New Roman" w:cs="Times New Roman"/>
          <w:color w:val="000000" w:themeColor="text1"/>
          <w:lang w:val="es-ES"/>
        </w:rPr>
      </w:pPr>
      <w:r w:rsidRPr="00C454A1">
        <w:rPr>
          <w:rFonts w:eastAsia="Times New Roman" w:cs="Times New Roman"/>
          <w:color w:val="000000" w:themeColor="text1"/>
          <w:lang w:val="es-ES"/>
        </w:rPr>
        <w:t>En cuanto a las facultades ordinarias para responder a los hechos victimizantes de desplazamiento forzado y confinamiento, y para garantizar los derechos de las víctimas, existe también una extensa normativa que confiere múltiples atribuciones y responsabilidades al Gobierno nacional. Este marco legal abarca las leyes 418 de 1997 y 1448 de 2011, modificada por la Ley 2421 de 2024, así como sus decretos reglamentarios, entre los que destacan los decretos 4801 de 2011, 2569 de 2014 y 1084 de 2015, que regulan la entrega de atención humanitaria a las víctimas.</w:t>
      </w:r>
    </w:p>
    <w:p w14:paraId="68CF0707" w14:textId="77777777" w:rsidR="00403340" w:rsidRPr="00C454A1" w:rsidRDefault="00403340" w:rsidP="00403340">
      <w:pPr>
        <w:rPr>
          <w:rFonts w:eastAsia="Times New Roman" w:cs="Times New Roman"/>
          <w:color w:val="000000" w:themeColor="text1"/>
          <w:lang w:val="es-ES"/>
        </w:rPr>
      </w:pPr>
    </w:p>
    <w:p w14:paraId="469288A4" w14:textId="0DD2D675" w:rsidR="003A0DA8" w:rsidRPr="00C454A1" w:rsidRDefault="00403340" w:rsidP="00A90DEE">
      <w:pPr>
        <w:numPr>
          <w:ilvl w:val="0"/>
          <w:numId w:val="2"/>
        </w:numPr>
        <w:ind w:left="0" w:firstLine="0"/>
        <w:rPr>
          <w:rFonts w:eastAsia="Times New Roman" w:cs="Times New Roman"/>
          <w:color w:val="000000" w:themeColor="text1"/>
          <w:lang w:val="es-ES"/>
        </w:rPr>
      </w:pPr>
      <w:r w:rsidRPr="00C454A1">
        <w:rPr>
          <w:rFonts w:eastAsia="Times New Roman" w:cs="Times New Roman"/>
          <w:color w:val="000000" w:themeColor="text1"/>
          <w:szCs w:val="28"/>
          <w:lang w:val="es-ES"/>
        </w:rPr>
        <w:t>Después</w:t>
      </w:r>
      <w:r w:rsidR="003A0DA8" w:rsidRPr="00C454A1">
        <w:rPr>
          <w:rFonts w:eastAsia="Times New Roman" w:cs="Times New Roman"/>
          <w:color w:val="000000" w:themeColor="text1"/>
          <w:szCs w:val="28"/>
          <w:lang w:val="es-ES"/>
        </w:rPr>
        <w:t xml:space="preserve"> de un desplazamiento forzado, las víctimas tienen derecho a:</w:t>
      </w:r>
      <w:r w:rsidR="003A0DA8" w:rsidRPr="00C454A1">
        <w:rPr>
          <w:rFonts w:eastAsia="Times New Roman" w:cs="Times New Roman"/>
          <w:color w:val="000000" w:themeColor="text1"/>
          <w:lang w:val="es-ES"/>
        </w:rPr>
        <w:t xml:space="preserve"> (i) les sea recibida la declaración del hecho victimizante; (ii) </w:t>
      </w:r>
      <w:r w:rsidR="003A0DA8" w:rsidRPr="00C454A1">
        <w:rPr>
          <w:rFonts w:eastAsia="Times New Roman" w:cs="Times New Roman"/>
          <w:color w:val="000000" w:themeColor="text1"/>
          <w:szCs w:val="28"/>
          <w:lang w:val="es-ES"/>
        </w:rPr>
        <w:t>la entrega inmediata de a</w:t>
      </w:r>
      <w:r w:rsidR="00E37E9E" w:rsidRPr="00C454A1">
        <w:rPr>
          <w:rFonts w:eastAsia="Times New Roman" w:cs="Times New Roman"/>
          <w:color w:val="000000" w:themeColor="text1"/>
          <w:szCs w:val="28"/>
          <w:lang w:val="es-ES"/>
        </w:rPr>
        <w:t>tención</w:t>
      </w:r>
      <w:r w:rsidR="003A0DA8" w:rsidRPr="00C454A1">
        <w:rPr>
          <w:rFonts w:eastAsia="Times New Roman" w:cs="Times New Roman"/>
          <w:color w:val="000000" w:themeColor="text1"/>
          <w:szCs w:val="28"/>
          <w:lang w:val="es-ES"/>
        </w:rPr>
        <w:t xml:space="preserve"> humanitaria inmediata (AHI), la cual debe extenderse hasta su inscripción en el RUV</w:t>
      </w:r>
      <w:r w:rsidR="003A0DA8" w:rsidRPr="00C454A1">
        <w:rPr>
          <w:rFonts w:eastAsia="Times New Roman" w:cs="Times New Roman"/>
          <w:color w:val="000000" w:themeColor="text1"/>
          <w:vertAlign w:val="superscript"/>
          <w:lang w:val="es-ES"/>
        </w:rPr>
        <w:footnoteReference w:id="425"/>
      </w:r>
      <w:r w:rsidR="003A0DA8" w:rsidRPr="00C454A1">
        <w:rPr>
          <w:rFonts w:eastAsia="Times New Roman" w:cs="Times New Roman"/>
          <w:color w:val="000000" w:themeColor="text1"/>
          <w:lang w:val="es-ES"/>
        </w:rPr>
        <w:t xml:space="preserve">; (iii) </w:t>
      </w:r>
      <w:r w:rsidR="003A0DA8" w:rsidRPr="00C454A1">
        <w:rPr>
          <w:rFonts w:eastAsia="Times New Roman" w:cs="Times New Roman"/>
          <w:color w:val="000000" w:themeColor="text1"/>
          <w:szCs w:val="28"/>
          <w:lang w:val="es-ES"/>
        </w:rPr>
        <w:t>tras la inscripción en el RUV, a recibir atención humanitaria de emergencia (AHE)</w:t>
      </w:r>
      <w:r w:rsidR="003A0DA8" w:rsidRPr="00C454A1">
        <w:rPr>
          <w:rFonts w:eastAsia="Times New Roman" w:cs="Times New Roman"/>
          <w:color w:val="000000" w:themeColor="text1"/>
          <w:vertAlign w:val="superscript"/>
          <w:lang w:val="es-ES"/>
        </w:rPr>
        <w:footnoteReference w:id="426"/>
      </w:r>
      <w:r w:rsidR="003A0DA8" w:rsidRPr="00C454A1">
        <w:rPr>
          <w:rFonts w:eastAsia="Times New Roman" w:cs="Times New Roman"/>
          <w:color w:val="000000" w:themeColor="text1"/>
          <w:lang w:val="es-ES"/>
        </w:rPr>
        <w:t xml:space="preserve">; y (iv) transcurrido un año desde la inscripción en el RUV y una vez atenuadas las situaciones de gravedad y urgencia, a la atención humanitaria de transición (AHT). </w:t>
      </w:r>
      <w:r w:rsidR="003A0DA8" w:rsidRPr="00C454A1">
        <w:rPr>
          <w:rFonts w:eastAsia="Times New Roman" w:cs="Times New Roman"/>
          <w:color w:val="000000" w:themeColor="text1"/>
          <w:szCs w:val="28"/>
          <w:lang w:val="es-ES"/>
        </w:rPr>
        <w:t>Los contenidos de estas modalidades de asistencia se resumen en la siguiente tabla:</w:t>
      </w:r>
    </w:p>
    <w:p w14:paraId="7E90D7BD" w14:textId="77777777" w:rsidR="003A0DA8" w:rsidRPr="00C454A1" w:rsidRDefault="003A0DA8" w:rsidP="003A0DA8">
      <w:pPr>
        <w:rPr>
          <w:rFonts w:eastAsia="Times New Roman" w:cs="Times New Roman"/>
          <w:color w:val="000000" w:themeColor="text1"/>
          <w:szCs w:val="28"/>
          <w:lang w:val="es"/>
        </w:rPr>
      </w:pPr>
    </w:p>
    <w:p w14:paraId="53A3E9F0" w14:textId="0785AD31" w:rsidR="00AF630F" w:rsidRPr="00C454A1" w:rsidRDefault="00AF630F" w:rsidP="00A0142D">
      <w:pPr>
        <w:jc w:val="center"/>
        <w:rPr>
          <w:rFonts w:eastAsia="Times New Roman" w:cs="Times New Roman"/>
          <w:i/>
          <w:iCs/>
          <w:color w:val="000000" w:themeColor="text1"/>
          <w:sz w:val="22"/>
          <w:szCs w:val="22"/>
          <w:lang w:val="es"/>
        </w:rPr>
      </w:pPr>
      <w:r w:rsidRPr="00C454A1">
        <w:rPr>
          <w:rFonts w:eastAsia="Times New Roman" w:cs="Times New Roman"/>
          <w:i/>
          <w:iCs/>
          <w:color w:val="000000" w:themeColor="text1"/>
          <w:sz w:val="22"/>
          <w:szCs w:val="22"/>
          <w:lang w:val="es"/>
        </w:rPr>
        <w:t xml:space="preserve">Tabla </w:t>
      </w:r>
      <w:r w:rsidR="00703A24" w:rsidRPr="00C454A1">
        <w:rPr>
          <w:rFonts w:eastAsia="Times New Roman" w:cs="Times New Roman"/>
          <w:i/>
          <w:iCs/>
          <w:color w:val="000000" w:themeColor="text1"/>
          <w:sz w:val="22"/>
          <w:szCs w:val="22"/>
          <w:lang w:val="es"/>
        </w:rPr>
        <w:t>20</w:t>
      </w:r>
      <w:r w:rsidRPr="00C454A1">
        <w:rPr>
          <w:rFonts w:eastAsia="Times New Roman" w:cs="Times New Roman"/>
          <w:i/>
          <w:iCs/>
          <w:color w:val="000000" w:themeColor="text1"/>
          <w:sz w:val="22"/>
          <w:szCs w:val="22"/>
          <w:lang w:val="es"/>
        </w:rPr>
        <w:t xml:space="preserve">: </w:t>
      </w:r>
      <w:r w:rsidR="00A0142D" w:rsidRPr="00C454A1">
        <w:rPr>
          <w:rFonts w:eastAsia="Times New Roman" w:cs="Times New Roman"/>
          <w:i/>
          <w:iCs/>
          <w:color w:val="000000" w:themeColor="text1"/>
          <w:sz w:val="22"/>
          <w:szCs w:val="22"/>
          <w:lang w:val="es"/>
        </w:rPr>
        <w:t xml:space="preserve">modalidades de asistencia para víctimas </w:t>
      </w:r>
      <w:r w:rsidR="00222D60" w:rsidRPr="00C454A1">
        <w:rPr>
          <w:rFonts w:eastAsia="Times New Roman" w:cs="Times New Roman"/>
          <w:i/>
          <w:iCs/>
          <w:color w:val="000000" w:themeColor="text1"/>
          <w:sz w:val="22"/>
          <w:szCs w:val="22"/>
          <w:lang w:val="es"/>
        </w:rPr>
        <w:t>de</w:t>
      </w:r>
      <w:r w:rsidR="00A0142D" w:rsidRPr="00C454A1">
        <w:rPr>
          <w:rFonts w:eastAsia="Times New Roman" w:cs="Times New Roman"/>
          <w:i/>
          <w:iCs/>
          <w:color w:val="000000" w:themeColor="text1"/>
          <w:sz w:val="22"/>
          <w:szCs w:val="22"/>
          <w:lang w:val="es"/>
        </w:rPr>
        <w:t xml:space="preserve"> la violencia</w:t>
      </w:r>
    </w:p>
    <w:tbl>
      <w:tblPr>
        <w:tblStyle w:val="Tablaconcuadrcula"/>
        <w:tblW w:w="0" w:type="auto"/>
        <w:tblLayout w:type="fixed"/>
        <w:tblLook w:val="04A0" w:firstRow="1" w:lastRow="0" w:firstColumn="1" w:lastColumn="0" w:noHBand="0" w:noVBand="1"/>
      </w:tblPr>
      <w:tblGrid>
        <w:gridCol w:w="1129"/>
        <w:gridCol w:w="7701"/>
      </w:tblGrid>
      <w:tr w:rsidR="00C454A1" w:rsidRPr="00C454A1" w14:paraId="355B7BC1" w14:textId="77777777" w:rsidTr="00EE77DF">
        <w:trPr>
          <w:trHeight w:val="300"/>
        </w:trPr>
        <w:tc>
          <w:tcPr>
            <w:tcW w:w="112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5B15789" w14:textId="77777777" w:rsidR="003A0DA8" w:rsidRPr="00C454A1" w:rsidRDefault="003A0DA8" w:rsidP="00EE77DF">
            <w:pPr>
              <w:jc w:val="center"/>
              <w:rPr>
                <w:rFonts w:eastAsia="Times New Roman" w:cs="Times New Roman"/>
                <w:b/>
                <w:bCs/>
                <w:color w:val="000000" w:themeColor="text1"/>
                <w:sz w:val="22"/>
                <w:szCs w:val="22"/>
                <w:lang w:val="es"/>
              </w:rPr>
            </w:pPr>
          </w:p>
          <w:p w14:paraId="4F77EF92" w14:textId="77777777" w:rsidR="003A0DA8" w:rsidRPr="00C454A1" w:rsidRDefault="003A0DA8" w:rsidP="00EE77DF">
            <w:pPr>
              <w:jc w:val="center"/>
              <w:rPr>
                <w:color w:val="000000" w:themeColor="text1"/>
                <w:sz w:val="22"/>
                <w:szCs w:val="22"/>
              </w:rPr>
            </w:pPr>
            <w:r w:rsidRPr="00C454A1">
              <w:rPr>
                <w:rFonts w:eastAsia="Times New Roman" w:cs="Times New Roman"/>
                <w:b/>
                <w:bCs/>
                <w:color w:val="000000" w:themeColor="text1"/>
                <w:sz w:val="22"/>
                <w:szCs w:val="22"/>
                <w:lang w:val="es"/>
              </w:rPr>
              <w:t>AHI</w:t>
            </w:r>
          </w:p>
        </w:tc>
        <w:tc>
          <w:tcPr>
            <w:tcW w:w="7701" w:type="dxa"/>
            <w:tcBorders>
              <w:top w:val="single" w:sz="8" w:space="0" w:color="auto"/>
              <w:left w:val="single" w:sz="8" w:space="0" w:color="auto"/>
              <w:bottom w:val="single" w:sz="8" w:space="0" w:color="auto"/>
              <w:right w:val="single" w:sz="8" w:space="0" w:color="auto"/>
            </w:tcBorders>
            <w:tcMar>
              <w:left w:w="108" w:type="dxa"/>
              <w:right w:w="108" w:type="dxa"/>
            </w:tcMar>
          </w:tcPr>
          <w:p w14:paraId="472E94D9" w14:textId="77777777" w:rsidR="003A0DA8" w:rsidRPr="00C454A1" w:rsidRDefault="003A0DA8" w:rsidP="005F4A6F">
            <w:pPr>
              <w:pStyle w:val="Prrafodelista"/>
              <w:numPr>
                <w:ilvl w:val="0"/>
                <w:numId w:val="23"/>
              </w:numPr>
              <w:ind w:left="360"/>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 xml:space="preserve">Artículos 47 y 63 de la Ley 1448 de 2011: la ayuda humanitaria inmediata es aquella que se entrega a las personas que “manifiestan haber sido desplazadas y que se encuentran en situación de vulnerabilidad acentuada y requieren de albergue temporal y asistencia alimentaria”. La AHI debe ser entregada de manera “inmediata desde el momento en que se presenta la declaración, hasta el momento en el cual se realiza la inscripción en el Registro Único de Víctimas”. </w:t>
            </w:r>
          </w:p>
          <w:p w14:paraId="61111662" w14:textId="77777777" w:rsidR="003A0DA8" w:rsidRPr="00C454A1" w:rsidRDefault="003A0DA8" w:rsidP="005F4A6F">
            <w:pPr>
              <w:pStyle w:val="Prrafodelista"/>
              <w:numPr>
                <w:ilvl w:val="0"/>
                <w:numId w:val="23"/>
              </w:numPr>
              <w:ind w:left="360"/>
              <w:rPr>
                <w:rFonts w:eastAsia="Times New Roman" w:cs="Times New Roman"/>
                <w:color w:val="000000" w:themeColor="text1"/>
                <w:sz w:val="22"/>
                <w:szCs w:val="22"/>
                <w:lang w:val="es-ES"/>
              </w:rPr>
            </w:pPr>
            <w:r w:rsidRPr="00C454A1">
              <w:rPr>
                <w:rFonts w:eastAsia="Times New Roman" w:cs="Times New Roman"/>
                <w:color w:val="000000" w:themeColor="text1"/>
                <w:sz w:val="22"/>
                <w:szCs w:val="22"/>
                <w:lang w:val="es-ES"/>
              </w:rPr>
              <w:t xml:space="preserve">La Ley 1448 de 2011 y sus decretos reglamentarios establecen un esquema de corresponsabilidad en la entrega de la AHI. La primera autoridad responsable de otorgar la AHI es la “entidad territorial de nivel municipal receptora de la población en situación de desplazamiento”. Sin embargo, en virtud del principio de subsidiariedad, si se presentan emergencias o crisis humanitarias que desborden las capacidades de los entes territoriales, la Gobernación -en el primer nivel- y la UARIV -en el segundo nivel- deben concurrir a su garantía. </w:t>
            </w:r>
          </w:p>
          <w:p w14:paraId="6794875D" w14:textId="77777777" w:rsidR="003A0DA8" w:rsidRPr="00C454A1" w:rsidRDefault="003A0DA8" w:rsidP="005F4A6F">
            <w:pPr>
              <w:pStyle w:val="Prrafodelista"/>
              <w:numPr>
                <w:ilvl w:val="0"/>
                <w:numId w:val="23"/>
              </w:numPr>
              <w:ind w:left="360"/>
              <w:rPr>
                <w:rFonts w:eastAsia="Times New Roman" w:cs="Times New Roman"/>
                <w:color w:val="000000" w:themeColor="text1"/>
                <w:sz w:val="22"/>
                <w:szCs w:val="22"/>
                <w:lang w:val="es-ES"/>
              </w:rPr>
            </w:pPr>
            <w:r w:rsidRPr="00C454A1">
              <w:rPr>
                <w:rFonts w:eastAsia="Times New Roman" w:cs="Times New Roman"/>
                <w:color w:val="000000" w:themeColor="text1"/>
                <w:sz w:val="22"/>
                <w:szCs w:val="22"/>
                <w:lang w:val="es-ES"/>
              </w:rPr>
              <w:t xml:space="preserve">Los artículos 2.2.6.4.1 y 2.2.6.5.2.1. del Decreto 1084 de 2015 establecen los componentes de la AHI así: </w:t>
            </w:r>
          </w:p>
          <w:p w14:paraId="4819EBDA" w14:textId="77777777" w:rsidR="003A0DA8" w:rsidRPr="00C454A1" w:rsidRDefault="003A0DA8" w:rsidP="005F4A6F">
            <w:pPr>
              <w:pStyle w:val="Prrafodelista"/>
              <w:numPr>
                <w:ilvl w:val="0"/>
                <w:numId w:val="22"/>
              </w:numPr>
              <w:ind w:left="785" w:hanging="425"/>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El alojamiento temporal, el cual incluye saneamiento básico, artículos de aseo y utensilios de cocina;</w:t>
            </w:r>
          </w:p>
          <w:p w14:paraId="2579E7B5" w14:textId="77777777" w:rsidR="003A0DA8" w:rsidRPr="00C454A1" w:rsidRDefault="003A0DA8" w:rsidP="005F4A6F">
            <w:pPr>
              <w:pStyle w:val="Prrafodelista"/>
              <w:numPr>
                <w:ilvl w:val="0"/>
                <w:numId w:val="22"/>
              </w:numPr>
              <w:ind w:left="785" w:hanging="425"/>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La alimentación;</w:t>
            </w:r>
          </w:p>
          <w:p w14:paraId="50BAD89B" w14:textId="77777777" w:rsidR="003A0DA8" w:rsidRPr="00C454A1" w:rsidRDefault="003A0DA8" w:rsidP="005F4A6F">
            <w:pPr>
              <w:pStyle w:val="Prrafodelista"/>
              <w:numPr>
                <w:ilvl w:val="0"/>
                <w:numId w:val="22"/>
              </w:numPr>
              <w:ind w:left="785" w:hanging="425"/>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Los servicios médicos y acceso a salud incluyendo servicios específicos para la salud sexual y reproductiva;</w:t>
            </w:r>
          </w:p>
          <w:p w14:paraId="2B148196" w14:textId="77777777" w:rsidR="003A0DA8" w:rsidRPr="00C454A1" w:rsidRDefault="003A0DA8" w:rsidP="005F4A6F">
            <w:pPr>
              <w:pStyle w:val="Prrafodelista"/>
              <w:numPr>
                <w:ilvl w:val="0"/>
                <w:numId w:val="22"/>
              </w:numPr>
              <w:ind w:left="785" w:hanging="425"/>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El vestuario;</w:t>
            </w:r>
          </w:p>
          <w:p w14:paraId="4CBC11B6" w14:textId="77777777" w:rsidR="003A0DA8" w:rsidRPr="00C454A1" w:rsidRDefault="003A0DA8" w:rsidP="005F4A6F">
            <w:pPr>
              <w:pStyle w:val="Prrafodelista"/>
              <w:numPr>
                <w:ilvl w:val="0"/>
                <w:numId w:val="22"/>
              </w:numPr>
              <w:ind w:left="785" w:hanging="425"/>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El manejo de abastecimientos, entendidos como la acción efectiva del Gobierno, en los ámbitos nacional y local, para proveer los componentes anteriores, tomando en cuenta las necesidades particulares de los grupos de especial protección constitucional;</w:t>
            </w:r>
          </w:p>
          <w:p w14:paraId="66005220" w14:textId="77777777" w:rsidR="003A0DA8" w:rsidRPr="00C454A1" w:rsidRDefault="003A0DA8" w:rsidP="005F4A6F">
            <w:pPr>
              <w:pStyle w:val="Prrafodelista"/>
              <w:numPr>
                <w:ilvl w:val="0"/>
                <w:numId w:val="22"/>
              </w:numPr>
              <w:ind w:left="785" w:hanging="425"/>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El transporte de emergencia, entendido como el necesario en la etapa de atención inmediata que está a cargo de las alcaldías municipales</w:t>
            </w:r>
          </w:p>
        </w:tc>
      </w:tr>
      <w:tr w:rsidR="00C454A1" w:rsidRPr="00C454A1" w14:paraId="444266D4" w14:textId="77777777" w:rsidTr="00EE77DF">
        <w:trPr>
          <w:trHeight w:val="300"/>
        </w:trPr>
        <w:tc>
          <w:tcPr>
            <w:tcW w:w="112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1A764B2" w14:textId="77777777" w:rsidR="003A0DA8" w:rsidRPr="00C454A1" w:rsidRDefault="003A0DA8" w:rsidP="00EE77DF">
            <w:pPr>
              <w:jc w:val="center"/>
              <w:rPr>
                <w:color w:val="000000" w:themeColor="text1"/>
                <w:sz w:val="22"/>
                <w:szCs w:val="22"/>
              </w:rPr>
            </w:pPr>
            <w:r w:rsidRPr="00C454A1">
              <w:rPr>
                <w:rFonts w:eastAsia="Times New Roman" w:cs="Times New Roman"/>
                <w:b/>
                <w:bCs/>
                <w:color w:val="000000" w:themeColor="text1"/>
                <w:sz w:val="22"/>
                <w:szCs w:val="22"/>
                <w:lang w:val="es"/>
              </w:rPr>
              <w:lastRenderedPageBreak/>
              <w:t>AHE</w:t>
            </w:r>
          </w:p>
        </w:tc>
        <w:tc>
          <w:tcPr>
            <w:tcW w:w="7701" w:type="dxa"/>
            <w:tcBorders>
              <w:top w:val="single" w:sz="8" w:space="0" w:color="auto"/>
              <w:left w:val="single" w:sz="8" w:space="0" w:color="auto"/>
              <w:bottom w:val="single" w:sz="8" w:space="0" w:color="auto"/>
              <w:right w:val="single" w:sz="8" w:space="0" w:color="auto"/>
            </w:tcBorders>
            <w:tcMar>
              <w:left w:w="108" w:type="dxa"/>
              <w:right w:w="108" w:type="dxa"/>
            </w:tcMar>
          </w:tcPr>
          <w:p w14:paraId="5DCEC260" w14:textId="77777777" w:rsidR="003A0DA8" w:rsidRPr="00C454A1" w:rsidRDefault="003A0DA8" w:rsidP="005F4A6F">
            <w:pPr>
              <w:pStyle w:val="Prrafodelista"/>
              <w:numPr>
                <w:ilvl w:val="0"/>
                <w:numId w:val="21"/>
              </w:numPr>
              <w:ind w:left="270"/>
              <w:rPr>
                <w:rFonts w:eastAsia="Times New Roman" w:cs="Times New Roman"/>
                <w:color w:val="000000" w:themeColor="text1"/>
                <w:sz w:val="22"/>
                <w:szCs w:val="22"/>
                <w:lang w:val="es-ES"/>
              </w:rPr>
            </w:pPr>
            <w:r w:rsidRPr="00C454A1">
              <w:rPr>
                <w:rFonts w:eastAsia="Times New Roman" w:cs="Times New Roman"/>
                <w:color w:val="000000" w:themeColor="text1"/>
                <w:sz w:val="22"/>
                <w:szCs w:val="22"/>
                <w:lang w:val="es-ES"/>
              </w:rPr>
              <w:t>El artículo 64 de la Ley 1448 de 2011 define la atención humanitaria de emergencia como aquella “a la que tienen derecho las personas u hogares en situación de desplazamiento una vez se haya expedido el acto administrativo que las incluye en el Registro Único de Víctimas, y se entregará de acuerdo con el grado de necesidad y urgencia respecto de su subsistencia mínima”</w:t>
            </w:r>
            <w:r w:rsidRPr="00C454A1">
              <w:rPr>
                <w:rFonts w:eastAsia="Times New Roman" w:cs="Times New Roman"/>
                <w:color w:val="000000" w:themeColor="text1"/>
                <w:sz w:val="22"/>
                <w:szCs w:val="22"/>
                <w:lang w:val="es-ES"/>
              </w:rPr>
              <w:footnoteReference w:id="427"/>
            </w:r>
            <w:r w:rsidRPr="00C454A1">
              <w:rPr>
                <w:rFonts w:eastAsia="Times New Roman" w:cs="Times New Roman"/>
                <w:color w:val="000000" w:themeColor="text1"/>
                <w:sz w:val="22"/>
                <w:szCs w:val="22"/>
                <w:lang w:val="es-ES"/>
              </w:rPr>
              <w:t xml:space="preserve">. </w:t>
            </w:r>
          </w:p>
          <w:p w14:paraId="6003C22D" w14:textId="77777777" w:rsidR="003A0DA8" w:rsidRPr="00C454A1" w:rsidRDefault="003A0DA8" w:rsidP="005F4A6F">
            <w:pPr>
              <w:pStyle w:val="Prrafodelista"/>
              <w:numPr>
                <w:ilvl w:val="0"/>
                <w:numId w:val="21"/>
              </w:numPr>
              <w:ind w:left="270"/>
              <w:rPr>
                <w:rFonts w:eastAsia="Times New Roman" w:cs="Times New Roman"/>
                <w:color w:val="000000" w:themeColor="text1"/>
                <w:sz w:val="22"/>
                <w:szCs w:val="22"/>
                <w:lang w:val="es-ES"/>
              </w:rPr>
            </w:pPr>
            <w:r w:rsidRPr="00C454A1">
              <w:rPr>
                <w:rFonts w:eastAsia="Times New Roman" w:cs="Times New Roman"/>
                <w:color w:val="000000" w:themeColor="text1"/>
                <w:sz w:val="22"/>
                <w:szCs w:val="22"/>
                <w:lang w:val="es-ES"/>
              </w:rPr>
              <w:t>El artículo 168 de la Ley 1448 de 2011 dispone que la UARIV es la entidad responsable de entregar la ayuda humanitaria de emergencia “la cual podrá ser entregada directamente o a través de las entidades territoriales”</w:t>
            </w:r>
            <w:r w:rsidRPr="00C454A1">
              <w:rPr>
                <w:rFonts w:eastAsia="Times New Roman" w:cs="Times New Roman"/>
                <w:color w:val="000000" w:themeColor="text1"/>
                <w:sz w:val="22"/>
                <w:szCs w:val="22"/>
                <w:lang w:val="es-ES"/>
              </w:rPr>
              <w:footnoteReference w:id="428"/>
            </w:r>
            <w:r w:rsidRPr="00C454A1">
              <w:rPr>
                <w:rFonts w:eastAsia="Times New Roman" w:cs="Times New Roman"/>
                <w:color w:val="000000" w:themeColor="text1"/>
                <w:sz w:val="22"/>
                <w:szCs w:val="22"/>
                <w:lang w:val="es-ES"/>
              </w:rPr>
              <w:t xml:space="preserve">. Los componentes de la AHE están reglamentados en el Decreto 2569 de 2014 y compilados en el artículo 2.2.6.5.1.5. del Decreto 1084 de 2015. </w:t>
            </w:r>
          </w:p>
          <w:p w14:paraId="0B3D285E" w14:textId="77777777" w:rsidR="003A0DA8" w:rsidRPr="00C454A1" w:rsidRDefault="003A0DA8" w:rsidP="005F4A6F">
            <w:pPr>
              <w:pStyle w:val="Prrafodelista"/>
              <w:numPr>
                <w:ilvl w:val="0"/>
                <w:numId w:val="21"/>
              </w:numPr>
              <w:ind w:left="270"/>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La Resolución 1645 de 2019 de la UARIV, por su parte, regula el “procedimiento y mecanismos técnicos y operativos de reconocimiento y entrega de la atención humanitaria de emergencia y transición a víctimas de desplazamiento forzado”.</w:t>
            </w:r>
          </w:p>
        </w:tc>
      </w:tr>
      <w:tr w:rsidR="003A0DA8" w:rsidRPr="00C454A1" w14:paraId="677A7D1B" w14:textId="77777777" w:rsidTr="00EE77DF">
        <w:trPr>
          <w:trHeight w:val="300"/>
        </w:trPr>
        <w:tc>
          <w:tcPr>
            <w:tcW w:w="112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26FB433" w14:textId="77777777" w:rsidR="003A0DA8" w:rsidRPr="00C454A1" w:rsidRDefault="003A0DA8" w:rsidP="00EE77DF">
            <w:pPr>
              <w:jc w:val="center"/>
              <w:rPr>
                <w:color w:val="000000" w:themeColor="text1"/>
                <w:sz w:val="22"/>
                <w:szCs w:val="22"/>
              </w:rPr>
            </w:pPr>
            <w:r w:rsidRPr="00C454A1">
              <w:rPr>
                <w:rFonts w:eastAsia="Times New Roman" w:cs="Times New Roman"/>
                <w:b/>
                <w:bCs/>
                <w:color w:val="000000" w:themeColor="text1"/>
                <w:sz w:val="22"/>
                <w:szCs w:val="22"/>
                <w:lang w:val="es"/>
              </w:rPr>
              <w:t>AHT</w:t>
            </w:r>
          </w:p>
        </w:tc>
        <w:tc>
          <w:tcPr>
            <w:tcW w:w="7701" w:type="dxa"/>
            <w:tcBorders>
              <w:top w:val="single" w:sz="8" w:space="0" w:color="auto"/>
              <w:left w:val="single" w:sz="8" w:space="0" w:color="auto"/>
              <w:bottom w:val="single" w:sz="8" w:space="0" w:color="auto"/>
              <w:right w:val="single" w:sz="8" w:space="0" w:color="auto"/>
            </w:tcBorders>
            <w:tcMar>
              <w:left w:w="108" w:type="dxa"/>
              <w:right w:w="108" w:type="dxa"/>
            </w:tcMar>
          </w:tcPr>
          <w:p w14:paraId="5260D28E" w14:textId="77777777" w:rsidR="003A0DA8" w:rsidRPr="00C454A1" w:rsidRDefault="003A0DA8" w:rsidP="00EE77DF">
            <w:pPr>
              <w:rPr>
                <w:color w:val="000000" w:themeColor="text1"/>
                <w:sz w:val="22"/>
                <w:szCs w:val="22"/>
              </w:rPr>
            </w:pPr>
            <w:r w:rsidRPr="00C454A1">
              <w:rPr>
                <w:rFonts w:eastAsia="Times New Roman" w:cs="Times New Roman"/>
                <w:color w:val="000000" w:themeColor="text1"/>
                <w:sz w:val="22"/>
                <w:szCs w:val="22"/>
                <w:lang w:val="es-ES"/>
              </w:rPr>
              <w:t xml:space="preserve">Los artículos 65 de la Ley 1448 de 2011 y 2.2.6.5.2.3 del Decreto 1084 de 2015 disponen que la AHT es la ayuda humanitaria que se entrega a la población en situación de desplazamiento incluida en el RUV, “cuyo desplazamiento haya ocurrido en un término superior a un año contado a partir de la declaración y que, previo análisis de vulnerabilidad, evidencie la persistencia de carencias en los componentes de alimentación y alojamiento como consecuencia del desplazamiento forzado. Esta ayuda cubre los componentes de alimentación, artículos de aseo y alojamiento temporal”. </w:t>
            </w:r>
          </w:p>
        </w:tc>
      </w:tr>
    </w:tbl>
    <w:p w14:paraId="611E67BF" w14:textId="77777777" w:rsidR="003A0DA8" w:rsidRPr="00C454A1" w:rsidRDefault="003A0DA8" w:rsidP="003A0DA8">
      <w:pPr>
        <w:rPr>
          <w:color w:val="000000" w:themeColor="text1"/>
        </w:rPr>
      </w:pPr>
    </w:p>
    <w:p w14:paraId="667EFCA6" w14:textId="6F162674" w:rsidR="003A0DA8" w:rsidRPr="00C454A1" w:rsidRDefault="003A0DA8" w:rsidP="00A90DEE">
      <w:pPr>
        <w:numPr>
          <w:ilvl w:val="0"/>
          <w:numId w:val="2"/>
        </w:numPr>
        <w:ind w:left="0" w:firstLine="0"/>
        <w:rPr>
          <w:rFonts w:eastAsia="Times New Roman" w:cs="Times New Roman"/>
          <w:color w:val="000000" w:themeColor="text1"/>
          <w:szCs w:val="28"/>
          <w:lang w:val="es"/>
        </w:rPr>
      </w:pPr>
      <w:r w:rsidRPr="00C454A1">
        <w:rPr>
          <w:rFonts w:eastAsia="Aptos" w:cs="Arial"/>
          <w:color w:val="000000" w:themeColor="text1"/>
          <w:lang w:val="es-ES"/>
        </w:rPr>
        <w:t>Para los confinamientos, que según el artículo</w:t>
      </w:r>
      <w:r w:rsidRPr="00C454A1">
        <w:rPr>
          <w:rFonts w:eastAsia="Times New Roman" w:cs="Times New Roman"/>
          <w:color w:val="000000" w:themeColor="text1"/>
          <w:szCs w:val="28"/>
          <w:lang w:val="es"/>
        </w:rPr>
        <w:t xml:space="preserve"> 62A de la Ley 1448 de 2011, adicionado por la Ley 2421 de 2024, también son hechos victimizantes, la ruta de atención y los derechos de las víctimas son similares. </w:t>
      </w:r>
      <w:r w:rsidR="00E37E9E" w:rsidRPr="00C454A1">
        <w:rPr>
          <w:rFonts w:eastAsia="Times New Roman" w:cs="Times New Roman"/>
          <w:color w:val="000000" w:themeColor="text1"/>
          <w:szCs w:val="28"/>
          <w:lang w:val="es"/>
        </w:rPr>
        <w:t>El</w:t>
      </w:r>
      <w:r w:rsidRPr="00C454A1">
        <w:rPr>
          <w:rFonts w:eastAsia="Times New Roman" w:cs="Times New Roman"/>
          <w:color w:val="000000" w:themeColor="text1"/>
          <w:szCs w:val="28"/>
          <w:lang w:val="es"/>
        </w:rPr>
        <w:t xml:space="preserve"> artículo 47 de la Ley 1448 de 2011 dispone que las víctimas de hechos distintos al desplazamiento recibirán ayuda humanitaria “de acuerdo a las necesidades que guarden relación con el hecho victimizante”. La Resolución 4222 de 2021 estableció criterios para la entrega de la </w:t>
      </w:r>
      <w:r w:rsidR="00E37E9E" w:rsidRPr="00C454A1">
        <w:rPr>
          <w:rFonts w:eastAsia="Times New Roman" w:cs="Times New Roman"/>
          <w:color w:val="000000" w:themeColor="text1"/>
          <w:szCs w:val="28"/>
          <w:lang w:val="es"/>
        </w:rPr>
        <w:t>atención</w:t>
      </w:r>
      <w:r w:rsidRPr="00C454A1">
        <w:rPr>
          <w:rFonts w:eastAsia="Times New Roman" w:cs="Times New Roman"/>
          <w:color w:val="000000" w:themeColor="text1"/>
          <w:szCs w:val="28"/>
          <w:lang w:val="es"/>
        </w:rPr>
        <w:t xml:space="preserve"> humanitaria, mientras la Circular 016 de 2022 define el lineamiento técnico específico para los casos de confinamiento y establece reglas para la toma de declaraciones y entrega de AHI y AHE en especie. Acá es importante precisar que la normativa </w:t>
      </w:r>
      <w:r w:rsidR="00FF4B45" w:rsidRPr="00C454A1">
        <w:rPr>
          <w:rFonts w:eastAsia="Times New Roman" w:cs="Times New Roman"/>
          <w:color w:val="000000" w:themeColor="text1"/>
          <w:szCs w:val="28"/>
          <w:lang w:val="es"/>
        </w:rPr>
        <w:t>establece</w:t>
      </w:r>
      <w:r w:rsidRPr="00C454A1">
        <w:rPr>
          <w:rFonts w:eastAsia="Times New Roman" w:cs="Times New Roman"/>
          <w:color w:val="000000" w:themeColor="text1"/>
          <w:szCs w:val="28"/>
          <w:lang w:val="es"/>
        </w:rPr>
        <w:t xml:space="preserve"> que la AHI debe entregar</w:t>
      </w:r>
      <w:r w:rsidR="00FF4B45" w:rsidRPr="00C454A1">
        <w:rPr>
          <w:rFonts w:eastAsia="Times New Roman" w:cs="Times New Roman"/>
          <w:color w:val="000000" w:themeColor="text1"/>
          <w:szCs w:val="28"/>
          <w:lang w:val="es"/>
        </w:rPr>
        <w:t>se</w:t>
      </w:r>
      <w:r w:rsidRPr="00C454A1">
        <w:rPr>
          <w:rFonts w:eastAsia="Times New Roman" w:cs="Times New Roman"/>
          <w:color w:val="000000" w:themeColor="text1"/>
          <w:szCs w:val="28"/>
          <w:lang w:val="es"/>
        </w:rPr>
        <w:t xml:space="preserve"> una sola vez.</w:t>
      </w:r>
    </w:p>
    <w:p w14:paraId="30AF6C95" w14:textId="77777777" w:rsidR="003A0DA8" w:rsidRPr="00C454A1" w:rsidRDefault="003A0DA8" w:rsidP="003A0DA8">
      <w:pPr>
        <w:rPr>
          <w:rFonts w:eastAsia="Times New Roman" w:cs="Times New Roman"/>
          <w:color w:val="000000" w:themeColor="text1"/>
          <w:szCs w:val="28"/>
          <w:lang w:val="es"/>
        </w:rPr>
      </w:pPr>
    </w:p>
    <w:p w14:paraId="54E568C5" w14:textId="2FBB96D8" w:rsidR="003A0DA8" w:rsidRPr="00C454A1" w:rsidRDefault="003A0DA8" w:rsidP="00A90DEE">
      <w:pPr>
        <w:numPr>
          <w:ilvl w:val="0"/>
          <w:numId w:val="2"/>
        </w:numPr>
        <w:ind w:left="0" w:firstLine="0"/>
        <w:rPr>
          <w:rFonts w:eastAsia="Times New Roman" w:cs="Times New Roman"/>
          <w:color w:val="000000" w:themeColor="text1"/>
          <w:szCs w:val="28"/>
          <w:lang w:val="es"/>
        </w:rPr>
      </w:pPr>
      <w:r w:rsidRPr="00C454A1">
        <w:rPr>
          <w:rFonts w:eastAsia="Times New Roman" w:cs="Times New Roman"/>
          <w:color w:val="000000" w:themeColor="text1"/>
          <w:lang w:val="es-ES"/>
        </w:rPr>
        <w:t>Tanto en casos de desplazamientos forzados como de confinamientos, la toma de declaraciones corresponde al Ministerio Público, mientras la entrega de la AHI es responsabilidad de las entidades territoriales receptoras</w:t>
      </w:r>
      <w:r w:rsidRPr="00C454A1">
        <w:rPr>
          <w:rFonts w:eastAsia="Times New Roman" w:cs="Times New Roman"/>
          <w:color w:val="000000" w:themeColor="text1"/>
          <w:vertAlign w:val="superscript"/>
          <w:lang w:val="es-ES"/>
        </w:rPr>
        <w:footnoteReference w:id="429"/>
      </w:r>
      <w:r w:rsidRPr="00C454A1">
        <w:rPr>
          <w:rFonts w:eastAsia="Times New Roman" w:cs="Times New Roman"/>
          <w:color w:val="000000" w:themeColor="text1"/>
          <w:vertAlign w:val="superscript"/>
          <w:lang w:val="es-ES"/>
        </w:rPr>
        <w:t xml:space="preserve"> </w:t>
      </w:r>
      <w:r w:rsidRPr="00C454A1">
        <w:rPr>
          <w:rFonts w:eastAsia="Times New Roman" w:cs="Times New Roman"/>
          <w:color w:val="000000" w:themeColor="text1"/>
          <w:lang w:val="es-ES"/>
        </w:rPr>
        <w:t>o donde se encuentren las comunidades confinadas</w:t>
      </w:r>
      <w:r w:rsidRPr="00C454A1">
        <w:rPr>
          <w:rFonts w:eastAsia="Times New Roman" w:cs="Times New Roman"/>
          <w:color w:val="000000" w:themeColor="text1"/>
          <w:sz w:val="20"/>
          <w:szCs w:val="20"/>
          <w:lang w:val="es-ES"/>
        </w:rPr>
        <w:footnoteReference w:id="430"/>
      </w:r>
      <w:r w:rsidRPr="00C454A1">
        <w:rPr>
          <w:rFonts w:eastAsia="Times New Roman" w:cs="Times New Roman"/>
          <w:color w:val="000000" w:themeColor="text1"/>
          <w:sz w:val="20"/>
          <w:szCs w:val="20"/>
          <w:lang w:val="es-ES"/>
        </w:rPr>
        <w:t>,</w:t>
      </w:r>
      <w:r w:rsidRPr="00C454A1">
        <w:rPr>
          <w:rFonts w:eastAsia="Times New Roman" w:cs="Times New Roman"/>
          <w:color w:val="000000" w:themeColor="text1"/>
          <w:lang w:val="es-ES"/>
        </w:rPr>
        <w:t xml:space="preserve"> y la de las AHE y AHI de la UARIV</w:t>
      </w:r>
      <w:r w:rsidRPr="00C454A1">
        <w:rPr>
          <w:rFonts w:eastAsia="Times New Roman" w:cs="Times New Roman"/>
          <w:color w:val="000000" w:themeColor="text1"/>
          <w:lang w:val="es-ES"/>
        </w:rPr>
        <w:footnoteReference w:id="431"/>
      </w:r>
      <w:r w:rsidRPr="00C454A1">
        <w:rPr>
          <w:rFonts w:eastAsia="Times New Roman" w:cs="Times New Roman"/>
          <w:color w:val="000000" w:themeColor="text1"/>
          <w:lang w:val="es-ES"/>
        </w:rPr>
        <w:t xml:space="preserve">. Sin embargo, la normativa prevé mecanismos de apoyo subsidiario en caso de que las entidades territoriales no tengan capacidad para actuar con la inmediatez requerida. La Resolución 00097 de 2022 señala los criterios para la aplicación a los principios de coordinación, </w:t>
      </w:r>
      <w:r w:rsidR="00192095" w:rsidRPr="00C454A1">
        <w:rPr>
          <w:rFonts w:eastAsia="Times New Roman" w:cs="Times New Roman"/>
          <w:color w:val="000000" w:themeColor="text1"/>
          <w:lang w:val="es-ES"/>
        </w:rPr>
        <w:t>subsidiariedad</w:t>
      </w:r>
      <w:r w:rsidRPr="00C454A1">
        <w:rPr>
          <w:rFonts w:eastAsia="Times New Roman" w:cs="Times New Roman"/>
          <w:color w:val="000000" w:themeColor="text1"/>
          <w:lang w:val="es-ES"/>
        </w:rPr>
        <w:t xml:space="preserve"> y concurrencia, en materia de ayuda y atención humanitaria en inmediatez, atención de emergencias y crisis humanitarias. En relación con los confinamientos, el mecanismo de subsidiariedad es regulado por la </w:t>
      </w:r>
      <w:r w:rsidRPr="00C454A1">
        <w:rPr>
          <w:rFonts w:eastAsia="Times New Roman" w:cs="Times New Roman"/>
          <w:color w:val="000000" w:themeColor="text1"/>
          <w:szCs w:val="28"/>
          <w:lang w:val="es"/>
        </w:rPr>
        <w:t xml:space="preserve">Circular 016 de 2022. </w:t>
      </w:r>
    </w:p>
    <w:p w14:paraId="7FF122D5" w14:textId="77777777" w:rsidR="003A0DA8" w:rsidRPr="00C454A1" w:rsidRDefault="003A0DA8" w:rsidP="003A0DA8">
      <w:pPr>
        <w:rPr>
          <w:rFonts w:eastAsia="Times New Roman" w:cs="Times New Roman"/>
          <w:color w:val="000000" w:themeColor="text1"/>
          <w:szCs w:val="28"/>
          <w:lang w:val="es"/>
        </w:rPr>
      </w:pPr>
    </w:p>
    <w:p w14:paraId="60D23A57" w14:textId="77777777" w:rsidR="003A0DA8" w:rsidRPr="00C454A1" w:rsidRDefault="003A0DA8"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lastRenderedPageBreak/>
        <w:t>Por último, existe una ruta de atención especial para</w:t>
      </w:r>
      <w:r w:rsidRPr="00C454A1">
        <w:rPr>
          <w:rFonts w:eastAsia="Times New Roman" w:cs="Times New Roman"/>
          <w:i/>
          <w:iCs/>
          <w:color w:val="000000" w:themeColor="text1"/>
          <w:szCs w:val="28"/>
          <w:lang w:val="es-ES"/>
        </w:rPr>
        <w:t xml:space="preserve"> </w:t>
      </w:r>
      <w:r w:rsidRPr="00C454A1">
        <w:rPr>
          <w:rFonts w:eastAsia="Times New Roman" w:cs="Times New Roman"/>
          <w:color w:val="000000" w:themeColor="text1"/>
          <w:szCs w:val="28"/>
          <w:lang w:val="es-ES"/>
        </w:rPr>
        <w:t>eventos de tipo masivo prevista en el artículo 22 de la Resolución 00097 de 2022. Un resumen de esta regulación se presenta en la siguiente tabla:</w:t>
      </w:r>
    </w:p>
    <w:p w14:paraId="7C150A45" w14:textId="77777777" w:rsidR="003A0DA8" w:rsidRPr="00C454A1" w:rsidRDefault="003A0DA8" w:rsidP="00222D60">
      <w:pPr>
        <w:rPr>
          <w:rFonts w:eastAsia="Times New Roman" w:cs="Times New Roman"/>
          <w:color w:val="000000" w:themeColor="text1"/>
          <w:szCs w:val="28"/>
          <w:lang w:val="es-ES"/>
        </w:rPr>
      </w:pPr>
    </w:p>
    <w:p w14:paraId="67B1711B" w14:textId="17DFFBC2" w:rsidR="00222D60" w:rsidRPr="00C454A1" w:rsidRDefault="00222D60" w:rsidP="00222D60">
      <w:pPr>
        <w:jc w:val="center"/>
        <w:rPr>
          <w:rFonts w:eastAsia="Times New Roman" w:cs="Times New Roman"/>
          <w:i/>
          <w:iCs/>
          <w:color w:val="000000" w:themeColor="text1"/>
          <w:sz w:val="22"/>
          <w:szCs w:val="22"/>
          <w:lang w:val="es-ES"/>
        </w:rPr>
      </w:pPr>
      <w:r w:rsidRPr="00C454A1">
        <w:rPr>
          <w:rFonts w:eastAsia="Times New Roman" w:cs="Times New Roman"/>
          <w:i/>
          <w:iCs/>
          <w:color w:val="000000" w:themeColor="text1"/>
          <w:sz w:val="22"/>
          <w:szCs w:val="22"/>
          <w:lang w:val="es-ES"/>
        </w:rPr>
        <w:t>Tabla 2</w:t>
      </w:r>
      <w:r w:rsidR="00703A24" w:rsidRPr="00C454A1">
        <w:rPr>
          <w:rFonts w:eastAsia="Times New Roman" w:cs="Times New Roman"/>
          <w:i/>
          <w:iCs/>
          <w:color w:val="000000" w:themeColor="text1"/>
          <w:sz w:val="22"/>
          <w:szCs w:val="22"/>
          <w:lang w:val="es-ES"/>
        </w:rPr>
        <w:t>1</w:t>
      </w:r>
      <w:r w:rsidRPr="00C454A1">
        <w:rPr>
          <w:rFonts w:eastAsia="Times New Roman" w:cs="Times New Roman"/>
          <w:i/>
          <w:iCs/>
          <w:color w:val="000000" w:themeColor="text1"/>
          <w:sz w:val="22"/>
          <w:szCs w:val="22"/>
          <w:lang w:val="es-ES"/>
        </w:rPr>
        <w:t>: ruta para atender eventos de desplazamiento forzado masivos</w:t>
      </w:r>
    </w:p>
    <w:tbl>
      <w:tblPr>
        <w:tblStyle w:val="Tablaconcuadrcula"/>
        <w:tblW w:w="0" w:type="auto"/>
        <w:tblLayout w:type="fixed"/>
        <w:tblLook w:val="04A0" w:firstRow="1" w:lastRow="0" w:firstColumn="1" w:lastColumn="0" w:noHBand="0" w:noVBand="1"/>
      </w:tblPr>
      <w:tblGrid>
        <w:gridCol w:w="1129"/>
        <w:gridCol w:w="7701"/>
      </w:tblGrid>
      <w:tr w:rsidR="00C454A1" w:rsidRPr="00C454A1" w14:paraId="56036AFC" w14:textId="77777777" w:rsidTr="00EE77DF">
        <w:trPr>
          <w:trHeight w:val="300"/>
        </w:trPr>
        <w:tc>
          <w:tcPr>
            <w:tcW w:w="883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E380422" w14:textId="77777777" w:rsidR="003A0DA8" w:rsidRPr="00C454A1" w:rsidRDefault="003A0DA8" w:rsidP="00EE77DF">
            <w:pPr>
              <w:jc w:val="center"/>
              <w:rPr>
                <w:color w:val="000000" w:themeColor="text1"/>
                <w:sz w:val="22"/>
                <w:szCs w:val="22"/>
              </w:rPr>
            </w:pPr>
            <w:r w:rsidRPr="00C454A1">
              <w:rPr>
                <w:rFonts w:eastAsia="Times New Roman" w:cs="Times New Roman"/>
                <w:b/>
                <w:bCs/>
                <w:color w:val="000000" w:themeColor="text1"/>
                <w:sz w:val="22"/>
                <w:szCs w:val="22"/>
                <w:lang w:val="es"/>
              </w:rPr>
              <w:t>Ruta directa para eventos de tipo masivo</w:t>
            </w:r>
          </w:p>
        </w:tc>
      </w:tr>
      <w:tr w:rsidR="00C454A1" w:rsidRPr="00C454A1" w14:paraId="058B8F8A" w14:textId="77777777" w:rsidTr="00EE77DF">
        <w:trPr>
          <w:trHeight w:val="300"/>
        </w:trPr>
        <w:tc>
          <w:tcPr>
            <w:tcW w:w="112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C2C2F32" w14:textId="77777777" w:rsidR="003A0DA8" w:rsidRPr="00C454A1" w:rsidRDefault="003A0DA8" w:rsidP="00EE77DF">
            <w:pPr>
              <w:jc w:val="center"/>
              <w:rPr>
                <w:rFonts w:eastAsia="Times New Roman" w:cs="Times New Roman"/>
                <w:b/>
                <w:bCs/>
                <w:color w:val="000000" w:themeColor="text1"/>
                <w:sz w:val="22"/>
                <w:szCs w:val="22"/>
                <w:u w:val="single"/>
                <w:vertAlign w:val="superscript"/>
                <w:lang w:val="es"/>
              </w:rPr>
            </w:pPr>
            <w:r w:rsidRPr="00C454A1">
              <w:rPr>
                <w:rFonts w:eastAsia="Times New Roman" w:cs="Times New Roman"/>
                <w:b/>
                <w:bCs/>
                <w:color w:val="000000" w:themeColor="text1"/>
                <w:sz w:val="22"/>
                <w:szCs w:val="22"/>
                <w:lang w:val="es"/>
              </w:rPr>
              <w:t>Requisito</w:t>
            </w:r>
          </w:p>
        </w:tc>
        <w:tc>
          <w:tcPr>
            <w:tcW w:w="7701" w:type="dxa"/>
            <w:tcBorders>
              <w:top w:val="nil"/>
              <w:left w:val="single" w:sz="8" w:space="0" w:color="auto"/>
              <w:bottom w:val="single" w:sz="8" w:space="0" w:color="auto"/>
              <w:right w:val="single" w:sz="8" w:space="0" w:color="auto"/>
            </w:tcBorders>
            <w:tcMar>
              <w:left w:w="108" w:type="dxa"/>
              <w:right w:w="108" w:type="dxa"/>
            </w:tcMar>
          </w:tcPr>
          <w:p w14:paraId="261B6F5A" w14:textId="77777777" w:rsidR="003A0DA8" w:rsidRPr="00C454A1" w:rsidRDefault="003A0DA8" w:rsidP="00EE77DF">
            <w:pPr>
              <w:rPr>
                <w:color w:val="000000" w:themeColor="text1"/>
                <w:sz w:val="22"/>
                <w:szCs w:val="22"/>
              </w:rPr>
            </w:pPr>
            <w:r w:rsidRPr="00C454A1">
              <w:rPr>
                <w:rFonts w:eastAsia="Times New Roman" w:cs="Times New Roman"/>
                <w:color w:val="000000" w:themeColor="text1"/>
                <w:sz w:val="22"/>
                <w:szCs w:val="22"/>
                <w:lang w:val="es-ES"/>
              </w:rPr>
              <w:t>Las entidades territoriales podrán acceder a la ruta directa para eventos de tipo masivo de manera excepcional siempre y cuando cumplan con lo dispuesto en la orden 30 del Auto 373 de 2016, así como la orden 8ª del Auto 811 de 2021 de la Corte Constitucional, a saber: (i) estar entre los 10 municipios más receptores y en las zonas determinadas por la Corte Constitucional en el Auto 811 de 2021, (ii) enfrentar crisis humanitarias recurrentes, (iii) encontrarse en categorías 5 y 6 o bajo la Ley 550 de 1999, y (iv) no cumplir con los presupuestos de normalidad para realizar una gestión ordinaria en el marco de los esquemas habituales de planeación y articulación que contemplan los Planes de Acción Territorial (PAT) y los Planes de Contingencia.</w:t>
            </w:r>
          </w:p>
        </w:tc>
      </w:tr>
      <w:tr w:rsidR="003A0DA8" w:rsidRPr="00C454A1" w14:paraId="71ACB42B" w14:textId="77777777" w:rsidTr="00EE77DF">
        <w:trPr>
          <w:trHeight w:val="300"/>
        </w:trPr>
        <w:tc>
          <w:tcPr>
            <w:tcW w:w="112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60E4B51" w14:textId="77777777" w:rsidR="003A0DA8" w:rsidRPr="00C454A1" w:rsidRDefault="003A0DA8" w:rsidP="00EE77DF">
            <w:pPr>
              <w:jc w:val="center"/>
              <w:rPr>
                <w:rFonts w:eastAsia="Times New Roman" w:cs="Times New Roman"/>
                <w:b/>
                <w:bCs/>
                <w:color w:val="000000" w:themeColor="text1"/>
                <w:sz w:val="22"/>
                <w:szCs w:val="22"/>
                <w:u w:val="single"/>
                <w:vertAlign w:val="superscript"/>
                <w:lang w:val="es"/>
              </w:rPr>
            </w:pPr>
            <w:r w:rsidRPr="00C454A1">
              <w:rPr>
                <w:rFonts w:eastAsia="Times New Roman" w:cs="Times New Roman"/>
                <w:b/>
                <w:bCs/>
                <w:color w:val="000000" w:themeColor="text1"/>
                <w:sz w:val="22"/>
                <w:szCs w:val="22"/>
                <w:lang w:val="es"/>
              </w:rPr>
              <w:t>Criterios</w:t>
            </w:r>
          </w:p>
        </w:tc>
        <w:tc>
          <w:tcPr>
            <w:tcW w:w="7701" w:type="dxa"/>
            <w:tcBorders>
              <w:top w:val="single" w:sz="8" w:space="0" w:color="auto"/>
              <w:left w:val="single" w:sz="8" w:space="0" w:color="auto"/>
              <w:bottom w:val="single" w:sz="8" w:space="0" w:color="auto"/>
              <w:right w:val="single" w:sz="8" w:space="0" w:color="auto"/>
            </w:tcBorders>
            <w:tcMar>
              <w:left w:w="108" w:type="dxa"/>
              <w:right w:w="108" w:type="dxa"/>
            </w:tcMar>
          </w:tcPr>
          <w:p w14:paraId="7D6C4660" w14:textId="77777777" w:rsidR="003A0DA8" w:rsidRPr="00C454A1" w:rsidRDefault="003A0DA8" w:rsidP="00EE77DF">
            <w:pPr>
              <w:rPr>
                <w:color w:val="000000" w:themeColor="text1"/>
                <w:sz w:val="22"/>
                <w:szCs w:val="22"/>
              </w:rPr>
            </w:pPr>
            <w:r w:rsidRPr="00C454A1">
              <w:rPr>
                <w:rFonts w:eastAsia="Times New Roman" w:cs="Times New Roman"/>
                <w:color w:val="000000" w:themeColor="text1"/>
                <w:sz w:val="22"/>
                <w:szCs w:val="22"/>
                <w:lang w:val="es"/>
              </w:rPr>
              <w:t>La UARIV activará la ruta para eventos masivos conforme a los siguientes criterios:</w:t>
            </w:r>
          </w:p>
          <w:p w14:paraId="3DD4DCEB" w14:textId="77777777" w:rsidR="003A0DA8" w:rsidRPr="00C454A1" w:rsidRDefault="003A0DA8" w:rsidP="005F4A6F">
            <w:pPr>
              <w:pStyle w:val="Prrafodelista"/>
              <w:numPr>
                <w:ilvl w:val="0"/>
                <w:numId w:val="24"/>
              </w:numPr>
              <w:ind w:left="643" w:hanging="283"/>
              <w:rPr>
                <w:rFonts w:eastAsia="Times New Roman" w:cs="Times New Roman"/>
                <w:color w:val="000000" w:themeColor="text1"/>
                <w:sz w:val="22"/>
                <w:szCs w:val="22"/>
                <w:lang w:val="es"/>
              </w:rPr>
            </w:pPr>
            <w:r w:rsidRPr="00C454A1">
              <w:rPr>
                <w:rFonts w:eastAsia="Times New Roman" w:cs="Times New Roman"/>
                <w:color w:val="000000" w:themeColor="text1"/>
                <w:sz w:val="22"/>
                <w:szCs w:val="22"/>
                <w:lang w:val="es"/>
              </w:rPr>
              <w:t>Cuando se identifique que el evento de tipo masivo desborda la capacidad técnica, administrativa y financiera de la entidad territorial. En estos eventos, la UARIV “</w:t>
            </w:r>
            <w:r w:rsidRPr="00C454A1">
              <w:rPr>
                <w:rFonts w:eastAsia="Times New Roman" w:cs="Times New Roman"/>
                <w:i/>
                <w:iCs/>
                <w:color w:val="000000" w:themeColor="text1"/>
                <w:sz w:val="22"/>
                <w:szCs w:val="22"/>
                <w:lang w:val="es"/>
              </w:rPr>
              <w:t>flexibilizará</w:t>
            </w:r>
            <w:r w:rsidRPr="00C454A1">
              <w:rPr>
                <w:rFonts w:eastAsia="Times New Roman" w:cs="Times New Roman"/>
                <w:color w:val="000000" w:themeColor="text1"/>
                <w:sz w:val="22"/>
                <w:szCs w:val="22"/>
                <w:lang w:val="es"/>
              </w:rPr>
              <w:t xml:space="preserve"> la exigibilidad de los documentos previos, </w:t>
            </w:r>
            <w:r w:rsidRPr="00C454A1">
              <w:rPr>
                <w:rFonts w:eastAsia="Times New Roman" w:cs="Times New Roman"/>
                <w:color w:val="000000" w:themeColor="text1"/>
                <w:sz w:val="22"/>
                <w:szCs w:val="22"/>
                <w:u w:val="single"/>
                <w:lang w:val="es"/>
              </w:rPr>
              <w:t>a excepción del censo de población, documento obligatorio para la atención del evento”</w:t>
            </w:r>
            <w:r w:rsidRPr="00C454A1">
              <w:rPr>
                <w:rFonts w:eastAsia="Times New Roman" w:cs="Times New Roman"/>
                <w:color w:val="000000" w:themeColor="text1"/>
                <w:sz w:val="22"/>
                <w:szCs w:val="22"/>
                <w:lang w:val="es"/>
              </w:rPr>
              <w:t xml:space="preserve"> (énfasis añadido). </w:t>
            </w:r>
          </w:p>
          <w:p w14:paraId="2A2BE995" w14:textId="77777777" w:rsidR="003A0DA8" w:rsidRPr="00C454A1" w:rsidRDefault="003A0DA8" w:rsidP="005F4A6F">
            <w:pPr>
              <w:pStyle w:val="Prrafodelista"/>
              <w:numPr>
                <w:ilvl w:val="0"/>
                <w:numId w:val="24"/>
              </w:numPr>
              <w:ind w:left="643" w:hanging="283"/>
              <w:rPr>
                <w:rFonts w:eastAsia="Times New Roman" w:cs="Times New Roman"/>
                <w:color w:val="000000" w:themeColor="text1"/>
                <w:sz w:val="22"/>
                <w:szCs w:val="22"/>
                <w:lang w:val="es-ES"/>
              </w:rPr>
            </w:pPr>
            <w:r w:rsidRPr="00C454A1">
              <w:rPr>
                <w:rFonts w:eastAsia="Times New Roman" w:cs="Times New Roman"/>
                <w:color w:val="000000" w:themeColor="text1"/>
                <w:sz w:val="22"/>
                <w:szCs w:val="22"/>
                <w:lang w:val="es-ES"/>
              </w:rPr>
              <w:t>En el Comité Territorial de Justicia Transicional se adelantarán las acciones indispensables para “garantizar la integralidad de los procesos de atención, a saber: i) la identificación y verificación de las poblaciones a atender; ii) identificación de las necesidades en materia de atención inmediata en todos los componentes definidos en el artículo 63 de la Ley 1448 de 2021, los cuales no se circunscriben, únicamente, a la entrega de alojamiento y alimentación; iii) la definición de los recursos (técnicos, logísticos y presupuestales) para garantizar todos los componentes de la atención; y, iv) la coordinación de los distintos niveles administrativos y los actores involucrados en los procesos de atención, tales como organizaciones de socorro”.</w:t>
            </w:r>
          </w:p>
        </w:tc>
      </w:tr>
    </w:tbl>
    <w:p w14:paraId="28F84A41" w14:textId="77777777" w:rsidR="003A0DA8" w:rsidRPr="00C454A1" w:rsidRDefault="003A0DA8" w:rsidP="003A0DA8">
      <w:pPr>
        <w:rPr>
          <w:rFonts w:eastAsia="Times New Roman" w:cs="Times New Roman"/>
          <w:color w:val="000000" w:themeColor="text1"/>
          <w:szCs w:val="28"/>
          <w:lang w:val="es-ES"/>
        </w:rPr>
      </w:pPr>
    </w:p>
    <w:p w14:paraId="529E3554" w14:textId="3691FE59" w:rsidR="006373D3" w:rsidRPr="00C454A1" w:rsidRDefault="002E77CA" w:rsidP="005F4A6F">
      <w:pPr>
        <w:pStyle w:val="Prrafodelista"/>
        <w:numPr>
          <w:ilvl w:val="0"/>
          <w:numId w:val="20"/>
        </w:numPr>
        <w:rPr>
          <w:rFonts w:eastAsia="Times New Roman" w:cs="Times New Roman"/>
          <w:b/>
          <w:bCs/>
          <w:color w:val="000000" w:themeColor="text1"/>
          <w:lang w:val="es-ES"/>
        </w:rPr>
      </w:pPr>
      <w:r w:rsidRPr="00C454A1">
        <w:rPr>
          <w:rFonts w:eastAsia="Times New Roman" w:cs="Times New Roman"/>
          <w:b/>
          <w:bCs/>
          <w:color w:val="000000" w:themeColor="text1"/>
          <w:lang w:val="es-ES"/>
        </w:rPr>
        <w:t>Descripción</w:t>
      </w:r>
      <w:r w:rsidR="006373D3" w:rsidRPr="00C454A1">
        <w:rPr>
          <w:rFonts w:eastAsia="Times New Roman" w:cs="Times New Roman"/>
          <w:b/>
          <w:bCs/>
          <w:color w:val="000000" w:themeColor="text1"/>
          <w:lang w:val="es-ES"/>
        </w:rPr>
        <w:t xml:space="preserve"> general de las atribuciones ordinarias del Gobierno nacional para brindar garantías de seguridad y protección a la población firmante del AFP</w:t>
      </w:r>
    </w:p>
    <w:p w14:paraId="5FEAED4B" w14:textId="77777777" w:rsidR="006373D3" w:rsidRPr="00C454A1" w:rsidRDefault="006373D3" w:rsidP="003A0DA8">
      <w:pPr>
        <w:rPr>
          <w:rFonts w:eastAsia="Times New Roman" w:cs="Times New Roman"/>
          <w:color w:val="000000" w:themeColor="text1"/>
          <w:szCs w:val="28"/>
          <w:lang w:val="es-ES"/>
        </w:rPr>
      </w:pPr>
    </w:p>
    <w:p w14:paraId="58457A5A" w14:textId="7B5ABAD6" w:rsidR="003A0DA8" w:rsidRPr="00C454A1" w:rsidRDefault="003A0DA8"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 xml:space="preserve">Respecto a los derechos de los firmantes del </w:t>
      </w:r>
      <w:r w:rsidR="00D34A3A" w:rsidRPr="00C454A1">
        <w:rPr>
          <w:rFonts w:eastAsia="Times New Roman" w:cs="Times New Roman"/>
          <w:color w:val="000000" w:themeColor="text1"/>
          <w:szCs w:val="28"/>
          <w:lang w:val="es-ES"/>
        </w:rPr>
        <w:t>AFP,</w:t>
      </w:r>
      <w:r w:rsidRPr="00C454A1">
        <w:rPr>
          <w:rFonts w:eastAsia="Times New Roman" w:cs="Times New Roman"/>
          <w:color w:val="000000" w:themeColor="text1"/>
          <w:szCs w:val="28"/>
          <w:lang w:val="es-ES"/>
        </w:rPr>
        <w:t xml:space="preserve"> l</w:t>
      </w:r>
      <w:r w:rsidRPr="00C454A1">
        <w:rPr>
          <w:rFonts w:eastAsia="Times New Roman" w:cs="Times New Roman"/>
          <w:color w:val="000000" w:themeColor="text1"/>
          <w:szCs w:val="28"/>
          <w:lang w:val="es"/>
        </w:rPr>
        <w:t xml:space="preserve">a Corte Constitucional constata que, como en los casos anteriores, el ordenamiento jurídico de normalidad prevé un amplio marco constitucional, legal y reglamentario para la protección y la reincorporación de esta población. </w:t>
      </w:r>
      <w:r w:rsidR="00E6513A" w:rsidRPr="00C454A1">
        <w:rPr>
          <w:rFonts w:eastAsia="Times New Roman" w:cs="Times New Roman"/>
          <w:color w:val="000000" w:themeColor="text1"/>
          <w:szCs w:val="28"/>
          <w:lang w:val="es-ES"/>
        </w:rPr>
        <w:t>E</w:t>
      </w:r>
      <w:r w:rsidRPr="00C454A1">
        <w:rPr>
          <w:rFonts w:eastAsia="Times New Roman" w:cs="Times New Roman"/>
          <w:color w:val="000000" w:themeColor="text1"/>
          <w:szCs w:val="28"/>
          <w:lang w:val="es-ES"/>
        </w:rPr>
        <w:t xml:space="preserve">l marco legal ordinario incluye el Decreto 4065 de 2011 que creó la UNP. Por su parte, el </w:t>
      </w:r>
      <w:r w:rsidR="00637430" w:rsidRPr="00C454A1">
        <w:rPr>
          <w:rFonts w:eastAsia="Times New Roman" w:cs="Times New Roman"/>
          <w:color w:val="000000" w:themeColor="text1"/>
          <w:szCs w:val="28"/>
          <w:lang w:val="es-ES"/>
        </w:rPr>
        <w:t>AFP</w:t>
      </w:r>
      <w:r w:rsidRPr="00C454A1">
        <w:rPr>
          <w:rFonts w:eastAsia="Times New Roman" w:cs="Times New Roman"/>
          <w:color w:val="000000" w:themeColor="text1"/>
          <w:szCs w:val="28"/>
          <w:lang w:val="es-ES"/>
        </w:rPr>
        <w:t xml:space="preserve"> suscrito en 2016 contempla garantías especiales y reforzadas de seguridad para el ejercicio de la política de las personas que, tras haber formado parte de las extintas FARC-EP, depusieron las armas e iniciaron su proceso de reincorporación</w:t>
      </w:r>
      <w:r w:rsidRPr="00C454A1">
        <w:rPr>
          <w:rFonts w:eastAsia="Times New Roman" w:cs="Times New Roman"/>
          <w:color w:val="000000" w:themeColor="text1"/>
          <w:sz w:val="20"/>
          <w:szCs w:val="20"/>
          <w:lang w:val="es-ES"/>
        </w:rPr>
        <w:footnoteReference w:id="432"/>
      </w:r>
      <w:r w:rsidRPr="00C454A1">
        <w:rPr>
          <w:rFonts w:eastAsia="Times New Roman" w:cs="Times New Roman"/>
          <w:color w:val="000000" w:themeColor="text1"/>
          <w:sz w:val="20"/>
          <w:szCs w:val="20"/>
          <w:lang w:val="es-ES"/>
        </w:rPr>
        <w:t>.</w:t>
      </w:r>
      <w:r w:rsidRPr="00C454A1">
        <w:rPr>
          <w:rFonts w:eastAsia="Times New Roman" w:cs="Times New Roman"/>
          <w:color w:val="000000" w:themeColor="text1"/>
          <w:szCs w:val="28"/>
          <w:lang w:val="es-ES"/>
        </w:rPr>
        <w:t xml:space="preserve"> En particular, los puntos 2.1.2, 3.2 y 3.4 se refieren al componente de las garantías de seguridad de la población firmante de paz.  La Sala Especial de Seguimiento a la Sentencia SU-020 de 2022 ha reiterado que el componente de seguridad del Acuerdo comprende cinco subcomponentes y tres ejes transversales. Los subcomponentes son: (i) la protección, (ii) la prevención y reacción, (iii) la reincorporación integral, (iv) la política criminal y (v) el seguimiento. Los ejes transversales, por su parte, son</w:t>
      </w:r>
      <w:r w:rsidR="00E6513A" w:rsidRPr="00C454A1">
        <w:rPr>
          <w:rFonts w:eastAsia="Times New Roman" w:cs="Times New Roman"/>
          <w:color w:val="000000" w:themeColor="text1"/>
          <w:szCs w:val="28"/>
          <w:lang w:val="es-ES"/>
        </w:rPr>
        <w:t>:</w:t>
      </w:r>
      <w:r w:rsidRPr="00C454A1">
        <w:rPr>
          <w:rFonts w:eastAsia="Times New Roman" w:cs="Times New Roman"/>
          <w:color w:val="000000" w:themeColor="text1"/>
          <w:szCs w:val="28"/>
          <w:lang w:val="es-ES"/>
        </w:rPr>
        <w:t xml:space="preserve"> (a) ajustes de </w:t>
      </w:r>
      <w:r w:rsidRPr="00C454A1">
        <w:rPr>
          <w:rFonts w:eastAsia="Times New Roman" w:cs="Times New Roman"/>
          <w:color w:val="000000" w:themeColor="text1"/>
          <w:szCs w:val="28"/>
          <w:lang w:val="es-ES"/>
        </w:rPr>
        <w:lastRenderedPageBreak/>
        <w:t>diseño institucional; (b) priorización y (c) enfoques diferenciales. Estos ejes deben “estar presentes en todos los subcomponentes de la política de seguridad para los firmantes de ese instrumento. En ese sentido, moldean la implementación de las garantías de seguridad de esta población</w:t>
      </w:r>
      <w:r w:rsidR="00637430" w:rsidRPr="00C454A1">
        <w:rPr>
          <w:rFonts w:eastAsia="Times New Roman" w:cs="Times New Roman"/>
          <w:color w:val="000000" w:themeColor="text1"/>
          <w:szCs w:val="28"/>
          <w:lang w:val="es-ES"/>
        </w:rPr>
        <w:t>,</w:t>
      </w:r>
      <w:r w:rsidRPr="00C454A1">
        <w:rPr>
          <w:rFonts w:eastAsia="Times New Roman" w:cs="Times New Roman"/>
          <w:color w:val="000000" w:themeColor="text1"/>
          <w:szCs w:val="28"/>
          <w:lang w:val="es-ES"/>
        </w:rPr>
        <w:t xml:space="preserve"> pues cualifican y orientan su implementación, así como el ejercicio de las distintas funciones a las que se refieren los subcomponentes”</w:t>
      </w:r>
      <w:r w:rsidRPr="00C454A1">
        <w:rPr>
          <w:rFonts w:eastAsia="Times New Roman" w:cs="Times New Roman"/>
          <w:color w:val="000000" w:themeColor="text1"/>
          <w:szCs w:val="28"/>
          <w:vertAlign w:val="superscript"/>
          <w:lang w:val="es-ES"/>
        </w:rPr>
        <w:footnoteReference w:id="433"/>
      </w:r>
      <w:r w:rsidRPr="00C454A1">
        <w:rPr>
          <w:rFonts w:eastAsia="Times New Roman" w:cs="Times New Roman"/>
          <w:color w:val="000000" w:themeColor="text1"/>
          <w:szCs w:val="28"/>
          <w:vertAlign w:val="superscript"/>
          <w:lang w:val="es-ES"/>
        </w:rPr>
        <w:t>.</w:t>
      </w:r>
      <w:r w:rsidRPr="00C454A1">
        <w:rPr>
          <w:rFonts w:eastAsia="Times New Roman" w:cs="Times New Roman"/>
          <w:color w:val="000000" w:themeColor="text1"/>
          <w:szCs w:val="28"/>
          <w:lang w:val="es-ES"/>
        </w:rPr>
        <w:t xml:space="preserve"> </w:t>
      </w:r>
    </w:p>
    <w:p w14:paraId="7C73A742" w14:textId="77777777" w:rsidR="003A0DA8" w:rsidRPr="00C454A1" w:rsidRDefault="003A0DA8" w:rsidP="003A0DA8">
      <w:pPr>
        <w:rPr>
          <w:color w:val="000000" w:themeColor="text1"/>
        </w:rPr>
      </w:pPr>
    </w:p>
    <w:p w14:paraId="7BE483A3" w14:textId="77777777" w:rsidR="003A0DA8" w:rsidRPr="00C454A1" w:rsidRDefault="003A0DA8"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 xml:space="preserve">Específicamente, el subcomponente de protección es uno de los elementos del </w:t>
      </w:r>
      <w:bookmarkStart w:id="216" w:name="OLE_LINK1"/>
      <w:r w:rsidRPr="00C454A1">
        <w:rPr>
          <w:rFonts w:eastAsia="Times New Roman" w:cs="Times New Roman"/>
          <w:color w:val="000000" w:themeColor="text1"/>
          <w:szCs w:val="28"/>
          <w:lang w:val="es-ES"/>
        </w:rPr>
        <w:t xml:space="preserve">Sistema Integral de Seguridad para el Ejercicio de la Política </w:t>
      </w:r>
      <w:bookmarkEnd w:id="216"/>
      <w:r w:rsidRPr="00C454A1">
        <w:rPr>
          <w:rFonts w:eastAsia="Times New Roman" w:cs="Times New Roman"/>
          <w:color w:val="000000" w:themeColor="text1"/>
          <w:szCs w:val="28"/>
          <w:lang w:val="es-ES"/>
        </w:rPr>
        <w:t>(SISEP) e “incluye programas, planes, instancias y entidades encargadas de las medidas de protección principalmente para los firmantes del instrumento que están en proceso de reincorporación, los integrantes de nuevos movimientos o partidos políticos –como Comunes–, sus actividades y sedes, al igual que todas sus familias”</w:t>
      </w:r>
      <w:r w:rsidRPr="00C454A1">
        <w:rPr>
          <w:rFonts w:eastAsia="Times New Roman" w:cs="Times New Roman"/>
          <w:color w:val="000000" w:themeColor="text1"/>
          <w:szCs w:val="28"/>
          <w:vertAlign w:val="superscript"/>
          <w:lang w:val="es-ES"/>
        </w:rPr>
        <w:footnoteReference w:id="434"/>
      </w:r>
      <w:r w:rsidRPr="00C454A1">
        <w:rPr>
          <w:rFonts w:eastAsia="Times New Roman" w:cs="Times New Roman"/>
          <w:color w:val="000000" w:themeColor="text1"/>
          <w:szCs w:val="28"/>
          <w:lang w:val="es-ES"/>
        </w:rPr>
        <w:t xml:space="preserve">. </w:t>
      </w:r>
    </w:p>
    <w:p w14:paraId="089AFD61" w14:textId="77777777" w:rsidR="003A0DA8" w:rsidRPr="00C454A1" w:rsidRDefault="003A0DA8" w:rsidP="003A0DA8">
      <w:pPr>
        <w:rPr>
          <w:color w:val="000000" w:themeColor="text1"/>
        </w:rPr>
      </w:pPr>
    </w:p>
    <w:p w14:paraId="3CF71AC6" w14:textId="77777777" w:rsidR="003A0DA8" w:rsidRPr="00C454A1" w:rsidRDefault="003A0DA8"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En el Auto 826 de 2024, la Corte explicó que “los desarrollos normativos más importantes de este subcomponente son: (i) el Programa de protección integral para los y las integrantes del nuevo movimiento o partido político que surja del tránsito de las FARC-EP a la vida política legal, actividades y sedes, así como todos los firmantes que estén en proceso de reincorporación y sus familias”</w:t>
      </w:r>
      <w:r w:rsidRPr="00C454A1">
        <w:rPr>
          <w:rFonts w:eastAsia="Times New Roman" w:cs="Times New Roman"/>
          <w:color w:val="000000" w:themeColor="text1"/>
          <w:szCs w:val="28"/>
          <w:vertAlign w:val="superscript"/>
          <w:lang w:val="es-ES"/>
        </w:rPr>
        <w:footnoteReference w:id="435"/>
      </w:r>
      <w:r w:rsidRPr="00C454A1">
        <w:rPr>
          <w:rFonts w:eastAsia="Times New Roman" w:cs="Times New Roman"/>
          <w:color w:val="000000" w:themeColor="text1"/>
          <w:szCs w:val="28"/>
          <w:lang w:val="es-ES"/>
        </w:rPr>
        <w:t>; (ii) el Programa de Protección Especializada de Seguridad y Protección</w:t>
      </w:r>
      <w:r w:rsidRPr="00C454A1">
        <w:rPr>
          <w:rFonts w:eastAsia="Times New Roman" w:cs="Times New Roman"/>
          <w:color w:val="000000" w:themeColor="text1"/>
          <w:szCs w:val="28"/>
          <w:vertAlign w:val="superscript"/>
          <w:lang w:val="es-ES"/>
        </w:rPr>
        <w:footnoteReference w:id="436"/>
      </w:r>
      <w:r w:rsidRPr="00C454A1">
        <w:rPr>
          <w:rFonts w:eastAsia="Times New Roman" w:cs="Times New Roman"/>
          <w:color w:val="000000" w:themeColor="text1"/>
          <w:szCs w:val="28"/>
          <w:lang w:val="es-ES"/>
        </w:rPr>
        <w:t>; (iii) el Programa Integral de Seguridad y Protección para Comunidades y Organizaciones en los Territorios</w:t>
      </w:r>
      <w:r w:rsidRPr="00C454A1">
        <w:rPr>
          <w:rFonts w:eastAsia="Times New Roman" w:cs="Times New Roman"/>
          <w:color w:val="000000" w:themeColor="text1"/>
          <w:szCs w:val="28"/>
          <w:vertAlign w:val="superscript"/>
          <w:lang w:val="es-ES"/>
        </w:rPr>
        <w:footnoteReference w:id="437"/>
      </w:r>
      <w:r w:rsidRPr="00C454A1">
        <w:rPr>
          <w:rFonts w:eastAsia="Times New Roman" w:cs="Times New Roman"/>
          <w:color w:val="000000" w:themeColor="text1"/>
          <w:szCs w:val="28"/>
          <w:lang w:val="es-ES"/>
        </w:rPr>
        <w:t>; (iv) el Programa de Protección para Organizaciones Políticas Declaradas en Oposición</w:t>
      </w:r>
      <w:r w:rsidRPr="00C454A1">
        <w:rPr>
          <w:rFonts w:eastAsia="Times New Roman" w:cs="Times New Roman"/>
          <w:color w:val="000000" w:themeColor="text1"/>
          <w:szCs w:val="28"/>
          <w:vertAlign w:val="superscript"/>
          <w:lang w:val="es-ES"/>
        </w:rPr>
        <w:footnoteReference w:id="438"/>
      </w:r>
      <w:r w:rsidRPr="00C454A1">
        <w:rPr>
          <w:rFonts w:eastAsia="Times New Roman" w:cs="Times New Roman"/>
          <w:color w:val="000000" w:themeColor="text1"/>
          <w:szCs w:val="28"/>
          <w:lang w:val="es-ES"/>
        </w:rPr>
        <w:t xml:space="preserve">; (v) la </w:t>
      </w:r>
      <w:r w:rsidRPr="00C454A1">
        <w:rPr>
          <w:rFonts w:eastAsia="Times New Roman" w:cs="Times New Roman"/>
          <w:color w:val="000000" w:themeColor="text1"/>
          <w:szCs w:val="28"/>
          <w:lang w:val="es-ES"/>
        </w:rPr>
        <w:lastRenderedPageBreak/>
        <w:t>Ruta de Protección Colectiva</w:t>
      </w:r>
      <w:r w:rsidRPr="00C454A1">
        <w:rPr>
          <w:rFonts w:eastAsia="Times New Roman" w:cs="Times New Roman"/>
          <w:color w:val="000000" w:themeColor="text1"/>
          <w:szCs w:val="28"/>
          <w:vertAlign w:val="superscript"/>
          <w:lang w:val="es-ES"/>
        </w:rPr>
        <w:footnoteReference w:id="439"/>
      </w:r>
      <w:r w:rsidRPr="00C454A1">
        <w:rPr>
          <w:rFonts w:eastAsia="Times New Roman" w:cs="Times New Roman"/>
          <w:color w:val="000000" w:themeColor="text1"/>
          <w:szCs w:val="28"/>
          <w:lang w:val="es-ES"/>
        </w:rPr>
        <w:t xml:space="preserve"> y (vi) el Plan Estratégico de Seguridad y Protección, en lo relacionado con medidas de protección”</w:t>
      </w:r>
      <w:r w:rsidRPr="00C454A1">
        <w:rPr>
          <w:rFonts w:eastAsia="Times New Roman" w:cs="Times New Roman"/>
          <w:color w:val="000000" w:themeColor="text1"/>
          <w:szCs w:val="28"/>
          <w:vertAlign w:val="superscript"/>
          <w:lang w:val="es-ES"/>
        </w:rPr>
        <w:footnoteReference w:id="440"/>
      </w:r>
      <w:r w:rsidRPr="00C454A1">
        <w:rPr>
          <w:rFonts w:eastAsia="Times New Roman" w:cs="Times New Roman"/>
          <w:color w:val="000000" w:themeColor="text1"/>
          <w:szCs w:val="28"/>
          <w:lang w:val="es-ES"/>
        </w:rPr>
        <w:t>.</w:t>
      </w:r>
    </w:p>
    <w:p w14:paraId="6ECB0208" w14:textId="77777777" w:rsidR="003A0DA8" w:rsidRPr="00C454A1" w:rsidRDefault="003A0DA8" w:rsidP="003A0DA8">
      <w:pPr>
        <w:rPr>
          <w:color w:val="000000" w:themeColor="text1"/>
        </w:rPr>
      </w:pPr>
    </w:p>
    <w:p w14:paraId="64C732A5" w14:textId="16752ADF" w:rsidR="003A0DA8" w:rsidRPr="00C454A1" w:rsidRDefault="003A0DA8" w:rsidP="00A90DEE">
      <w:pPr>
        <w:numPr>
          <w:ilvl w:val="0"/>
          <w:numId w:val="2"/>
        </w:numPr>
        <w:ind w:left="0" w:firstLine="0"/>
        <w:rPr>
          <w:color w:val="000000" w:themeColor="text1"/>
        </w:rPr>
      </w:pPr>
      <w:r w:rsidRPr="00C454A1">
        <w:rPr>
          <w:rFonts w:eastAsia="Times New Roman" w:cs="Times New Roman"/>
          <w:color w:val="000000" w:themeColor="text1"/>
          <w:szCs w:val="28"/>
          <w:lang w:val="es-ES"/>
        </w:rPr>
        <w:t xml:space="preserve">En particular, la Sala Plena destaca que el Decreto 299 de 2017 creó el Programa de Protección Especializada de Seguridad y Protección. En virtud de este programa, el Gobierno Nacional cuenta con un amplio abanico de medidas de protección para la población firmante del </w:t>
      </w:r>
      <w:r w:rsidR="00E6513A" w:rsidRPr="00C454A1">
        <w:rPr>
          <w:rFonts w:eastAsia="Times New Roman" w:cs="Times New Roman"/>
          <w:color w:val="000000" w:themeColor="text1"/>
          <w:szCs w:val="28"/>
          <w:lang w:val="es-ES"/>
        </w:rPr>
        <w:t>AFP</w:t>
      </w:r>
      <w:r w:rsidRPr="00C454A1">
        <w:rPr>
          <w:rFonts w:eastAsia="Times New Roman" w:cs="Times New Roman"/>
          <w:color w:val="000000" w:themeColor="text1"/>
          <w:szCs w:val="28"/>
          <w:lang w:val="es-ES"/>
        </w:rPr>
        <w:t xml:space="preserve">. No obstante, la Sala también encuentra que las medidas de protección ante riesgos extraordinarios, extremos e incluso inminentes contenidas en este decreto dependen de la ejecución de una serie de pasos y procedimientos complejos y técnicos para determinar el nivel de riesgo y asignar medidas de protección con base en los recursos limitados de los que dispone la </w:t>
      </w:r>
      <w:r w:rsidR="00E6513A" w:rsidRPr="00C454A1">
        <w:rPr>
          <w:rFonts w:eastAsia="Times New Roman" w:cs="Times New Roman"/>
          <w:color w:val="000000" w:themeColor="text1"/>
          <w:szCs w:val="28"/>
          <w:lang w:val="es-ES"/>
        </w:rPr>
        <w:t>UNP</w:t>
      </w:r>
      <w:r w:rsidRPr="00C454A1">
        <w:rPr>
          <w:rFonts w:eastAsia="Times New Roman" w:cs="Times New Roman"/>
          <w:color w:val="000000" w:themeColor="text1"/>
          <w:szCs w:val="28"/>
          <w:lang w:val="es-ES"/>
        </w:rPr>
        <w:t xml:space="preserve"> para la implementación de este programa en todo el país. </w:t>
      </w:r>
    </w:p>
    <w:p w14:paraId="4F50DF2C" w14:textId="77777777" w:rsidR="00B36407" w:rsidRPr="00C454A1" w:rsidRDefault="00B36407" w:rsidP="00B36407">
      <w:pPr>
        <w:rPr>
          <w:color w:val="000000" w:themeColor="text1"/>
        </w:rPr>
      </w:pPr>
    </w:p>
    <w:p w14:paraId="53CA6413" w14:textId="77777777" w:rsidR="00192095" w:rsidRPr="00C454A1" w:rsidRDefault="003A0DA8"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La Corte reitera que “la protección es la primera y más elemental garantía que el Estado debe cumplirles a todos los excombatientes de las extintas FARC-EP, quienes –tras la negociación y la firma de un acuerdo de paz– depusieron las armas con la confianza de que al menos su vida, integridad y seguridad serían respetadas”. Esto significa que la satisfacción del derecho a recibir protección de esta población implica “garantizar oportunamente medidas, acciones o elementos –principalmente físicos –que sean adecuados y suficientes” “para salvaguardar el derecho a la vida, la integridad y la seguridad al evitar o mitigar la concreción de ese riesgo en un daño (énfasis añadido)”</w:t>
      </w:r>
      <w:r w:rsidRPr="00C454A1">
        <w:rPr>
          <w:rFonts w:eastAsia="Times New Roman" w:cs="Times New Roman"/>
          <w:color w:val="000000" w:themeColor="text1"/>
          <w:szCs w:val="28"/>
          <w:vertAlign w:val="superscript"/>
          <w:lang w:val="es-ES"/>
        </w:rPr>
        <w:footnoteReference w:id="441"/>
      </w:r>
      <w:r w:rsidRPr="00C454A1">
        <w:rPr>
          <w:rFonts w:eastAsia="Times New Roman" w:cs="Times New Roman"/>
          <w:color w:val="000000" w:themeColor="text1"/>
          <w:szCs w:val="28"/>
          <w:lang w:val="es-ES"/>
        </w:rPr>
        <w:t>.</w:t>
      </w:r>
    </w:p>
    <w:p w14:paraId="7DB7E7FD" w14:textId="77777777" w:rsidR="0002353F" w:rsidRPr="00C454A1" w:rsidRDefault="0002353F" w:rsidP="00904959">
      <w:pPr>
        <w:rPr>
          <w:rFonts w:eastAsia="Times New Roman" w:cs="Times New Roman"/>
          <w:color w:val="000000" w:themeColor="text1"/>
          <w:szCs w:val="28"/>
          <w:lang w:val="es-ES"/>
        </w:rPr>
      </w:pPr>
    </w:p>
    <w:p w14:paraId="605DDE25" w14:textId="7E31B3DE" w:rsidR="0002353F" w:rsidRPr="00C454A1" w:rsidRDefault="007E6240" w:rsidP="005F4A6F">
      <w:pPr>
        <w:pStyle w:val="Prrafodelista"/>
        <w:numPr>
          <w:ilvl w:val="0"/>
          <w:numId w:val="20"/>
        </w:numPr>
        <w:rPr>
          <w:rFonts w:eastAsia="Times New Roman" w:cs="Times New Roman"/>
          <w:b/>
          <w:bCs/>
          <w:color w:val="000000" w:themeColor="text1"/>
          <w:szCs w:val="28"/>
          <w:lang w:val="es-ES"/>
        </w:rPr>
      </w:pPr>
      <w:r w:rsidRPr="00C454A1">
        <w:rPr>
          <w:rFonts w:eastAsia="Times New Roman" w:cs="Times New Roman"/>
          <w:b/>
          <w:bCs/>
          <w:color w:val="000000" w:themeColor="text1"/>
          <w:lang w:val="es-ES"/>
        </w:rPr>
        <w:t>Descripción general de las atribuciones ordinarias del Gobierno nacional para incrementar partidas presupuestales y movilizar recursos fiscales</w:t>
      </w:r>
    </w:p>
    <w:p w14:paraId="4529B1A5" w14:textId="77777777" w:rsidR="0002353F" w:rsidRPr="00C454A1" w:rsidRDefault="0002353F" w:rsidP="0002353F">
      <w:pPr>
        <w:pStyle w:val="Prrafodelista"/>
        <w:rPr>
          <w:rFonts w:eastAsia="Times New Roman" w:cs="Times New Roman"/>
          <w:color w:val="000000" w:themeColor="text1"/>
          <w:szCs w:val="28"/>
          <w:lang w:val="es-ES"/>
        </w:rPr>
      </w:pPr>
    </w:p>
    <w:p w14:paraId="1A6A8AA9" w14:textId="56D30E47" w:rsidR="003A0DA8" w:rsidRPr="00C454A1" w:rsidRDefault="003A0DA8"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 xml:space="preserve"> </w:t>
      </w:r>
      <w:bookmarkStart w:id="217" w:name="_Ref203401649"/>
      <w:r w:rsidR="000C463A" w:rsidRPr="00C454A1">
        <w:rPr>
          <w:color w:val="000000" w:themeColor="text1"/>
          <w:lang w:val="es-ES"/>
        </w:rPr>
        <w:t xml:space="preserve">El </w:t>
      </w:r>
      <w:r w:rsidR="00542C43" w:rsidRPr="00C454A1">
        <w:rPr>
          <w:color w:val="000000" w:themeColor="text1"/>
          <w:lang w:val="es-ES"/>
        </w:rPr>
        <w:t>Decreto 111 de 1996 -</w:t>
      </w:r>
      <w:r w:rsidR="000C463A" w:rsidRPr="00C454A1">
        <w:rPr>
          <w:color w:val="000000" w:themeColor="text1"/>
          <w:lang w:val="es-ES"/>
        </w:rPr>
        <w:t xml:space="preserve">Estatuto Orgánico del Presupuesto </w:t>
      </w:r>
      <w:r w:rsidR="00EB4DEA" w:rsidRPr="00C454A1">
        <w:rPr>
          <w:color w:val="000000" w:themeColor="text1"/>
          <w:lang w:val="es-ES"/>
        </w:rPr>
        <w:t>(EOP)</w:t>
      </w:r>
      <w:r w:rsidR="00542C43" w:rsidRPr="00C454A1">
        <w:rPr>
          <w:color w:val="000000" w:themeColor="text1"/>
          <w:lang w:val="es-ES"/>
        </w:rPr>
        <w:t>-</w:t>
      </w:r>
      <w:r w:rsidR="00EB4DEA" w:rsidRPr="00C454A1">
        <w:rPr>
          <w:color w:val="000000" w:themeColor="text1"/>
          <w:lang w:val="es-ES"/>
        </w:rPr>
        <w:t xml:space="preserve"> </w:t>
      </w:r>
      <w:r w:rsidR="000C463A" w:rsidRPr="00C454A1">
        <w:rPr>
          <w:color w:val="000000" w:themeColor="text1"/>
          <w:lang w:val="es-ES"/>
        </w:rPr>
        <w:t>prevé dos mecanismos que permiten a las entidades del orden nacional incrementar o redireccionar determinadas partidas presupuestales, sin incrementar el presupuesto global de la entidad.</w:t>
      </w:r>
      <w:r w:rsidR="00B36407" w:rsidRPr="00C454A1">
        <w:rPr>
          <w:color w:val="000000" w:themeColor="text1"/>
          <w:lang w:val="es-ES"/>
        </w:rPr>
        <w:t xml:space="preserve"> Estos mecanismos, en otras palabras, sirven para redistribuir los recursos sin incrementar las autorizaciones máximas de gasto presupuestadas.</w:t>
      </w:r>
      <w:bookmarkEnd w:id="217"/>
    </w:p>
    <w:p w14:paraId="5CC959AB" w14:textId="77777777" w:rsidR="000C463A" w:rsidRPr="00C454A1" w:rsidRDefault="000C463A" w:rsidP="000C463A">
      <w:pPr>
        <w:pStyle w:val="Prrafodelista"/>
        <w:ind w:left="0"/>
        <w:rPr>
          <w:color w:val="000000" w:themeColor="text1"/>
          <w:lang w:val="es-ES"/>
        </w:rPr>
      </w:pPr>
    </w:p>
    <w:p w14:paraId="79BDBEF6" w14:textId="03176A15" w:rsidR="00222D60" w:rsidRPr="00C454A1" w:rsidRDefault="00222D60" w:rsidP="004C53CF">
      <w:pPr>
        <w:pStyle w:val="Prrafodelista"/>
        <w:ind w:left="0"/>
        <w:jc w:val="center"/>
        <w:rPr>
          <w:i/>
          <w:iCs/>
          <w:color w:val="000000" w:themeColor="text1"/>
          <w:sz w:val="22"/>
          <w:szCs w:val="22"/>
          <w:lang w:val="es-ES"/>
        </w:rPr>
      </w:pPr>
      <w:r w:rsidRPr="00C454A1">
        <w:rPr>
          <w:i/>
          <w:iCs/>
          <w:color w:val="000000" w:themeColor="text1"/>
          <w:sz w:val="22"/>
          <w:szCs w:val="22"/>
          <w:lang w:val="es-ES"/>
        </w:rPr>
        <w:t>Tabla 2</w:t>
      </w:r>
      <w:r w:rsidR="00703A24" w:rsidRPr="00C454A1">
        <w:rPr>
          <w:i/>
          <w:iCs/>
          <w:color w:val="000000" w:themeColor="text1"/>
          <w:sz w:val="22"/>
          <w:szCs w:val="22"/>
          <w:lang w:val="es-ES"/>
        </w:rPr>
        <w:t>2</w:t>
      </w:r>
      <w:r w:rsidRPr="00C454A1">
        <w:rPr>
          <w:i/>
          <w:iCs/>
          <w:color w:val="000000" w:themeColor="text1"/>
          <w:sz w:val="22"/>
          <w:szCs w:val="22"/>
          <w:lang w:val="es-ES"/>
        </w:rPr>
        <w:t xml:space="preserve">: </w:t>
      </w:r>
      <w:r w:rsidR="004C53CF" w:rsidRPr="00C454A1">
        <w:rPr>
          <w:i/>
          <w:iCs/>
          <w:color w:val="000000" w:themeColor="text1"/>
          <w:sz w:val="22"/>
          <w:szCs w:val="22"/>
          <w:lang w:val="es-ES"/>
        </w:rPr>
        <w:t>mecanismos para redireccionar recursos fiscales sin incrementar l</w:t>
      </w:r>
      <w:r w:rsidR="00703A24" w:rsidRPr="00C454A1">
        <w:rPr>
          <w:i/>
          <w:iCs/>
          <w:color w:val="000000" w:themeColor="text1"/>
          <w:sz w:val="22"/>
          <w:szCs w:val="22"/>
          <w:lang w:val="es-ES"/>
        </w:rPr>
        <w:t>os</w:t>
      </w:r>
      <w:r w:rsidR="004C53CF" w:rsidRPr="00C454A1">
        <w:rPr>
          <w:i/>
          <w:iCs/>
          <w:color w:val="000000" w:themeColor="text1"/>
          <w:sz w:val="22"/>
          <w:szCs w:val="22"/>
          <w:lang w:val="es-ES"/>
        </w:rPr>
        <w:t xml:space="preserve"> presupuestos globales de las entidades</w:t>
      </w:r>
    </w:p>
    <w:tbl>
      <w:tblPr>
        <w:tblStyle w:val="Tablaconcuadrcula"/>
        <w:tblW w:w="0" w:type="auto"/>
        <w:tblLook w:val="04A0" w:firstRow="1" w:lastRow="0" w:firstColumn="1" w:lastColumn="0" w:noHBand="0" w:noVBand="1"/>
      </w:tblPr>
      <w:tblGrid>
        <w:gridCol w:w="1573"/>
        <w:gridCol w:w="7257"/>
      </w:tblGrid>
      <w:tr w:rsidR="00C454A1" w:rsidRPr="00C454A1" w14:paraId="5434C721" w14:textId="77777777" w:rsidTr="00EE77DF">
        <w:tc>
          <w:tcPr>
            <w:tcW w:w="1129" w:type="dxa"/>
            <w:shd w:val="clear" w:color="auto" w:fill="D9D9D9" w:themeFill="background1" w:themeFillShade="D9"/>
            <w:vAlign w:val="center"/>
          </w:tcPr>
          <w:p w14:paraId="3381CA17" w14:textId="77777777" w:rsidR="000C463A" w:rsidRPr="00C454A1" w:rsidRDefault="000C463A" w:rsidP="00EE77DF">
            <w:pPr>
              <w:pStyle w:val="Prrafodelista"/>
              <w:shd w:val="clear" w:color="auto" w:fill="D9D9D9" w:themeFill="background1" w:themeFillShade="D9"/>
              <w:ind w:left="0"/>
              <w:jc w:val="center"/>
              <w:rPr>
                <w:b/>
                <w:bCs/>
                <w:color w:val="000000" w:themeColor="text1"/>
                <w:sz w:val="22"/>
                <w:szCs w:val="22"/>
                <w:lang w:val="es-ES"/>
              </w:rPr>
            </w:pPr>
            <w:r w:rsidRPr="00C454A1">
              <w:rPr>
                <w:b/>
                <w:bCs/>
                <w:color w:val="000000" w:themeColor="text1"/>
                <w:sz w:val="22"/>
                <w:szCs w:val="22"/>
                <w:lang w:val="es-ES"/>
              </w:rPr>
              <w:lastRenderedPageBreak/>
              <w:t>Traslados internos</w:t>
            </w:r>
          </w:p>
        </w:tc>
        <w:tc>
          <w:tcPr>
            <w:tcW w:w="7701" w:type="dxa"/>
          </w:tcPr>
          <w:p w14:paraId="1532AD73" w14:textId="00C01C71" w:rsidR="000C463A" w:rsidRPr="00C454A1" w:rsidRDefault="000C463A" w:rsidP="00EE77DF">
            <w:pPr>
              <w:pStyle w:val="Prrafodelista"/>
              <w:ind w:left="0"/>
              <w:rPr>
                <w:color w:val="000000" w:themeColor="text1"/>
                <w:sz w:val="22"/>
                <w:szCs w:val="22"/>
                <w:lang w:val="es-ES"/>
              </w:rPr>
            </w:pPr>
            <w:r w:rsidRPr="00C454A1">
              <w:rPr>
                <w:color w:val="000000" w:themeColor="text1"/>
                <w:sz w:val="22"/>
                <w:szCs w:val="22"/>
                <w:lang w:val="es-ES"/>
              </w:rPr>
              <w:t xml:space="preserve">Conforme al artículo 80 del </w:t>
            </w:r>
            <w:r w:rsidR="00FF4B45" w:rsidRPr="00C454A1">
              <w:rPr>
                <w:color w:val="000000" w:themeColor="text1"/>
                <w:sz w:val="22"/>
                <w:szCs w:val="22"/>
                <w:lang w:val="es-ES"/>
              </w:rPr>
              <w:t>EOP</w:t>
            </w:r>
            <w:r w:rsidRPr="00C454A1">
              <w:rPr>
                <w:color w:val="000000" w:themeColor="text1"/>
                <w:sz w:val="22"/>
                <w:szCs w:val="22"/>
                <w:lang w:val="es-ES"/>
              </w:rPr>
              <w:t>, la Corte Constitucional ha señalado que las entidades del orden nacional pueden llevar a cabo traslados internos. Estas son   operaciones a través de las cuales “simplemente se varía la destinación del gasto entre numerales de una misma sección (rubros presupuestales de una misma entidad)”</w:t>
            </w:r>
            <w:r w:rsidRPr="00C454A1">
              <w:rPr>
                <w:rStyle w:val="Refdenotaalpie"/>
                <w:color w:val="000000" w:themeColor="text1"/>
                <w:sz w:val="22"/>
                <w:szCs w:val="22"/>
                <w:lang w:val="es-ES"/>
              </w:rPr>
              <w:footnoteReference w:id="442"/>
            </w:r>
            <w:r w:rsidRPr="00C454A1">
              <w:rPr>
                <w:color w:val="000000" w:themeColor="text1"/>
                <w:sz w:val="22"/>
                <w:szCs w:val="22"/>
                <w:lang w:val="es-ES"/>
              </w:rPr>
              <w:t xml:space="preserve">. El jefe del organismo o la Junta o consejo directivo si se trata de un establecimiento público del orden nacional, están autorizados para hacerlo mediante resolución o acuerdo respectivamente”. En el mismo sentido, el parágrafo del artículo 42 de la Ley 80 de 1993, dispone que, “con el fin de atender las necesidades y los gastos propios de la urgencia manifiesta, se podrán hacer los traslados presupuestales internos que se requieran dentro del presupuesto del organismo o entidad estatal correspondiente”. </w:t>
            </w:r>
          </w:p>
        </w:tc>
      </w:tr>
      <w:tr w:rsidR="000C463A" w:rsidRPr="00C454A1" w14:paraId="1FC239D5" w14:textId="77777777" w:rsidTr="00EE77DF">
        <w:tc>
          <w:tcPr>
            <w:tcW w:w="1129" w:type="dxa"/>
            <w:shd w:val="clear" w:color="auto" w:fill="D9D9D9" w:themeFill="background1" w:themeFillShade="D9"/>
            <w:vAlign w:val="center"/>
          </w:tcPr>
          <w:p w14:paraId="07C8193B" w14:textId="77777777" w:rsidR="000C463A" w:rsidRPr="00C454A1" w:rsidRDefault="000C463A" w:rsidP="00EE77DF">
            <w:pPr>
              <w:pStyle w:val="Prrafodelista"/>
              <w:ind w:left="0"/>
              <w:jc w:val="center"/>
              <w:rPr>
                <w:b/>
                <w:bCs/>
                <w:color w:val="000000" w:themeColor="text1"/>
                <w:sz w:val="22"/>
                <w:szCs w:val="22"/>
                <w:lang w:val="es-ES"/>
              </w:rPr>
            </w:pPr>
            <w:r w:rsidRPr="00C454A1">
              <w:rPr>
                <w:b/>
                <w:bCs/>
                <w:color w:val="000000" w:themeColor="text1"/>
                <w:sz w:val="22"/>
                <w:szCs w:val="22"/>
                <w:lang w:val="es-ES"/>
              </w:rPr>
              <w:t>Distribuciones</w:t>
            </w:r>
          </w:p>
        </w:tc>
        <w:tc>
          <w:tcPr>
            <w:tcW w:w="7701" w:type="dxa"/>
          </w:tcPr>
          <w:p w14:paraId="227C908D" w14:textId="77777777" w:rsidR="000C463A" w:rsidRPr="00C454A1" w:rsidRDefault="000C463A" w:rsidP="00EE77DF">
            <w:pPr>
              <w:pStyle w:val="Prrafodelista"/>
              <w:ind w:left="0"/>
              <w:rPr>
                <w:color w:val="000000" w:themeColor="text1"/>
                <w:sz w:val="22"/>
                <w:szCs w:val="22"/>
                <w:lang w:val="es-ES"/>
              </w:rPr>
            </w:pPr>
            <w:r w:rsidRPr="00C454A1">
              <w:rPr>
                <w:color w:val="000000" w:themeColor="text1"/>
                <w:sz w:val="22"/>
                <w:szCs w:val="22"/>
                <w:lang w:val="es-ES"/>
              </w:rPr>
              <w:t>Las distribuciones son “operaciones presupuestales propias de la etapa de ejecución presupuestal, que han sido diseñadas como mecanismos para responder a la naturaleza de algunos recursos públicos que, al momento de ser aprobados en una determinada partida presupuestal, tienen vocación de ser distribuidos entre distintas entidades públicas, o entre distintas secciones, dependencias, regionales, proyectos o subproyectos de una entidad pública, para efectos de suplir una finalidad específica señalada por el legislador”. La forma exacta de distribución no se determina con precisión “al momento de la aprobación de la partida presupuestal correspondiente, puesto que depende de eventos contingentes, eventuales, futuros o indefinidos que se habrán de precisar, aclarar y definir en el curso de la vigencia fiscal correspondiente”</w:t>
            </w:r>
            <w:r w:rsidRPr="00C454A1">
              <w:rPr>
                <w:rStyle w:val="Refdenotaalpie"/>
                <w:color w:val="000000" w:themeColor="text1"/>
                <w:sz w:val="22"/>
                <w:szCs w:val="22"/>
                <w:lang w:val="es-ES"/>
              </w:rPr>
              <w:footnoteReference w:id="443"/>
            </w:r>
            <w:r w:rsidRPr="00C454A1">
              <w:rPr>
                <w:color w:val="000000" w:themeColor="text1"/>
                <w:sz w:val="22"/>
                <w:szCs w:val="22"/>
                <w:lang w:val="es-ES"/>
              </w:rPr>
              <w:t xml:space="preserve">. El artículo 19 del PGN del año 2025 dispuso la posibilidad de hacer distribuciones. </w:t>
            </w:r>
          </w:p>
        </w:tc>
      </w:tr>
    </w:tbl>
    <w:p w14:paraId="4449C2F7" w14:textId="77777777" w:rsidR="000C463A" w:rsidRPr="00C454A1" w:rsidRDefault="000C463A" w:rsidP="000C463A">
      <w:pPr>
        <w:rPr>
          <w:rFonts w:eastAsia="Times New Roman" w:cs="Times New Roman"/>
          <w:color w:val="000000" w:themeColor="text1"/>
          <w:szCs w:val="28"/>
        </w:rPr>
      </w:pPr>
    </w:p>
    <w:p w14:paraId="02DE261B" w14:textId="5B718034" w:rsidR="000C463A" w:rsidRPr="00C454A1" w:rsidRDefault="000C463A" w:rsidP="00A90DEE">
      <w:pPr>
        <w:pStyle w:val="Prrafodelista"/>
        <w:numPr>
          <w:ilvl w:val="0"/>
          <w:numId w:val="2"/>
        </w:numPr>
        <w:ind w:left="0" w:firstLine="0"/>
        <w:rPr>
          <w:rFonts w:eastAsia="Times New Roman" w:cs="Times New Roman"/>
          <w:color w:val="000000" w:themeColor="text1"/>
          <w:szCs w:val="28"/>
        </w:rPr>
      </w:pPr>
      <w:r w:rsidRPr="00C454A1">
        <w:rPr>
          <w:rFonts w:eastAsia="Times New Roman" w:cs="Times New Roman"/>
          <w:color w:val="000000" w:themeColor="text1"/>
          <w:szCs w:val="28"/>
        </w:rPr>
        <w:t xml:space="preserve">En caso de </w:t>
      </w:r>
      <w:r w:rsidR="00EB4DEA" w:rsidRPr="00C454A1">
        <w:rPr>
          <w:rFonts w:eastAsia="Times New Roman" w:cs="Times New Roman"/>
          <w:color w:val="000000" w:themeColor="text1"/>
          <w:szCs w:val="28"/>
        </w:rPr>
        <w:t>que una entidad requiera</w:t>
      </w:r>
      <w:r w:rsidRPr="00C454A1">
        <w:rPr>
          <w:rFonts w:eastAsia="Times New Roman" w:cs="Times New Roman"/>
          <w:color w:val="000000" w:themeColor="text1"/>
          <w:szCs w:val="28"/>
        </w:rPr>
        <w:t xml:space="preserve"> recursos adicionales</w:t>
      </w:r>
      <w:r w:rsidR="002C73A7" w:rsidRPr="00C454A1">
        <w:rPr>
          <w:rFonts w:eastAsia="Times New Roman" w:cs="Times New Roman"/>
          <w:color w:val="000000" w:themeColor="text1"/>
          <w:szCs w:val="28"/>
        </w:rPr>
        <w:t xml:space="preserve"> a los presupuestados </w:t>
      </w:r>
      <w:r w:rsidR="00900B93" w:rsidRPr="00C454A1">
        <w:rPr>
          <w:rFonts w:eastAsia="Times New Roman" w:cs="Times New Roman"/>
          <w:color w:val="000000" w:themeColor="text1"/>
          <w:szCs w:val="28"/>
        </w:rPr>
        <w:t xml:space="preserve">en el PGN </w:t>
      </w:r>
      <w:r w:rsidR="002C73A7" w:rsidRPr="00C454A1">
        <w:rPr>
          <w:rFonts w:eastAsia="Times New Roman" w:cs="Times New Roman"/>
          <w:color w:val="000000" w:themeColor="text1"/>
          <w:szCs w:val="28"/>
        </w:rPr>
        <w:t>para la respectiva vigencia fiscal</w:t>
      </w:r>
      <w:r w:rsidRPr="00C454A1">
        <w:rPr>
          <w:rFonts w:eastAsia="Times New Roman" w:cs="Times New Roman"/>
          <w:color w:val="000000" w:themeColor="text1"/>
          <w:szCs w:val="28"/>
        </w:rPr>
        <w:t xml:space="preserve">, el </w:t>
      </w:r>
      <w:r w:rsidR="00F4201E" w:rsidRPr="00C454A1">
        <w:rPr>
          <w:rFonts w:eastAsia="Times New Roman" w:cs="Times New Roman"/>
          <w:color w:val="000000" w:themeColor="text1"/>
          <w:szCs w:val="28"/>
        </w:rPr>
        <w:t>G</w:t>
      </w:r>
      <w:r w:rsidRPr="00C454A1">
        <w:rPr>
          <w:rFonts w:eastAsia="Times New Roman" w:cs="Times New Roman"/>
          <w:color w:val="000000" w:themeColor="text1"/>
          <w:szCs w:val="28"/>
        </w:rPr>
        <w:t xml:space="preserve">obierno nacional </w:t>
      </w:r>
      <w:r w:rsidR="00EB4DEA" w:rsidRPr="00C454A1">
        <w:rPr>
          <w:rFonts w:eastAsia="Times New Roman" w:cs="Times New Roman"/>
          <w:color w:val="000000" w:themeColor="text1"/>
          <w:szCs w:val="28"/>
        </w:rPr>
        <w:t>puede acudir a las figuras de traslados presupuestales y créditos adicionales o adiciones presupuestales</w:t>
      </w:r>
      <w:r w:rsidR="00900B93" w:rsidRPr="00C454A1">
        <w:rPr>
          <w:rFonts w:eastAsia="Times New Roman" w:cs="Times New Roman"/>
          <w:color w:val="000000" w:themeColor="text1"/>
          <w:szCs w:val="28"/>
        </w:rPr>
        <w:t>, las cuales tienen en común el requerir la aprobación del Congreso de la República mediante ley</w:t>
      </w:r>
      <w:r w:rsidR="00EB4DEA" w:rsidRPr="00C454A1">
        <w:rPr>
          <w:rFonts w:eastAsia="Times New Roman" w:cs="Times New Roman"/>
          <w:color w:val="000000" w:themeColor="text1"/>
          <w:szCs w:val="28"/>
        </w:rPr>
        <w:t xml:space="preserve">. </w:t>
      </w:r>
      <w:r w:rsidR="005354ED" w:rsidRPr="00C454A1">
        <w:rPr>
          <w:rFonts w:eastAsia="Times New Roman" w:cs="Times New Roman"/>
          <w:color w:val="000000" w:themeColor="text1"/>
          <w:szCs w:val="28"/>
        </w:rPr>
        <w:t>Las</w:t>
      </w:r>
      <w:r w:rsidR="001B22E7" w:rsidRPr="00C454A1">
        <w:rPr>
          <w:rFonts w:eastAsia="Times New Roman" w:cs="Times New Roman"/>
          <w:color w:val="000000" w:themeColor="text1"/>
          <w:szCs w:val="28"/>
        </w:rPr>
        <w:t xml:space="preserve"> principales características </w:t>
      </w:r>
      <w:r w:rsidR="005354ED" w:rsidRPr="00C454A1">
        <w:rPr>
          <w:rFonts w:eastAsia="Times New Roman" w:cs="Times New Roman"/>
          <w:color w:val="000000" w:themeColor="text1"/>
          <w:szCs w:val="28"/>
        </w:rPr>
        <w:t xml:space="preserve">de estas figuras </w:t>
      </w:r>
      <w:r w:rsidR="001B22E7" w:rsidRPr="00C454A1">
        <w:rPr>
          <w:rFonts w:eastAsia="Times New Roman" w:cs="Times New Roman"/>
          <w:color w:val="000000" w:themeColor="text1"/>
          <w:szCs w:val="28"/>
        </w:rPr>
        <w:t>son las siguientes:</w:t>
      </w:r>
    </w:p>
    <w:p w14:paraId="04564738" w14:textId="37B3FCE5" w:rsidR="003A0DA8" w:rsidRPr="00C454A1" w:rsidRDefault="003A0DA8" w:rsidP="003A0DA8">
      <w:pPr>
        <w:rPr>
          <w:rFonts w:eastAsia="Times New Roman" w:cs="Times New Roman"/>
          <w:color w:val="000000" w:themeColor="text1"/>
          <w:szCs w:val="28"/>
          <w:lang w:val="es-ES"/>
        </w:rPr>
      </w:pPr>
    </w:p>
    <w:p w14:paraId="5AE8959F" w14:textId="17F49DBE" w:rsidR="004C53CF" w:rsidRPr="00C454A1" w:rsidRDefault="004C53CF" w:rsidP="002D4698">
      <w:pPr>
        <w:jc w:val="center"/>
        <w:rPr>
          <w:rFonts w:eastAsia="Times New Roman" w:cs="Times New Roman"/>
          <w:i/>
          <w:iCs/>
          <w:color w:val="000000" w:themeColor="text1"/>
          <w:sz w:val="22"/>
          <w:szCs w:val="22"/>
          <w:lang w:val="es-ES"/>
        </w:rPr>
      </w:pPr>
      <w:r w:rsidRPr="00C454A1">
        <w:rPr>
          <w:rFonts w:eastAsia="Times New Roman" w:cs="Times New Roman"/>
          <w:i/>
          <w:iCs/>
          <w:color w:val="000000" w:themeColor="text1"/>
          <w:sz w:val="22"/>
          <w:szCs w:val="22"/>
          <w:lang w:val="es-ES"/>
        </w:rPr>
        <w:t>Tabla 2</w:t>
      </w:r>
      <w:r w:rsidR="00703A24" w:rsidRPr="00C454A1">
        <w:rPr>
          <w:rFonts w:eastAsia="Times New Roman" w:cs="Times New Roman"/>
          <w:i/>
          <w:iCs/>
          <w:color w:val="000000" w:themeColor="text1"/>
          <w:sz w:val="22"/>
          <w:szCs w:val="22"/>
          <w:lang w:val="es-ES"/>
        </w:rPr>
        <w:t>3</w:t>
      </w:r>
      <w:r w:rsidRPr="00C454A1">
        <w:rPr>
          <w:rFonts w:eastAsia="Times New Roman" w:cs="Times New Roman"/>
          <w:i/>
          <w:iCs/>
          <w:color w:val="000000" w:themeColor="text1"/>
          <w:sz w:val="22"/>
          <w:szCs w:val="22"/>
          <w:lang w:val="es-ES"/>
        </w:rPr>
        <w:t xml:space="preserve">: </w:t>
      </w:r>
      <w:r w:rsidR="002D4698" w:rsidRPr="00C454A1">
        <w:rPr>
          <w:rFonts w:eastAsia="Times New Roman" w:cs="Times New Roman"/>
          <w:i/>
          <w:iCs/>
          <w:color w:val="000000" w:themeColor="text1"/>
          <w:sz w:val="22"/>
          <w:szCs w:val="22"/>
          <w:lang w:val="es-ES"/>
        </w:rPr>
        <w:t>mecanismos a disposición del Gobierno nacional para obtener recursos adicionales a los contemplados en el PGN</w:t>
      </w:r>
    </w:p>
    <w:tbl>
      <w:tblPr>
        <w:tblStyle w:val="Tablaconcuadrcula"/>
        <w:tblW w:w="0" w:type="auto"/>
        <w:tblLook w:val="04A0" w:firstRow="1" w:lastRow="0" w:firstColumn="1" w:lastColumn="0" w:noHBand="0" w:noVBand="1"/>
      </w:tblPr>
      <w:tblGrid>
        <w:gridCol w:w="1598"/>
        <w:gridCol w:w="7232"/>
      </w:tblGrid>
      <w:tr w:rsidR="00C454A1" w:rsidRPr="00C454A1" w14:paraId="658CF50D" w14:textId="77777777" w:rsidTr="00EE77DF">
        <w:tc>
          <w:tcPr>
            <w:tcW w:w="1129" w:type="dxa"/>
            <w:shd w:val="clear" w:color="auto" w:fill="D9D9D9" w:themeFill="background1" w:themeFillShade="D9"/>
            <w:vAlign w:val="center"/>
          </w:tcPr>
          <w:p w14:paraId="14188AD2" w14:textId="52DC5792" w:rsidR="00542C43" w:rsidRPr="00C454A1" w:rsidRDefault="00542C43" w:rsidP="00EE77DF">
            <w:pPr>
              <w:pStyle w:val="Prrafodelista"/>
              <w:shd w:val="clear" w:color="auto" w:fill="D9D9D9" w:themeFill="background1" w:themeFillShade="D9"/>
              <w:ind w:left="0"/>
              <w:jc w:val="center"/>
              <w:rPr>
                <w:b/>
                <w:bCs/>
                <w:color w:val="000000" w:themeColor="text1"/>
                <w:sz w:val="22"/>
                <w:szCs w:val="22"/>
                <w:lang w:val="es-ES"/>
              </w:rPr>
            </w:pPr>
            <w:r w:rsidRPr="00C454A1">
              <w:rPr>
                <w:b/>
                <w:bCs/>
                <w:color w:val="000000" w:themeColor="text1"/>
                <w:sz w:val="22"/>
                <w:szCs w:val="22"/>
                <w:lang w:val="es-ES"/>
              </w:rPr>
              <w:t>Traslados presupuestales</w:t>
            </w:r>
          </w:p>
        </w:tc>
        <w:tc>
          <w:tcPr>
            <w:tcW w:w="7701" w:type="dxa"/>
          </w:tcPr>
          <w:p w14:paraId="0C9259D5" w14:textId="46C798A9" w:rsidR="00542C43" w:rsidRPr="00C454A1" w:rsidRDefault="00542C43" w:rsidP="00EE77DF">
            <w:pPr>
              <w:pStyle w:val="Prrafodelista"/>
              <w:ind w:left="0"/>
              <w:rPr>
                <w:color w:val="000000" w:themeColor="text1"/>
                <w:sz w:val="22"/>
                <w:szCs w:val="22"/>
                <w:lang w:val="es-ES"/>
              </w:rPr>
            </w:pPr>
            <w:r w:rsidRPr="00C454A1">
              <w:rPr>
                <w:color w:val="000000" w:themeColor="text1"/>
                <w:sz w:val="22"/>
                <w:szCs w:val="22"/>
                <w:lang w:val="es-ES"/>
              </w:rPr>
              <w:t>Consiste</w:t>
            </w:r>
            <w:r w:rsidR="00102DCE" w:rsidRPr="00C454A1">
              <w:rPr>
                <w:color w:val="000000" w:themeColor="text1"/>
                <w:sz w:val="22"/>
                <w:szCs w:val="22"/>
                <w:lang w:val="es-ES"/>
              </w:rPr>
              <w:t>n</w:t>
            </w:r>
            <w:r w:rsidRPr="00C454A1">
              <w:rPr>
                <w:color w:val="000000" w:themeColor="text1"/>
                <w:sz w:val="22"/>
                <w:szCs w:val="22"/>
                <w:lang w:val="es-ES"/>
              </w:rPr>
              <w:t xml:space="preserve"> en el traslado de recursos de un renglón </w:t>
            </w:r>
            <w:r w:rsidR="00856760" w:rsidRPr="00C454A1">
              <w:rPr>
                <w:color w:val="000000" w:themeColor="text1"/>
                <w:sz w:val="22"/>
                <w:szCs w:val="22"/>
                <w:lang w:val="es-ES"/>
              </w:rPr>
              <w:t xml:space="preserve">de gasto </w:t>
            </w:r>
            <w:r w:rsidR="00102DCE" w:rsidRPr="00C454A1">
              <w:rPr>
                <w:color w:val="000000" w:themeColor="text1"/>
                <w:sz w:val="22"/>
                <w:szCs w:val="22"/>
                <w:lang w:val="es-ES"/>
              </w:rPr>
              <w:t>del PGN a otro</w:t>
            </w:r>
            <w:r w:rsidR="00F223D7" w:rsidRPr="00C454A1">
              <w:rPr>
                <w:color w:val="000000" w:themeColor="text1"/>
                <w:sz w:val="22"/>
                <w:szCs w:val="22"/>
                <w:lang w:val="es-ES"/>
              </w:rPr>
              <w:t xml:space="preserve"> sin alterar el monto total de los gastos aprobados</w:t>
            </w:r>
            <w:r w:rsidR="00856760" w:rsidRPr="00C454A1">
              <w:rPr>
                <w:color w:val="000000" w:themeColor="text1"/>
                <w:sz w:val="22"/>
                <w:szCs w:val="22"/>
                <w:lang w:val="es-ES"/>
              </w:rPr>
              <w:t xml:space="preserve"> para la respectiva vigencia fiscal</w:t>
            </w:r>
            <w:r w:rsidR="00F223D7" w:rsidRPr="00C454A1">
              <w:rPr>
                <w:color w:val="000000" w:themeColor="text1"/>
                <w:sz w:val="22"/>
                <w:szCs w:val="22"/>
                <w:lang w:val="es-ES"/>
              </w:rPr>
              <w:t>.</w:t>
            </w:r>
            <w:r w:rsidR="00102DCE" w:rsidRPr="00C454A1">
              <w:rPr>
                <w:color w:val="000000" w:themeColor="text1"/>
                <w:sz w:val="22"/>
                <w:szCs w:val="22"/>
                <w:lang w:val="es-ES"/>
              </w:rPr>
              <w:t xml:space="preserve"> </w:t>
            </w:r>
            <w:r w:rsidR="00F223D7" w:rsidRPr="00C454A1">
              <w:rPr>
                <w:color w:val="000000" w:themeColor="text1"/>
                <w:sz w:val="22"/>
                <w:szCs w:val="22"/>
                <w:lang w:val="es-ES"/>
              </w:rPr>
              <w:t>C</w:t>
            </w:r>
            <w:r w:rsidR="00102DCE" w:rsidRPr="00C454A1">
              <w:rPr>
                <w:color w:val="000000" w:themeColor="text1"/>
                <w:sz w:val="22"/>
                <w:szCs w:val="22"/>
                <w:lang w:val="es-ES"/>
              </w:rPr>
              <w:t xml:space="preserve">onllevan una modificación de la ley del PGN </w:t>
            </w:r>
            <w:r w:rsidR="00F223D7" w:rsidRPr="00C454A1">
              <w:rPr>
                <w:color w:val="000000" w:themeColor="text1"/>
                <w:sz w:val="22"/>
                <w:szCs w:val="22"/>
                <w:lang w:val="es-ES"/>
              </w:rPr>
              <w:t>en tanto altera</w:t>
            </w:r>
            <w:r w:rsidR="00856760" w:rsidRPr="00C454A1">
              <w:rPr>
                <w:color w:val="000000" w:themeColor="text1"/>
                <w:sz w:val="22"/>
                <w:szCs w:val="22"/>
                <w:lang w:val="es-ES"/>
              </w:rPr>
              <w:t>n</w:t>
            </w:r>
            <w:r w:rsidR="00F223D7" w:rsidRPr="00C454A1">
              <w:rPr>
                <w:color w:val="000000" w:themeColor="text1"/>
                <w:sz w:val="22"/>
                <w:szCs w:val="22"/>
                <w:lang w:val="es-ES"/>
              </w:rPr>
              <w:t xml:space="preserve"> las autorizaciones máximas de gasto para cada entidad y o para los destinos definidos en la ley del PGN</w:t>
            </w:r>
            <w:r w:rsidRPr="00C454A1">
              <w:rPr>
                <w:color w:val="000000" w:themeColor="text1"/>
                <w:sz w:val="22"/>
                <w:szCs w:val="22"/>
                <w:lang w:val="es-ES"/>
              </w:rPr>
              <w:t>.</w:t>
            </w:r>
            <w:r w:rsidR="00102DCE" w:rsidRPr="00C454A1">
              <w:rPr>
                <w:color w:val="000000" w:themeColor="text1"/>
                <w:sz w:val="22"/>
                <w:szCs w:val="22"/>
                <w:lang w:val="es-ES"/>
              </w:rPr>
              <w:t xml:space="preserve"> </w:t>
            </w:r>
            <w:r w:rsidR="00450061" w:rsidRPr="00C454A1">
              <w:rPr>
                <w:color w:val="000000" w:themeColor="text1"/>
                <w:sz w:val="22"/>
                <w:szCs w:val="22"/>
                <w:lang w:val="es-ES"/>
              </w:rPr>
              <w:t xml:space="preserve">Según el artículo 79 del EOP, el Gobierno nacional puede acudir a esta figura cuando sea indispensable aumentar el monto de las apropiaciones “para complementar las insuficientes”, “ampliar los servicios existentes o establecer nuevos servicios autorizadas por la ley”. </w:t>
            </w:r>
            <w:r w:rsidR="00102DCE" w:rsidRPr="00C454A1">
              <w:rPr>
                <w:color w:val="000000" w:themeColor="text1"/>
                <w:sz w:val="22"/>
                <w:szCs w:val="22"/>
                <w:lang w:val="es-ES"/>
              </w:rPr>
              <w:t>El artículo 80 del EOP dispone que, en estos casos, el Gobierno nacional debe presentar un proyecto de ley al Congreso para que este</w:t>
            </w:r>
            <w:r w:rsidR="00AD0CFD" w:rsidRPr="00C454A1">
              <w:rPr>
                <w:color w:val="000000" w:themeColor="text1"/>
                <w:sz w:val="22"/>
                <w:szCs w:val="22"/>
                <w:lang w:val="es-ES"/>
              </w:rPr>
              <w:t>,</w:t>
            </w:r>
            <w:r w:rsidR="00102DCE" w:rsidRPr="00C454A1">
              <w:rPr>
                <w:color w:val="000000" w:themeColor="text1"/>
                <w:sz w:val="22"/>
                <w:szCs w:val="22"/>
                <w:lang w:val="es-ES"/>
              </w:rPr>
              <w:t xml:space="preserve"> a su turno</w:t>
            </w:r>
            <w:r w:rsidR="00AD0CFD" w:rsidRPr="00C454A1">
              <w:rPr>
                <w:color w:val="000000" w:themeColor="text1"/>
                <w:sz w:val="22"/>
                <w:szCs w:val="22"/>
                <w:lang w:val="es-ES"/>
              </w:rPr>
              <w:t>,</w:t>
            </w:r>
            <w:r w:rsidR="00102DCE" w:rsidRPr="00C454A1">
              <w:rPr>
                <w:color w:val="000000" w:themeColor="text1"/>
                <w:sz w:val="22"/>
                <w:szCs w:val="22"/>
                <w:lang w:val="es-ES"/>
              </w:rPr>
              <w:t xml:space="preserve"> apruebe el traslado de los recursos. </w:t>
            </w:r>
          </w:p>
        </w:tc>
      </w:tr>
      <w:tr w:rsidR="00542C43" w:rsidRPr="00C454A1" w14:paraId="66B71A32" w14:textId="77777777" w:rsidTr="00EE77DF">
        <w:tc>
          <w:tcPr>
            <w:tcW w:w="1129" w:type="dxa"/>
            <w:shd w:val="clear" w:color="auto" w:fill="D9D9D9" w:themeFill="background1" w:themeFillShade="D9"/>
            <w:vAlign w:val="center"/>
          </w:tcPr>
          <w:p w14:paraId="6BA1E829" w14:textId="4185D03E" w:rsidR="00542C43" w:rsidRPr="00C454A1" w:rsidRDefault="00542C43" w:rsidP="00EE77DF">
            <w:pPr>
              <w:pStyle w:val="Prrafodelista"/>
              <w:ind w:left="0"/>
              <w:jc w:val="center"/>
              <w:rPr>
                <w:b/>
                <w:bCs/>
                <w:color w:val="000000" w:themeColor="text1"/>
                <w:sz w:val="22"/>
                <w:szCs w:val="22"/>
                <w:lang w:val="es-ES"/>
              </w:rPr>
            </w:pPr>
            <w:r w:rsidRPr="00C454A1">
              <w:rPr>
                <w:b/>
                <w:bCs/>
                <w:color w:val="000000" w:themeColor="text1"/>
                <w:sz w:val="22"/>
                <w:szCs w:val="22"/>
                <w:lang w:val="es-ES"/>
              </w:rPr>
              <w:t>Créditos adicionales</w:t>
            </w:r>
          </w:p>
        </w:tc>
        <w:tc>
          <w:tcPr>
            <w:tcW w:w="7701" w:type="dxa"/>
          </w:tcPr>
          <w:p w14:paraId="3D545113" w14:textId="6579A87C" w:rsidR="00542C43" w:rsidRPr="00C454A1" w:rsidRDefault="00542C43" w:rsidP="00EE77DF">
            <w:pPr>
              <w:pStyle w:val="Prrafodelista"/>
              <w:ind w:left="0"/>
              <w:rPr>
                <w:color w:val="000000" w:themeColor="text1"/>
                <w:sz w:val="22"/>
                <w:szCs w:val="22"/>
                <w:lang w:val="es-ES"/>
              </w:rPr>
            </w:pPr>
            <w:r w:rsidRPr="00C454A1">
              <w:rPr>
                <w:color w:val="000000" w:themeColor="text1"/>
                <w:sz w:val="22"/>
                <w:szCs w:val="22"/>
                <w:lang w:val="es-ES"/>
              </w:rPr>
              <w:t xml:space="preserve">Consisten en adiciones de recursos a </w:t>
            </w:r>
            <w:r w:rsidR="00856760" w:rsidRPr="00C454A1">
              <w:rPr>
                <w:color w:val="000000" w:themeColor="text1"/>
                <w:sz w:val="22"/>
                <w:szCs w:val="22"/>
                <w:lang w:val="es-ES"/>
              </w:rPr>
              <w:t>las autorizaciones máximas de gasto</w:t>
            </w:r>
            <w:r w:rsidRPr="00C454A1">
              <w:rPr>
                <w:color w:val="000000" w:themeColor="text1"/>
                <w:sz w:val="22"/>
                <w:szCs w:val="22"/>
                <w:lang w:val="es-ES"/>
              </w:rPr>
              <w:t xml:space="preserve"> aprobad</w:t>
            </w:r>
            <w:r w:rsidR="00856760" w:rsidRPr="00C454A1">
              <w:rPr>
                <w:color w:val="000000" w:themeColor="text1"/>
                <w:sz w:val="22"/>
                <w:szCs w:val="22"/>
                <w:lang w:val="es-ES"/>
              </w:rPr>
              <w:t>a</w:t>
            </w:r>
            <w:r w:rsidRPr="00C454A1">
              <w:rPr>
                <w:color w:val="000000" w:themeColor="text1"/>
                <w:sz w:val="22"/>
                <w:szCs w:val="22"/>
                <w:lang w:val="es-ES"/>
              </w:rPr>
              <w:t xml:space="preserve">s en el PGN cuando ya está en curso la ejecución presupuestal. Según el artículo 79 del EOP, el Gobierno nacional puede acudir a esta figura cuando sea indispensable aumentar el monto de las apropiaciones “para complementar las insuficientes”, “ampliar los servicios existentes o establecer nuevos servicios autorizadas por la ley”. </w:t>
            </w:r>
            <w:r w:rsidR="00450061" w:rsidRPr="00C454A1">
              <w:rPr>
                <w:color w:val="000000" w:themeColor="text1"/>
                <w:sz w:val="22"/>
                <w:szCs w:val="22"/>
                <w:lang w:val="es-ES"/>
              </w:rPr>
              <w:t>Adicionalmente, el artículo 2.8.1.9.6. del Decreto 1068 de 2015 precisa que debe acudirse a esta figura de forma excepcional cuando los gastos requeridos no puedan cubrirse con un contracrédito en curso; específicamente indica que debe presentarse una de las siguientes hipótesis: (i) los nuevos gastos sean extraordinarios o imprevisibles “frente a la estimación inicial de gastos”, o (ii) se cuente con mayores ingresos</w:t>
            </w:r>
            <w:r w:rsidR="00B504F3" w:rsidRPr="00C454A1">
              <w:rPr>
                <w:color w:val="000000" w:themeColor="text1"/>
                <w:sz w:val="22"/>
                <w:szCs w:val="22"/>
                <w:lang w:val="es-ES"/>
              </w:rPr>
              <w:t xml:space="preserve"> a los calculados inicialmente en la ley del PGN</w:t>
            </w:r>
            <w:r w:rsidR="00450061" w:rsidRPr="00C454A1">
              <w:rPr>
                <w:color w:val="000000" w:themeColor="text1"/>
                <w:sz w:val="22"/>
                <w:szCs w:val="22"/>
                <w:lang w:val="es-ES"/>
              </w:rPr>
              <w:t xml:space="preserve">. Si no se reúne uno de los anteriores requisitos, </w:t>
            </w:r>
            <w:r w:rsidR="00450061" w:rsidRPr="00C454A1">
              <w:rPr>
                <w:color w:val="000000" w:themeColor="text1"/>
                <w:sz w:val="22"/>
                <w:szCs w:val="22"/>
                <w:lang w:val="es-ES"/>
              </w:rPr>
              <w:lastRenderedPageBreak/>
              <w:t>el mismo artículo dispone que “el Ministro de Hacienda y Crédito Público preparará una actualización del Marco Fiscal de Mediano Plazo, un análisis de las implicaciones de dicha adición y un conjunto de recomendaciones.” Cuando se cumplan estas condiciones</w:t>
            </w:r>
            <w:r w:rsidRPr="00C454A1">
              <w:rPr>
                <w:color w:val="000000" w:themeColor="text1"/>
                <w:sz w:val="22"/>
                <w:szCs w:val="22"/>
                <w:lang w:val="es-ES"/>
              </w:rPr>
              <w:t xml:space="preserve">, el Gobierno nacional </w:t>
            </w:r>
            <w:r w:rsidR="00450061" w:rsidRPr="00C454A1">
              <w:rPr>
                <w:color w:val="000000" w:themeColor="text1"/>
                <w:sz w:val="22"/>
                <w:szCs w:val="22"/>
                <w:lang w:val="es-ES"/>
              </w:rPr>
              <w:t>puede</w:t>
            </w:r>
            <w:r w:rsidRPr="00C454A1">
              <w:rPr>
                <w:color w:val="000000" w:themeColor="text1"/>
                <w:sz w:val="22"/>
                <w:szCs w:val="22"/>
                <w:lang w:val="es-ES"/>
              </w:rPr>
              <w:t xml:space="preserve"> presentar un proyecto de ley al Congreso</w:t>
            </w:r>
            <w:r w:rsidR="00632AAC" w:rsidRPr="00C454A1">
              <w:rPr>
                <w:color w:val="000000" w:themeColor="text1"/>
                <w:sz w:val="22"/>
                <w:szCs w:val="22"/>
                <w:lang w:val="es-ES"/>
              </w:rPr>
              <w:t xml:space="preserve">, quien a su turno puede o no aprobarlo. Se trata </w:t>
            </w:r>
            <w:r w:rsidR="00450061" w:rsidRPr="00C454A1">
              <w:rPr>
                <w:color w:val="000000" w:themeColor="text1"/>
                <w:sz w:val="22"/>
                <w:szCs w:val="22"/>
                <w:lang w:val="es-ES"/>
              </w:rPr>
              <w:t xml:space="preserve">por tanto </w:t>
            </w:r>
            <w:r w:rsidR="00632AAC" w:rsidRPr="00C454A1">
              <w:rPr>
                <w:color w:val="000000" w:themeColor="text1"/>
                <w:sz w:val="22"/>
                <w:szCs w:val="22"/>
                <w:lang w:val="es-ES"/>
              </w:rPr>
              <w:t xml:space="preserve">de una manifestación del principio de legalidad del gasto </w:t>
            </w:r>
            <w:r w:rsidR="00450061" w:rsidRPr="00C454A1">
              <w:rPr>
                <w:color w:val="000000" w:themeColor="text1"/>
                <w:sz w:val="22"/>
                <w:szCs w:val="22"/>
                <w:lang w:val="es-ES"/>
              </w:rPr>
              <w:t xml:space="preserve">público </w:t>
            </w:r>
            <w:r w:rsidR="00632AAC" w:rsidRPr="00C454A1">
              <w:rPr>
                <w:color w:val="000000" w:themeColor="text1"/>
                <w:sz w:val="22"/>
                <w:szCs w:val="22"/>
                <w:lang w:val="es-ES"/>
              </w:rPr>
              <w:t>establecido en el artículo 345 de la Constitución</w:t>
            </w:r>
            <w:r w:rsidR="00B504F3" w:rsidRPr="00C454A1">
              <w:rPr>
                <w:color w:val="000000" w:themeColor="text1"/>
                <w:sz w:val="22"/>
                <w:szCs w:val="22"/>
                <w:lang w:val="es-ES"/>
              </w:rPr>
              <w:t>, pues una adición presupuestal altera las autorizaciones de gasto dadas por el Congreso en la ley del PGN</w:t>
            </w:r>
            <w:r w:rsidR="00632AAC" w:rsidRPr="00C454A1">
              <w:rPr>
                <w:color w:val="000000" w:themeColor="text1"/>
                <w:sz w:val="22"/>
                <w:szCs w:val="22"/>
                <w:lang w:val="es-ES"/>
              </w:rPr>
              <w:t>.</w:t>
            </w:r>
            <w:r w:rsidRPr="00C454A1">
              <w:rPr>
                <w:color w:val="000000" w:themeColor="text1"/>
                <w:sz w:val="22"/>
                <w:szCs w:val="22"/>
                <w:lang w:val="es-ES"/>
              </w:rPr>
              <w:t xml:space="preserve"> </w:t>
            </w:r>
            <w:r w:rsidR="00461764" w:rsidRPr="00C454A1">
              <w:rPr>
                <w:color w:val="000000" w:themeColor="text1"/>
                <w:sz w:val="22"/>
                <w:szCs w:val="22"/>
                <w:lang w:val="es-ES"/>
              </w:rPr>
              <w:t xml:space="preserve">De acuerdo con el artículo 81 del EOP, la ley que apruebe la adición presupuestal debe establecer de manera clara y precisa “el recurso que ha de servir de base para su apertura y con el cual se incrementa el Presupuesto de Rentas y Recursos de Capital, a menos que se trate de créditos abiertos mediante contra créditos a la ley de apropiaciones”. </w:t>
            </w:r>
          </w:p>
        </w:tc>
      </w:tr>
    </w:tbl>
    <w:p w14:paraId="6EA24F7E" w14:textId="77777777" w:rsidR="00542C43" w:rsidRPr="00C454A1" w:rsidRDefault="00542C43" w:rsidP="003A0DA8">
      <w:pPr>
        <w:rPr>
          <w:color w:val="000000" w:themeColor="text1"/>
        </w:rPr>
      </w:pPr>
    </w:p>
    <w:p w14:paraId="4A9450AC" w14:textId="42D691C4" w:rsidR="00CE47B2" w:rsidRPr="00C454A1" w:rsidRDefault="00B36407" w:rsidP="006C571F">
      <w:pPr>
        <w:pStyle w:val="Prrafodelista"/>
        <w:numPr>
          <w:ilvl w:val="0"/>
          <w:numId w:val="2"/>
        </w:numPr>
        <w:ind w:left="0" w:firstLine="0"/>
        <w:rPr>
          <w:color w:val="000000" w:themeColor="text1"/>
        </w:rPr>
      </w:pPr>
      <w:r w:rsidRPr="00C454A1">
        <w:rPr>
          <w:color w:val="000000" w:themeColor="text1"/>
        </w:rPr>
        <w:t>Finalmente, en caso de requerirse recursos adicionales, durante tiempos de normalidad</w:t>
      </w:r>
      <w:r w:rsidR="001B4716" w:rsidRPr="00C454A1">
        <w:rPr>
          <w:color w:val="000000" w:themeColor="text1"/>
        </w:rPr>
        <w:t>,</w:t>
      </w:r>
      <w:r w:rsidRPr="00C454A1">
        <w:rPr>
          <w:color w:val="000000" w:themeColor="text1"/>
        </w:rPr>
        <w:t xml:space="preserve"> el Gobierno nacional debe acudir a mecanismos como la creación o modificación de tributos, la venta de activos y, excepcionalmente, </w:t>
      </w:r>
      <w:r w:rsidR="00CE47B2" w:rsidRPr="00C454A1">
        <w:rPr>
          <w:color w:val="000000" w:themeColor="text1"/>
        </w:rPr>
        <w:t>operaciones de crédito público</w:t>
      </w:r>
      <w:r w:rsidRPr="00C454A1">
        <w:rPr>
          <w:color w:val="000000" w:themeColor="text1"/>
        </w:rPr>
        <w:t xml:space="preserve">, entre otras fuentes de ingresos. </w:t>
      </w:r>
      <w:r w:rsidR="001B4716" w:rsidRPr="00C454A1">
        <w:rPr>
          <w:color w:val="000000" w:themeColor="text1"/>
        </w:rPr>
        <w:t>Según los numeral</w:t>
      </w:r>
      <w:r w:rsidR="005A2622" w:rsidRPr="00C454A1">
        <w:rPr>
          <w:color w:val="000000" w:themeColor="text1"/>
        </w:rPr>
        <w:t>es</w:t>
      </w:r>
      <w:r w:rsidR="001B4716" w:rsidRPr="00C454A1">
        <w:rPr>
          <w:color w:val="000000" w:themeColor="text1"/>
        </w:rPr>
        <w:t xml:space="preserve"> 11 y 12 del artículo 150 de la Constitución, corresponde al Congreso establecer las rentas nacionales</w:t>
      </w:r>
      <w:r w:rsidR="00CE47B2" w:rsidRPr="00C454A1">
        <w:rPr>
          <w:color w:val="000000" w:themeColor="text1"/>
        </w:rPr>
        <w:t xml:space="preserve"> -lo que incluye los tributos-</w:t>
      </w:r>
      <w:r w:rsidR="001B4716" w:rsidRPr="00C454A1">
        <w:rPr>
          <w:color w:val="000000" w:themeColor="text1"/>
        </w:rPr>
        <w:t>, así como las contribuciones fiscales y parafiscales</w:t>
      </w:r>
      <w:r w:rsidR="005A2622" w:rsidRPr="00C454A1">
        <w:rPr>
          <w:color w:val="000000" w:themeColor="text1"/>
        </w:rPr>
        <w:t xml:space="preserve">, en el primer caso sólo por iniciativa del Gobierno nacional </w:t>
      </w:r>
      <w:r w:rsidR="00273522" w:rsidRPr="00C454A1">
        <w:rPr>
          <w:color w:val="000000" w:themeColor="text1"/>
        </w:rPr>
        <w:t xml:space="preserve">como dispone el </w:t>
      </w:r>
      <w:r w:rsidR="005A2622" w:rsidRPr="00C454A1">
        <w:rPr>
          <w:color w:val="000000" w:themeColor="text1"/>
        </w:rPr>
        <w:t>artículo 154 de la Constitución</w:t>
      </w:r>
      <w:r w:rsidR="001B4716" w:rsidRPr="00C454A1">
        <w:rPr>
          <w:color w:val="000000" w:themeColor="text1"/>
        </w:rPr>
        <w:t xml:space="preserve">. </w:t>
      </w:r>
      <w:r w:rsidR="005A2622" w:rsidRPr="00C454A1">
        <w:rPr>
          <w:color w:val="000000" w:themeColor="text1"/>
        </w:rPr>
        <w:t xml:space="preserve">El artículo </w:t>
      </w:r>
      <w:r w:rsidR="001B4716" w:rsidRPr="00C454A1">
        <w:rPr>
          <w:color w:val="000000" w:themeColor="text1"/>
        </w:rPr>
        <w:t xml:space="preserve">345 </w:t>
      </w:r>
      <w:r w:rsidR="005A2622" w:rsidRPr="00C454A1">
        <w:rPr>
          <w:color w:val="000000" w:themeColor="text1"/>
        </w:rPr>
        <w:t xml:space="preserve">constitucional </w:t>
      </w:r>
      <w:r w:rsidR="006C571F" w:rsidRPr="00C454A1">
        <w:rPr>
          <w:color w:val="000000" w:themeColor="text1"/>
        </w:rPr>
        <w:t xml:space="preserve">indica, además, que los tributos deben incorporarse al presupuesto de rentas del PGN, es decir, requieren aval legislativo para poderse contabilizar en el PGN. </w:t>
      </w:r>
    </w:p>
    <w:p w14:paraId="6FC92451" w14:textId="77777777" w:rsidR="00CE47B2" w:rsidRPr="00C454A1" w:rsidRDefault="00CE47B2" w:rsidP="00CE47B2">
      <w:pPr>
        <w:pStyle w:val="Prrafodelista"/>
        <w:ind w:left="0"/>
        <w:rPr>
          <w:color w:val="000000" w:themeColor="text1"/>
        </w:rPr>
      </w:pPr>
    </w:p>
    <w:p w14:paraId="669DD42A" w14:textId="4EF01639" w:rsidR="00A5359C" w:rsidRPr="00C454A1" w:rsidRDefault="00CE47B2" w:rsidP="00A90DEE">
      <w:pPr>
        <w:pStyle w:val="Prrafodelista"/>
        <w:numPr>
          <w:ilvl w:val="0"/>
          <w:numId w:val="2"/>
        </w:numPr>
        <w:ind w:left="0" w:firstLine="0"/>
        <w:rPr>
          <w:color w:val="000000" w:themeColor="text1"/>
        </w:rPr>
      </w:pPr>
      <w:r w:rsidRPr="00C454A1">
        <w:rPr>
          <w:color w:val="000000" w:themeColor="text1"/>
        </w:rPr>
        <w:t>En materia de operaciones de crédito público, existen varias modalidades</w:t>
      </w:r>
      <w:r w:rsidR="00273522" w:rsidRPr="00C454A1">
        <w:rPr>
          <w:rStyle w:val="Refdenotaalpie"/>
          <w:color w:val="000000" w:themeColor="text1"/>
        </w:rPr>
        <w:footnoteReference w:id="444"/>
      </w:r>
      <w:r w:rsidR="00AA2399" w:rsidRPr="00C454A1">
        <w:rPr>
          <w:color w:val="000000" w:themeColor="text1"/>
        </w:rPr>
        <w:t>; las más usadas son</w:t>
      </w:r>
      <w:r w:rsidRPr="00C454A1">
        <w:rPr>
          <w:color w:val="000000" w:themeColor="text1"/>
        </w:rPr>
        <w:t xml:space="preserve">: </w:t>
      </w:r>
      <w:r w:rsidR="006C571F" w:rsidRPr="00C454A1">
        <w:rPr>
          <w:color w:val="000000" w:themeColor="text1"/>
        </w:rPr>
        <w:t>p</w:t>
      </w:r>
      <w:r w:rsidR="00A5359C" w:rsidRPr="00C454A1">
        <w:rPr>
          <w:color w:val="000000" w:themeColor="text1"/>
        </w:rPr>
        <w:t>rimero,</w:t>
      </w:r>
      <w:r w:rsidR="00AA2399" w:rsidRPr="00C454A1">
        <w:rPr>
          <w:color w:val="000000" w:themeColor="text1"/>
        </w:rPr>
        <w:t xml:space="preserve"> </w:t>
      </w:r>
      <w:r w:rsidR="00273522" w:rsidRPr="00C454A1">
        <w:rPr>
          <w:color w:val="000000" w:themeColor="text1"/>
        </w:rPr>
        <w:t xml:space="preserve">la </w:t>
      </w:r>
      <w:r w:rsidR="00491E85" w:rsidRPr="00C454A1">
        <w:rPr>
          <w:color w:val="000000" w:themeColor="text1"/>
        </w:rPr>
        <w:t>e</w:t>
      </w:r>
      <w:r w:rsidRPr="00C454A1">
        <w:rPr>
          <w:color w:val="000000" w:themeColor="text1"/>
        </w:rPr>
        <w:t>misión, es decir, créditos otorgados directamente por el Banco de la República</w:t>
      </w:r>
      <w:r w:rsidR="00AA2399" w:rsidRPr="00C454A1">
        <w:rPr>
          <w:color w:val="000000" w:themeColor="text1"/>
        </w:rPr>
        <w:t xml:space="preserve">. </w:t>
      </w:r>
      <w:r w:rsidRPr="00C454A1">
        <w:rPr>
          <w:color w:val="000000" w:themeColor="text1"/>
        </w:rPr>
        <w:t>Una característica importante de este mecanismo es que</w:t>
      </w:r>
      <w:r w:rsidR="00AA2399" w:rsidRPr="00C454A1">
        <w:rPr>
          <w:color w:val="000000" w:themeColor="text1"/>
        </w:rPr>
        <w:t>, de conformidad con el artículo 373 de la Constitución,</w:t>
      </w:r>
      <w:r w:rsidRPr="00C454A1">
        <w:rPr>
          <w:color w:val="000000" w:themeColor="text1"/>
        </w:rPr>
        <w:t xml:space="preserve"> debe ser aprobado por decisión unánime de la </w:t>
      </w:r>
      <w:r w:rsidR="00287349" w:rsidRPr="00C454A1">
        <w:rPr>
          <w:color w:val="000000" w:themeColor="text1"/>
        </w:rPr>
        <w:t>J</w:t>
      </w:r>
      <w:r w:rsidRPr="00C454A1">
        <w:rPr>
          <w:color w:val="000000" w:themeColor="text1"/>
        </w:rPr>
        <w:t xml:space="preserve">unta </w:t>
      </w:r>
      <w:r w:rsidR="00287349" w:rsidRPr="00C454A1">
        <w:rPr>
          <w:color w:val="000000" w:themeColor="text1"/>
        </w:rPr>
        <w:t>D</w:t>
      </w:r>
      <w:r w:rsidRPr="00C454A1">
        <w:rPr>
          <w:color w:val="000000" w:themeColor="text1"/>
        </w:rPr>
        <w:t xml:space="preserve">irectiva del </w:t>
      </w:r>
      <w:r w:rsidR="00287349" w:rsidRPr="00C454A1">
        <w:rPr>
          <w:color w:val="000000" w:themeColor="text1"/>
        </w:rPr>
        <w:t>B</w:t>
      </w:r>
      <w:r w:rsidRPr="00C454A1">
        <w:rPr>
          <w:color w:val="000000" w:themeColor="text1"/>
        </w:rPr>
        <w:t>anco, lo que ha obstaculizado su empleo desde la adopción de la Constitución de 1991</w:t>
      </w:r>
      <w:r w:rsidR="00AA2399" w:rsidRPr="00C454A1">
        <w:rPr>
          <w:color w:val="000000" w:themeColor="text1"/>
        </w:rPr>
        <w:t xml:space="preserve">. </w:t>
      </w:r>
    </w:p>
    <w:p w14:paraId="4FE145DE" w14:textId="77777777" w:rsidR="00A5359C" w:rsidRPr="00C454A1" w:rsidRDefault="00A5359C" w:rsidP="00A5359C">
      <w:pPr>
        <w:pStyle w:val="Prrafodelista"/>
        <w:rPr>
          <w:color w:val="000000" w:themeColor="text1"/>
        </w:rPr>
      </w:pPr>
    </w:p>
    <w:p w14:paraId="0F5488C0" w14:textId="329A7873" w:rsidR="00A5359C" w:rsidRPr="00C454A1" w:rsidRDefault="00A5359C" w:rsidP="00A90DEE">
      <w:pPr>
        <w:pStyle w:val="Prrafodelista"/>
        <w:numPr>
          <w:ilvl w:val="0"/>
          <w:numId w:val="2"/>
        </w:numPr>
        <w:ind w:left="0" w:firstLine="0"/>
        <w:rPr>
          <w:color w:val="000000" w:themeColor="text1"/>
        </w:rPr>
      </w:pPr>
      <w:r w:rsidRPr="00C454A1">
        <w:rPr>
          <w:color w:val="000000" w:themeColor="text1"/>
        </w:rPr>
        <w:t>Segundo, las</w:t>
      </w:r>
      <w:r w:rsidR="00AA2399" w:rsidRPr="00C454A1">
        <w:rPr>
          <w:color w:val="000000" w:themeColor="text1"/>
        </w:rPr>
        <w:t xml:space="preserve"> </w:t>
      </w:r>
      <w:r w:rsidRPr="00C454A1">
        <w:rPr>
          <w:color w:val="000000" w:themeColor="text1"/>
        </w:rPr>
        <w:t>o</w:t>
      </w:r>
      <w:r w:rsidR="00AA2399" w:rsidRPr="00C454A1">
        <w:rPr>
          <w:color w:val="000000" w:themeColor="text1"/>
        </w:rPr>
        <w:t>peraciones de crédito interno y externo celebradas por medio de contratos de empréstitos</w:t>
      </w:r>
      <w:r w:rsidR="00273522" w:rsidRPr="00C454A1">
        <w:rPr>
          <w:rStyle w:val="Refdenotaalpie"/>
          <w:color w:val="000000" w:themeColor="text1"/>
        </w:rPr>
        <w:footnoteReference w:id="445"/>
      </w:r>
      <w:r w:rsidR="00AA2399" w:rsidRPr="00C454A1">
        <w:rPr>
          <w:color w:val="000000" w:themeColor="text1"/>
        </w:rPr>
        <w:t xml:space="preserve">. Las operaciones de crédito externo, es decir, las que son celebradas con personas y entidades localizadas en el exterior y que se pactan en monedas extranjeras, deben ser autorizadas por el Ministerio de Hacienda </w:t>
      </w:r>
      <w:r w:rsidR="003830B6" w:rsidRPr="00C454A1">
        <w:rPr>
          <w:color w:val="000000" w:themeColor="text1"/>
        </w:rPr>
        <w:t>y</w:t>
      </w:r>
      <w:r w:rsidR="00AA2399" w:rsidRPr="00C454A1">
        <w:rPr>
          <w:color w:val="000000" w:themeColor="text1"/>
        </w:rPr>
        <w:t xml:space="preserve">, en todo caso, están sujetas a las reglas y condicionamientos de los acreedores. Las operaciones de crédito público </w:t>
      </w:r>
      <w:r w:rsidR="00331ABD" w:rsidRPr="00C454A1">
        <w:rPr>
          <w:color w:val="000000" w:themeColor="text1"/>
        </w:rPr>
        <w:t xml:space="preserve">interno </w:t>
      </w:r>
      <w:r w:rsidR="00AA2399" w:rsidRPr="00C454A1">
        <w:rPr>
          <w:color w:val="000000" w:themeColor="text1"/>
        </w:rPr>
        <w:t>también requieren autorización del Ministerio de Hacienda, previos conceptos favorables de</w:t>
      </w:r>
      <w:r w:rsidR="00331ABD" w:rsidRPr="00C454A1">
        <w:rPr>
          <w:color w:val="000000" w:themeColor="text1"/>
        </w:rPr>
        <w:t xml:space="preserve">l DNP </w:t>
      </w:r>
      <w:r w:rsidR="003830B6" w:rsidRPr="00C454A1">
        <w:rPr>
          <w:color w:val="000000" w:themeColor="text1"/>
        </w:rPr>
        <w:t>(</w:t>
      </w:r>
      <w:r w:rsidR="00331ABD" w:rsidRPr="00C454A1">
        <w:rPr>
          <w:color w:val="000000" w:themeColor="text1"/>
        </w:rPr>
        <w:t>si los recursos se destinarán a proyectos de inversión</w:t>
      </w:r>
      <w:r w:rsidR="003830B6" w:rsidRPr="00C454A1">
        <w:rPr>
          <w:color w:val="000000" w:themeColor="text1"/>
        </w:rPr>
        <w:t>)</w:t>
      </w:r>
      <w:r w:rsidR="00331ABD" w:rsidRPr="00C454A1">
        <w:rPr>
          <w:color w:val="000000" w:themeColor="text1"/>
        </w:rPr>
        <w:t xml:space="preserve"> y la Dirección General de Crédito Público y Tesoro Nacional del mismo ministerio.</w:t>
      </w:r>
      <w:r w:rsidR="003830B6" w:rsidRPr="00C454A1">
        <w:rPr>
          <w:rStyle w:val="Refdenotaalpie"/>
          <w:color w:val="000000" w:themeColor="text1"/>
        </w:rPr>
        <w:footnoteReference w:id="446"/>
      </w:r>
      <w:r w:rsidR="00331ABD" w:rsidRPr="00C454A1">
        <w:rPr>
          <w:color w:val="000000" w:themeColor="text1"/>
        </w:rPr>
        <w:t xml:space="preserve"> Tanto las operaciones de crédito externo como interno están sometidas a los cupos de </w:t>
      </w:r>
      <w:r w:rsidR="00331ABD" w:rsidRPr="00C454A1">
        <w:rPr>
          <w:color w:val="000000" w:themeColor="text1"/>
        </w:rPr>
        <w:lastRenderedPageBreak/>
        <w:t xml:space="preserve">endeudamiento que debe definir el Congreso </w:t>
      </w:r>
      <w:r w:rsidR="00491E85" w:rsidRPr="00C454A1">
        <w:rPr>
          <w:color w:val="000000" w:themeColor="text1"/>
        </w:rPr>
        <w:t xml:space="preserve">según el numeral 9 del artículo 150 de la Constitución. </w:t>
      </w:r>
    </w:p>
    <w:p w14:paraId="390EF828" w14:textId="77777777" w:rsidR="00A5359C" w:rsidRPr="00C454A1" w:rsidRDefault="00A5359C" w:rsidP="00A5359C">
      <w:pPr>
        <w:pStyle w:val="Prrafodelista"/>
        <w:rPr>
          <w:color w:val="000000" w:themeColor="text1"/>
        </w:rPr>
      </w:pPr>
    </w:p>
    <w:p w14:paraId="605FECCB" w14:textId="67AC3A2C" w:rsidR="00A5359C" w:rsidRPr="00C454A1" w:rsidRDefault="00A5359C" w:rsidP="00A90DEE">
      <w:pPr>
        <w:pStyle w:val="Prrafodelista"/>
        <w:numPr>
          <w:ilvl w:val="0"/>
          <w:numId w:val="2"/>
        </w:numPr>
        <w:ind w:left="0" w:firstLine="0"/>
        <w:rPr>
          <w:color w:val="000000" w:themeColor="text1"/>
        </w:rPr>
      </w:pPr>
      <w:r w:rsidRPr="00C454A1">
        <w:rPr>
          <w:color w:val="000000" w:themeColor="text1"/>
        </w:rPr>
        <w:t>Tercero,</w:t>
      </w:r>
      <w:r w:rsidR="00491E85" w:rsidRPr="00C454A1">
        <w:rPr>
          <w:color w:val="000000" w:themeColor="text1"/>
        </w:rPr>
        <w:t xml:space="preserve"> </w:t>
      </w:r>
      <w:r w:rsidRPr="00C454A1">
        <w:rPr>
          <w:color w:val="000000" w:themeColor="text1"/>
        </w:rPr>
        <w:t>los t</w:t>
      </w:r>
      <w:r w:rsidR="00491E85" w:rsidRPr="00C454A1">
        <w:rPr>
          <w:color w:val="000000" w:themeColor="text1"/>
        </w:rPr>
        <w:t>ítulos de deuda, los cuales pueden distribuirse en mercados internos o externos</w:t>
      </w:r>
      <w:r w:rsidR="00491E85" w:rsidRPr="00C454A1">
        <w:rPr>
          <w:color w:val="000000" w:themeColor="text1"/>
          <w:lang w:val="es-ES"/>
        </w:rPr>
        <w:t>.</w:t>
      </w:r>
      <w:r w:rsidR="003830B6" w:rsidRPr="00C454A1">
        <w:rPr>
          <w:rStyle w:val="Refdenotaalpie"/>
          <w:color w:val="000000" w:themeColor="text1"/>
          <w:lang w:val="es-ES"/>
        </w:rPr>
        <w:footnoteReference w:id="447"/>
      </w:r>
      <w:r w:rsidR="00491E85" w:rsidRPr="00C454A1">
        <w:rPr>
          <w:color w:val="000000" w:themeColor="text1"/>
          <w:lang w:val="es-ES"/>
        </w:rPr>
        <w:t xml:space="preserve"> Los títulos para mercados externos pueden emitirse por decisión del </w:t>
      </w:r>
      <w:r w:rsidR="001D5929" w:rsidRPr="00C454A1">
        <w:rPr>
          <w:color w:val="000000" w:themeColor="text1"/>
          <w:lang w:val="es-ES"/>
        </w:rPr>
        <w:t>Ministerio</w:t>
      </w:r>
      <w:r w:rsidR="00491E85" w:rsidRPr="00C454A1">
        <w:rPr>
          <w:color w:val="000000" w:themeColor="text1"/>
          <w:lang w:val="es-ES"/>
        </w:rPr>
        <w:t xml:space="preserve"> de Hacienda y Crédito Público, previo concepto favorable del Conpes y la Comisión Interparlamentaria de Crédito Público si se trata de títulos de deuda pública externa con plazo superior a un año</w:t>
      </w:r>
      <w:r w:rsidR="00067E9E" w:rsidRPr="00C454A1">
        <w:rPr>
          <w:color w:val="000000" w:themeColor="text1"/>
          <w:lang w:val="es-ES"/>
        </w:rPr>
        <w:t>.</w:t>
      </w:r>
      <w:r w:rsidR="00195E60" w:rsidRPr="00C454A1">
        <w:rPr>
          <w:rStyle w:val="Refdenotaalpie"/>
          <w:color w:val="000000" w:themeColor="text1"/>
          <w:lang w:val="es-ES"/>
        </w:rPr>
        <w:footnoteReference w:id="448"/>
      </w:r>
      <w:r w:rsidR="00067E9E" w:rsidRPr="00C454A1">
        <w:rPr>
          <w:color w:val="000000" w:themeColor="text1"/>
          <w:lang w:val="es-ES"/>
        </w:rPr>
        <w:t xml:space="preserve"> Los títulos para comercialización interna, específicamente los TES tipo B, se pueden emitir por decreto del Gobierno nacional, previo concepto favorable de la Junta Directiva del Banco de la República sobre las características de la emisión y sus condiciones financieras.</w:t>
      </w:r>
      <w:r w:rsidR="00195E60" w:rsidRPr="00C454A1">
        <w:rPr>
          <w:rStyle w:val="Refdenotaalpie"/>
          <w:color w:val="000000" w:themeColor="text1"/>
          <w:lang w:val="es-ES"/>
        </w:rPr>
        <w:footnoteReference w:id="449"/>
      </w:r>
      <w:r w:rsidR="00067E9E" w:rsidRPr="00C454A1">
        <w:rPr>
          <w:color w:val="000000" w:themeColor="text1"/>
          <w:lang w:val="es-ES"/>
        </w:rPr>
        <w:t xml:space="preserve"> </w:t>
      </w:r>
    </w:p>
    <w:p w14:paraId="5B0C0149" w14:textId="77777777" w:rsidR="00A5359C" w:rsidRPr="00C454A1" w:rsidRDefault="00A5359C" w:rsidP="00A5359C">
      <w:pPr>
        <w:pStyle w:val="Prrafodelista"/>
        <w:rPr>
          <w:color w:val="000000" w:themeColor="text1"/>
          <w:lang w:val="es-ES"/>
        </w:rPr>
      </w:pPr>
    </w:p>
    <w:p w14:paraId="470AA8C1" w14:textId="1305E36D" w:rsidR="00B36407" w:rsidRPr="00C454A1" w:rsidRDefault="00A5359C" w:rsidP="00A90DEE">
      <w:pPr>
        <w:pStyle w:val="Prrafodelista"/>
        <w:numPr>
          <w:ilvl w:val="0"/>
          <w:numId w:val="2"/>
        </w:numPr>
        <w:ind w:left="0" w:firstLine="0"/>
        <w:rPr>
          <w:color w:val="000000" w:themeColor="text1"/>
        </w:rPr>
      </w:pPr>
      <w:bookmarkStart w:id="218" w:name="_Ref203401665"/>
      <w:r w:rsidRPr="00C454A1">
        <w:rPr>
          <w:color w:val="000000" w:themeColor="text1"/>
          <w:lang w:val="es-ES"/>
        </w:rPr>
        <w:t>Todas estas</w:t>
      </w:r>
      <w:r w:rsidR="00067E9E" w:rsidRPr="00C454A1">
        <w:rPr>
          <w:color w:val="000000" w:themeColor="text1"/>
          <w:lang w:val="es-ES"/>
        </w:rPr>
        <w:t xml:space="preserve"> operaciones de crédito público deben </w:t>
      </w:r>
      <w:r w:rsidRPr="00C454A1">
        <w:rPr>
          <w:color w:val="000000" w:themeColor="text1"/>
          <w:lang w:val="es-ES"/>
        </w:rPr>
        <w:t xml:space="preserve">también </w:t>
      </w:r>
      <w:r w:rsidR="00067E9E" w:rsidRPr="00C454A1">
        <w:rPr>
          <w:color w:val="000000" w:themeColor="text1"/>
          <w:lang w:val="es-ES"/>
        </w:rPr>
        <w:t xml:space="preserve">sujetarse a los límites que se derivan de la regla fiscal, específicamente </w:t>
      </w:r>
      <w:r w:rsidR="00287349" w:rsidRPr="00C454A1">
        <w:rPr>
          <w:color w:val="000000" w:themeColor="text1"/>
          <w:lang w:val="es-ES"/>
        </w:rPr>
        <w:t xml:space="preserve">del artículo 5 de la Ley </w:t>
      </w:r>
      <w:r w:rsidR="00287349" w:rsidRPr="00C454A1">
        <w:rPr>
          <w:color w:val="000000" w:themeColor="text1"/>
        </w:rPr>
        <w:t xml:space="preserve">1473 de 2011, modificado por el artículo 60 de la Ley 2155 de 2021, el cual contiene </w:t>
      </w:r>
      <w:r w:rsidRPr="00C454A1">
        <w:rPr>
          <w:color w:val="000000" w:themeColor="text1"/>
        </w:rPr>
        <w:t xml:space="preserve">restricciones </w:t>
      </w:r>
      <w:r w:rsidR="00287349" w:rsidRPr="00C454A1">
        <w:rPr>
          <w:color w:val="000000" w:themeColor="text1"/>
        </w:rPr>
        <w:t xml:space="preserve">explícitas sobre </w:t>
      </w:r>
      <w:r w:rsidRPr="00C454A1">
        <w:rPr>
          <w:color w:val="000000" w:themeColor="text1"/>
        </w:rPr>
        <w:t>los niveles de</w:t>
      </w:r>
      <w:r w:rsidR="00287349" w:rsidRPr="00C454A1">
        <w:rPr>
          <w:color w:val="000000" w:themeColor="text1"/>
        </w:rPr>
        <w:t xml:space="preserve"> endeudamiento nacional.</w:t>
      </w:r>
      <w:bookmarkEnd w:id="218"/>
    </w:p>
    <w:p w14:paraId="5CA7F9AF" w14:textId="77777777" w:rsidR="00B36407" w:rsidRPr="00C454A1" w:rsidRDefault="00B36407" w:rsidP="00B36407">
      <w:pPr>
        <w:pStyle w:val="Prrafodelista"/>
        <w:ind w:left="786"/>
        <w:rPr>
          <w:color w:val="000000" w:themeColor="text1"/>
        </w:rPr>
      </w:pPr>
    </w:p>
    <w:p w14:paraId="286DCCAF" w14:textId="1294B7BF" w:rsidR="003A0DA8" w:rsidRPr="00C454A1" w:rsidRDefault="00ED28C7" w:rsidP="00F37F24">
      <w:pPr>
        <w:pStyle w:val="Prrafodelista"/>
        <w:widowControl w:val="0"/>
        <w:numPr>
          <w:ilvl w:val="2"/>
          <w:numId w:val="3"/>
        </w:numPr>
        <w:ind w:left="1134" w:hanging="708"/>
        <w:outlineLvl w:val="0"/>
        <w:rPr>
          <w:rFonts w:eastAsia="Times New Roman" w:cs="Times New Roman"/>
          <w:b/>
          <w:bCs/>
          <w:color w:val="000000" w:themeColor="text1"/>
          <w:szCs w:val="28"/>
          <w:lang w:val="es-ES"/>
        </w:rPr>
      </w:pPr>
      <w:bookmarkStart w:id="219" w:name="_Ref203401265"/>
      <w:bookmarkStart w:id="220" w:name="_Toc223979959"/>
      <w:r w:rsidRPr="00C454A1">
        <w:rPr>
          <w:rFonts w:eastAsia="Times New Roman" w:cs="Times New Roman"/>
          <w:b/>
          <w:bCs/>
          <w:color w:val="000000" w:themeColor="text1"/>
          <w:szCs w:val="28"/>
          <w:lang w:val="es-ES"/>
        </w:rPr>
        <w:t>Análisis</w:t>
      </w:r>
      <w:r w:rsidR="003A0DA8" w:rsidRPr="00C454A1">
        <w:rPr>
          <w:rFonts w:eastAsia="Times New Roman" w:cs="Times New Roman"/>
          <w:b/>
          <w:bCs/>
          <w:color w:val="000000" w:themeColor="text1"/>
          <w:szCs w:val="28"/>
          <w:lang w:val="es-ES"/>
        </w:rPr>
        <w:t xml:space="preserve"> </w:t>
      </w:r>
      <w:r w:rsidR="002B4636" w:rsidRPr="00C454A1">
        <w:rPr>
          <w:rFonts w:eastAsia="Times New Roman" w:cs="Times New Roman"/>
          <w:b/>
          <w:bCs/>
          <w:i/>
          <w:iCs/>
          <w:color w:val="000000" w:themeColor="text1"/>
          <w:szCs w:val="28"/>
          <w:lang w:val="es-ES"/>
        </w:rPr>
        <w:t>global</w:t>
      </w:r>
      <w:r w:rsidR="003A0DA8" w:rsidRPr="00C454A1">
        <w:rPr>
          <w:rFonts w:eastAsia="Times New Roman" w:cs="Times New Roman"/>
          <w:b/>
          <w:bCs/>
          <w:color w:val="000000" w:themeColor="text1"/>
          <w:szCs w:val="28"/>
          <w:lang w:val="es-ES"/>
        </w:rPr>
        <w:t xml:space="preserve"> </w:t>
      </w:r>
      <w:r w:rsidR="002B4636" w:rsidRPr="00C454A1">
        <w:rPr>
          <w:rFonts w:eastAsia="Times New Roman" w:cs="Times New Roman"/>
          <w:b/>
          <w:bCs/>
          <w:color w:val="000000" w:themeColor="text1"/>
          <w:szCs w:val="28"/>
          <w:lang w:val="es-ES"/>
        </w:rPr>
        <w:t xml:space="preserve">de la suficiencia </w:t>
      </w:r>
      <w:r w:rsidR="006373D3" w:rsidRPr="00C454A1">
        <w:rPr>
          <w:rFonts w:eastAsia="Times New Roman" w:cs="Times New Roman"/>
          <w:b/>
          <w:bCs/>
          <w:color w:val="000000" w:themeColor="text1"/>
          <w:szCs w:val="28"/>
          <w:lang w:val="es-ES"/>
        </w:rPr>
        <w:t xml:space="preserve">de los mecanismos ordinarios </w:t>
      </w:r>
      <w:r w:rsidR="002B4636" w:rsidRPr="00C454A1">
        <w:rPr>
          <w:rFonts w:eastAsia="Times New Roman" w:cs="Times New Roman"/>
          <w:b/>
          <w:bCs/>
          <w:color w:val="000000" w:themeColor="text1"/>
          <w:szCs w:val="28"/>
          <w:lang w:val="es-ES"/>
        </w:rPr>
        <w:t>a la luz de los argumentos y elementos de juicio aportados por el Gobierno nacional</w:t>
      </w:r>
      <w:bookmarkEnd w:id="219"/>
      <w:bookmarkEnd w:id="220"/>
    </w:p>
    <w:p w14:paraId="7550F2E3" w14:textId="77777777" w:rsidR="00ED28C7" w:rsidRPr="00C454A1" w:rsidRDefault="00ED28C7" w:rsidP="00B505C6">
      <w:pPr>
        <w:rPr>
          <w:rFonts w:eastAsia="Times New Roman" w:cs="Times New Roman"/>
          <w:i/>
          <w:iCs/>
          <w:color w:val="000000" w:themeColor="text1"/>
          <w:szCs w:val="28"/>
          <w:lang w:val="es-ES"/>
        </w:rPr>
      </w:pPr>
    </w:p>
    <w:p w14:paraId="461B9D05" w14:textId="2C5458BB" w:rsidR="00ED28C7" w:rsidRPr="00C454A1" w:rsidRDefault="003A0DA8" w:rsidP="00A90DEE">
      <w:pPr>
        <w:numPr>
          <w:ilvl w:val="0"/>
          <w:numId w:val="2"/>
        </w:numPr>
        <w:ind w:left="0" w:firstLine="0"/>
        <w:rPr>
          <w:rFonts w:eastAsia="Times New Roman" w:cs="Times New Roman"/>
          <w:color w:val="000000" w:themeColor="text1"/>
          <w:szCs w:val="28"/>
          <w:lang w:val="es"/>
        </w:rPr>
      </w:pPr>
      <w:r w:rsidRPr="00C454A1">
        <w:rPr>
          <w:rFonts w:eastAsia="Times New Roman" w:cs="Times New Roman"/>
          <w:color w:val="000000" w:themeColor="text1"/>
          <w:szCs w:val="28"/>
          <w:lang w:val="es"/>
        </w:rPr>
        <w:t xml:space="preserve">La </w:t>
      </w:r>
      <w:r w:rsidR="00750CED" w:rsidRPr="00C454A1">
        <w:rPr>
          <w:rFonts w:eastAsia="Times New Roman" w:cs="Times New Roman"/>
          <w:color w:val="000000" w:themeColor="text1"/>
          <w:szCs w:val="28"/>
          <w:lang w:val="es"/>
        </w:rPr>
        <w:t>Sala</w:t>
      </w:r>
      <w:r w:rsidRPr="00C454A1">
        <w:rPr>
          <w:rFonts w:eastAsia="Times New Roman" w:cs="Times New Roman"/>
          <w:color w:val="000000" w:themeColor="text1"/>
          <w:szCs w:val="28"/>
          <w:lang w:val="es"/>
        </w:rPr>
        <w:t xml:space="preserve"> recuerda </w:t>
      </w:r>
      <w:r w:rsidR="00ED28C7" w:rsidRPr="00C454A1">
        <w:rPr>
          <w:rFonts w:eastAsia="Times New Roman" w:cs="Times New Roman"/>
          <w:color w:val="000000" w:themeColor="text1"/>
          <w:szCs w:val="28"/>
          <w:lang w:val="es"/>
        </w:rPr>
        <w:t xml:space="preserve">(ver </w:t>
      </w:r>
      <w:r w:rsidR="00ED28C7" w:rsidRPr="00C454A1">
        <w:rPr>
          <w:rFonts w:eastAsia="Times New Roman" w:cs="Times New Roman"/>
          <w:i/>
          <w:iCs/>
          <w:color w:val="000000" w:themeColor="text1"/>
          <w:szCs w:val="28"/>
          <w:lang w:val="es"/>
        </w:rPr>
        <w:t>supra</w:t>
      </w:r>
      <w:r w:rsidR="00ED28C7" w:rsidRPr="00C454A1">
        <w:rPr>
          <w:color w:val="000000" w:themeColor="text1"/>
          <w:lang w:val="es-ES"/>
        </w:rPr>
        <w:t xml:space="preserve"> fundamentos </w:t>
      </w:r>
      <w:r w:rsidR="002E64AF" w:rsidRPr="00C454A1">
        <w:rPr>
          <w:color w:val="000000" w:themeColor="text1"/>
          <w:lang w:val="es-ES"/>
        </w:rPr>
        <w:fldChar w:fldCharType="begin"/>
      </w:r>
      <w:r w:rsidR="002E64AF" w:rsidRPr="00C454A1">
        <w:rPr>
          <w:color w:val="000000" w:themeColor="text1"/>
          <w:lang w:val="es-ES"/>
        </w:rPr>
        <w:instrText xml:space="preserve"> REF _Ref203401394 \r \h </w:instrText>
      </w:r>
      <w:r w:rsidR="009421B8" w:rsidRPr="00C454A1">
        <w:rPr>
          <w:color w:val="000000" w:themeColor="text1"/>
          <w:lang w:val="es-ES"/>
        </w:rPr>
        <w:instrText xml:space="preserve"> \* MERGEFORMAT </w:instrText>
      </w:r>
      <w:r w:rsidR="002E64AF" w:rsidRPr="00C454A1">
        <w:rPr>
          <w:color w:val="000000" w:themeColor="text1"/>
          <w:lang w:val="es-ES"/>
        </w:rPr>
      </w:r>
      <w:r w:rsidR="002E64AF" w:rsidRPr="00C454A1">
        <w:rPr>
          <w:color w:val="000000" w:themeColor="text1"/>
          <w:lang w:val="es-ES"/>
        </w:rPr>
        <w:fldChar w:fldCharType="separate"/>
      </w:r>
      <w:r w:rsidR="00881E6A">
        <w:rPr>
          <w:color w:val="000000" w:themeColor="text1"/>
          <w:lang w:val="es-ES"/>
        </w:rPr>
        <w:t>89</w:t>
      </w:r>
      <w:r w:rsidR="002E64AF" w:rsidRPr="00C454A1">
        <w:rPr>
          <w:color w:val="000000" w:themeColor="text1"/>
          <w:lang w:val="es-ES"/>
        </w:rPr>
        <w:fldChar w:fldCharType="end"/>
      </w:r>
      <w:r w:rsidR="002E64AF" w:rsidRPr="00C454A1">
        <w:rPr>
          <w:color w:val="000000" w:themeColor="text1"/>
          <w:lang w:val="es-ES"/>
        </w:rPr>
        <w:t xml:space="preserve"> </w:t>
      </w:r>
      <w:r w:rsidR="006C571F" w:rsidRPr="00C454A1">
        <w:rPr>
          <w:color w:val="000000" w:themeColor="text1"/>
          <w:lang w:val="es-ES"/>
        </w:rPr>
        <w:t>y siguientes</w:t>
      </w:r>
      <w:r w:rsidR="00ED28C7" w:rsidRPr="00C454A1">
        <w:rPr>
          <w:color w:val="000000" w:themeColor="text1"/>
          <w:lang w:val="es-ES"/>
        </w:rPr>
        <w:t xml:space="preserve">) </w:t>
      </w:r>
      <w:r w:rsidRPr="00C454A1">
        <w:rPr>
          <w:rFonts w:eastAsia="Times New Roman" w:cs="Times New Roman"/>
          <w:color w:val="000000" w:themeColor="text1"/>
          <w:szCs w:val="28"/>
          <w:lang w:val="es"/>
        </w:rPr>
        <w:t xml:space="preserve">que el análisis del presupuesto de suficiencia es global y está sujeto a un juicio de mera razonabilidad. Por tanto, al examinar la constitucionalidad del decreto declarativo, no se evalúan individualmente las posibles medidas gubernamentales </w:t>
      </w:r>
      <w:r w:rsidR="00750CED" w:rsidRPr="00C454A1">
        <w:rPr>
          <w:rFonts w:eastAsia="Times New Roman" w:cs="Times New Roman"/>
          <w:color w:val="000000" w:themeColor="text1"/>
          <w:szCs w:val="28"/>
          <w:lang w:val="es"/>
        </w:rPr>
        <w:t xml:space="preserve">que el Gobierno nacional puede adoptar </w:t>
      </w:r>
      <w:r w:rsidR="006C571F" w:rsidRPr="00C454A1">
        <w:rPr>
          <w:rFonts w:eastAsia="Times New Roman" w:cs="Times New Roman"/>
          <w:color w:val="000000" w:themeColor="text1"/>
          <w:szCs w:val="28"/>
          <w:lang w:val="es"/>
        </w:rPr>
        <w:t>en</w:t>
      </w:r>
      <w:r w:rsidRPr="00C454A1">
        <w:rPr>
          <w:rFonts w:eastAsia="Times New Roman" w:cs="Times New Roman"/>
          <w:color w:val="000000" w:themeColor="text1"/>
          <w:szCs w:val="28"/>
          <w:lang w:val="es"/>
        </w:rPr>
        <w:t xml:space="preserve"> el estado de conmoción interior</w:t>
      </w:r>
      <w:r w:rsidR="001C421F" w:rsidRPr="00C454A1">
        <w:rPr>
          <w:rFonts w:eastAsia="Times New Roman" w:cs="Times New Roman"/>
          <w:color w:val="000000" w:themeColor="text1"/>
          <w:szCs w:val="28"/>
          <w:lang w:val="es"/>
        </w:rPr>
        <w:t xml:space="preserve"> ni se efectúa una comparación con todas las posibles alternativas que el ordenamiento de normalidad contempla</w:t>
      </w:r>
      <w:r w:rsidR="00F76B2F" w:rsidRPr="00C454A1">
        <w:rPr>
          <w:rFonts w:eastAsia="Times New Roman" w:cs="Times New Roman"/>
          <w:color w:val="000000" w:themeColor="text1"/>
          <w:szCs w:val="28"/>
          <w:lang w:val="es"/>
        </w:rPr>
        <w:t>; un análisis con ese nivel de especificidad es propio del control de constitucionalidad de los decretos legislativos de desarrollo de la conmoción interior.</w:t>
      </w:r>
      <w:r w:rsidRPr="00C454A1">
        <w:rPr>
          <w:rFonts w:eastAsia="Times New Roman" w:cs="Times New Roman"/>
          <w:color w:val="000000" w:themeColor="text1"/>
          <w:szCs w:val="28"/>
          <w:lang w:val="es"/>
        </w:rPr>
        <w:t xml:space="preserve"> El análisis</w:t>
      </w:r>
      <w:r w:rsidR="00F76B2F" w:rsidRPr="00C454A1">
        <w:rPr>
          <w:rFonts w:eastAsia="Times New Roman" w:cs="Times New Roman"/>
          <w:color w:val="000000" w:themeColor="text1"/>
          <w:szCs w:val="28"/>
          <w:lang w:val="es"/>
        </w:rPr>
        <w:t xml:space="preserve"> en este caso</w:t>
      </w:r>
      <w:r w:rsidRPr="00C454A1">
        <w:rPr>
          <w:rFonts w:eastAsia="Times New Roman" w:cs="Times New Roman"/>
          <w:color w:val="000000" w:themeColor="text1"/>
          <w:szCs w:val="28"/>
          <w:lang w:val="es"/>
        </w:rPr>
        <w:t xml:space="preserve"> se</w:t>
      </w:r>
      <w:r w:rsidR="00F76B2F" w:rsidRPr="00C454A1">
        <w:rPr>
          <w:rFonts w:eastAsia="Times New Roman" w:cs="Times New Roman"/>
          <w:color w:val="000000" w:themeColor="text1"/>
          <w:szCs w:val="28"/>
          <w:lang w:val="es"/>
        </w:rPr>
        <w:t xml:space="preserve"> debe </w:t>
      </w:r>
      <w:r w:rsidRPr="00C454A1">
        <w:rPr>
          <w:rFonts w:eastAsia="Times New Roman" w:cs="Times New Roman"/>
          <w:color w:val="000000" w:themeColor="text1"/>
          <w:szCs w:val="28"/>
          <w:lang w:val="es"/>
        </w:rPr>
        <w:t>centra</w:t>
      </w:r>
      <w:r w:rsidR="00F76B2F" w:rsidRPr="00C454A1">
        <w:rPr>
          <w:rFonts w:eastAsia="Times New Roman" w:cs="Times New Roman"/>
          <w:color w:val="000000" w:themeColor="text1"/>
          <w:szCs w:val="28"/>
          <w:lang w:val="es"/>
        </w:rPr>
        <w:t>r</w:t>
      </w:r>
      <w:r w:rsidRPr="00C454A1">
        <w:rPr>
          <w:rFonts w:eastAsia="Times New Roman" w:cs="Times New Roman"/>
          <w:color w:val="000000" w:themeColor="text1"/>
          <w:szCs w:val="28"/>
          <w:lang w:val="es"/>
        </w:rPr>
        <w:t xml:space="preserve"> en determinar si la apreciación </w:t>
      </w:r>
      <w:r w:rsidR="00750CED" w:rsidRPr="00C454A1">
        <w:rPr>
          <w:rFonts w:eastAsia="Times New Roman" w:cs="Times New Roman"/>
          <w:color w:val="000000" w:themeColor="text1"/>
          <w:szCs w:val="28"/>
          <w:lang w:val="es"/>
        </w:rPr>
        <w:t xml:space="preserve">global </w:t>
      </w:r>
      <w:r w:rsidRPr="00C454A1">
        <w:rPr>
          <w:rFonts w:eastAsia="Times New Roman" w:cs="Times New Roman"/>
          <w:color w:val="000000" w:themeColor="text1"/>
          <w:szCs w:val="28"/>
          <w:lang w:val="es"/>
        </w:rPr>
        <w:t xml:space="preserve">del Gobierno sobre la insuficiencia de sus facultades ordinarias ante la magnitud de la crisis resulta manifiestamente arbitraria o irrazonable. </w:t>
      </w:r>
    </w:p>
    <w:p w14:paraId="27251237" w14:textId="77777777" w:rsidR="00DE3D42" w:rsidRPr="00C454A1" w:rsidRDefault="00DE3D42" w:rsidP="00DE3D42">
      <w:pPr>
        <w:rPr>
          <w:rFonts w:eastAsia="Times New Roman" w:cs="Times New Roman"/>
          <w:color w:val="000000" w:themeColor="text1"/>
          <w:szCs w:val="28"/>
          <w:lang w:val="es"/>
        </w:rPr>
      </w:pPr>
    </w:p>
    <w:p w14:paraId="1B1609C6" w14:textId="315DE671" w:rsidR="00ED28C7" w:rsidRPr="00C454A1" w:rsidRDefault="00ED28C7" w:rsidP="003B13BD">
      <w:pPr>
        <w:numPr>
          <w:ilvl w:val="0"/>
          <w:numId w:val="2"/>
        </w:numPr>
        <w:ind w:left="0" w:firstLine="0"/>
        <w:rPr>
          <w:rFonts w:eastAsia="Times New Roman" w:cs="Times New Roman"/>
          <w:color w:val="000000" w:themeColor="text1"/>
          <w:szCs w:val="28"/>
        </w:rPr>
      </w:pPr>
      <w:r w:rsidRPr="00C454A1">
        <w:rPr>
          <w:color w:val="000000" w:themeColor="text1"/>
          <w:lang w:val="es-ES"/>
        </w:rPr>
        <w:t xml:space="preserve">Adicionalmente, </w:t>
      </w:r>
      <w:r w:rsidRPr="00C454A1">
        <w:rPr>
          <w:rFonts w:eastAsia="Times New Roman" w:cs="Times New Roman"/>
          <w:color w:val="000000" w:themeColor="text1"/>
          <w:lang w:val="es-ES"/>
        </w:rPr>
        <w:t xml:space="preserve">existe una interdependencia entre el examen de los presupuestos valorativo y de suficiencia. La mayor gravedad y carácter extraordinario de los hechos que motivan la declaración de un estado de conmoción interior suelen ser indicativos de una menor capacidad de las medidas ordinarias para brindar una respuesta oportuna y suficiente. Esto se debe a que los mecanismos habituales para abordar problemas de orden público están diseñados para nuestra "anormalidad" cotidiana. Si bien la normativa debe contemplar herramientas para situaciones de crisis, cuando las alteraciones del </w:t>
      </w:r>
      <w:r w:rsidRPr="00C454A1">
        <w:rPr>
          <w:rFonts w:eastAsia="Times New Roman" w:cs="Times New Roman"/>
          <w:color w:val="000000" w:themeColor="text1"/>
          <w:lang w:val="es-ES"/>
        </w:rPr>
        <w:lastRenderedPageBreak/>
        <w:t>orden público exceden toda previsibilidad, es probable que incluso los mecanismos de emergencia resulten insuficientes.</w:t>
      </w:r>
    </w:p>
    <w:p w14:paraId="3781AFF2" w14:textId="77777777" w:rsidR="00ED28C7" w:rsidRPr="00C454A1" w:rsidRDefault="00ED28C7" w:rsidP="00ED28C7">
      <w:pPr>
        <w:rPr>
          <w:color w:val="000000" w:themeColor="text1"/>
          <w:lang w:val="es-ES"/>
        </w:rPr>
      </w:pPr>
    </w:p>
    <w:p w14:paraId="0547A78A" w14:textId="3017F845" w:rsidR="00ED28C7" w:rsidRPr="00C454A1" w:rsidRDefault="00ED28C7" w:rsidP="00A90DEE">
      <w:pPr>
        <w:numPr>
          <w:ilvl w:val="0"/>
          <w:numId w:val="2"/>
        </w:numPr>
        <w:ind w:left="0" w:firstLine="0"/>
        <w:rPr>
          <w:rFonts w:eastAsia="Times New Roman" w:cs="Times New Roman"/>
          <w:color w:val="000000" w:themeColor="text1"/>
          <w:lang w:val="es-ES"/>
        </w:rPr>
      </w:pPr>
      <w:r w:rsidRPr="00C454A1">
        <w:rPr>
          <w:rFonts w:eastAsia="Times New Roman" w:cs="Times New Roman"/>
          <w:color w:val="000000" w:themeColor="text1"/>
          <w:lang w:val="es-ES"/>
        </w:rPr>
        <w:t xml:space="preserve">Otra precisión importante es que </w:t>
      </w:r>
      <w:r w:rsidR="006B3C75" w:rsidRPr="00C454A1">
        <w:rPr>
          <w:rFonts w:eastAsia="Times New Roman" w:cs="Times New Roman"/>
          <w:color w:val="000000" w:themeColor="text1"/>
          <w:lang w:val="es-ES"/>
        </w:rPr>
        <w:t xml:space="preserve">el </w:t>
      </w:r>
      <w:r w:rsidRPr="00C454A1">
        <w:rPr>
          <w:rFonts w:eastAsia="Times New Roman" w:cs="Times New Roman"/>
          <w:color w:val="000000" w:themeColor="text1"/>
          <w:lang w:val="es-ES"/>
        </w:rPr>
        <w:t xml:space="preserve">estudio del presupuesto de suficiencia excede un mero análisis formal </w:t>
      </w:r>
      <w:r w:rsidR="00E1331C" w:rsidRPr="00C454A1">
        <w:rPr>
          <w:rFonts w:eastAsia="Times New Roman" w:cs="Times New Roman"/>
          <w:color w:val="000000" w:themeColor="text1"/>
          <w:lang w:val="es-ES"/>
        </w:rPr>
        <w:t xml:space="preserve">y abstracto </w:t>
      </w:r>
      <w:r w:rsidRPr="00C454A1">
        <w:rPr>
          <w:rFonts w:eastAsia="Times New Roman" w:cs="Times New Roman"/>
          <w:color w:val="000000" w:themeColor="text1"/>
          <w:lang w:val="es-ES"/>
        </w:rPr>
        <w:t xml:space="preserve">de la estructura normativa. </w:t>
      </w:r>
      <w:r w:rsidR="00E1331C" w:rsidRPr="00C454A1">
        <w:rPr>
          <w:rFonts w:cs="Times New Roman"/>
          <w:color w:val="000000" w:themeColor="text1"/>
        </w:rPr>
        <w:t>Este juicio debe conducirse en términos funcionales y temporales. N</w:t>
      </w:r>
      <w:r w:rsidR="00E1331C" w:rsidRPr="00C454A1">
        <w:rPr>
          <w:color w:val="000000" w:themeColor="text1"/>
        </w:rPr>
        <w:t>o se trata de determinar si el ordenamiento jurídico dispone, en abstracto, de instrumentos ordinarios que eventualmente podrían emplearse para conjurar perturbaciones del orden público, sino de establecer si, dadas las circunstancias específicas de la crisis que se enfrenta, dichos instrumentos son idóneos y suficientes para ofrecer una respuesta adecuada, eficaz y oportuna</w:t>
      </w:r>
      <w:r w:rsidR="00E1331C" w:rsidRPr="00C454A1">
        <w:rPr>
          <w:rFonts w:cs="Times New Roman"/>
          <w:color w:val="000000" w:themeColor="text1"/>
        </w:rPr>
        <w:t>.</w:t>
      </w:r>
      <w:r w:rsidR="00E1331C" w:rsidRPr="00C454A1">
        <w:rPr>
          <w:rFonts w:eastAsia="Times New Roman" w:cs="Times New Roman"/>
          <w:color w:val="000000" w:themeColor="text1"/>
          <w:lang w:val="es-ES"/>
        </w:rPr>
        <w:t xml:space="preserve"> Esto exige evaluar las condiciones de posibilidad para la implementación de las atribuciones ordinarias previstas de forma abstracta por el ordenamiento jurídico.</w:t>
      </w:r>
      <w:r w:rsidRPr="00C454A1">
        <w:rPr>
          <w:rFonts w:eastAsia="Times New Roman" w:cs="Times New Roman"/>
          <w:color w:val="000000" w:themeColor="text1"/>
          <w:lang w:val="es-ES"/>
        </w:rPr>
        <w:t xml:space="preserve"> Dentro de estas condiciones se incluyen la disponibilidad de recursos humanos, técnicos y financieros, así como los </w:t>
      </w:r>
      <w:r w:rsidR="006563BB" w:rsidRPr="00C454A1">
        <w:rPr>
          <w:rFonts w:eastAsia="Times New Roman" w:cs="Times New Roman"/>
          <w:color w:val="000000" w:themeColor="text1"/>
          <w:lang w:val="es-ES"/>
        </w:rPr>
        <w:t>requisitos</w:t>
      </w:r>
      <w:r w:rsidR="00207654" w:rsidRPr="00C454A1">
        <w:rPr>
          <w:rFonts w:eastAsia="Times New Roman" w:cs="Times New Roman"/>
          <w:color w:val="000000" w:themeColor="text1"/>
          <w:lang w:val="es-ES"/>
        </w:rPr>
        <w:t>,</w:t>
      </w:r>
      <w:r w:rsidR="006563BB" w:rsidRPr="00C454A1">
        <w:rPr>
          <w:rFonts w:eastAsia="Times New Roman" w:cs="Times New Roman"/>
          <w:color w:val="000000" w:themeColor="text1"/>
          <w:lang w:val="es-ES"/>
        </w:rPr>
        <w:t xml:space="preserve"> </w:t>
      </w:r>
      <w:r w:rsidRPr="00C454A1">
        <w:rPr>
          <w:rFonts w:eastAsia="Times New Roman" w:cs="Times New Roman"/>
          <w:color w:val="000000" w:themeColor="text1"/>
          <w:lang w:val="es-ES"/>
        </w:rPr>
        <w:t>plazos inherentes a los procesos de cambio normativo y los trámites administrativos necesarios para la implementación normativa.</w:t>
      </w:r>
    </w:p>
    <w:p w14:paraId="28F31DB2" w14:textId="77777777" w:rsidR="00ED28C7" w:rsidRPr="00C454A1" w:rsidRDefault="00ED28C7" w:rsidP="00ED28C7">
      <w:pPr>
        <w:rPr>
          <w:color w:val="000000" w:themeColor="text1"/>
          <w:lang w:val="es-ES"/>
        </w:rPr>
      </w:pPr>
    </w:p>
    <w:p w14:paraId="11C6F0DC" w14:textId="414C66C5" w:rsidR="00ED28C7" w:rsidRPr="00C454A1" w:rsidRDefault="00ED28C7" w:rsidP="00A90DEE">
      <w:pPr>
        <w:numPr>
          <w:ilvl w:val="0"/>
          <w:numId w:val="2"/>
        </w:numPr>
        <w:ind w:left="0" w:firstLine="0"/>
        <w:rPr>
          <w:color w:val="000000" w:themeColor="text1"/>
          <w:lang w:val="es-ES"/>
        </w:rPr>
      </w:pPr>
      <w:r w:rsidRPr="00C454A1">
        <w:rPr>
          <w:color w:val="000000" w:themeColor="text1"/>
          <w:lang w:val="es-ES"/>
        </w:rPr>
        <w:t xml:space="preserve">Teniendo en cuenta estas precisiones, la Sala considera que respecto de los hechos que fueron calificados en la sección </w:t>
      </w:r>
      <w:r w:rsidR="002E64AF" w:rsidRPr="00C454A1">
        <w:rPr>
          <w:color w:val="000000" w:themeColor="text1"/>
          <w:lang w:val="es-ES"/>
        </w:rPr>
        <w:fldChar w:fldCharType="begin"/>
      </w:r>
      <w:r w:rsidR="002E64AF" w:rsidRPr="00C454A1">
        <w:rPr>
          <w:color w:val="000000" w:themeColor="text1"/>
          <w:lang w:val="es-ES"/>
        </w:rPr>
        <w:instrText xml:space="preserve"> REF _Ref203397057 \r \h </w:instrText>
      </w:r>
      <w:r w:rsidR="009421B8" w:rsidRPr="00C454A1">
        <w:rPr>
          <w:color w:val="000000" w:themeColor="text1"/>
          <w:lang w:val="es-ES"/>
        </w:rPr>
        <w:instrText xml:space="preserve"> \* MERGEFORMAT </w:instrText>
      </w:r>
      <w:r w:rsidR="002E64AF" w:rsidRPr="00C454A1">
        <w:rPr>
          <w:color w:val="000000" w:themeColor="text1"/>
          <w:lang w:val="es-ES"/>
        </w:rPr>
      </w:r>
      <w:r w:rsidR="002E64AF" w:rsidRPr="00C454A1">
        <w:rPr>
          <w:color w:val="000000" w:themeColor="text1"/>
          <w:lang w:val="es-ES"/>
        </w:rPr>
        <w:fldChar w:fldCharType="separate"/>
      </w:r>
      <w:r w:rsidR="00881E6A">
        <w:rPr>
          <w:color w:val="000000" w:themeColor="text1"/>
          <w:lang w:val="es-ES"/>
        </w:rPr>
        <w:t>6.2</w:t>
      </w:r>
      <w:r w:rsidR="002E64AF" w:rsidRPr="00C454A1">
        <w:rPr>
          <w:color w:val="000000" w:themeColor="text1"/>
          <w:lang w:val="es-ES"/>
        </w:rPr>
        <w:fldChar w:fldCharType="end"/>
      </w:r>
      <w:r w:rsidRPr="00C454A1">
        <w:rPr>
          <w:color w:val="000000" w:themeColor="text1"/>
          <w:lang w:val="es-ES"/>
        </w:rPr>
        <w:t xml:space="preserve"> como graves, extraordinarios y que afectan inminentemente la convivencia ciudadana, la seguridad del Estado y la estabilidad de las instituciones, también se encuentra acreditado el presupuesto de suficiencia. Lo anterior por cuanto, aunque nuestra normativa otorga </w:t>
      </w:r>
      <w:r w:rsidR="00E1331C" w:rsidRPr="00C454A1">
        <w:rPr>
          <w:color w:val="000000" w:themeColor="text1"/>
          <w:lang w:val="es-ES"/>
        </w:rPr>
        <w:t xml:space="preserve">en abstracto </w:t>
      </w:r>
      <w:r w:rsidRPr="00C454A1">
        <w:rPr>
          <w:color w:val="000000" w:themeColor="text1"/>
          <w:lang w:val="es-ES"/>
        </w:rPr>
        <w:t xml:space="preserve">facultades robustas al Gobierno nacional para atender </w:t>
      </w:r>
      <w:r w:rsidR="00750CED" w:rsidRPr="00C454A1">
        <w:rPr>
          <w:color w:val="000000" w:themeColor="text1"/>
          <w:lang w:val="es-ES"/>
        </w:rPr>
        <w:t>perturbaciones</w:t>
      </w:r>
      <w:r w:rsidRPr="00C454A1">
        <w:rPr>
          <w:color w:val="000000" w:themeColor="text1"/>
          <w:lang w:val="es-ES"/>
        </w:rPr>
        <w:t xml:space="preserve"> </w:t>
      </w:r>
      <w:r w:rsidR="00750CED" w:rsidRPr="00C454A1">
        <w:rPr>
          <w:color w:val="000000" w:themeColor="text1"/>
          <w:lang w:val="es-ES"/>
        </w:rPr>
        <w:t xml:space="preserve">del </w:t>
      </w:r>
      <w:r w:rsidRPr="00C454A1">
        <w:rPr>
          <w:color w:val="000000" w:themeColor="text1"/>
          <w:lang w:val="es-ES"/>
        </w:rPr>
        <w:t xml:space="preserve">orden público y </w:t>
      </w:r>
      <w:r w:rsidR="00750CED" w:rsidRPr="00C454A1">
        <w:rPr>
          <w:color w:val="000000" w:themeColor="text1"/>
          <w:lang w:val="es-ES"/>
        </w:rPr>
        <w:t>garantizar</w:t>
      </w:r>
      <w:r w:rsidRPr="00C454A1">
        <w:rPr>
          <w:color w:val="000000" w:themeColor="text1"/>
          <w:lang w:val="es-ES"/>
        </w:rPr>
        <w:t xml:space="preserve"> </w:t>
      </w:r>
      <w:r w:rsidR="00750CED" w:rsidRPr="00C454A1">
        <w:rPr>
          <w:color w:val="000000" w:themeColor="text1"/>
          <w:lang w:val="es-ES"/>
        </w:rPr>
        <w:t>los</w:t>
      </w:r>
      <w:r w:rsidRPr="00C454A1">
        <w:rPr>
          <w:color w:val="000000" w:themeColor="text1"/>
          <w:lang w:val="es-ES"/>
        </w:rPr>
        <w:t xml:space="preserve"> derechos de la población civil ante eventos </w:t>
      </w:r>
      <w:r w:rsidR="006F1329" w:rsidRPr="00C454A1">
        <w:rPr>
          <w:color w:val="000000" w:themeColor="text1"/>
          <w:lang w:val="es-ES"/>
        </w:rPr>
        <w:t>como el</w:t>
      </w:r>
      <w:r w:rsidRPr="00C454A1">
        <w:rPr>
          <w:color w:val="000000" w:themeColor="text1"/>
          <w:lang w:val="es-ES"/>
        </w:rPr>
        <w:t xml:space="preserve"> desplazamiento forzado y </w:t>
      </w:r>
      <w:r w:rsidR="006F1329" w:rsidRPr="00C454A1">
        <w:rPr>
          <w:color w:val="000000" w:themeColor="text1"/>
          <w:lang w:val="es-ES"/>
        </w:rPr>
        <w:t xml:space="preserve">los </w:t>
      </w:r>
      <w:r w:rsidRPr="00C454A1">
        <w:rPr>
          <w:color w:val="000000" w:themeColor="text1"/>
          <w:lang w:val="es-ES"/>
        </w:rPr>
        <w:t xml:space="preserve">confinamientos, incluso en un estado de “anormalidad normal”, lo cierto es que en este caso existen importantes </w:t>
      </w:r>
      <w:r w:rsidR="00750CED" w:rsidRPr="00C454A1">
        <w:rPr>
          <w:color w:val="000000" w:themeColor="text1"/>
          <w:lang w:val="es-ES"/>
        </w:rPr>
        <w:t>evidencias</w:t>
      </w:r>
      <w:r w:rsidRPr="00C454A1">
        <w:rPr>
          <w:color w:val="000000" w:themeColor="text1"/>
          <w:lang w:val="es-ES"/>
        </w:rPr>
        <w:t xml:space="preserve"> de desbordamiento institucional e incapacidad de esos mecanismos para responder de forma oportuna y suficiente a una crisis de la magnitud de la que enfrenta la región del Catatumbo y que continuó agravándose después de la declaración del estado de conmoción interior. En consecuencia, para la Sala, el juicio que el Gobierno nacional efectuó sobre la insuficiencia de los medios ordinarios no es arbitrari</w:t>
      </w:r>
      <w:r w:rsidR="006F1329" w:rsidRPr="00C454A1">
        <w:rPr>
          <w:color w:val="000000" w:themeColor="text1"/>
          <w:lang w:val="es-ES"/>
        </w:rPr>
        <w:t>o</w:t>
      </w:r>
      <w:r w:rsidRPr="00C454A1">
        <w:rPr>
          <w:color w:val="000000" w:themeColor="text1"/>
          <w:lang w:val="es-ES"/>
        </w:rPr>
        <w:t xml:space="preserve"> ni manifiestamente irrazonable y, por el contrario, tiene fundamento en evidencia</w:t>
      </w:r>
      <w:r w:rsidR="00750CED" w:rsidRPr="00C454A1">
        <w:rPr>
          <w:color w:val="000000" w:themeColor="text1"/>
          <w:lang w:val="es-ES"/>
        </w:rPr>
        <w:t xml:space="preserve"> objetiva</w:t>
      </w:r>
      <w:r w:rsidRPr="00C454A1">
        <w:rPr>
          <w:color w:val="000000" w:themeColor="text1"/>
          <w:lang w:val="es-ES"/>
        </w:rPr>
        <w:t xml:space="preserve">, como se expondrá a continuación. </w:t>
      </w:r>
    </w:p>
    <w:p w14:paraId="04B4A178" w14:textId="77777777" w:rsidR="007153D5" w:rsidRPr="00C454A1" w:rsidRDefault="007153D5" w:rsidP="007153D5">
      <w:pPr>
        <w:rPr>
          <w:color w:val="000000" w:themeColor="text1"/>
          <w:lang w:val="es-ES"/>
        </w:rPr>
      </w:pPr>
    </w:p>
    <w:p w14:paraId="2D1F2ACF" w14:textId="3C2A275E" w:rsidR="0081635B" w:rsidRPr="00C454A1" w:rsidRDefault="0081635B" w:rsidP="005F4A6F">
      <w:pPr>
        <w:pStyle w:val="Prrafodelista"/>
        <w:numPr>
          <w:ilvl w:val="0"/>
          <w:numId w:val="25"/>
        </w:numPr>
        <w:rPr>
          <w:b/>
          <w:bCs/>
          <w:color w:val="000000" w:themeColor="text1"/>
          <w:lang w:val="es-ES"/>
        </w:rPr>
      </w:pPr>
      <w:r w:rsidRPr="00C454A1">
        <w:rPr>
          <w:b/>
          <w:bCs/>
          <w:color w:val="000000" w:themeColor="text1"/>
          <w:lang w:val="es-ES"/>
        </w:rPr>
        <w:t xml:space="preserve">Examen global de la suficiencia de las atribuciones </w:t>
      </w:r>
      <w:r w:rsidR="00750CED" w:rsidRPr="00C454A1">
        <w:rPr>
          <w:b/>
          <w:bCs/>
          <w:color w:val="000000" w:themeColor="text1"/>
          <w:lang w:val="es-ES"/>
        </w:rPr>
        <w:t xml:space="preserve">ordinarias de policía y militares </w:t>
      </w:r>
      <w:r w:rsidRPr="00C454A1">
        <w:rPr>
          <w:b/>
          <w:bCs/>
          <w:color w:val="000000" w:themeColor="text1"/>
          <w:lang w:val="es-ES"/>
        </w:rPr>
        <w:t>en materia de orden público</w:t>
      </w:r>
    </w:p>
    <w:p w14:paraId="3E3140BE" w14:textId="77777777" w:rsidR="0081635B" w:rsidRPr="00C454A1" w:rsidRDefault="0081635B" w:rsidP="007153D5">
      <w:pPr>
        <w:rPr>
          <w:color w:val="000000" w:themeColor="text1"/>
          <w:lang w:val="es-ES"/>
        </w:rPr>
      </w:pPr>
    </w:p>
    <w:p w14:paraId="39D184C0" w14:textId="432A7C97" w:rsidR="00A85608" w:rsidRPr="00C454A1" w:rsidRDefault="00750CED" w:rsidP="00A90DEE">
      <w:pPr>
        <w:numPr>
          <w:ilvl w:val="0"/>
          <w:numId w:val="2"/>
        </w:numPr>
        <w:ind w:left="0" w:firstLine="0"/>
        <w:rPr>
          <w:rFonts w:eastAsia="Times New Roman" w:cs="Times New Roman"/>
          <w:color w:val="000000" w:themeColor="text1"/>
          <w:szCs w:val="28"/>
          <w:lang w:val="es-ES"/>
        </w:rPr>
      </w:pPr>
      <w:r w:rsidRPr="00C454A1">
        <w:rPr>
          <w:rFonts w:eastAsia="Aptos" w:cs="Arial"/>
          <w:color w:val="000000" w:themeColor="text1"/>
          <w:lang w:val="es-ES"/>
        </w:rPr>
        <w:t>E</w:t>
      </w:r>
      <w:r w:rsidR="003A0DA8" w:rsidRPr="00C454A1">
        <w:rPr>
          <w:rFonts w:eastAsia="Aptos" w:cs="Arial"/>
          <w:color w:val="000000" w:themeColor="text1"/>
          <w:lang w:val="es-ES"/>
        </w:rPr>
        <w:t xml:space="preserve">l análisis de las justificaciones aportadas por el Gobierno nacional muestra que las atribuciones ordinarias </w:t>
      </w:r>
      <w:r w:rsidR="00DA14E4" w:rsidRPr="00C454A1">
        <w:rPr>
          <w:rFonts w:eastAsia="Aptos" w:cs="Arial"/>
          <w:color w:val="000000" w:themeColor="text1"/>
          <w:lang w:val="es-ES"/>
        </w:rPr>
        <w:t xml:space="preserve">de policía y militares </w:t>
      </w:r>
      <w:r w:rsidR="003A0DA8" w:rsidRPr="00C454A1">
        <w:rPr>
          <w:rFonts w:eastAsia="Aptos" w:cs="Arial"/>
          <w:color w:val="000000" w:themeColor="text1"/>
          <w:lang w:val="es-ES"/>
        </w:rPr>
        <w:t xml:space="preserve">para controlar el orden público no han sido suficientes para evitar y contener la escalada de violencia que fue consecuencia del cambio en la dinámica del conflicto armado en el Catatumbo y que se detalló al estudiar el presupuesto valorativo. </w:t>
      </w:r>
    </w:p>
    <w:p w14:paraId="7F33DE65" w14:textId="77777777" w:rsidR="00A85608" w:rsidRPr="00C454A1" w:rsidRDefault="00A85608" w:rsidP="00A85608">
      <w:pPr>
        <w:pStyle w:val="Prrafodelista"/>
        <w:rPr>
          <w:rFonts w:eastAsia="Times New Roman" w:cs="Times New Roman"/>
          <w:color w:val="000000" w:themeColor="text1"/>
          <w:szCs w:val="28"/>
          <w:lang w:val="es-ES"/>
        </w:rPr>
      </w:pPr>
    </w:p>
    <w:p w14:paraId="03E7B99D" w14:textId="40C7D51A" w:rsidR="00A85608" w:rsidRPr="00C454A1" w:rsidRDefault="00DA14E4" w:rsidP="00A90DEE">
      <w:pPr>
        <w:numPr>
          <w:ilvl w:val="0"/>
          <w:numId w:val="2"/>
        </w:numPr>
        <w:ind w:left="0" w:firstLine="0"/>
        <w:rPr>
          <w:color w:val="000000" w:themeColor="text1"/>
          <w:lang w:val="es-ES"/>
        </w:rPr>
      </w:pPr>
      <w:r w:rsidRPr="00C454A1">
        <w:rPr>
          <w:color w:val="000000" w:themeColor="text1"/>
          <w:lang w:val="es-ES"/>
        </w:rPr>
        <w:t>En efecto, e</w:t>
      </w:r>
      <w:r w:rsidR="00A85608" w:rsidRPr="00C454A1">
        <w:rPr>
          <w:color w:val="000000" w:themeColor="text1"/>
          <w:lang w:val="es-ES"/>
        </w:rPr>
        <w:t>l Gobierno nacional mostró que ejerció medidas ordinarias para enfrentar la perturbación del orden público mediante la acción de la fuerza pública, incluid</w:t>
      </w:r>
      <w:r w:rsidR="006F1329" w:rsidRPr="00C454A1">
        <w:rPr>
          <w:color w:val="000000" w:themeColor="text1"/>
          <w:lang w:val="es-ES"/>
        </w:rPr>
        <w:t>as</w:t>
      </w:r>
      <w:r w:rsidR="00A85608" w:rsidRPr="00C454A1">
        <w:rPr>
          <w:color w:val="000000" w:themeColor="text1"/>
          <w:lang w:val="es-ES"/>
        </w:rPr>
        <w:t xml:space="preserve"> el aumento del pie de fuerza</w:t>
      </w:r>
      <w:r w:rsidR="0066169F" w:rsidRPr="00C454A1">
        <w:rPr>
          <w:color w:val="000000" w:themeColor="text1"/>
          <w:lang w:val="es-ES"/>
        </w:rPr>
        <w:t xml:space="preserve">, el fortalecimiento de las labores </w:t>
      </w:r>
      <w:r w:rsidR="0066169F" w:rsidRPr="00C454A1">
        <w:rPr>
          <w:color w:val="000000" w:themeColor="text1"/>
          <w:lang w:val="es-ES"/>
        </w:rPr>
        <w:lastRenderedPageBreak/>
        <w:t>de inteligencia</w:t>
      </w:r>
      <w:r w:rsidR="0066169F" w:rsidRPr="00C454A1">
        <w:rPr>
          <w:rStyle w:val="Refdenotaalpie"/>
          <w:color w:val="000000" w:themeColor="text1"/>
          <w:lang w:val="es-ES"/>
        </w:rPr>
        <w:footnoteReference w:id="450"/>
      </w:r>
      <w:r w:rsidR="00BF7694" w:rsidRPr="00C454A1">
        <w:rPr>
          <w:color w:val="000000" w:themeColor="text1"/>
          <w:lang w:val="es-ES"/>
        </w:rPr>
        <w:t>,</w:t>
      </w:r>
      <w:r w:rsidR="0066169F" w:rsidRPr="00C454A1">
        <w:rPr>
          <w:color w:val="000000" w:themeColor="text1"/>
          <w:lang w:val="es-ES"/>
        </w:rPr>
        <w:t xml:space="preserve"> la creación de un puesto de mando unificado</w:t>
      </w:r>
      <w:r w:rsidR="00A85608" w:rsidRPr="00C454A1">
        <w:rPr>
          <w:color w:val="000000" w:themeColor="text1"/>
          <w:lang w:val="es-ES"/>
        </w:rPr>
        <w:t>, y las distribuciones y traslados presupuestales que permite la ley, entre otras.</w:t>
      </w:r>
      <w:r w:rsidRPr="00C454A1">
        <w:rPr>
          <w:color w:val="000000" w:themeColor="text1"/>
          <w:lang w:val="es-ES"/>
        </w:rPr>
        <w:t xml:space="preserve"> No obstante, estas medidas no fueron suficientes para frenar los ataques contra la población civil durante las semanas inmediatamente siguientes a la declaración de conmoción, como </w:t>
      </w:r>
      <w:r w:rsidR="00BF7694" w:rsidRPr="00C454A1">
        <w:rPr>
          <w:color w:val="000000" w:themeColor="text1"/>
          <w:lang w:val="es-ES"/>
        </w:rPr>
        <w:t xml:space="preserve">ilustran los datos sobre desplazamientos forzados y confinamientos examinados en los fundamentos </w:t>
      </w:r>
      <w:r w:rsidR="002E64AF" w:rsidRPr="00C454A1">
        <w:rPr>
          <w:color w:val="000000" w:themeColor="text1"/>
          <w:lang w:val="es-ES"/>
        </w:rPr>
        <w:fldChar w:fldCharType="begin"/>
      </w:r>
      <w:r w:rsidR="002E64AF" w:rsidRPr="00C454A1">
        <w:rPr>
          <w:color w:val="000000" w:themeColor="text1"/>
          <w:lang w:val="es-ES"/>
        </w:rPr>
        <w:instrText xml:space="preserve"> REF _Ref203401531 \r \h </w:instrText>
      </w:r>
      <w:r w:rsidR="009421B8" w:rsidRPr="00C454A1">
        <w:rPr>
          <w:color w:val="000000" w:themeColor="text1"/>
          <w:lang w:val="es-ES"/>
        </w:rPr>
        <w:instrText xml:space="preserve"> \* MERGEFORMAT </w:instrText>
      </w:r>
      <w:r w:rsidR="002E64AF" w:rsidRPr="00C454A1">
        <w:rPr>
          <w:color w:val="000000" w:themeColor="text1"/>
          <w:lang w:val="es-ES"/>
        </w:rPr>
      </w:r>
      <w:r w:rsidR="002E64AF" w:rsidRPr="00C454A1">
        <w:rPr>
          <w:color w:val="000000" w:themeColor="text1"/>
          <w:lang w:val="es-ES"/>
        </w:rPr>
        <w:fldChar w:fldCharType="separate"/>
      </w:r>
      <w:r w:rsidR="00881E6A">
        <w:rPr>
          <w:color w:val="000000" w:themeColor="text1"/>
          <w:lang w:val="es-ES"/>
        </w:rPr>
        <w:t>173</w:t>
      </w:r>
      <w:r w:rsidR="002E64AF" w:rsidRPr="00C454A1">
        <w:rPr>
          <w:color w:val="000000" w:themeColor="text1"/>
          <w:lang w:val="es-ES"/>
        </w:rPr>
        <w:fldChar w:fldCharType="end"/>
      </w:r>
      <w:r w:rsidR="002E64AF" w:rsidRPr="00C454A1">
        <w:rPr>
          <w:color w:val="000000" w:themeColor="text1"/>
          <w:lang w:val="es-ES"/>
        </w:rPr>
        <w:t xml:space="preserve"> a </w:t>
      </w:r>
      <w:r w:rsidR="002E64AF" w:rsidRPr="00C454A1">
        <w:rPr>
          <w:color w:val="000000" w:themeColor="text1"/>
          <w:lang w:val="es-ES"/>
        </w:rPr>
        <w:fldChar w:fldCharType="begin"/>
      </w:r>
      <w:r w:rsidR="002E64AF" w:rsidRPr="00C454A1">
        <w:rPr>
          <w:color w:val="000000" w:themeColor="text1"/>
          <w:lang w:val="es-ES"/>
        </w:rPr>
        <w:instrText xml:space="preserve"> REF _Ref203401544 \r \h </w:instrText>
      </w:r>
      <w:r w:rsidR="009421B8" w:rsidRPr="00C454A1">
        <w:rPr>
          <w:color w:val="000000" w:themeColor="text1"/>
          <w:lang w:val="es-ES"/>
        </w:rPr>
        <w:instrText xml:space="preserve"> \* MERGEFORMAT </w:instrText>
      </w:r>
      <w:r w:rsidR="002E64AF" w:rsidRPr="00C454A1">
        <w:rPr>
          <w:color w:val="000000" w:themeColor="text1"/>
          <w:lang w:val="es-ES"/>
        </w:rPr>
      </w:r>
      <w:r w:rsidR="002E64AF" w:rsidRPr="00C454A1">
        <w:rPr>
          <w:color w:val="000000" w:themeColor="text1"/>
          <w:lang w:val="es-ES"/>
        </w:rPr>
        <w:fldChar w:fldCharType="separate"/>
      </w:r>
      <w:r w:rsidR="00881E6A">
        <w:rPr>
          <w:color w:val="000000" w:themeColor="text1"/>
          <w:lang w:val="es-ES"/>
        </w:rPr>
        <w:t>181</w:t>
      </w:r>
      <w:r w:rsidR="002E64AF" w:rsidRPr="00C454A1">
        <w:rPr>
          <w:color w:val="000000" w:themeColor="text1"/>
          <w:lang w:val="es-ES"/>
        </w:rPr>
        <w:fldChar w:fldCharType="end"/>
      </w:r>
      <w:r w:rsidR="002E64AF" w:rsidRPr="00C454A1">
        <w:rPr>
          <w:color w:val="000000" w:themeColor="text1"/>
          <w:lang w:val="es-ES"/>
        </w:rPr>
        <w:t xml:space="preserve"> </w:t>
      </w:r>
      <w:r w:rsidR="00BF7694" w:rsidRPr="00C454A1">
        <w:rPr>
          <w:color w:val="000000" w:themeColor="text1"/>
          <w:lang w:val="es-ES"/>
        </w:rPr>
        <w:t>y</w:t>
      </w:r>
      <w:r w:rsidR="002E64AF" w:rsidRPr="00C454A1">
        <w:rPr>
          <w:color w:val="000000" w:themeColor="text1"/>
          <w:lang w:val="es-ES"/>
        </w:rPr>
        <w:t xml:space="preserve"> </w:t>
      </w:r>
      <w:r w:rsidR="002E64AF" w:rsidRPr="00C454A1">
        <w:rPr>
          <w:color w:val="000000" w:themeColor="text1"/>
          <w:lang w:val="es-ES"/>
        </w:rPr>
        <w:fldChar w:fldCharType="begin"/>
      </w:r>
      <w:r w:rsidR="002E64AF" w:rsidRPr="00C454A1">
        <w:rPr>
          <w:color w:val="000000" w:themeColor="text1"/>
          <w:lang w:val="es-ES"/>
        </w:rPr>
        <w:instrText xml:space="preserve"> REF _Ref203401566 \r \h </w:instrText>
      </w:r>
      <w:r w:rsidR="009421B8" w:rsidRPr="00C454A1">
        <w:rPr>
          <w:color w:val="000000" w:themeColor="text1"/>
          <w:lang w:val="es-ES"/>
        </w:rPr>
        <w:instrText xml:space="preserve"> \* MERGEFORMAT </w:instrText>
      </w:r>
      <w:r w:rsidR="002E64AF" w:rsidRPr="00C454A1">
        <w:rPr>
          <w:color w:val="000000" w:themeColor="text1"/>
          <w:lang w:val="es-ES"/>
        </w:rPr>
      </w:r>
      <w:r w:rsidR="002E64AF" w:rsidRPr="00C454A1">
        <w:rPr>
          <w:color w:val="000000" w:themeColor="text1"/>
          <w:lang w:val="es-ES"/>
        </w:rPr>
        <w:fldChar w:fldCharType="separate"/>
      </w:r>
      <w:r w:rsidR="00881E6A">
        <w:rPr>
          <w:color w:val="000000" w:themeColor="text1"/>
          <w:lang w:val="es-ES"/>
        </w:rPr>
        <w:t>239</w:t>
      </w:r>
      <w:r w:rsidR="002E64AF" w:rsidRPr="00C454A1">
        <w:rPr>
          <w:color w:val="000000" w:themeColor="text1"/>
          <w:lang w:val="es-ES"/>
        </w:rPr>
        <w:fldChar w:fldCharType="end"/>
      </w:r>
      <w:r w:rsidR="002E64AF" w:rsidRPr="00C454A1">
        <w:rPr>
          <w:color w:val="000000" w:themeColor="text1"/>
          <w:lang w:val="es-ES"/>
        </w:rPr>
        <w:t xml:space="preserve"> </w:t>
      </w:r>
      <w:r w:rsidR="00BF7694" w:rsidRPr="00C454A1">
        <w:rPr>
          <w:color w:val="000000" w:themeColor="text1"/>
          <w:lang w:val="es-ES"/>
        </w:rPr>
        <w:t>y siguientes.</w:t>
      </w:r>
    </w:p>
    <w:p w14:paraId="6BC86551" w14:textId="77777777" w:rsidR="00A85608" w:rsidRPr="00C454A1" w:rsidRDefault="00A85608" w:rsidP="00A85608">
      <w:pPr>
        <w:rPr>
          <w:color w:val="000000" w:themeColor="text1"/>
          <w:lang w:val="es-ES"/>
        </w:rPr>
      </w:pPr>
    </w:p>
    <w:p w14:paraId="01E3D7DB" w14:textId="60162EED" w:rsidR="00A85608" w:rsidRPr="00C454A1" w:rsidRDefault="00BF7694" w:rsidP="00A90DEE">
      <w:pPr>
        <w:numPr>
          <w:ilvl w:val="0"/>
          <w:numId w:val="2"/>
        </w:numPr>
        <w:ind w:left="0" w:firstLine="0"/>
        <w:rPr>
          <w:rFonts w:eastAsia="Aptos" w:cs="Arial"/>
          <w:color w:val="000000" w:themeColor="text1"/>
          <w:lang w:val="es-ES"/>
        </w:rPr>
      </w:pPr>
      <w:r w:rsidRPr="00C454A1">
        <w:rPr>
          <w:color w:val="000000" w:themeColor="text1"/>
          <w:lang w:val="es-ES"/>
        </w:rPr>
        <w:t>Adicionalmente, la Sala</w:t>
      </w:r>
      <w:r w:rsidR="00A85608" w:rsidRPr="00C454A1">
        <w:rPr>
          <w:color w:val="000000" w:themeColor="text1"/>
          <w:lang w:val="es-ES"/>
        </w:rPr>
        <w:t xml:space="preserve"> encuentra que las medidas ordinarias (i) prevén una capacidad limitada de las autoridades territoriales para intervenir en el control del orden público, pues naturalmente solo tienen capacidad de acción dentro de su jurisdicción y, (ii) a nivel de las atribuciones de policía, la coordinación está prevista, en principio, para que el Gobierno nacional asista a las autoridades territoriales. Sin embargo, en este caso, la crisis que estudia la Corte requiere una respuesta unificada para todo el territorio bajo conmoción que debe ser dirigida por el presidente de la República como comandante supremo de las Fuerzas Armadas y máxima autoridad de policía, sin perjuicio de la necesaria coordinación y consulta con las autoridades territoriales y otras comunidades que habitan los territorios en cuestión, como los pueblos indígenas. </w:t>
      </w:r>
    </w:p>
    <w:p w14:paraId="35DE7F36" w14:textId="77777777" w:rsidR="00A85608" w:rsidRPr="00C454A1" w:rsidRDefault="00A85608" w:rsidP="00A85608">
      <w:pPr>
        <w:rPr>
          <w:rFonts w:eastAsia="Aptos" w:cs="Arial"/>
          <w:color w:val="000000" w:themeColor="text1"/>
          <w:lang w:val="es-ES"/>
        </w:rPr>
      </w:pPr>
    </w:p>
    <w:p w14:paraId="740A3C57" w14:textId="06AA94D5" w:rsidR="003A0DA8" w:rsidRPr="00C454A1" w:rsidRDefault="003A0DA8" w:rsidP="00A90DEE">
      <w:pPr>
        <w:numPr>
          <w:ilvl w:val="0"/>
          <w:numId w:val="2"/>
        </w:numPr>
        <w:ind w:left="0" w:firstLine="0"/>
        <w:rPr>
          <w:rFonts w:eastAsia="Times New Roman" w:cs="Times New Roman"/>
          <w:color w:val="000000" w:themeColor="text1"/>
          <w:szCs w:val="28"/>
          <w:lang w:val="es-ES"/>
        </w:rPr>
      </w:pPr>
      <w:r w:rsidRPr="00C454A1">
        <w:rPr>
          <w:rFonts w:eastAsia="Aptos" w:cs="Arial"/>
          <w:color w:val="000000" w:themeColor="text1"/>
          <w:lang w:val="es-ES"/>
        </w:rPr>
        <w:t xml:space="preserve">En este aspecto, el Gobierno </w:t>
      </w:r>
      <w:r w:rsidR="00894931" w:rsidRPr="00C454A1">
        <w:rPr>
          <w:rFonts w:eastAsia="Aptos" w:cs="Arial"/>
          <w:color w:val="000000" w:themeColor="text1"/>
          <w:lang w:val="es-ES"/>
        </w:rPr>
        <w:t xml:space="preserve">nacional </w:t>
      </w:r>
      <w:r w:rsidRPr="00C454A1">
        <w:rPr>
          <w:rFonts w:eastAsia="Aptos" w:cs="Arial"/>
          <w:color w:val="000000" w:themeColor="text1"/>
          <w:lang w:val="es-ES"/>
        </w:rPr>
        <w:t>enfatizó la necesidad de una articulación más estrecha entre las Fuerzas Militares y de Policía</w:t>
      </w:r>
      <w:r w:rsidR="00894931" w:rsidRPr="00C454A1">
        <w:rPr>
          <w:rFonts w:eastAsia="Aptos" w:cs="Arial"/>
          <w:color w:val="000000" w:themeColor="text1"/>
          <w:lang w:val="es-ES"/>
        </w:rPr>
        <w:t>,</w:t>
      </w:r>
      <w:r w:rsidRPr="00C454A1">
        <w:rPr>
          <w:rFonts w:eastAsia="Aptos" w:cs="Arial"/>
          <w:color w:val="000000" w:themeColor="text1"/>
          <w:lang w:val="es-ES"/>
        </w:rPr>
        <w:t xml:space="preserve"> mayor disponibilidad y flexibilidad en el uso de recursos para fortalecer el pie de fuerza y las operaciones defensivas y ofensivas</w:t>
      </w:r>
      <w:r w:rsidR="00894931" w:rsidRPr="00C454A1">
        <w:rPr>
          <w:rFonts w:eastAsia="Aptos" w:cs="Arial"/>
          <w:color w:val="000000" w:themeColor="text1"/>
          <w:lang w:val="es-ES"/>
        </w:rPr>
        <w:t>,</w:t>
      </w:r>
      <w:r w:rsidRPr="00C454A1">
        <w:rPr>
          <w:rFonts w:eastAsia="Aptos" w:cs="Arial"/>
          <w:color w:val="000000" w:themeColor="text1"/>
          <w:lang w:val="es-ES"/>
        </w:rPr>
        <w:t xml:space="preserve"> y la posibilidad de limitar el acceso a bienes, insumos y servicios usados por grupos armados. La Corte encuentra que esta justificación </w:t>
      </w:r>
      <w:r w:rsidR="00BF7694" w:rsidRPr="00C454A1">
        <w:rPr>
          <w:rFonts w:eastAsia="Aptos" w:cs="Arial"/>
          <w:color w:val="000000" w:themeColor="text1"/>
          <w:lang w:val="es-ES"/>
        </w:rPr>
        <w:t>es razonable</w:t>
      </w:r>
      <w:r w:rsidRPr="00C454A1">
        <w:rPr>
          <w:rFonts w:eastAsia="Aptos" w:cs="Arial"/>
          <w:color w:val="000000" w:themeColor="text1"/>
          <w:lang w:val="es-ES"/>
        </w:rPr>
        <w:t>, pues responde al carácter grave y extraordinario de la perturbación del orden público y explica que, aunque el Estado cuenta con mecanismos robustos para enfrentar hechos de violencia, en el Catatumbo es necesari</w:t>
      </w:r>
      <w:r w:rsidR="00646DA4" w:rsidRPr="00C454A1">
        <w:rPr>
          <w:rFonts w:eastAsia="Aptos" w:cs="Arial"/>
          <w:color w:val="000000" w:themeColor="text1"/>
          <w:lang w:val="es-ES"/>
        </w:rPr>
        <w:t>a</w:t>
      </w:r>
      <w:r w:rsidRPr="00C454A1">
        <w:rPr>
          <w:rFonts w:eastAsia="Aptos" w:cs="Arial"/>
          <w:color w:val="000000" w:themeColor="text1"/>
          <w:lang w:val="es-ES"/>
        </w:rPr>
        <w:t xml:space="preserve"> una especial articulación y refuerzo de las capacidades de la </w:t>
      </w:r>
      <w:r w:rsidR="000A783D" w:rsidRPr="00C454A1">
        <w:rPr>
          <w:rFonts w:eastAsia="Aptos" w:cs="Arial"/>
          <w:color w:val="000000" w:themeColor="text1"/>
          <w:lang w:val="es-ES"/>
        </w:rPr>
        <w:t>f</w:t>
      </w:r>
      <w:r w:rsidRPr="00C454A1">
        <w:rPr>
          <w:rFonts w:eastAsia="Aptos" w:cs="Arial"/>
          <w:color w:val="000000" w:themeColor="text1"/>
          <w:lang w:val="es-ES"/>
        </w:rPr>
        <w:t xml:space="preserve">uerza </w:t>
      </w:r>
      <w:r w:rsidR="000A783D" w:rsidRPr="00C454A1">
        <w:rPr>
          <w:rFonts w:eastAsia="Aptos" w:cs="Arial"/>
          <w:color w:val="000000" w:themeColor="text1"/>
          <w:lang w:val="es-ES"/>
        </w:rPr>
        <w:t>p</w:t>
      </w:r>
      <w:r w:rsidRPr="00C454A1">
        <w:rPr>
          <w:rFonts w:eastAsia="Aptos" w:cs="Arial"/>
          <w:color w:val="000000" w:themeColor="text1"/>
          <w:lang w:val="es-ES"/>
        </w:rPr>
        <w:t xml:space="preserve">ública. </w:t>
      </w:r>
    </w:p>
    <w:p w14:paraId="47B9D4FC" w14:textId="77777777" w:rsidR="003A0DA8" w:rsidRPr="00C454A1" w:rsidRDefault="003A0DA8" w:rsidP="003A0DA8">
      <w:pPr>
        <w:rPr>
          <w:rFonts w:eastAsia="Times New Roman" w:cs="Times New Roman"/>
          <w:color w:val="000000" w:themeColor="text1"/>
          <w:szCs w:val="28"/>
          <w:lang w:val="es-ES"/>
        </w:rPr>
      </w:pPr>
    </w:p>
    <w:p w14:paraId="14EC2F1B" w14:textId="26B9D62A" w:rsidR="005157AA" w:rsidRPr="00C454A1" w:rsidRDefault="005157AA" w:rsidP="005F4A6F">
      <w:pPr>
        <w:pStyle w:val="Prrafodelista"/>
        <w:numPr>
          <w:ilvl w:val="0"/>
          <w:numId w:val="25"/>
        </w:numPr>
        <w:rPr>
          <w:rFonts w:eastAsia="Times New Roman" w:cs="Times New Roman"/>
          <w:b/>
          <w:bCs/>
          <w:color w:val="000000" w:themeColor="text1"/>
          <w:szCs w:val="28"/>
          <w:lang w:val="es-ES"/>
        </w:rPr>
      </w:pPr>
      <w:r w:rsidRPr="00C454A1">
        <w:rPr>
          <w:rFonts w:eastAsia="Times New Roman" w:cs="Times New Roman"/>
          <w:b/>
          <w:bCs/>
          <w:color w:val="000000" w:themeColor="text1"/>
          <w:szCs w:val="28"/>
          <w:lang w:val="es-ES"/>
        </w:rPr>
        <w:t>Examen global de la suficiencia de las atribuciones ordinarias del Gobierno nacional para responder a crisis humanitarias originadas en desplazamientos masivos y confinamientos</w:t>
      </w:r>
    </w:p>
    <w:p w14:paraId="49E4899B" w14:textId="77777777" w:rsidR="005157AA" w:rsidRPr="00C454A1" w:rsidRDefault="005157AA" w:rsidP="003A0DA8">
      <w:pPr>
        <w:rPr>
          <w:rFonts w:eastAsia="Times New Roman" w:cs="Times New Roman"/>
          <w:color w:val="000000" w:themeColor="text1"/>
          <w:szCs w:val="28"/>
          <w:lang w:val="es-ES"/>
        </w:rPr>
      </w:pPr>
    </w:p>
    <w:p w14:paraId="0A704A07" w14:textId="7721DCF3" w:rsidR="005157AA" w:rsidRPr="00C454A1" w:rsidRDefault="003A0DA8" w:rsidP="00A90DEE">
      <w:pPr>
        <w:numPr>
          <w:ilvl w:val="0"/>
          <w:numId w:val="2"/>
        </w:numPr>
        <w:ind w:left="0" w:firstLine="0"/>
        <w:rPr>
          <w:rFonts w:eastAsia="Times New Roman" w:cs="Times New Roman"/>
          <w:color w:val="000000" w:themeColor="text1"/>
          <w:szCs w:val="28"/>
          <w:lang w:val="es-ES"/>
        </w:rPr>
      </w:pPr>
      <w:r w:rsidRPr="00C454A1">
        <w:rPr>
          <w:rFonts w:eastAsia="Aptos" w:cs="Arial"/>
          <w:color w:val="000000" w:themeColor="text1"/>
          <w:lang w:val="es-ES"/>
        </w:rPr>
        <w:t xml:space="preserve">Respecto a la crisis humanitaria, </w:t>
      </w:r>
      <w:r w:rsidRPr="00C454A1">
        <w:rPr>
          <w:rFonts w:eastAsia="Times New Roman" w:cs="Times New Roman"/>
          <w:color w:val="000000" w:themeColor="text1"/>
          <w:szCs w:val="28"/>
          <w:lang w:val="es-ES"/>
        </w:rPr>
        <w:t>si bien existe una extensa normativa que define las funciones del Gobierno nacional y las entidades territoriales en la provisión de AHI y AHE, así como en el suministro de servicios esenciales como salud, educación y saneamiento básico, hay indicios de que las capacidades humanas, logísticas y financieras para una respuesta oportuna eran insuficientes al momento de declarar la conmoción</w:t>
      </w:r>
      <w:r w:rsidR="00E1331C" w:rsidRPr="00C454A1">
        <w:rPr>
          <w:rFonts w:eastAsia="Times New Roman" w:cs="Times New Roman"/>
          <w:color w:val="000000" w:themeColor="text1"/>
          <w:szCs w:val="28"/>
          <w:lang w:val="es-ES"/>
        </w:rPr>
        <w:t>, en vista de la magnitud</w:t>
      </w:r>
      <w:r w:rsidR="00BD7604" w:rsidRPr="00C454A1">
        <w:rPr>
          <w:rFonts w:eastAsia="Times New Roman" w:cs="Times New Roman"/>
          <w:color w:val="000000" w:themeColor="text1"/>
          <w:szCs w:val="28"/>
          <w:lang w:val="es-ES"/>
        </w:rPr>
        <w:t xml:space="preserve"> y gravedad</w:t>
      </w:r>
      <w:r w:rsidR="00E1331C" w:rsidRPr="00C454A1">
        <w:rPr>
          <w:rFonts w:eastAsia="Times New Roman" w:cs="Times New Roman"/>
          <w:color w:val="000000" w:themeColor="text1"/>
          <w:szCs w:val="28"/>
          <w:lang w:val="es-ES"/>
        </w:rPr>
        <w:t xml:space="preserve"> de los </w:t>
      </w:r>
      <w:r w:rsidR="001F7912" w:rsidRPr="00C454A1">
        <w:rPr>
          <w:rFonts w:eastAsia="Times New Roman" w:cs="Times New Roman"/>
          <w:color w:val="000000" w:themeColor="text1"/>
          <w:szCs w:val="28"/>
          <w:lang w:val="es-ES"/>
        </w:rPr>
        <w:t>ataques inscriminados contra la población civil</w:t>
      </w:r>
      <w:r w:rsidR="00223DB2" w:rsidRPr="00C454A1">
        <w:rPr>
          <w:rFonts w:eastAsia="Times New Roman" w:cs="Times New Roman"/>
          <w:color w:val="000000" w:themeColor="text1"/>
          <w:szCs w:val="28"/>
          <w:lang w:val="es-ES"/>
        </w:rPr>
        <w:t xml:space="preserve"> y</w:t>
      </w:r>
      <w:r w:rsidR="001F7912" w:rsidRPr="00C454A1">
        <w:rPr>
          <w:rFonts w:eastAsia="Times New Roman" w:cs="Times New Roman"/>
          <w:color w:val="000000" w:themeColor="text1"/>
          <w:szCs w:val="28"/>
          <w:lang w:val="es-ES"/>
        </w:rPr>
        <w:t xml:space="preserve"> </w:t>
      </w:r>
      <w:r w:rsidR="00223DB2" w:rsidRPr="00C454A1">
        <w:rPr>
          <w:rFonts w:eastAsia="Times New Roman" w:cs="Times New Roman"/>
          <w:color w:val="000000" w:themeColor="text1"/>
          <w:szCs w:val="28"/>
          <w:lang w:val="es-ES"/>
        </w:rPr>
        <w:t xml:space="preserve">el número de eventos de </w:t>
      </w:r>
      <w:r w:rsidR="00E1331C" w:rsidRPr="00C454A1">
        <w:rPr>
          <w:rFonts w:eastAsia="Times New Roman" w:cs="Times New Roman"/>
          <w:color w:val="000000" w:themeColor="text1"/>
          <w:szCs w:val="28"/>
          <w:lang w:val="es-ES"/>
        </w:rPr>
        <w:t>desplazamiento</w:t>
      </w:r>
      <w:r w:rsidR="00223DB2" w:rsidRPr="00C454A1">
        <w:rPr>
          <w:rFonts w:eastAsia="Times New Roman" w:cs="Times New Roman"/>
          <w:color w:val="000000" w:themeColor="text1"/>
          <w:szCs w:val="28"/>
          <w:lang w:val="es-ES"/>
        </w:rPr>
        <w:t xml:space="preserve"> forzado</w:t>
      </w:r>
      <w:r w:rsidR="00E1331C" w:rsidRPr="00C454A1">
        <w:rPr>
          <w:rFonts w:eastAsia="Times New Roman" w:cs="Times New Roman"/>
          <w:color w:val="000000" w:themeColor="text1"/>
          <w:szCs w:val="28"/>
          <w:lang w:val="es-ES"/>
        </w:rPr>
        <w:t xml:space="preserve"> y </w:t>
      </w:r>
      <w:r w:rsidR="00223DB2" w:rsidRPr="00C454A1">
        <w:rPr>
          <w:rFonts w:eastAsia="Times New Roman" w:cs="Times New Roman"/>
          <w:color w:val="000000" w:themeColor="text1"/>
          <w:szCs w:val="28"/>
          <w:lang w:val="es-ES"/>
        </w:rPr>
        <w:t xml:space="preserve">de </w:t>
      </w:r>
      <w:r w:rsidR="00E1331C" w:rsidRPr="00C454A1">
        <w:rPr>
          <w:rFonts w:eastAsia="Times New Roman" w:cs="Times New Roman"/>
          <w:color w:val="000000" w:themeColor="text1"/>
          <w:szCs w:val="28"/>
          <w:lang w:val="es-ES"/>
        </w:rPr>
        <w:t xml:space="preserve">confinamientos, entre otros aspectos (ver </w:t>
      </w:r>
      <w:r w:rsidR="00694933" w:rsidRPr="00C454A1">
        <w:rPr>
          <w:rFonts w:eastAsia="Times New Roman" w:cs="Times New Roman"/>
          <w:i/>
          <w:iCs/>
          <w:color w:val="000000" w:themeColor="text1"/>
          <w:szCs w:val="28"/>
          <w:lang w:val="es-ES"/>
        </w:rPr>
        <w:t>supra</w:t>
      </w:r>
      <w:r w:rsidR="00694933" w:rsidRPr="00C454A1">
        <w:rPr>
          <w:rFonts w:eastAsia="Times New Roman" w:cs="Times New Roman"/>
          <w:color w:val="000000" w:themeColor="text1"/>
          <w:szCs w:val="28"/>
          <w:lang w:val="es-ES"/>
        </w:rPr>
        <w:t xml:space="preserve"> fundamentos </w:t>
      </w:r>
      <w:r w:rsidR="00694933" w:rsidRPr="00C454A1">
        <w:rPr>
          <w:rFonts w:eastAsia="Times New Roman" w:cs="Times New Roman"/>
          <w:color w:val="000000" w:themeColor="text1"/>
          <w:szCs w:val="28"/>
          <w:lang w:val="es-ES"/>
        </w:rPr>
        <w:fldChar w:fldCharType="begin"/>
      </w:r>
      <w:r w:rsidR="00694933" w:rsidRPr="00C454A1">
        <w:rPr>
          <w:rFonts w:eastAsia="Times New Roman" w:cs="Times New Roman"/>
          <w:color w:val="000000" w:themeColor="text1"/>
          <w:szCs w:val="28"/>
          <w:lang w:val="es-ES"/>
        </w:rPr>
        <w:instrText xml:space="preserve"> REF _Ref223950134 \r \h  \* MERGEFORMAT </w:instrText>
      </w:r>
      <w:r w:rsidR="00694933" w:rsidRPr="00C454A1">
        <w:rPr>
          <w:rFonts w:eastAsia="Times New Roman" w:cs="Times New Roman"/>
          <w:color w:val="000000" w:themeColor="text1"/>
          <w:szCs w:val="28"/>
          <w:lang w:val="es-ES"/>
        </w:rPr>
      </w:r>
      <w:r w:rsidR="00694933" w:rsidRPr="00C454A1">
        <w:rPr>
          <w:rFonts w:eastAsia="Times New Roman" w:cs="Times New Roman"/>
          <w:color w:val="000000" w:themeColor="text1"/>
          <w:szCs w:val="28"/>
          <w:lang w:val="es-ES"/>
        </w:rPr>
        <w:fldChar w:fldCharType="separate"/>
      </w:r>
      <w:r w:rsidR="00881E6A">
        <w:rPr>
          <w:rFonts w:eastAsia="Times New Roman" w:cs="Times New Roman"/>
          <w:color w:val="000000" w:themeColor="text1"/>
          <w:szCs w:val="28"/>
          <w:lang w:val="es-ES"/>
        </w:rPr>
        <w:t>238</w:t>
      </w:r>
      <w:r w:rsidR="00694933" w:rsidRPr="00C454A1">
        <w:rPr>
          <w:rFonts w:eastAsia="Times New Roman" w:cs="Times New Roman"/>
          <w:color w:val="000000" w:themeColor="text1"/>
          <w:szCs w:val="28"/>
          <w:lang w:val="es-ES"/>
        </w:rPr>
        <w:fldChar w:fldCharType="end"/>
      </w:r>
      <w:r w:rsidR="00694933" w:rsidRPr="00C454A1">
        <w:rPr>
          <w:rFonts w:eastAsia="Times New Roman" w:cs="Times New Roman"/>
          <w:color w:val="000000" w:themeColor="text1"/>
          <w:szCs w:val="28"/>
          <w:lang w:val="es-ES"/>
        </w:rPr>
        <w:t xml:space="preserve"> a </w:t>
      </w:r>
      <w:r w:rsidR="00694933" w:rsidRPr="00C454A1">
        <w:rPr>
          <w:rFonts w:eastAsia="Times New Roman" w:cs="Times New Roman"/>
          <w:color w:val="000000" w:themeColor="text1"/>
          <w:szCs w:val="28"/>
          <w:lang w:val="es-ES"/>
        </w:rPr>
        <w:fldChar w:fldCharType="begin"/>
      </w:r>
      <w:r w:rsidR="00694933" w:rsidRPr="00C454A1">
        <w:rPr>
          <w:rFonts w:eastAsia="Times New Roman" w:cs="Times New Roman"/>
          <w:color w:val="000000" w:themeColor="text1"/>
          <w:szCs w:val="28"/>
          <w:lang w:val="es-ES"/>
        </w:rPr>
        <w:instrText xml:space="preserve"> REF _Ref223950233 \r \h  \* MERGEFORMAT </w:instrText>
      </w:r>
      <w:r w:rsidR="00694933" w:rsidRPr="00C454A1">
        <w:rPr>
          <w:rFonts w:eastAsia="Times New Roman" w:cs="Times New Roman"/>
          <w:color w:val="000000" w:themeColor="text1"/>
          <w:szCs w:val="28"/>
          <w:lang w:val="es-ES"/>
        </w:rPr>
      </w:r>
      <w:r w:rsidR="00694933" w:rsidRPr="00C454A1">
        <w:rPr>
          <w:rFonts w:eastAsia="Times New Roman" w:cs="Times New Roman"/>
          <w:color w:val="000000" w:themeColor="text1"/>
          <w:szCs w:val="28"/>
          <w:lang w:val="es-ES"/>
        </w:rPr>
        <w:fldChar w:fldCharType="separate"/>
      </w:r>
      <w:r w:rsidR="00881E6A">
        <w:rPr>
          <w:rFonts w:eastAsia="Times New Roman" w:cs="Times New Roman"/>
          <w:color w:val="000000" w:themeColor="text1"/>
          <w:szCs w:val="28"/>
          <w:lang w:val="es-ES"/>
        </w:rPr>
        <w:t>273</w:t>
      </w:r>
      <w:r w:rsidR="00694933" w:rsidRPr="00C454A1">
        <w:rPr>
          <w:rFonts w:eastAsia="Times New Roman" w:cs="Times New Roman"/>
          <w:color w:val="000000" w:themeColor="text1"/>
          <w:szCs w:val="28"/>
          <w:lang w:val="es-ES"/>
        </w:rPr>
        <w:fldChar w:fldCharType="end"/>
      </w:r>
      <w:r w:rsidR="00694933" w:rsidRPr="00C454A1">
        <w:rPr>
          <w:rFonts w:eastAsia="Times New Roman" w:cs="Times New Roman"/>
          <w:color w:val="000000" w:themeColor="text1"/>
          <w:szCs w:val="28"/>
          <w:lang w:val="es-ES"/>
        </w:rPr>
        <w:t>).</w:t>
      </w:r>
    </w:p>
    <w:p w14:paraId="4AF62D5B" w14:textId="77777777" w:rsidR="005157AA" w:rsidRPr="00C454A1" w:rsidRDefault="005157AA" w:rsidP="005157AA">
      <w:pPr>
        <w:rPr>
          <w:rFonts w:eastAsia="Times New Roman" w:cs="Times New Roman"/>
          <w:color w:val="000000" w:themeColor="text1"/>
          <w:szCs w:val="28"/>
          <w:lang w:val="es-ES"/>
        </w:rPr>
      </w:pPr>
    </w:p>
    <w:p w14:paraId="62AA84D5" w14:textId="5EE31440" w:rsidR="005157AA" w:rsidRPr="00C454A1" w:rsidRDefault="00BF7694"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lastRenderedPageBreak/>
        <w:t>Para comenzar, la Sala observa que e</w:t>
      </w:r>
      <w:r w:rsidR="005157AA" w:rsidRPr="00C454A1">
        <w:rPr>
          <w:rFonts w:eastAsia="Times New Roman" w:cs="Times New Roman"/>
          <w:color w:val="000000" w:themeColor="text1"/>
          <w:szCs w:val="28"/>
          <w:lang w:val="es-ES"/>
        </w:rPr>
        <w:t xml:space="preserve">n respuesta a los desplazamientos forzados masivos e individuales, y los confinamientos que han ocurrido en </w:t>
      </w:r>
      <w:r w:rsidRPr="00C454A1">
        <w:rPr>
          <w:rFonts w:eastAsia="Times New Roman" w:cs="Times New Roman"/>
          <w:color w:val="000000" w:themeColor="text1"/>
          <w:szCs w:val="28"/>
          <w:lang w:val="es-ES"/>
        </w:rPr>
        <w:t>la región del</w:t>
      </w:r>
      <w:r w:rsidR="005157AA" w:rsidRPr="00C454A1">
        <w:rPr>
          <w:rFonts w:eastAsia="Times New Roman" w:cs="Times New Roman"/>
          <w:color w:val="000000" w:themeColor="text1"/>
          <w:szCs w:val="28"/>
          <w:lang w:val="es-ES"/>
        </w:rPr>
        <w:t xml:space="preserve"> Catatumbo, las entidades territoriales y el Gobierno nacional han adoptado múltiples medidas para brindar asistencia a las víctimas y garantizar sus derechos. </w:t>
      </w:r>
      <w:r w:rsidRPr="00C454A1">
        <w:rPr>
          <w:rFonts w:eastAsia="Times New Roman" w:cs="Times New Roman"/>
          <w:color w:val="000000" w:themeColor="text1"/>
          <w:szCs w:val="28"/>
          <w:lang w:val="es-ES"/>
        </w:rPr>
        <w:t>Por ejemplo, l</w:t>
      </w:r>
      <w:r w:rsidR="005157AA" w:rsidRPr="00C454A1">
        <w:rPr>
          <w:rFonts w:eastAsia="Times New Roman" w:cs="Times New Roman"/>
          <w:color w:val="000000" w:themeColor="text1"/>
          <w:szCs w:val="28"/>
          <w:lang w:val="es-ES"/>
        </w:rPr>
        <w:t xml:space="preserve">a UARIV informó que se habían llevado a cabo jornadas </w:t>
      </w:r>
      <w:r w:rsidRPr="00C454A1">
        <w:rPr>
          <w:rFonts w:eastAsia="Times New Roman" w:cs="Times New Roman"/>
          <w:color w:val="000000" w:themeColor="text1"/>
          <w:szCs w:val="28"/>
          <w:lang w:val="es-ES"/>
        </w:rPr>
        <w:t xml:space="preserve">masivas </w:t>
      </w:r>
      <w:r w:rsidR="005157AA" w:rsidRPr="00C454A1">
        <w:rPr>
          <w:rFonts w:eastAsia="Times New Roman" w:cs="Times New Roman"/>
          <w:color w:val="000000" w:themeColor="text1"/>
          <w:szCs w:val="28"/>
          <w:lang w:val="es-ES"/>
        </w:rPr>
        <w:t>de toma de declaraciones de los desplazamientos masivos, resultado de las cuales se reportaron 70 hechos victimiza</w:t>
      </w:r>
      <w:r w:rsidR="006F1329" w:rsidRPr="00C454A1">
        <w:rPr>
          <w:rFonts w:eastAsia="Times New Roman" w:cs="Times New Roman"/>
          <w:color w:val="000000" w:themeColor="text1"/>
          <w:szCs w:val="28"/>
          <w:lang w:val="es-ES"/>
        </w:rPr>
        <w:t>ntes</w:t>
      </w:r>
      <w:r w:rsidR="005157AA" w:rsidRPr="00C454A1">
        <w:rPr>
          <w:rFonts w:eastAsia="Times New Roman" w:cs="Times New Roman"/>
          <w:color w:val="000000" w:themeColor="text1"/>
          <w:szCs w:val="28"/>
          <w:lang w:val="es-ES"/>
        </w:rPr>
        <w:t xml:space="preserve"> de este tipo. Informó que varias declaraciones debieron ser tomadas “en físico” “in situ y de forma virtual”</w:t>
      </w:r>
      <w:r w:rsidRPr="00C454A1">
        <w:rPr>
          <w:rFonts w:eastAsia="Times New Roman" w:cs="Times New Roman"/>
          <w:color w:val="000000" w:themeColor="text1"/>
          <w:szCs w:val="28"/>
          <w:lang w:val="es-ES"/>
        </w:rPr>
        <w:t xml:space="preserve"> dada la magnitud del número de personas que des</w:t>
      </w:r>
      <w:r w:rsidR="001A616C" w:rsidRPr="00C454A1">
        <w:rPr>
          <w:rFonts w:eastAsia="Times New Roman" w:cs="Times New Roman"/>
          <w:color w:val="000000" w:themeColor="text1"/>
          <w:szCs w:val="28"/>
          <w:lang w:val="es-ES"/>
        </w:rPr>
        <w:t>eaban</w:t>
      </w:r>
      <w:r w:rsidRPr="00C454A1">
        <w:rPr>
          <w:rFonts w:eastAsia="Times New Roman" w:cs="Times New Roman"/>
          <w:color w:val="000000" w:themeColor="text1"/>
          <w:szCs w:val="28"/>
          <w:lang w:val="es-ES"/>
        </w:rPr>
        <w:t xml:space="preserve"> declarar</w:t>
      </w:r>
      <w:r w:rsidR="005157AA" w:rsidRPr="00C454A1">
        <w:rPr>
          <w:rStyle w:val="Refdenotaalpie"/>
          <w:rFonts w:eastAsia="Times New Roman" w:cs="Times New Roman"/>
          <w:color w:val="000000" w:themeColor="text1"/>
          <w:szCs w:val="28"/>
          <w:lang w:val="es-ES"/>
        </w:rPr>
        <w:footnoteReference w:id="451"/>
      </w:r>
      <w:r w:rsidR="005157AA" w:rsidRPr="00C454A1">
        <w:rPr>
          <w:rFonts w:eastAsia="Times New Roman" w:cs="Times New Roman"/>
          <w:color w:val="000000" w:themeColor="text1"/>
          <w:szCs w:val="28"/>
          <w:lang w:val="es-ES"/>
        </w:rPr>
        <w:t xml:space="preserve">. Agregó que debido a que se ha requerido actuar inmediato del Ministerio Público para la toma de las declaraciones, la UARIV también </w:t>
      </w:r>
      <w:r w:rsidR="006563BB" w:rsidRPr="00C454A1">
        <w:rPr>
          <w:rFonts w:eastAsia="Times New Roman" w:cs="Times New Roman"/>
          <w:color w:val="000000" w:themeColor="text1"/>
          <w:szCs w:val="28"/>
          <w:lang w:val="es-ES"/>
        </w:rPr>
        <w:t>tuvo</w:t>
      </w:r>
      <w:r w:rsidR="005157AA" w:rsidRPr="00C454A1">
        <w:rPr>
          <w:rFonts w:eastAsia="Times New Roman" w:cs="Times New Roman"/>
          <w:color w:val="000000" w:themeColor="text1"/>
          <w:szCs w:val="28"/>
          <w:lang w:val="es-ES"/>
        </w:rPr>
        <w:t xml:space="preserve"> que brindar 64 capacitaciones al personal a cargo. </w:t>
      </w:r>
    </w:p>
    <w:p w14:paraId="42B6CEB9" w14:textId="77777777" w:rsidR="005157AA" w:rsidRPr="00C454A1" w:rsidRDefault="005157AA" w:rsidP="005157AA">
      <w:pPr>
        <w:rPr>
          <w:rFonts w:eastAsia="Times New Roman" w:cs="Times New Roman"/>
          <w:color w:val="000000" w:themeColor="text1"/>
          <w:szCs w:val="28"/>
          <w:lang w:val="es-ES"/>
        </w:rPr>
      </w:pPr>
    </w:p>
    <w:p w14:paraId="7A2565E5" w14:textId="00BC7937" w:rsidR="005157AA" w:rsidRPr="00C454A1" w:rsidRDefault="005157AA"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 xml:space="preserve">No obstante, el Gobierno nacional mencionó varios obstáculos para lograr la entrega oportuna y suficiente de la AHI y asegurar </w:t>
      </w:r>
      <w:r w:rsidR="00747C7D" w:rsidRPr="00C454A1">
        <w:rPr>
          <w:rFonts w:eastAsia="Times New Roman" w:cs="Times New Roman"/>
          <w:color w:val="000000" w:themeColor="text1"/>
          <w:szCs w:val="28"/>
          <w:lang w:val="es-ES"/>
        </w:rPr>
        <w:t>otros</w:t>
      </w:r>
      <w:r w:rsidRPr="00C454A1">
        <w:rPr>
          <w:rFonts w:eastAsia="Times New Roman" w:cs="Times New Roman"/>
          <w:color w:val="000000" w:themeColor="text1"/>
          <w:szCs w:val="28"/>
          <w:lang w:val="es-ES"/>
        </w:rPr>
        <w:t xml:space="preserve"> derechos de la población víctima. Como se mencionó </w:t>
      </w:r>
      <w:r w:rsidR="00BF7694" w:rsidRPr="00C454A1">
        <w:rPr>
          <w:rFonts w:eastAsia="Times New Roman" w:cs="Times New Roman"/>
          <w:color w:val="000000" w:themeColor="text1"/>
          <w:szCs w:val="28"/>
          <w:lang w:val="es-ES"/>
        </w:rPr>
        <w:t>en los fundamentos</w:t>
      </w:r>
      <w:r w:rsidR="006F1329" w:rsidRPr="00C454A1">
        <w:rPr>
          <w:rFonts w:eastAsia="Times New Roman" w:cs="Times New Roman"/>
          <w:color w:val="000000" w:themeColor="text1"/>
          <w:szCs w:val="28"/>
          <w:lang w:val="es-ES"/>
        </w:rPr>
        <w:t xml:space="preserve"> </w:t>
      </w:r>
      <w:r w:rsidR="006F1329" w:rsidRPr="00C454A1">
        <w:rPr>
          <w:rFonts w:eastAsia="Times New Roman" w:cs="Times New Roman"/>
          <w:color w:val="000000" w:themeColor="text1"/>
          <w:szCs w:val="28"/>
          <w:lang w:val="es-ES"/>
        </w:rPr>
        <w:fldChar w:fldCharType="begin"/>
      </w:r>
      <w:r w:rsidR="006F1329" w:rsidRPr="00C454A1">
        <w:rPr>
          <w:rFonts w:eastAsia="Times New Roman" w:cs="Times New Roman"/>
          <w:color w:val="000000" w:themeColor="text1"/>
          <w:szCs w:val="28"/>
          <w:lang w:val="es-ES"/>
        </w:rPr>
        <w:instrText xml:space="preserve"> REF _Ref219391185 \r \h </w:instrText>
      </w:r>
      <w:r w:rsidR="00DD0E75" w:rsidRPr="00C454A1">
        <w:rPr>
          <w:rFonts w:eastAsia="Times New Roman" w:cs="Times New Roman"/>
          <w:color w:val="000000" w:themeColor="text1"/>
          <w:szCs w:val="28"/>
          <w:lang w:val="es-ES"/>
        </w:rPr>
        <w:instrText xml:space="preserve"> \* MERGEFORMAT </w:instrText>
      </w:r>
      <w:r w:rsidR="006F1329" w:rsidRPr="00C454A1">
        <w:rPr>
          <w:rFonts w:eastAsia="Times New Roman" w:cs="Times New Roman"/>
          <w:color w:val="000000" w:themeColor="text1"/>
          <w:szCs w:val="28"/>
          <w:lang w:val="es-ES"/>
        </w:rPr>
      </w:r>
      <w:r w:rsidR="006F1329" w:rsidRPr="00C454A1">
        <w:rPr>
          <w:rFonts w:eastAsia="Times New Roman" w:cs="Times New Roman"/>
          <w:color w:val="000000" w:themeColor="text1"/>
          <w:szCs w:val="28"/>
          <w:lang w:val="es-ES"/>
        </w:rPr>
        <w:fldChar w:fldCharType="separate"/>
      </w:r>
      <w:r w:rsidR="00881E6A">
        <w:rPr>
          <w:rFonts w:eastAsia="Times New Roman" w:cs="Times New Roman"/>
          <w:color w:val="000000" w:themeColor="text1"/>
          <w:szCs w:val="28"/>
          <w:lang w:val="es-ES"/>
        </w:rPr>
        <w:t>316</w:t>
      </w:r>
      <w:r w:rsidR="006F1329" w:rsidRPr="00C454A1">
        <w:rPr>
          <w:rFonts w:eastAsia="Times New Roman" w:cs="Times New Roman"/>
          <w:color w:val="000000" w:themeColor="text1"/>
          <w:szCs w:val="28"/>
          <w:lang w:val="es-ES"/>
        </w:rPr>
        <w:fldChar w:fldCharType="end"/>
      </w:r>
      <w:r w:rsidR="006F1329" w:rsidRPr="00C454A1">
        <w:rPr>
          <w:rFonts w:eastAsia="Times New Roman" w:cs="Times New Roman"/>
          <w:color w:val="000000" w:themeColor="text1"/>
          <w:szCs w:val="28"/>
          <w:lang w:val="es-ES"/>
        </w:rPr>
        <w:t xml:space="preserve"> a </w:t>
      </w:r>
      <w:r w:rsidR="006F1329" w:rsidRPr="00C454A1">
        <w:rPr>
          <w:rFonts w:eastAsia="Times New Roman" w:cs="Times New Roman"/>
          <w:color w:val="000000" w:themeColor="text1"/>
          <w:szCs w:val="28"/>
          <w:lang w:val="es-ES"/>
        </w:rPr>
        <w:fldChar w:fldCharType="begin"/>
      </w:r>
      <w:r w:rsidR="006F1329" w:rsidRPr="00C454A1">
        <w:rPr>
          <w:rFonts w:eastAsia="Times New Roman" w:cs="Times New Roman"/>
          <w:color w:val="000000" w:themeColor="text1"/>
          <w:szCs w:val="28"/>
          <w:lang w:val="es-ES"/>
        </w:rPr>
        <w:instrText xml:space="preserve"> REF _Ref219391207 \r \h </w:instrText>
      </w:r>
      <w:r w:rsidR="00DD0E75" w:rsidRPr="00C454A1">
        <w:rPr>
          <w:rFonts w:eastAsia="Times New Roman" w:cs="Times New Roman"/>
          <w:color w:val="000000" w:themeColor="text1"/>
          <w:szCs w:val="28"/>
          <w:lang w:val="es-ES"/>
        </w:rPr>
        <w:instrText xml:space="preserve"> \* MERGEFORMAT </w:instrText>
      </w:r>
      <w:r w:rsidR="006F1329" w:rsidRPr="00C454A1">
        <w:rPr>
          <w:rFonts w:eastAsia="Times New Roman" w:cs="Times New Roman"/>
          <w:color w:val="000000" w:themeColor="text1"/>
          <w:szCs w:val="28"/>
          <w:lang w:val="es-ES"/>
        </w:rPr>
      </w:r>
      <w:r w:rsidR="006F1329" w:rsidRPr="00C454A1">
        <w:rPr>
          <w:rFonts w:eastAsia="Times New Roman" w:cs="Times New Roman"/>
          <w:color w:val="000000" w:themeColor="text1"/>
          <w:szCs w:val="28"/>
          <w:lang w:val="es-ES"/>
        </w:rPr>
        <w:fldChar w:fldCharType="separate"/>
      </w:r>
      <w:r w:rsidR="00881E6A">
        <w:rPr>
          <w:rFonts w:eastAsia="Times New Roman" w:cs="Times New Roman"/>
          <w:color w:val="000000" w:themeColor="text1"/>
          <w:szCs w:val="28"/>
          <w:lang w:val="es-ES"/>
        </w:rPr>
        <w:t>323</w:t>
      </w:r>
      <w:r w:rsidR="006F1329" w:rsidRPr="00C454A1">
        <w:rPr>
          <w:rFonts w:eastAsia="Times New Roman" w:cs="Times New Roman"/>
          <w:color w:val="000000" w:themeColor="text1"/>
          <w:szCs w:val="28"/>
          <w:lang w:val="es-ES"/>
        </w:rPr>
        <w:fldChar w:fldCharType="end"/>
      </w:r>
      <w:r w:rsidRPr="00C454A1">
        <w:rPr>
          <w:rFonts w:eastAsia="Times New Roman" w:cs="Times New Roman"/>
          <w:color w:val="000000" w:themeColor="text1"/>
          <w:szCs w:val="28"/>
          <w:lang w:val="es-ES"/>
        </w:rPr>
        <w:t xml:space="preserve">, los más notorios son: (i) la incapacidad presupuestal </w:t>
      </w:r>
      <w:r w:rsidR="001A616C" w:rsidRPr="00C454A1">
        <w:rPr>
          <w:rFonts w:eastAsia="Times New Roman" w:cs="Times New Roman"/>
          <w:color w:val="000000" w:themeColor="text1"/>
          <w:szCs w:val="28"/>
          <w:lang w:val="es-ES"/>
        </w:rPr>
        <w:t xml:space="preserve">y logística </w:t>
      </w:r>
      <w:r w:rsidRPr="00C454A1">
        <w:rPr>
          <w:rFonts w:eastAsia="Times New Roman" w:cs="Times New Roman"/>
          <w:color w:val="000000" w:themeColor="text1"/>
          <w:szCs w:val="28"/>
          <w:lang w:val="es-ES"/>
        </w:rPr>
        <w:t>para la entrega oportuna y suficiente de AHI y AHE, así como para  garantizar la prestación de servicios de salud y saneamiento; (ii) la incapacidad operativa para la toma de declaraciones masivas y para valorarlas con prontitud para permitir la inscripción de las víctimas en el RUV; (iii) las trabas administrativas que existen para activar el mecanismo de apoyo subsidiario a las entidades territoriales, especialmente el requisito de remisión inmediata del censo poblacional, y (iv) otras dificultades de seguridad y de capacidad operativa para llegar a las comunidades confinadas con el fin de brindarles AHI y asegurar su acceso a, por ejemplo, servicios de salud y educación.</w:t>
      </w:r>
    </w:p>
    <w:p w14:paraId="2EA09CC2" w14:textId="77777777" w:rsidR="005157AA" w:rsidRPr="00C454A1" w:rsidRDefault="005157AA" w:rsidP="00BF7694">
      <w:pPr>
        <w:rPr>
          <w:rFonts w:eastAsia="Times New Roman" w:cs="Times New Roman"/>
          <w:color w:val="000000" w:themeColor="text1"/>
          <w:szCs w:val="28"/>
          <w:lang w:val="es-ES"/>
        </w:rPr>
      </w:pPr>
    </w:p>
    <w:p w14:paraId="2D01B29B" w14:textId="0DD887CB" w:rsidR="003A0DA8" w:rsidRPr="00C454A1" w:rsidRDefault="00747C7D"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La Sala observa que efectivamente el Gobierno nacional aportó pruebas que respaldan la existencia de varios de estos obstáculos. Por ejemplo,</w:t>
      </w:r>
      <w:r w:rsidR="003A0DA8" w:rsidRPr="00C454A1">
        <w:rPr>
          <w:rFonts w:eastAsia="Times New Roman" w:cs="Times New Roman"/>
          <w:color w:val="000000" w:themeColor="text1"/>
          <w:szCs w:val="28"/>
          <w:lang w:val="es-ES"/>
        </w:rPr>
        <w:t xml:space="preserve"> según la </w:t>
      </w:r>
      <w:r w:rsidRPr="00C454A1">
        <w:rPr>
          <w:rFonts w:eastAsia="Times New Roman" w:cs="Times New Roman"/>
          <w:color w:val="000000" w:themeColor="text1"/>
          <w:szCs w:val="28"/>
          <w:lang w:val="es-ES"/>
        </w:rPr>
        <w:t>UARIV</w:t>
      </w:r>
      <w:r w:rsidR="003A0DA8" w:rsidRPr="00C454A1">
        <w:rPr>
          <w:rFonts w:eastAsia="Times New Roman" w:cs="Times New Roman"/>
          <w:color w:val="000000" w:themeColor="text1"/>
          <w:szCs w:val="28"/>
          <w:lang w:val="es-ES"/>
        </w:rPr>
        <w:t xml:space="preserve">, la </w:t>
      </w:r>
      <w:r w:rsidRPr="00C454A1">
        <w:rPr>
          <w:rFonts w:eastAsia="Times New Roman" w:cs="Times New Roman"/>
          <w:color w:val="000000" w:themeColor="text1"/>
          <w:szCs w:val="28"/>
          <w:lang w:val="es-ES"/>
        </w:rPr>
        <w:t xml:space="preserve">atención de la </w:t>
      </w:r>
      <w:r w:rsidR="003A0DA8" w:rsidRPr="00C454A1">
        <w:rPr>
          <w:rFonts w:eastAsia="Times New Roman" w:cs="Times New Roman"/>
          <w:color w:val="000000" w:themeColor="text1"/>
          <w:szCs w:val="28"/>
          <w:lang w:val="es-ES"/>
        </w:rPr>
        <w:t xml:space="preserve">crisis </w:t>
      </w:r>
      <w:r w:rsidRPr="00C454A1">
        <w:rPr>
          <w:rFonts w:eastAsia="Times New Roman" w:cs="Times New Roman"/>
          <w:color w:val="000000" w:themeColor="text1"/>
          <w:szCs w:val="28"/>
          <w:lang w:val="es-ES"/>
        </w:rPr>
        <w:t xml:space="preserve">humanitaria </w:t>
      </w:r>
      <w:r w:rsidR="003A0DA8" w:rsidRPr="00C454A1">
        <w:rPr>
          <w:rFonts w:eastAsia="Times New Roman" w:cs="Times New Roman"/>
          <w:color w:val="000000" w:themeColor="text1"/>
          <w:szCs w:val="28"/>
          <w:lang w:val="es-ES"/>
        </w:rPr>
        <w:t xml:space="preserve">demanda aproximadamente $218.252.627.170, cifra que contrasta drásticamente con los $19.020.868 previstos en el presupuesto de 2025 para el suministro específico de AHI en </w:t>
      </w:r>
      <w:r w:rsidRPr="00C454A1">
        <w:rPr>
          <w:rFonts w:eastAsia="Times New Roman" w:cs="Times New Roman"/>
          <w:color w:val="000000" w:themeColor="text1"/>
          <w:szCs w:val="28"/>
          <w:lang w:val="es-ES"/>
        </w:rPr>
        <w:t>la región del</w:t>
      </w:r>
      <w:r w:rsidR="003A0DA8" w:rsidRPr="00C454A1">
        <w:rPr>
          <w:rFonts w:eastAsia="Times New Roman" w:cs="Times New Roman"/>
          <w:color w:val="000000" w:themeColor="text1"/>
          <w:szCs w:val="28"/>
          <w:lang w:val="es-ES"/>
        </w:rPr>
        <w:t xml:space="preserve"> Catatumbo. Además, los recursos estimados por la UARIV para la atención de la crisis representan casi la mitad del presupuesto total que se le asignó en el PGN de 2025, el cual asciende a $455.169.993.009</w:t>
      </w:r>
      <w:r w:rsidRPr="00C454A1">
        <w:rPr>
          <w:rFonts w:eastAsia="Times New Roman" w:cs="Times New Roman"/>
          <w:color w:val="000000" w:themeColor="text1"/>
          <w:szCs w:val="28"/>
          <w:lang w:val="es-ES"/>
        </w:rPr>
        <w:t xml:space="preserve"> (ver </w:t>
      </w:r>
      <w:r w:rsidR="006F1329" w:rsidRPr="00C454A1">
        <w:rPr>
          <w:rFonts w:eastAsia="Times New Roman" w:cs="Times New Roman"/>
          <w:i/>
          <w:iCs/>
          <w:color w:val="000000" w:themeColor="text1"/>
          <w:szCs w:val="28"/>
          <w:lang w:val="es-ES"/>
        </w:rPr>
        <w:t xml:space="preserve">supra </w:t>
      </w:r>
      <w:r w:rsidRPr="00C454A1">
        <w:rPr>
          <w:rFonts w:eastAsia="Times New Roman" w:cs="Times New Roman"/>
          <w:color w:val="000000" w:themeColor="text1"/>
          <w:szCs w:val="28"/>
          <w:lang w:val="es-ES"/>
        </w:rPr>
        <w:t xml:space="preserve">fundamento </w:t>
      </w:r>
      <w:r w:rsidR="006F1329" w:rsidRPr="00C454A1">
        <w:rPr>
          <w:rFonts w:eastAsia="Times New Roman" w:cs="Times New Roman"/>
          <w:color w:val="000000" w:themeColor="text1"/>
          <w:szCs w:val="28"/>
          <w:lang w:val="es-ES"/>
        </w:rPr>
        <w:fldChar w:fldCharType="begin"/>
      </w:r>
      <w:r w:rsidR="006F1329" w:rsidRPr="00C454A1">
        <w:rPr>
          <w:rFonts w:eastAsia="Times New Roman" w:cs="Times New Roman"/>
          <w:color w:val="000000" w:themeColor="text1"/>
          <w:szCs w:val="28"/>
          <w:lang w:val="es-ES"/>
        </w:rPr>
        <w:instrText xml:space="preserve"> REF _Ref219391207 \r \h </w:instrText>
      </w:r>
      <w:r w:rsidR="00DD0E75" w:rsidRPr="00C454A1">
        <w:rPr>
          <w:rFonts w:eastAsia="Times New Roman" w:cs="Times New Roman"/>
          <w:color w:val="000000" w:themeColor="text1"/>
          <w:szCs w:val="28"/>
          <w:lang w:val="es-ES"/>
        </w:rPr>
        <w:instrText xml:space="preserve"> \* MERGEFORMAT </w:instrText>
      </w:r>
      <w:r w:rsidR="006F1329" w:rsidRPr="00C454A1">
        <w:rPr>
          <w:rFonts w:eastAsia="Times New Roman" w:cs="Times New Roman"/>
          <w:color w:val="000000" w:themeColor="text1"/>
          <w:szCs w:val="28"/>
          <w:lang w:val="es-ES"/>
        </w:rPr>
      </w:r>
      <w:r w:rsidR="006F1329" w:rsidRPr="00C454A1">
        <w:rPr>
          <w:rFonts w:eastAsia="Times New Roman" w:cs="Times New Roman"/>
          <w:color w:val="000000" w:themeColor="text1"/>
          <w:szCs w:val="28"/>
          <w:lang w:val="es-ES"/>
        </w:rPr>
        <w:fldChar w:fldCharType="separate"/>
      </w:r>
      <w:r w:rsidR="00881E6A">
        <w:rPr>
          <w:rFonts w:eastAsia="Times New Roman" w:cs="Times New Roman"/>
          <w:color w:val="000000" w:themeColor="text1"/>
          <w:szCs w:val="28"/>
          <w:lang w:val="es-ES"/>
        </w:rPr>
        <w:t>323</w:t>
      </w:r>
      <w:r w:rsidR="006F1329" w:rsidRPr="00C454A1">
        <w:rPr>
          <w:rFonts w:eastAsia="Times New Roman" w:cs="Times New Roman"/>
          <w:color w:val="000000" w:themeColor="text1"/>
          <w:szCs w:val="28"/>
          <w:lang w:val="es-ES"/>
        </w:rPr>
        <w:fldChar w:fldCharType="end"/>
      </w:r>
      <w:r w:rsidRPr="00C454A1">
        <w:rPr>
          <w:rFonts w:eastAsia="Times New Roman" w:cs="Times New Roman"/>
          <w:color w:val="000000" w:themeColor="text1"/>
          <w:szCs w:val="28"/>
          <w:lang w:val="es-ES"/>
        </w:rPr>
        <w:t>)</w:t>
      </w:r>
      <w:r w:rsidR="003A0DA8" w:rsidRPr="00C454A1">
        <w:rPr>
          <w:rFonts w:eastAsia="Times New Roman" w:cs="Times New Roman"/>
          <w:color w:val="000000" w:themeColor="text1"/>
          <w:szCs w:val="28"/>
          <w:lang w:val="es-ES"/>
        </w:rPr>
        <w:t xml:space="preserve">.  </w:t>
      </w:r>
    </w:p>
    <w:p w14:paraId="3083F8A4" w14:textId="77777777" w:rsidR="00AC0E0D" w:rsidRPr="00C454A1" w:rsidRDefault="00AC0E0D" w:rsidP="00AC0E0D">
      <w:pPr>
        <w:rPr>
          <w:rFonts w:eastAsia="Times New Roman" w:cs="Times New Roman"/>
          <w:color w:val="000000" w:themeColor="text1"/>
          <w:szCs w:val="28"/>
          <w:lang w:val="es-ES"/>
        </w:rPr>
      </w:pPr>
    </w:p>
    <w:p w14:paraId="652ED648" w14:textId="53D2E0B5" w:rsidR="00FA75D7" w:rsidRPr="00C454A1" w:rsidRDefault="00F70F1F"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 xml:space="preserve">Las alcaldías de municipios cobijados por la declaración de conmoción interior informaron en el curso del proceso de control de constitucionalidad </w:t>
      </w:r>
      <w:r w:rsidR="00F21AFE" w:rsidRPr="00C454A1">
        <w:rPr>
          <w:rFonts w:eastAsia="Times New Roman" w:cs="Times New Roman"/>
          <w:color w:val="000000" w:themeColor="text1"/>
          <w:szCs w:val="28"/>
          <w:lang w:val="es-ES"/>
        </w:rPr>
        <w:t>que no</w:t>
      </w:r>
      <w:r w:rsidRPr="00C454A1">
        <w:rPr>
          <w:rFonts w:eastAsia="Times New Roman" w:cs="Times New Roman"/>
          <w:color w:val="000000" w:themeColor="text1"/>
          <w:szCs w:val="28"/>
          <w:lang w:val="es-ES"/>
        </w:rPr>
        <w:t xml:space="preserve"> cuentan con recursos económicos ni capacidades logísticas y administrativas suficientes para responder a la crisis humanitaria (ver </w:t>
      </w:r>
      <w:r w:rsidR="006F1329" w:rsidRPr="00C454A1">
        <w:rPr>
          <w:rFonts w:eastAsia="Times New Roman" w:cs="Times New Roman"/>
          <w:i/>
          <w:iCs/>
          <w:color w:val="000000" w:themeColor="text1"/>
          <w:szCs w:val="28"/>
          <w:lang w:val="es-ES"/>
        </w:rPr>
        <w:t>supra</w:t>
      </w:r>
      <w:r w:rsidR="006F1329" w:rsidRPr="00C454A1">
        <w:rPr>
          <w:rFonts w:eastAsia="Times New Roman" w:cs="Times New Roman"/>
          <w:color w:val="000000" w:themeColor="text1"/>
          <w:szCs w:val="28"/>
          <w:lang w:val="es-ES"/>
        </w:rPr>
        <w:t xml:space="preserve"> </w:t>
      </w:r>
      <w:r w:rsidRPr="00C454A1">
        <w:rPr>
          <w:rFonts w:eastAsia="Times New Roman" w:cs="Times New Roman"/>
          <w:color w:val="000000" w:themeColor="text1"/>
          <w:szCs w:val="28"/>
          <w:lang w:val="es-ES"/>
        </w:rPr>
        <w:t>fundamento</w:t>
      </w:r>
      <w:r w:rsidR="006F1329" w:rsidRPr="00C454A1">
        <w:rPr>
          <w:rFonts w:eastAsia="Times New Roman" w:cs="Times New Roman"/>
          <w:color w:val="000000" w:themeColor="text1"/>
          <w:szCs w:val="28"/>
          <w:lang w:val="es-ES"/>
        </w:rPr>
        <w:t xml:space="preserve"> </w:t>
      </w:r>
      <w:r w:rsidR="006F1329" w:rsidRPr="00C454A1">
        <w:rPr>
          <w:rFonts w:eastAsia="Times New Roman" w:cs="Times New Roman"/>
          <w:color w:val="000000" w:themeColor="text1"/>
          <w:szCs w:val="28"/>
          <w:lang w:val="es-ES"/>
        </w:rPr>
        <w:fldChar w:fldCharType="begin"/>
      </w:r>
      <w:r w:rsidR="006F1329" w:rsidRPr="00C454A1">
        <w:rPr>
          <w:rFonts w:eastAsia="Times New Roman" w:cs="Times New Roman"/>
          <w:color w:val="000000" w:themeColor="text1"/>
          <w:szCs w:val="28"/>
          <w:lang w:val="es-ES"/>
        </w:rPr>
        <w:instrText xml:space="preserve"> REF _Ref219391293 \r \h </w:instrText>
      </w:r>
      <w:r w:rsidR="00DD0E75" w:rsidRPr="00C454A1">
        <w:rPr>
          <w:rFonts w:eastAsia="Times New Roman" w:cs="Times New Roman"/>
          <w:color w:val="000000" w:themeColor="text1"/>
          <w:szCs w:val="28"/>
          <w:lang w:val="es-ES"/>
        </w:rPr>
        <w:instrText xml:space="preserve"> \* MERGEFORMAT </w:instrText>
      </w:r>
      <w:r w:rsidR="006F1329" w:rsidRPr="00C454A1">
        <w:rPr>
          <w:rFonts w:eastAsia="Times New Roman" w:cs="Times New Roman"/>
          <w:color w:val="000000" w:themeColor="text1"/>
          <w:szCs w:val="28"/>
          <w:lang w:val="es-ES"/>
        </w:rPr>
      </w:r>
      <w:r w:rsidR="006F1329" w:rsidRPr="00C454A1">
        <w:rPr>
          <w:rFonts w:eastAsia="Times New Roman" w:cs="Times New Roman"/>
          <w:color w:val="000000" w:themeColor="text1"/>
          <w:szCs w:val="28"/>
          <w:lang w:val="es-ES"/>
        </w:rPr>
        <w:fldChar w:fldCharType="separate"/>
      </w:r>
      <w:r w:rsidR="00881E6A">
        <w:rPr>
          <w:rFonts w:eastAsia="Times New Roman" w:cs="Times New Roman"/>
          <w:color w:val="000000" w:themeColor="text1"/>
          <w:szCs w:val="28"/>
          <w:lang w:val="es-ES"/>
        </w:rPr>
        <w:t>324</w:t>
      </w:r>
      <w:r w:rsidR="006F1329" w:rsidRPr="00C454A1">
        <w:rPr>
          <w:rFonts w:eastAsia="Times New Roman" w:cs="Times New Roman"/>
          <w:color w:val="000000" w:themeColor="text1"/>
          <w:szCs w:val="28"/>
          <w:lang w:val="es-ES"/>
        </w:rPr>
        <w:fldChar w:fldCharType="end"/>
      </w:r>
      <w:r w:rsidRPr="00C454A1">
        <w:rPr>
          <w:rFonts w:eastAsia="Times New Roman" w:cs="Times New Roman"/>
          <w:color w:val="000000" w:themeColor="text1"/>
          <w:szCs w:val="28"/>
          <w:lang w:val="es-ES"/>
        </w:rPr>
        <w:t>). Este dato es respaldado por el hecho de</w:t>
      </w:r>
      <w:r w:rsidR="003A0DA8" w:rsidRPr="00C454A1">
        <w:rPr>
          <w:rFonts w:eastAsia="Times New Roman" w:cs="Times New Roman"/>
          <w:color w:val="000000" w:themeColor="text1"/>
          <w:szCs w:val="28"/>
          <w:lang w:val="es-ES"/>
        </w:rPr>
        <w:t xml:space="preserve"> que la mayoría de los municipios </w:t>
      </w:r>
      <w:r w:rsidR="003A0DA8" w:rsidRPr="00C454A1">
        <w:rPr>
          <w:rFonts w:eastAsia="Times New Roman" w:cs="Times New Roman"/>
          <w:color w:val="000000" w:themeColor="text1"/>
          <w:szCs w:val="28"/>
          <w:lang w:val="es-ES"/>
        </w:rPr>
        <w:lastRenderedPageBreak/>
        <w:t>afectados por la alteración del orden público son de categoría</w:t>
      </w:r>
      <w:r w:rsidR="00AC0E0D" w:rsidRPr="00C454A1">
        <w:rPr>
          <w:rFonts w:eastAsia="Times New Roman" w:cs="Times New Roman"/>
          <w:color w:val="000000" w:themeColor="text1"/>
          <w:szCs w:val="28"/>
          <w:lang w:val="es-ES"/>
        </w:rPr>
        <w:t>s 5 y</w:t>
      </w:r>
      <w:r w:rsidR="003A0DA8" w:rsidRPr="00C454A1">
        <w:rPr>
          <w:rFonts w:eastAsia="Times New Roman" w:cs="Times New Roman"/>
          <w:color w:val="000000" w:themeColor="text1"/>
          <w:szCs w:val="28"/>
          <w:lang w:val="es-ES"/>
        </w:rPr>
        <w:t xml:space="preserve"> 6</w:t>
      </w:r>
      <w:r w:rsidR="00783D79" w:rsidRPr="00C454A1">
        <w:rPr>
          <w:rStyle w:val="Refdenotaalpie"/>
          <w:rFonts w:eastAsia="Times New Roman" w:cs="Times New Roman"/>
          <w:color w:val="000000" w:themeColor="text1"/>
          <w:szCs w:val="28"/>
          <w:lang w:val="es-ES"/>
        </w:rPr>
        <w:footnoteReference w:id="452"/>
      </w:r>
      <w:r w:rsidR="00C756B0" w:rsidRPr="00C454A1">
        <w:rPr>
          <w:rFonts w:eastAsia="Times New Roman" w:cs="Times New Roman"/>
          <w:color w:val="000000" w:themeColor="text1"/>
          <w:szCs w:val="28"/>
          <w:lang w:val="es-ES"/>
        </w:rPr>
        <w:t xml:space="preserve"> a la luz de los criterios </w:t>
      </w:r>
      <w:r w:rsidR="00C90EEE" w:rsidRPr="00C454A1">
        <w:rPr>
          <w:rFonts w:eastAsia="Times New Roman" w:cs="Times New Roman"/>
          <w:color w:val="000000" w:themeColor="text1"/>
          <w:szCs w:val="28"/>
          <w:lang w:val="es-ES"/>
        </w:rPr>
        <w:t>fijados por</w:t>
      </w:r>
      <w:r w:rsidR="00C756B0" w:rsidRPr="00C454A1">
        <w:rPr>
          <w:rFonts w:eastAsia="Times New Roman" w:cs="Times New Roman"/>
          <w:color w:val="000000" w:themeColor="text1"/>
          <w:szCs w:val="28"/>
          <w:lang w:val="es-ES"/>
        </w:rPr>
        <w:t xml:space="preserve"> la Ley 617 de 2000</w:t>
      </w:r>
      <w:r w:rsidRPr="00C454A1">
        <w:rPr>
          <w:rFonts w:eastAsia="Times New Roman" w:cs="Times New Roman"/>
          <w:color w:val="000000" w:themeColor="text1"/>
          <w:szCs w:val="28"/>
          <w:lang w:val="es-ES"/>
        </w:rPr>
        <w:t>, lo que</w:t>
      </w:r>
      <w:r w:rsidR="003A0DA8" w:rsidRPr="00C454A1">
        <w:rPr>
          <w:rFonts w:eastAsia="Times New Roman" w:cs="Times New Roman"/>
          <w:color w:val="000000" w:themeColor="text1"/>
          <w:szCs w:val="28"/>
          <w:lang w:val="es-ES"/>
        </w:rPr>
        <w:t xml:space="preserve"> </w:t>
      </w:r>
      <w:r w:rsidR="00DF3F30" w:rsidRPr="00C454A1">
        <w:rPr>
          <w:rFonts w:eastAsia="Times New Roman" w:cs="Times New Roman"/>
          <w:color w:val="000000" w:themeColor="text1"/>
          <w:szCs w:val="28"/>
          <w:lang w:val="es-ES"/>
        </w:rPr>
        <w:t>significa</w:t>
      </w:r>
      <w:r w:rsidR="003A0DA8" w:rsidRPr="00C454A1">
        <w:rPr>
          <w:rFonts w:eastAsia="Times New Roman" w:cs="Times New Roman"/>
          <w:color w:val="000000" w:themeColor="text1"/>
          <w:szCs w:val="28"/>
          <w:lang w:val="es-ES"/>
        </w:rPr>
        <w:t xml:space="preserve"> que dependen del apoyo </w:t>
      </w:r>
      <w:r w:rsidR="00A46D99" w:rsidRPr="00C454A1">
        <w:rPr>
          <w:rFonts w:eastAsia="Times New Roman" w:cs="Times New Roman"/>
          <w:color w:val="000000" w:themeColor="text1"/>
          <w:szCs w:val="28"/>
          <w:lang w:val="es-ES"/>
        </w:rPr>
        <w:t xml:space="preserve">concurrente del departamento de Norte de Santander </w:t>
      </w:r>
      <w:r w:rsidR="00783D79" w:rsidRPr="00C454A1">
        <w:rPr>
          <w:rFonts w:eastAsia="Times New Roman" w:cs="Times New Roman"/>
          <w:color w:val="000000" w:themeColor="text1"/>
          <w:szCs w:val="28"/>
          <w:lang w:val="es-ES"/>
        </w:rPr>
        <w:t xml:space="preserve">y </w:t>
      </w:r>
      <w:r w:rsidR="003A0DA8" w:rsidRPr="00C454A1">
        <w:rPr>
          <w:rFonts w:eastAsia="Times New Roman" w:cs="Times New Roman"/>
          <w:color w:val="000000" w:themeColor="text1"/>
          <w:szCs w:val="28"/>
          <w:lang w:val="es-ES"/>
        </w:rPr>
        <w:t xml:space="preserve">subsidiario de la UARIV para la provisión de AHI. Dada su limitada capacidad institucional, también enfrentan dificultades para garantizar servicios esenciales como salud y educación a las comunidades confinadas, así como para suministrar oportunamente </w:t>
      </w:r>
      <w:r w:rsidR="006F1329" w:rsidRPr="00C454A1">
        <w:rPr>
          <w:rFonts w:eastAsia="Times New Roman" w:cs="Times New Roman"/>
          <w:color w:val="000000" w:themeColor="text1"/>
          <w:szCs w:val="28"/>
          <w:lang w:val="es-ES"/>
        </w:rPr>
        <w:t xml:space="preserve">servicios de </w:t>
      </w:r>
      <w:r w:rsidR="003A0DA8" w:rsidRPr="00C454A1">
        <w:rPr>
          <w:rFonts w:eastAsia="Times New Roman" w:cs="Times New Roman"/>
          <w:color w:val="000000" w:themeColor="text1"/>
          <w:szCs w:val="28"/>
          <w:lang w:val="es-ES"/>
        </w:rPr>
        <w:t xml:space="preserve">salud y saneamiento básico a quienes se encuentran en albergues </w:t>
      </w:r>
      <w:r w:rsidR="00783D79" w:rsidRPr="00C454A1">
        <w:rPr>
          <w:rFonts w:eastAsia="Times New Roman" w:cs="Times New Roman"/>
          <w:color w:val="000000" w:themeColor="text1"/>
          <w:szCs w:val="28"/>
          <w:lang w:val="es-ES"/>
        </w:rPr>
        <w:t xml:space="preserve">y alojamientos </w:t>
      </w:r>
      <w:r w:rsidR="003A0DA8" w:rsidRPr="00C454A1">
        <w:rPr>
          <w:rFonts w:eastAsia="Times New Roman" w:cs="Times New Roman"/>
          <w:color w:val="000000" w:themeColor="text1"/>
          <w:szCs w:val="28"/>
          <w:lang w:val="es-ES"/>
        </w:rPr>
        <w:t xml:space="preserve">temporales. La UARIV ha manifestado dificultades para activar el mecanismo de subsidiariedad debido a la complejidad </w:t>
      </w:r>
      <w:r w:rsidR="0079376E" w:rsidRPr="00C454A1">
        <w:rPr>
          <w:rFonts w:eastAsia="Times New Roman" w:cs="Times New Roman"/>
          <w:color w:val="000000" w:themeColor="text1"/>
          <w:szCs w:val="28"/>
          <w:lang w:val="es-ES"/>
        </w:rPr>
        <w:t>de</w:t>
      </w:r>
      <w:r w:rsidR="003A0DA8" w:rsidRPr="00C454A1">
        <w:rPr>
          <w:rFonts w:eastAsia="Times New Roman" w:cs="Times New Roman"/>
          <w:color w:val="000000" w:themeColor="text1"/>
          <w:szCs w:val="28"/>
          <w:lang w:val="es-ES"/>
        </w:rPr>
        <w:t xml:space="preserve"> la obtención de censos poblacionales por parte de las entidades y a la escasez de recursos para brindar dicho apoyo</w:t>
      </w:r>
      <w:r w:rsidR="006563BB" w:rsidRPr="00C454A1">
        <w:rPr>
          <w:rFonts w:eastAsia="Times New Roman" w:cs="Times New Roman"/>
          <w:color w:val="000000" w:themeColor="text1"/>
          <w:szCs w:val="28"/>
          <w:lang w:val="es-ES"/>
        </w:rPr>
        <w:t xml:space="preserve">, </w:t>
      </w:r>
      <w:r w:rsidR="0079376E" w:rsidRPr="00C454A1">
        <w:rPr>
          <w:rFonts w:eastAsia="Times New Roman" w:cs="Times New Roman"/>
          <w:color w:val="000000" w:themeColor="text1"/>
          <w:szCs w:val="28"/>
          <w:lang w:val="es-ES"/>
        </w:rPr>
        <w:t>lo</w:t>
      </w:r>
      <w:r w:rsidR="006563BB" w:rsidRPr="00C454A1">
        <w:rPr>
          <w:rFonts w:eastAsia="Times New Roman" w:cs="Times New Roman"/>
          <w:color w:val="000000" w:themeColor="text1"/>
          <w:szCs w:val="28"/>
          <w:lang w:val="es-ES"/>
        </w:rPr>
        <w:t xml:space="preserve"> </w:t>
      </w:r>
      <w:r w:rsidR="0079376E" w:rsidRPr="00C454A1">
        <w:rPr>
          <w:rFonts w:eastAsia="Times New Roman" w:cs="Times New Roman"/>
          <w:color w:val="000000" w:themeColor="text1"/>
          <w:szCs w:val="28"/>
          <w:lang w:val="es-ES"/>
        </w:rPr>
        <w:t>cual está respaldado</w:t>
      </w:r>
      <w:r w:rsidR="006563BB" w:rsidRPr="00C454A1">
        <w:rPr>
          <w:rFonts w:eastAsia="Times New Roman" w:cs="Times New Roman"/>
          <w:color w:val="000000" w:themeColor="text1"/>
          <w:szCs w:val="28"/>
          <w:lang w:val="es-ES"/>
        </w:rPr>
        <w:t xml:space="preserve"> por varios de</w:t>
      </w:r>
      <w:r w:rsidR="00F51E85" w:rsidRPr="00C454A1">
        <w:rPr>
          <w:rFonts w:eastAsia="Times New Roman" w:cs="Times New Roman"/>
          <w:color w:val="000000" w:themeColor="text1"/>
          <w:szCs w:val="28"/>
          <w:lang w:val="es-ES"/>
        </w:rPr>
        <w:t xml:space="preserve"> </w:t>
      </w:r>
      <w:r w:rsidR="006563BB" w:rsidRPr="00C454A1">
        <w:rPr>
          <w:rFonts w:eastAsia="Times New Roman" w:cs="Times New Roman"/>
          <w:color w:val="000000" w:themeColor="text1"/>
          <w:szCs w:val="28"/>
          <w:lang w:val="es-ES"/>
        </w:rPr>
        <w:t>los municipios cobijados p</w:t>
      </w:r>
      <w:r w:rsidR="00F51E85" w:rsidRPr="00C454A1">
        <w:rPr>
          <w:rFonts w:eastAsia="Times New Roman" w:cs="Times New Roman"/>
          <w:color w:val="000000" w:themeColor="text1"/>
          <w:szCs w:val="28"/>
          <w:lang w:val="es-ES"/>
        </w:rPr>
        <w:t>or</w:t>
      </w:r>
      <w:r w:rsidR="006563BB" w:rsidRPr="00C454A1">
        <w:rPr>
          <w:rFonts w:eastAsia="Times New Roman" w:cs="Times New Roman"/>
          <w:color w:val="000000" w:themeColor="text1"/>
          <w:szCs w:val="28"/>
          <w:lang w:val="es-ES"/>
        </w:rPr>
        <w:t xml:space="preserve"> la conmoción.</w:t>
      </w:r>
    </w:p>
    <w:p w14:paraId="282BFDDE" w14:textId="77777777" w:rsidR="00FA75D7" w:rsidRPr="00C454A1" w:rsidRDefault="00FA75D7" w:rsidP="00FA75D7">
      <w:pPr>
        <w:rPr>
          <w:rFonts w:eastAsia="Times New Roman" w:cs="Times New Roman"/>
          <w:color w:val="000000" w:themeColor="text1"/>
          <w:szCs w:val="28"/>
          <w:lang w:val="es-ES"/>
        </w:rPr>
      </w:pPr>
    </w:p>
    <w:p w14:paraId="7C4C5CED" w14:textId="2545D45E" w:rsidR="001D44D4" w:rsidRPr="00C454A1" w:rsidRDefault="00656687"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 xml:space="preserve">También es importante tener presente que en la Sentencia T-025 de 2004, </w:t>
      </w:r>
      <w:r w:rsidR="00942547" w:rsidRPr="00C454A1">
        <w:rPr>
          <w:rFonts w:eastAsia="Times New Roman" w:cs="Times New Roman"/>
          <w:color w:val="000000" w:themeColor="text1"/>
          <w:szCs w:val="28"/>
          <w:lang w:val="es-ES"/>
        </w:rPr>
        <w:t>esta Corporación</w:t>
      </w:r>
      <w:r w:rsidRPr="00C454A1">
        <w:rPr>
          <w:rFonts w:eastAsia="Times New Roman" w:cs="Times New Roman"/>
          <w:color w:val="000000" w:themeColor="text1"/>
          <w:szCs w:val="28"/>
          <w:lang w:val="es-ES"/>
        </w:rPr>
        <w:t xml:space="preserve"> declaró la existencia de un estado de cosas inconstitucional </w:t>
      </w:r>
      <w:r w:rsidR="005C60A0" w:rsidRPr="00C454A1">
        <w:rPr>
          <w:rFonts w:eastAsia="Times New Roman" w:cs="Times New Roman"/>
          <w:color w:val="000000" w:themeColor="text1"/>
          <w:szCs w:val="28"/>
          <w:lang w:val="es-ES"/>
        </w:rPr>
        <w:t>respecto de</w:t>
      </w:r>
      <w:r w:rsidRPr="00C454A1">
        <w:rPr>
          <w:rFonts w:eastAsia="Times New Roman" w:cs="Times New Roman"/>
          <w:color w:val="000000" w:themeColor="text1"/>
          <w:szCs w:val="28"/>
          <w:lang w:val="es-ES"/>
        </w:rPr>
        <w:t xml:space="preserve"> la garantía de los derechos de la población desplazada por la violencia</w:t>
      </w:r>
      <w:r w:rsidR="005C60A0" w:rsidRPr="00C454A1">
        <w:rPr>
          <w:rFonts w:eastAsia="Times New Roman" w:cs="Times New Roman"/>
          <w:color w:val="000000" w:themeColor="text1"/>
          <w:szCs w:val="28"/>
          <w:lang w:val="es-ES"/>
        </w:rPr>
        <w:t>.</w:t>
      </w:r>
      <w:r w:rsidRPr="00C454A1">
        <w:rPr>
          <w:rFonts w:eastAsia="Times New Roman" w:cs="Times New Roman"/>
          <w:color w:val="000000" w:themeColor="text1"/>
          <w:szCs w:val="28"/>
          <w:lang w:val="es-ES"/>
        </w:rPr>
        <w:t xml:space="preserve"> </w:t>
      </w:r>
      <w:r w:rsidR="005C60A0" w:rsidRPr="00C454A1">
        <w:rPr>
          <w:rFonts w:eastAsia="Times New Roman" w:cs="Times New Roman"/>
          <w:color w:val="000000" w:themeColor="text1"/>
          <w:szCs w:val="28"/>
          <w:lang w:val="es-ES"/>
        </w:rPr>
        <w:t>E</w:t>
      </w:r>
      <w:r w:rsidRPr="00C454A1">
        <w:rPr>
          <w:rFonts w:eastAsia="Times New Roman" w:cs="Times New Roman"/>
          <w:color w:val="000000" w:themeColor="text1"/>
          <w:szCs w:val="28"/>
          <w:lang w:val="es-ES"/>
        </w:rPr>
        <w:t>n consecuencia, ordenó una serie de remedios complejos que inclu</w:t>
      </w:r>
      <w:r w:rsidR="00D929D3" w:rsidRPr="00C454A1">
        <w:rPr>
          <w:rFonts w:eastAsia="Times New Roman" w:cs="Times New Roman"/>
          <w:color w:val="000000" w:themeColor="text1"/>
          <w:szCs w:val="28"/>
          <w:lang w:val="es-ES"/>
        </w:rPr>
        <w:t>yeron</w:t>
      </w:r>
      <w:r w:rsidRPr="00C454A1">
        <w:rPr>
          <w:rFonts w:eastAsia="Times New Roman" w:cs="Times New Roman"/>
          <w:color w:val="000000" w:themeColor="text1"/>
          <w:szCs w:val="28"/>
          <w:lang w:val="es-ES"/>
        </w:rPr>
        <w:t xml:space="preserve"> el rediseño de la política pública y </w:t>
      </w:r>
      <w:r w:rsidR="005C60A0" w:rsidRPr="00C454A1">
        <w:rPr>
          <w:rFonts w:eastAsia="Times New Roman" w:cs="Times New Roman"/>
          <w:color w:val="000000" w:themeColor="text1"/>
          <w:szCs w:val="28"/>
          <w:lang w:val="es-ES"/>
        </w:rPr>
        <w:t>un mayor</w:t>
      </w:r>
      <w:r w:rsidR="00D929D3" w:rsidRPr="00C454A1">
        <w:rPr>
          <w:rFonts w:eastAsia="Times New Roman" w:cs="Times New Roman"/>
          <w:color w:val="000000" w:themeColor="text1"/>
          <w:szCs w:val="28"/>
          <w:lang w:val="es-ES"/>
        </w:rPr>
        <w:t xml:space="preserve"> esfuerzo presupuestal. </w:t>
      </w:r>
      <w:r w:rsidR="005C60A0" w:rsidRPr="00C454A1">
        <w:rPr>
          <w:color w:val="000000" w:themeColor="text1"/>
        </w:rPr>
        <w:t>Desde entonces, la Corte Constitucional ha monitoreado el cumplimiento de estas órdenes y la situación del goce efectivo de derechos de las víctimas de desplazamiento forzado.</w:t>
      </w:r>
      <w:r w:rsidR="00834617" w:rsidRPr="00C454A1">
        <w:rPr>
          <w:rFonts w:eastAsia="Times New Roman" w:cs="Times New Roman"/>
          <w:color w:val="000000" w:themeColor="text1"/>
          <w:szCs w:val="28"/>
          <w:lang w:val="es-ES"/>
        </w:rPr>
        <w:t xml:space="preserve"> </w:t>
      </w:r>
      <w:r w:rsidR="005C60A0" w:rsidRPr="00C454A1">
        <w:rPr>
          <w:rFonts w:eastAsia="Times New Roman" w:cs="Times New Roman"/>
          <w:color w:val="000000" w:themeColor="text1"/>
          <w:szCs w:val="28"/>
          <w:lang w:val="es-ES"/>
        </w:rPr>
        <w:t>A pesar de los avances normativos e institucionales, el estado de cosas inconstitucional persiste después de más de 20 años.</w:t>
      </w:r>
      <w:r w:rsidR="00A5359C" w:rsidRPr="00C454A1">
        <w:rPr>
          <w:rFonts w:eastAsia="Times New Roman" w:cs="Times New Roman"/>
          <w:color w:val="000000" w:themeColor="text1"/>
          <w:szCs w:val="28"/>
          <w:lang w:val="es-ES"/>
        </w:rPr>
        <w:t xml:space="preserve"> Múltiples autos de la Sala Especial de Seguimiento a la Sentencia T-025 de 2004 han </w:t>
      </w:r>
      <w:r w:rsidR="005C60A0" w:rsidRPr="00C454A1">
        <w:rPr>
          <w:rFonts w:eastAsia="Times New Roman" w:cs="Times New Roman"/>
          <w:color w:val="000000" w:themeColor="text1"/>
          <w:szCs w:val="28"/>
          <w:lang w:val="es-ES"/>
        </w:rPr>
        <w:t>evidenciado</w:t>
      </w:r>
      <w:r w:rsidR="00A5359C" w:rsidRPr="00C454A1">
        <w:rPr>
          <w:rFonts w:eastAsia="Times New Roman" w:cs="Times New Roman"/>
          <w:color w:val="000000" w:themeColor="text1"/>
          <w:szCs w:val="28"/>
          <w:lang w:val="es-ES"/>
        </w:rPr>
        <w:t xml:space="preserve"> varias fallas</w:t>
      </w:r>
      <w:r w:rsidR="00273522" w:rsidRPr="00C454A1">
        <w:rPr>
          <w:rFonts w:eastAsia="Times New Roman" w:cs="Times New Roman"/>
          <w:color w:val="000000" w:themeColor="text1"/>
          <w:szCs w:val="28"/>
          <w:lang w:val="es-ES"/>
        </w:rPr>
        <w:t xml:space="preserve"> </w:t>
      </w:r>
      <w:r w:rsidR="005C60A0" w:rsidRPr="00C454A1">
        <w:rPr>
          <w:rFonts w:eastAsia="Times New Roman" w:cs="Times New Roman"/>
          <w:color w:val="000000" w:themeColor="text1"/>
          <w:szCs w:val="28"/>
          <w:lang w:val="es-ES"/>
        </w:rPr>
        <w:t xml:space="preserve">estructurales </w:t>
      </w:r>
      <w:r w:rsidR="00273522" w:rsidRPr="00C454A1">
        <w:rPr>
          <w:rFonts w:eastAsia="Times New Roman" w:cs="Times New Roman"/>
          <w:color w:val="000000" w:themeColor="text1"/>
          <w:szCs w:val="28"/>
          <w:lang w:val="es-ES"/>
        </w:rPr>
        <w:t xml:space="preserve">y bloqueos institucionales, entre los que se encuentran serias deficiencias </w:t>
      </w:r>
      <w:r w:rsidR="00802258" w:rsidRPr="00C454A1">
        <w:rPr>
          <w:rFonts w:eastAsia="Times New Roman" w:cs="Times New Roman"/>
          <w:color w:val="000000" w:themeColor="text1"/>
          <w:szCs w:val="28"/>
          <w:lang w:val="es-ES"/>
        </w:rPr>
        <w:t>en el diseño de algunos componentes de</w:t>
      </w:r>
      <w:r w:rsidR="00273522" w:rsidRPr="00C454A1">
        <w:rPr>
          <w:rFonts w:eastAsia="Times New Roman" w:cs="Times New Roman"/>
          <w:color w:val="000000" w:themeColor="text1"/>
          <w:szCs w:val="28"/>
          <w:lang w:val="es-ES"/>
        </w:rPr>
        <w:t xml:space="preserve"> la política pública</w:t>
      </w:r>
      <w:r w:rsidR="0079376E" w:rsidRPr="00C454A1">
        <w:rPr>
          <w:rFonts w:eastAsia="Times New Roman" w:cs="Times New Roman"/>
          <w:color w:val="000000" w:themeColor="text1"/>
          <w:szCs w:val="28"/>
          <w:lang w:val="es-ES"/>
        </w:rPr>
        <w:t>,</w:t>
      </w:r>
      <w:r w:rsidR="00273522" w:rsidRPr="00C454A1">
        <w:rPr>
          <w:rFonts w:eastAsia="Times New Roman" w:cs="Times New Roman"/>
          <w:color w:val="000000" w:themeColor="text1"/>
          <w:szCs w:val="28"/>
          <w:lang w:val="es-ES"/>
        </w:rPr>
        <w:t xml:space="preserve"> </w:t>
      </w:r>
      <w:r w:rsidR="00802258" w:rsidRPr="00C454A1">
        <w:rPr>
          <w:rFonts w:eastAsia="Times New Roman" w:cs="Times New Roman"/>
          <w:color w:val="000000" w:themeColor="text1"/>
          <w:szCs w:val="28"/>
          <w:lang w:val="es-ES"/>
        </w:rPr>
        <w:t xml:space="preserve">como </w:t>
      </w:r>
      <w:r w:rsidR="00273522" w:rsidRPr="00C454A1">
        <w:rPr>
          <w:rFonts w:eastAsia="Times New Roman" w:cs="Times New Roman"/>
          <w:color w:val="000000" w:themeColor="text1"/>
          <w:szCs w:val="28"/>
          <w:lang w:val="es-ES"/>
        </w:rPr>
        <w:t>los de generación de ingresos, reparaciones y vivienda.</w:t>
      </w:r>
      <w:r w:rsidR="00C90EEE" w:rsidRPr="00C454A1">
        <w:rPr>
          <w:rStyle w:val="Refdenotaalpie"/>
          <w:rFonts w:eastAsia="Times New Roman" w:cs="Times New Roman"/>
          <w:color w:val="000000" w:themeColor="text1"/>
          <w:szCs w:val="28"/>
          <w:lang w:val="es-ES"/>
        </w:rPr>
        <w:footnoteReference w:id="453"/>
      </w:r>
      <w:r w:rsidR="00802258" w:rsidRPr="00C454A1">
        <w:rPr>
          <w:rFonts w:eastAsia="Times New Roman" w:cs="Times New Roman"/>
          <w:color w:val="000000" w:themeColor="text1"/>
          <w:szCs w:val="28"/>
          <w:lang w:val="es-ES"/>
        </w:rPr>
        <w:t xml:space="preserve"> </w:t>
      </w:r>
    </w:p>
    <w:p w14:paraId="1895E896" w14:textId="77777777" w:rsidR="001D44D4" w:rsidRPr="00C454A1" w:rsidRDefault="001D44D4" w:rsidP="00F858F2">
      <w:pPr>
        <w:pStyle w:val="Prrafodelista"/>
        <w:rPr>
          <w:color w:val="000000" w:themeColor="text1"/>
        </w:rPr>
      </w:pPr>
    </w:p>
    <w:p w14:paraId="1D634C71" w14:textId="6CB3D1C9" w:rsidR="00656687" w:rsidRPr="00C454A1" w:rsidRDefault="005C60A0" w:rsidP="00A90DEE">
      <w:pPr>
        <w:numPr>
          <w:ilvl w:val="0"/>
          <w:numId w:val="2"/>
        </w:numPr>
        <w:ind w:left="0" w:firstLine="0"/>
        <w:rPr>
          <w:rFonts w:eastAsia="Times New Roman" w:cs="Times New Roman"/>
          <w:color w:val="000000" w:themeColor="text1"/>
          <w:szCs w:val="28"/>
          <w:lang w:val="es-ES"/>
        </w:rPr>
      </w:pPr>
      <w:r w:rsidRPr="00C454A1">
        <w:rPr>
          <w:color w:val="000000" w:themeColor="text1"/>
        </w:rPr>
        <w:t>El seguimiento</w:t>
      </w:r>
      <w:r w:rsidR="0079376E" w:rsidRPr="00C454A1">
        <w:rPr>
          <w:color w:val="000000" w:themeColor="text1"/>
        </w:rPr>
        <w:t xml:space="preserve"> continuo</w:t>
      </w:r>
      <w:r w:rsidRPr="00C454A1">
        <w:rPr>
          <w:color w:val="000000" w:themeColor="text1"/>
        </w:rPr>
        <w:t xml:space="preserve"> de la Corte subraya las dificultades que entraña el diseño e implementación de la política pública, máxime cuando el desplazamiento forzado sigue siendo un problema vigente. En este contexto, la Sala Plena reitera la obligación del Gobierno nacional de hacer los esfuerzos necesarios para superar el estado de cosas inconstitucional y resolver las fallas estructurales y bloqueos identificados por la Sala Especial</w:t>
      </w:r>
      <w:r w:rsidR="00C756B0" w:rsidRPr="00C454A1">
        <w:rPr>
          <w:rFonts w:eastAsia="Times New Roman" w:cs="Times New Roman"/>
          <w:color w:val="000000" w:themeColor="text1"/>
          <w:szCs w:val="28"/>
          <w:lang w:val="es-ES"/>
        </w:rPr>
        <w:t xml:space="preserve"> de Seguimiento a la Sentencia T-025 de 2004</w:t>
      </w:r>
      <w:r w:rsidRPr="00C454A1">
        <w:rPr>
          <w:rFonts w:eastAsia="Times New Roman" w:cs="Times New Roman"/>
          <w:color w:val="000000" w:themeColor="text1"/>
          <w:szCs w:val="28"/>
          <w:lang w:val="es-ES"/>
        </w:rPr>
        <w:t xml:space="preserve">. No obstante, también reconoce que las cifras de desplazamientos forzados en el Catatumbo </w:t>
      </w:r>
      <w:r w:rsidR="00C90EEE" w:rsidRPr="00C454A1">
        <w:rPr>
          <w:rFonts w:eastAsia="Times New Roman" w:cs="Times New Roman"/>
          <w:color w:val="000000" w:themeColor="text1"/>
          <w:szCs w:val="28"/>
          <w:lang w:val="es-ES"/>
        </w:rPr>
        <w:t>han superado drásticamente los promedios regionales y nacionales de los últimos años, lo que ha provocado que la crisis humanitaria exceda la previsibilidad y los planes de contingencia de las entidades encargadas.</w:t>
      </w:r>
    </w:p>
    <w:p w14:paraId="22E0FF04" w14:textId="77777777" w:rsidR="00C90EEE" w:rsidRPr="00C454A1" w:rsidRDefault="00C90EEE" w:rsidP="00C90EEE">
      <w:pPr>
        <w:rPr>
          <w:rFonts w:eastAsia="Times New Roman" w:cs="Times New Roman"/>
          <w:color w:val="000000" w:themeColor="text1"/>
          <w:szCs w:val="28"/>
          <w:lang w:val="es-ES"/>
        </w:rPr>
      </w:pPr>
    </w:p>
    <w:p w14:paraId="3488E4A3" w14:textId="4983ED6E" w:rsidR="003A0DA8" w:rsidRPr="00C454A1" w:rsidRDefault="00FA75D7" w:rsidP="00A90DEE">
      <w:pPr>
        <w:numPr>
          <w:ilvl w:val="0"/>
          <w:numId w:val="2"/>
        </w:numPr>
        <w:ind w:left="0" w:firstLine="0"/>
        <w:rPr>
          <w:rFonts w:eastAsia="Times New Roman" w:cs="Times New Roman"/>
          <w:color w:val="000000" w:themeColor="text1"/>
          <w:szCs w:val="28"/>
          <w:lang w:val="es-ES"/>
        </w:rPr>
      </w:pPr>
      <w:r w:rsidRPr="00C454A1">
        <w:rPr>
          <w:rFonts w:eastAsia="Times New Roman" w:cs="Times New Roman"/>
          <w:color w:val="000000" w:themeColor="text1"/>
          <w:szCs w:val="28"/>
          <w:lang w:val="es-ES"/>
        </w:rPr>
        <w:t xml:space="preserve">Dado que existen </w:t>
      </w:r>
      <w:r w:rsidR="00A5359C" w:rsidRPr="00C454A1">
        <w:rPr>
          <w:rFonts w:eastAsia="Times New Roman" w:cs="Times New Roman"/>
          <w:color w:val="000000" w:themeColor="text1"/>
          <w:szCs w:val="28"/>
          <w:lang w:val="es-ES"/>
        </w:rPr>
        <w:t xml:space="preserve">varios </w:t>
      </w:r>
      <w:r w:rsidRPr="00C454A1">
        <w:rPr>
          <w:rFonts w:eastAsia="Times New Roman" w:cs="Times New Roman"/>
          <w:color w:val="000000" w:themeColor="text1"/>
          <w:szCs w:val="28"/>
          <w:lang w:val="es-ES"/>
        </w:rPr>
        <w:t>indicios de la insuficiencia de los mecanismos ordinarios a disposición del Gobierno nacional, la Sala concluye que su juicio al respecto no adolece de arbitrariedad ni de manifiesta</w:t>
      </w:r>
      <w:r w:rsidR="00DF3F30" w:rsidRPr="00C454A1">
        <w:rPr>
          <w:rFonts w:eastAsia="Times New Roman" w:cs="Times New Roman"/>
          <w:color w:val="000000" w:themeColor="text1"/>
          <w:szCs w:val="28"/>
          <w:lang w:val="es-ES"/>
        </w:rPr>
        <w:t xml:space="preserve"> ausencia de razonabilidad</w:t>
      </w:r>
      <w:r w:rsidRPr="00C454A1">
        <w:rPr>
          <w:rFonts w:eastAsia="Times New Roman" w:cs="Times New Roman"/>
          <w:color w:val="000000" w:themeColor="text1"/>
          <w:szCs w:val="28"/>
          <w:lang w:val="es-ES"/>
        </w:rPr>
        <w:t xml:space="preserve">. Sumado a esto, la Sala no puede pasar por alto que las cifras de </w:t>
      </w:r>
      <w:r w:rsidRPr="00C454A1">
        <w:rPr>
          <w:rFonts w:eastAsia="Times New Roman" w:cs="Times New Roman"/>
          <w:color w:val="000000" w:themeColor="text1"/>
          <w:szCs w:val="28"/>
          <w:lang w:val="es-ES"/>
        </w:rPr>
        <w:lastRenderedPageBreak/>
        <w:t>desplazamiento forzado y confinamientos en la región cobijada por la conmoción interior exceden significativamente los picos históricos recientes de estos hechos victimizantes. Por lo tanto, resultaba improbable que se pudiera anticipar y planificar una respuesta adecuada.</w:t>
      </w:r>
    </w:p>
    <w:p w14:paraId="1631EB6D" w14:textId="77777777" w:rsidR="00FA75D7" w:rsidRPr="00C454A1" w:rsidRDefault="00FA75D7" w:rsidP="00FA75D7">
      <w:pPr>
        <w:rPr>
          <w:rFonts w:eastAsia="Times New Roman" w:cs="Times New Roman"/>
          <w:color w:val="000000" w:themeColor="text1"/>
          <w:szCs w:val="28"/>
          <w:lang w:val="es-ES"/>
        </w:rPr>
      </w:pPr>
    </w:p>
    <w:p w14:paraId="5D87DC80" w14:textId="5EA138D0" w:rsidR="0089394A" w:rsidRPr="00C454A1" w:rsidRDefault="0089394A" w:rsidP="005F4A6F">
      <w:pPr>
        <w:pStyle w:val="Prrafodelista"/>
        <w:numPr>
          <w:ilvl w:val="0"/>
          <w:numId w:val="25"/>
        </w:numPr>
        <w:rPr>
          <w:rFonts w:eastAsia="Times New Roman" w:cs="Times New Roman"/>
          <w:b/>
          <w:bCs/>
          <w:color w:val="000000" w:themeColor="text1"/>
          <w:szCs w:val="28"/>
          <w:lang w:val="es-ES"/>
        </w:rPr>
      </w:pPr>
      <w:r w:rsidRPr="00C454A1">
        <w:rPr>
          <w:rFonts w:eastAsia="Times New Roman" w:cs="Times New Roman"/>
          <w:b/>
          <w:bCs/>
          <w:color w:val="000000" w:themeColor="text1"/>
          <w:szCs w:val="28"/>
          <w:lang w:val="es-ES"/>
        </w:rPr>
        <w:t>Examen global de las atribuciones del Gobierno nacional para brindar protección y garantías de seguridad a los firmantes del AFP</w:t>
      </w:r>
    </w:p>
    <w:p w14:paraId="1A071F22" w14:textId="77777777" w:rsidR="0089394A" w:rsidRPr="00C454A1" w:rsidRDefault="0089394A" w:rsidP="003A0DA8">
      <w:pPr>
        <w:rPr>
          <w:rFonts w:eastAsia="Times New Roman" w:cs="Times New Roman"/>
          <w:color w:val="000000" w:themeColor="text1"/>
          <w:szCs w:val="28"/>
          <w:lang w:val="es-ES"/>
        </w:rPr>
      </w:pPr>
    </w:p>
    <w:p w14:paraId="02B809AD" w14:textId="1152A019" w:rsidR="003A0DA8" w:rsidRPr="00C454A1" w:rsidRDefault="009760A6" w:rsidP="00A90DEE">
      <w:pPr>
        <w:numPr>
          <w:ilvl w:val="0"/>
          <w:numId w:val="2"/>
        </w:numPr>
        <w:ind w:left="0" w:firstLine="0"/>
        <w:rPr>
          <w:rFonts w:eastAsia="Times New Roman" w:cs="Times New Roman"/>
          <w:color w:val="000000" w:themeColor="text1"/>
          <w:szCs w:val="28"/>
          <w:lang w:val="es"/>
        </w:rPr>
      </w:pPr>
      <w:r w:rsidRPr="00C454A1">
        <w:rPr>
          <w:rFonts w:eastAsia="Times New Roman" w:cs="Times New Roman"/>
          <w:color w:val="000000" w:themeColor="text1"/>
          <w:szCs w:val="28"/>
          <w:lang w:val="es"/>
        </w:rPr>
        <w:t>Por otra parte</w:t>
      </w:r>
      <w:r w:rsidR="00550DBE" w:rsidRPr="00C454A1">
        <w:rPr>
          <w:rFonts w:eastAsia="Times New Roman" w:cs="Times New Roman"/>
          <w:color w:val="000000" w:themeColor="text1"/>
          <w:szCs w:val="28"/>
          <w:lang w:val="es"/>
        </w:rPr>
        <w:t>, l</w:t>
      </w:r>
      <w:r w:rsidR="003A0DA8" w:rsidRPr="00C454A1">
        <w:rPr>
          <w:rFonts w:eastAsia="Times New Roman" w:cs="Times New Roman"/>
          <w:color w:val="000000" w:themeColor="text1"/>
          <w:szCs w:val="28"/>
          <w:lang w:val="es"/>
        </w:rPr>
        <w:t xml:space="preserve">a Corte advierte que la desestabilización institucional y las afectaciones a la convivencia ciudadana </w:t>
      </w:r>
      <w:r w:rsidRPr="00C454A1">
        <w:rPr>
          <w:rFonts w:eastAsia="Times New Roman" w:cs="Times New Roman"/>
          <w:color w:val="000000" w:themeColor="text1"/>
          <w:szCs w:val="28"/>
          <w:lang w:val="es"/>
        </w:rPr>
        <w:t xml:space="preserve">también </w:t>
      </w:r>
      <w:r w:rsidR="003A0DA8" w:rsidRPr="00C454A1">
        <w:rPr>
          <w:rFonts w:eastAsia="Times New Roman" w:cs="Times New Roman"/>
          <w:color w:val="000000" w:themeColor="text1"/>
          <w:szCs w:val="28"/>
          <w:lang w:val="es"/>
        </w:rPr>
        <w:t xml:space="preserve">han perjudicado gravemente el proceso de reincorporación de los y las firmantes </w:t>
      </w:r>
      <w:r w:rsidR="00221FAA" w:rsidRPr="00C454A1">
        <w:rPr>
          <w:rFonts w:eastAsia="Times New Roman" w:cs="Times New Roman"/>
          <w:color w:val="000000" w:themeColor="text1"/>
          <w:szCs w:val="28"/>
          <w:lang w:val="es"/>
        </w:rPr>
        <w:t>del AFP</w:t>
      </w:r>
      <w:r w:rsidR="003A0DA8" w:rsidRPr="00C454A1">
        <w:rPr>
          <w:rFonts w:eastAsia="Times New Roman" w:cs="Times New Roman"/>
          <w:color w:val="000000" w:themeColor="text1"/>
          <w:szCs w:val="28"/>
          <w:lang w:val="es"/>
        </w:rPr>
        <w:t xml:space="preserve"> en </w:t>
      </w:r>
      <w:r w:rsidR="00FA75D7" w:rsidRPr="00C454A1">
        <w:rPr>
          <w:rFonts w:eastAsia="Times New Roman" w:cs="Times New Roman"/>
          <w:color w:val="000000" w:themeColor="text1"/>
          <w:szCs w:val="28"/>
          <w:lang w:val="es"/>
        </w:rPr>
        <w:t>la región del Catatumbo</w:t>
      </w:r>
      <w:r w:rsidR="003A0DA8" w:rsidRPr="00C454A1">
        <w:rPr>
          <w:rFonts w:eastAsia="Times New Roman" w:cs="Times New Roman"/>
          <w:color w:val="000000" w:themeColor="text1"/>
          <w:szCs w:val="28"/>
          <w:lang w:val="es"/>
        </w:rPr>
        <w:t xml:space="preserve"> y han desbordado las capacidades institucionales para reaccionar. Sobre este punto, la Sala Plena observa que, aunque existe también un marco jurídico específico para la implementación del subcomponente de reincorporación, las medidas contenidas en la legislación de normalidad no contienen mecanismos lo suficientemente céleres ni específicos para atender de forma diferenciada y reforzada a la población firmante de paz ante un desplazamiento masivo de esta envergadura; tampoco para materializar la atención inmediata de la población firmante confinada, junto con la de las familias de las personas víctimas de desaparición forzada y homicidio que requieren atención urgente. </w:t>
      </w:r>
    </w:p>
    <w:p w14:paraId="6957D7C2" w14:textId="77777777" w:rsidR="003A0DA8" w:rsidRPr="00C454A1" w:rsidRDefault="003A0DA8" w:rsidP="003A0DA8">
      <w:pPr>
        <w:rPr>
          <w:rFonts w:eastAsia="Times New Roman" w:cs="Times New Roman"/>
          <w:color w:val="000000" w:themeColor="text1"/>
          <w:szCs w:val="28"/>
          <w:lang w:val="es"/>
        </w:rPr>
      </w:pPr>
    </w:p>
    <w:p w14:paraId="4845F3FD" w14:textId="09BF092A" w:rsidR="0090007D" w:rsidRPr="00C454A1" w:rsidRDefault="003A0DA8" w:rsidP="00A90DEE">
      <w:pPr>
        <w:numPr>
          <w:ilvl w:val="0"/>
          <w:numId w:val="2"/>
        </w:numPr>
        <w:ind w:left="0" w:firstLine="0"/>
        <w:rPr>
          <w:rFonts w:eastAsia="Times New Roman" w:cs="Times New Roman"/>
          <w:color w:val="000000" w:themeColor="text1"/>
          <w:szCs w:val="28"/>
          <w:lang w:val="es"/>
        </w:rPr>
      </w:pPr>
      <w:r w:rsidRPr="00C454A1">
        <w:rPr>
          <w:rFonts w:eastAsia="Times New Roman" w:cs="Times New Roman"/>
          <w:color w:val="000000" w:themeColor="text1"/>
          <w:szCs w:val="28"/>
          <w:lang w:val="es"/>
        </w:rPr>
        <w:t xml:space="preserve">Sobre este punto, la Sala Plena </w:t>
      </w:r>
      <w:r w:rsidR="009760A6" w:rsidRPr="00C454A1">
        <w:rPr>
          <w:rFonts w:eastAsia="Times New Roman" w:cs="Times New Roman"/>
          <w:color w:val="000000" w:themeColor="text1"/>
          <w:szCs w:val="28"/>
          <w:lang w:val="es"/>
        </w:rPr>
        <w:t>tampoco puede</w:t>
      </w:r>
      <w:r w:rsidRPr="00C454A1">
        <w:rPr>
          <w:rFonts w:eastAsia="Times New Roman" w:cs="Times New Roman"/>
          <w:color w:val="000000" w:themeColor="text1"/>
          <w:szCs w:val="28"/>
          <w:lang w:val="es"/>
        </w:rPr>
        <w:t xml:space="preserve"> pasar por alto que se trata del desplazamiento forzado de más 180 personas, de las 464 que vivían en </w:t>
      </w:r>
      <w:r w:rsidR="009760A6" w:rsidRPr="00C454A1">
        <w:rPr>
          <w:rFonts w:eastAsia="Times New Roman" w:cs="Times New Roman"/>
          <w:color w:val="000000" w:themeColor="text1"/>
          <w:szCs w:val="28"/>
          <w:lang w:val="es"/>
        </w:rPr>
        <w:t>los</w:t>
      </w:r>
      <w:r w:rsidRPr="00C454A1">
        <w:rPr>
          <w:rFonts w:eastAsia="Times New Roman" w:cs="Times New Roman"/>
          <w:color w:val="000000" w:themeColor="text1"/>
          <w:szCs w:val="28"/>
          <w:lang w:val="es"/>
        </w:rPr>
        <w:t xml:space="preserve"> municipios </w:t>
      </w:r>
      <w:r w:rsidR="009760A6" w:rsidRPr="00C454A1">
        <w:rPr>
          <w:rFonts w:eastAsia="Times New Roman" w:cs="Times New Roman"/>
          <w:color w:val="000000" w:themeColor="text1"/>
          <w:szCs w:val="28"/>
          <w:lang w:val="es"/>
        </w:rPr>
        <w:t>cobijados po</w:t>
      </w:r>
      <w:r w:rsidR="001D44D4" w:rsidRPr="00C454A1">
        <w:rPr>
          <w:rFonts w:eastAsia="Times New Roman" w:cs="Times New Roman"/>
          <w:color w:val="000000" w:themeColor="text1"/>
          <w:szCs w:val="28"/>
          <w:lang w:val="es"/>
        </w:rPr>
        <w:t>r</w:t>
      </w:r>
      <w:r w:rsidR="009760A6" w:rsidRPr="00C454A1">
        <w:rPr>
          <w:rFonts w:eastAsia="Times New Roman" w:cs="Times New Roman"/>
          <w:color w:val="000000" w:themeColor="text1"/>
          <w:szCs w:val="28"/>
          <w:lang w:val="es"/>
        </w:rPr>
        <w:t xml:space="preserve"> la conmoción </w:t>
      </w:r>
      <w:r w:rsidRPr="00C454A1">
        <w:rPr>
          <w:rFonts w:eastAsia="Times New Roman" w:cs="Times New Roman"/>
          <w:color w:val="000000" w:themeColor="text1"/>
          <w:szCs w:val="28"/>
          <w:lang w:val="es"/>
        </w:rPr>
        <w:t xml:space="preserve">hasta el 31 de diciembre de 2024. Esto quiere decir que, alrededor del 39% de la población total de firmantes </w:t>
      </w:r>
      <w:r w:rsidR="009760A6" w:rsidRPr="00C454A1">
        <w:rPr>
          <w:rFonts w:eastAsia="Times New Roman" w:cs="Times New Roman"/>
          <w:color w:val="000000" w:themeColor="text1"/>
          <w:szCs w:val="28"/>
          <w:lang w:val="es"/>
        </w:rPr>
        <w:t>del AFP</w:t>
      </w:r>
      <w:r w:rsidRPr="00C454A1">
        <w:rPr>
          <w:rFonts w:eastAsia="Times New Roman" w:cs="Times New Roman"/>
          <w:color w:val="000000" w:themeColor="text1"/>
          <w:szCs w:val="28"/>
          <w:lang w:val="es"/>
        </w:rPr>
        <w:t xml:space="preserve"> en esta región ha sido víctima de desplazamiento forzado. El 4</w:t>
      </w:r>
      <w:r w:rsidR="007C2990" w:rsidRPr="00C454A1">
        <w:rPr>
          <w:rFonts w:eastAsia="Times New Roman" w:cs="Times New Roman"/>
          <w:color w:val="000000" w:themeColor="text1"/>
          <w:szCs w:val="28"/>
          <w:lang w:val="es"/>
        </w:rPr>
        <w:t>,</w:t>
      </w:r>
      <w:r w:rsidRPr="00C454A1">
        <w:rPr>
          <w:rFonts w:eastAsia="Times New Roman" w:cs="Times New Roman"/>
          <w:color w:val="000000" w:themeColor="text1"/>
          <w:szCs w:val="28"/>
          <w:lang w:val="es"/>
        </w:rPr>
        <w:t>3% adicional ha sido víctima de desaparición forzada, homicidio y confinamientos junto con sus familias</w:t>
      </w:r>
      <w:r w:rsidR="00D53164" w:rsidRPr="00C454A1">
        <w:rPr>
          <w:rFonts w:eastAsia="Times New Roman" w:cs="Times New Roman"/>
          <w:color w:val="000000" w:themeColor="text1"/>
          <w:szCs w:val="28"/>
          <w:lang w:val="es"/>
        </w:rPr>
        <w:t>.</w:t>
      </w:r>
    </w:p>
    <w:p w14:paraId="4B68638C" w14:textId="77777777" w:rsidR="003A0DA8" w:rsidRPr="00C454A1" w:rsidRDefault="003A0DA8" w:rsidP="009760A6">
      <w:pPr>
        <w:rPr>
          <w:rFonts w:eastAsia="Aptos" w:cs="Arial"/>
          <w:color w:val="000000" w:themeColor="text1"/>
        </w:rPr>
      </w:pPr>
    </w:p>
    <w:p w14:paraId="4710C45B" w14:textId="52CD32DC" w:rsidR="006563BB" w:rsidRPr="00C454A1" w:rsidRDefault="006563BB" w:rsidP="005F4A6F">
      <w:pPr>
        <w:pStyle w:val="Prrafodelista"/>
        <w:numPr>
          <w:ilvl w:val="0"/>
          <w:numId w:val="25"/>
        </w:numPr>
        <w:rPr>
          <w:rFonts w:eastAsia="Aptos" w:cs="Arial"/>
          <w:b/>
          <w:bCs/>
          <w:color w:val="000000" w:themeColor="text1"/>
        </w:rPr>
      </w:pPr>
      <w:r w:rsidRPr="00C454A1">
        <w:rPr>
          <w:rFonts w:eastAsia="Aptos" w:cs="Arial"/>
          <w:b/>
          <w:bCs/>
          <w:color w:val="000000" w:themeColor="text1"/>
        </w:rPr>
        <w:t xml:space="preserve">Examen global de </w:t>
      </w:r>
      <w:r w:rsidR="005153E3" w:rsidRPr="00C454A1">
        <w:rPr>
          <w:rFonts w:eastAsia="Times New Roman" w:cs="Times New Roman"/>
          <w:b/>
          <w:bCs/>
          <w:color w:val="000000" w:themeColor="text1"/>
          <w:szCs w:val="28"/>
          <w:lang w:val="es-ES"/>
        </w:rPr>
        <w:t>las atribuciones del Gobierno nacional para hacer modificaciones y adiciones presupuestales y para obtener nuevos recursos</w:t>
      </w:r>
    </w:p>
    <w:p w14:paraId="4A847FB1" w14:textId="77777777" w:rsidR="006563BB" w:rsidRPr="00C454A1" w:rsidRDefault="006563BB" w:rsidP="009760A6">
      <w:pPr>
        <w:rPr>
          <w:rFonts w:eastAsia="Aptos" w:cs="Arial"/>
          <w:color w:val="000000" w:themeColor="text1"/>
        </w:rPr>
      </w:pPr>
    </w:p>
    <w:p w14:paraId="52C28323" w14:textId="5761B440" w:rsidR="00944D21" w:rsidRPr="00C454A1" w:rsidRDefault="009B477F" w:rsidP="00A90DEE">
      <w:pPr>
        <w:numPr>
          <w:ilvl w:val="0"/>
          <w:numId w:val="2"/>
        </w:numPr>
        <w:ind w:left="0" w:firstLine="0"/>
        <w:rPr>
          <w:rFonts w:eastAsia="Aptos" w:cs="Arial"/>
          <w:color w:val="000000" w:themeColor="text1"/>
          <w:lang w:val="es-ES"/>
        </w:rPr>
      </w:pPr>
      <w:r w:rsidRPr="00C454A1">
        <w:rPr>
          <w:rFonts w:eastAsia="Aptos" w:cs="Arial"/>
          <w:color w:val="000000" w:themeColor="text1"/>
          <w:lang w:val="es-ES"/>
        </w:rPr>
        <w:t xml:space="preserve">Finalmente, respecto de la justificación transversal de la insuficiencia de las medidas </w:t>
      </w:r>
      <w:r w:rsidR="00B8231C" w:rsidRPr="00C454A1">
        <w:rPr>
          <w:rFonts w:eastAsia="Aptos" w:cs="Arial"/>
          <w:color w:val="000000" w:themeColor="text1"/>
          <w:lang w:val="es-ES"/>
        </w:rPr>
        <w:t>de hacienda pública</w:t>
      </w:r>
      <w:r w:rsidRPr="00C454A1">
        <w:rPr>
          <w:rFonts w:eastAsia="Aptos" w:cs="Arial"/>
          <w:color w:val="000000" w:themeColor="text1"/>
          <w:lang w:val="es-ES"/>
        </w:rPr>
        <w:t xml:space="preserve"> ordinarias, la Corte reitera que el estudio del decreto declarativo no es la oportunidad para establecer la necesidad específica de cada modificación al régimen presupuestal, fiscal y tributario que se adopte con ocasión del estado de conmoción interior. </w:t>
      </w:r>
    </w:p>
    <w:p w14:paraId="71F1350D" w14:textId="77777777" w:rsidR="00944D21" w:rsidRPr="00C454A1" w:rsidRDefault="00944D21" w:rsidP="00944D21">
      <w:pPr>
        <w:rPr>
          <w:rFonts w:eastAsia="Aptos" w:cs="Arial"/>
          <w:color w:val="000000" w:themeColor="text1"/>
          <w:lang w:val="es-ES"/>
        </w:rPr>
      </w:pPr>
    </w:p>
    <w:p w14:paraId="65C7AC9E" w14:textId="55FF6B0F" w:rsidR="00B8231C" w:rsidRPr="00C454A1" w:rsidRDefault="009B477F" w:rsidP="00A90DEE">
      <w:pPr>
        <w:numPr>
          <w:ilvl w:val="0"/>
          <w:numId w:val="2"/>
        </w:numPr>
        <w:ind w:left="0" w:firstLine="0"/>
        <w:rPr>
          <w:rFonts w:eastAsia="Aptos" w:cs="Arial"/>
          <w:color w:val="000000" w:themeColor="text1"/>
          <w:lang w:val="es-ES"/>
        </w:rPr>
      </w:pPr>
      <w:r w:rsidRPr="00C454A1">
        <w:rPr>
          <w:rFonts w:eastAsia="Aptos" w:cs="Arial"/>
          <w:color w:val="000000" w:themeColor="text1"/>
          <w:lang w:val="es-ES"/>
        </w:rPr>
        <w:t xml:space="preserve">Lo que sí encuentra la Corte es que </w:t>
      </w:r>
      <w:r w:rsidR="00B8231C" w:rsidRPr="00C454A1">
        <w:rPr>
          <w:rFonts w:eastAsia="Aptos" w:cs="Arial"/>
          <w:color w:val="000000" w:themeColor="text1"/>
          <w:lang w:val="es-ES"/>
        </w:rPr>
        <w:t xml:space="preserve">en este caso </w:t>
      </w:r>
      <w:r w:rsidRPr="00C454A1">
        <w:rPr>
          <w:rFonts w:eastAsia="Aptos" w:cs="Arial"/>
          <w:color w:val="000000" w:themeColor="text1"/>
          <w:lang w:val="es-ES"/>
        </w:rPr>
        <w:t xml:space="preserve">el Gobierno nacional </w:t>
      </w:r>
      <w:r w:rsidR="00B8231C" w:rsidRPr="00C454A1">
        <w:rPr>
          <w:rFonts w:eastAsia="Aptos" w:cs="Arial"/>
          <w:color w:val="000000" w:themeColor="text1"/>
          <w:lang w:val="es-ES"/>
        </w:rPr>
        <w:t xml:space="preserve">presentó cálculos sobre varios de los rubros que se requieren para superar la perturbación del orden público y atender la crisis humanitaria, y </w:t>
      </w:r>
      <w:r w:rsidRPr="00C454A1">
        <w:rPr>
          <w:rFonts w:eastAsia="Aptos" w:cs="Arial"/>
          <w:color w:val="000000" w:themeColor="text1"/>
          <w:lang w:val="es-ES"/>
        </w:rPr>
        <w:t xml:space="preserve">expuso de manera clara las limitaciones legales y constitucionales con las que cuentan las entidades públicas para modificar, distribuir o trasladar los recursos que hacen parte del PGN, el SGR y el SGP. Entre las pruebas aportadas, varias entidades estimaron y justificaron los recursos adicionales que </w:t>
      </w:r>
      <w:r w:rsidR="000D7297" w:rsidRPr="00C454A1">
        <w:rPr>
          <w:rFonts w:eastAsia="Aptos" w:cs="Arial"/>
          <w:color w:val="000000" w:themeColor="text1"/>
          <w:lang w:val="es-ES"/>
        </w:rPr>
        <w:t>necesitan</w:t>
      </w:r>
      <w:r w:rsidRPr="00C454A1">
        <w:rPr>
          <w:rFonts w:eastAsia="Aptos" w:cs="Arial"/>
          <w:color w:val="000000" w:themeColor="text1"/>
          <w:lang w:val="es-ES"/>
        </w:rPr>
        <w:t xml:space="preserve">, a pesar de que </w:t>
      </w:r>
      <w:r w:rsidRPr="00C454A1">
        <w:rPr>
          <w:rFonts w:eastAsia="Aptos" w:cs="Arial"/>
          <w:color w:val="000000" w:themeColor="text1"/>
          <w:lang w:val="es-ES"/>
        </w:rPr>
        <w:lastRenderedPageBreak/>
        <w:t xml:space="preserve">–en todo caso– dichas medidas deben precisarse </w:t>
      </w:r>
      <w:r w:rsidR="004A58D4" w:rsidRPr="00C454A1">
        <w:rPr>
          <w:rFonts w:eastAsia="Aptos" w:cs="Arial"/>
          <w:color w:val="000000" w:themeColor="text1"/>
          <w:lang w:val="es-ES"/>
        </w:rPr>
        <w:t>en</w:t>
      </w:r>
      <w:r w:rsidRPr="00C454A1">
        <w:rPr>
          <w:rFonts w:eastAsia="Aptos" w:cs="Arial"/>
          <w:color w:val="000000" w:themeColor="text1"/>
          <w:lang w:val="es-ES"/>
        </w:rPr>
        <w:t xml:space="preserve"> cada </w:t>
      </w:r>
      <w:r w:rsidR="000D7297" w:rsidRPr="00C454A1">
        <w:rPr>
          <w:rFonts w:eastAsia="Aptos" w:cs="Arial"/>
          <w:color w:val="000000" w:themeColor="text1"/>
          <w:lang w:val="es-ES"/>
        </w:rPr>
        <w:t>decreto de desarrollo</w:t>
      </w:r>
      <w:r w:rsidRPr="00C454A1">
        <w:rPr>
          <w:rFonts w:eastAsia="Aptos" w:cs="Arial"/>
          <w:color w:val="000000" w:themeColor="text1"/>
          <w:lang w:val="es-ES"/>
        </w:rPr>
        <w:t xml:space="preserve"> que el Gobierno nacional expida en el marco del estado de conmoción interior. </w:t>
      </w:r>
    </w:p>
    <w:p w14:paraId="38360F3A" w14:textId="77777777" w:rsidR="00B8231C" w:rsidRPr="00C454A1" w:rsidRDefault="00B8231C" w:rsidP="00B8231C">
      <w:pPr>
        <w:pStyle w:val="Prrafodelista"/>
        <w:rPr>
          <w:rFonts w:eastAsia="Aptos" w:cs="Arial"/>
          <w:color w:val="000000" w:themeColor="text1"/>
          <w:lang w:val="es-ES"/>
        </w:rPr>
      </w:pPr>
    </w:p>
    <w:p w14:paraId="5411BE92" w14:textId="34983376" w:rsidR="00B505C6" w:rsidRPr="00C454A1" w:rsidRDefault="00021321" w:rsidP="00A90DEE">
      <w:pPr>
        <w:numPr>
          <w:ilvl w:val="0"/>
          <w:numId w:val="2"/>
        </w:numPr>
        <w:ind w:left="0" w:firstLine="0"/>
        <w:rPr>
          <w:rFonts w:eastAsia="Aptos" w:cs="Arial"/>
          <w:color w:val="000000" w:themeColor="text1"/>
          <w:lang w:val="es-ES"/>
        </w:rPr>
      </w:pPr>
      <w:r w:rsidRPr="00C454A1">
        <w:rPr>
          <w:rFonts w:eastAsia="Aptos" w:cs="Arial"/>
          <w:color w:val="000000" w:themeColor="text1"/>
          <w:lang w:val="es-ES"/>
        </w:rPr>
        <w:t>La Sala observa que</w:t>
      </w:r>
      <w:r w:rsidR="000D7297" w:rsidRPr="00C454A1">
        <w:rPr>
          <w:rFonts w:eastAsia="Aptos" w:cs="Arial"/>
          <w:color w:val="000000" w:themeColor="text1"/>
          <w:lang w:val="es-ES"/>
        </w:rPr>
        <w:t>, en efecto</w:t>
      </w:r>
      <w:r w:rsidR="009B477F" w:rsidRPr="00C454A1">
        <w:rPr>
          <w:rFonts w:eastAsia="Aptos" w:cs="Arial"/>
          <w:color w:val="000000" w:themeColor="text1"/>
          <w:lang w:val="es-ES"/>
        </w:rPr>
        <w:t xml:space="preserve">, desde una perspectiva general, la normativa </w:t>
      </w:r>
      <w:r w:rsidRPr="00C454A1">
        <w:rPr>
          <w:rFonts w:eastAsia="Aptos" w:cs="Arial"/>
          <w:color w:val="000000" w:themeColor="text1"/>
          <w:lang w:val="es-ES"/>
        </w:rPr>
        <w:t xml:space="preserve">de hacienda pública </w:t>
      </w:r>
      <w:r w:rsidR="009B477F" w:rsidRPr="00C454A1">
        <w:rPr>
          <w:rFonts w:eastAsia="Aptos" w:cs="Arial"/>
          <w:color w:val="000000" w:themeColor="text1"/>
          <w:lang w:val="es-ES"/>
        </w:rPr>
        <w:t>ordinaria no es suficientemente célere para enfrentar una crisis de la magnitud de la que enfrenta en el Catatumbo</w:t>
      </w:r>
      <w:r w:rsidRPr="00C454A1">
        <w:rPr>
          <w:rFonts w:eastAsia="Aptos" w:cs="Arial"/>
          <w:color w:val="000000" w:themeColor="text1"/>
          <w:lang w:val="es-ES"/>
        </w:rPr>
        <w:t>. Como se analizó en l</w:t>
      </w:r>
      <w:r w:rsidR="000D7297" w:rsidRPr="00C454A1">
        <w:rPr>
          <w:rFonts w:eastAsia="Aptos" w:cs="Arial"/>
          <w:color w:val="000000" w:themeColor="text1"/>
          <w:lang w:val="es-ES"/>
        </w:rPr>
        <w:t>os</w:t>
      </w:r>
      <w:r w:rsidRPr="00C454A1">
        <w:rPr>
          <w:rFonts w:eastAsia="Aptos" w:cs="Arial"/>
          <w:color w:val="000000" w:themeColor="text1"/>
          <w:lang w:val="es-ES"/>
        </w:rPr>
        <w:t xml:space="preserve"> fundamentos</w:t>
      </w:r>
      <w:r w:rsidR="002E64AF" w:rsidRPr="00C454A1">
        <w:rPr>
          <w:rFonts w:eastAsia="Aptos" w:cs="Arial"/>
          <w:color w:val="000000" w:themeColor="text1"/>
          <w:lang w:val="es-ES"/>
        </w:rPr>
        <w:t xml:space="preserve"> </w:t>
      </w:r>
      <w:r w:rsidR="002E64AF" w:rsidRPr="00C454A1">
        <w:rPr>
          <w:rFonts w:eastAsia="Aptos" w:cs="Arial"/>
          <w:color w:val="000000" w:themeColor="text1"/>
          <w:lang w:val="es-ES"/>
        </w:rPr>
        <w:fldChar w:fldCharType="begin"/>
      </w:r>
      <w:r w:rsidR="002E64AF" w:rsidRPr="00C454A1">
        <w:rPr>
          <w:rFonts w:eastAsia="Aptos" w:cs="Arial"/>
          <w:color w:val="000000" w:themeColor="text1"/>
          <w:lang w:val="es-ES"/>
        </w:rPr>
        <w:instrText xml:space="preserve"> REF _Ref203401649 \r \h </w:instrText>
      </w:r>
      <w:r w:rsidR="009421B8" w:rsidRPr="00C454A1">
        <w:rPr>
          <w:rFonts w:eastAsia="Aptos" w:cs="Arial"/>
          <w:color w:val="000000" w:themeColor="text1"/>
          <w:lang w:val="es-ES"/>
        </w:rPr>
        <w:instrText xml:space="preserve"> \* MERGEFORMAT </w:instrText>
      </w:r>
      <w:r w:rsidR="002E64AF" w:rsidRPr="00C454A1">
        <w:rPr>
          <w:rFonts w:eastAsia="Aptos" w:cs="Arial"/>
          <w:color w:val="000000" w:themeColor="text1"/>
          <w:lang w:val="es-ES"/>
        </w:rPr>
      </w:r>
      <w:r w:rsidR="002E64AF" w:rsidRPr="00C454A1">
        <w:rPr>
          <w:rFonts w:eastAsia="Aptos" w:cs="Arial"/>
          <w:color w:val="000000" w:themeColor="text1"/>
          <w:lang w:val="es-ES"/>
        </w:rPr>
        <w:fldChar w:fldCharType="separate"/>
      </w:r>
      <w:r w:rsidR="00881E6A">
        <w:rPr>
          <w:rFonts w:eastAsia="Aptos" w:cs="Arial"/>
          <w:color w:val="000000" w:themeColor="text1"/>
          <w:lang w:val="es-ES"/>
        </w:rPr>
        <w:t>344</w:t>
      </w:r>
      <w:r w:rsidR="002E64AF" w:rsidRPr="00C454A1">
        <w:rPr>
          <w:rFonts w:eastAsia="Aptos" w:cs="Arial"/>
          <w:color w:val="000000" w:themeColor="text1"/>
          <w:lang w:val="es-ES"/>
        </w:rPr>
        <w:fldChar w:fldCharType="end"/>
      </w:r>
      <w:r w:rsidR="002E64AF" w:rsidRPr="00C454A1">
        <w:rPr>
          <w:rFonts w:eastAsia="Aptos" w:cs="Arial"/>
          <w:color w:val="000000" w:themeColor="text1"/>
          <w:lang w:val="es-ES"/>
        </w:rPr>
        <w:t xml:space="preserve"> a </w:t>
      </w:r>
      <w:r w:rsidR="002E64AF" w:rsidRPr="00C454A1">
        <w:rPr>
          <w:rFonts w:eastAsia="Aptos" w:cs="Arial"/>
          <w:color w:val="000000" w:themeColor="text1"/>
          <w:lang w:val="es-ES"/>
        </w:rPr>
        <w:fldChar w:fldCharType="begin"/>
      </w:r>
      <w:r w:rsidR="002E64AF" w:rsidRPr="00C454A1">
        <w:rPr>
          <w:rFonts w:eastAsia="Aptos" w:cs="Arial"/>
          <w:color w:val="000000" w:themeColor="text1"/>
          <w:lang w:val="es-ES"/>
        </w:rPr>
        <w:instrText xml:space="preserve"> REF _Ref203401665 \r \h </w:instrText>
      </w:r>
      <w:r w:rsidR="009421B8" w:rsidRPr="00C454A1">
        <w:rPr>
          <w:rFonts w:eastAsia="Aptos" w:cs="Arial"/>
          <w:color w:val="000000" w:themeColor="text1"/>
          <w:lang w:val="es-ES"/>
        </w:rPr>
        <w:instrText xml:space="preserve"> \* MERGEFORMAT </w:instrText>
      </w:r>
      <w:r w:rsidR="002E64AF" w:rsidRPr="00C454A1">
        <w:rPr>
          <w:rFonts w:eastAsia="Aptos" w:cs="Arial"/>
          <w:color w:val="000000" w:themeColor="text1"/>
          <w:lang w:val="es-ES"/>
        </w:rPr>
      </w:r>
      <w:r w:rsidR="002E64AF" w:rsidRPr="00C454A1">
        <w:rPr>
          <w:rFonts w:eastAsia="Aptos" w:cs="Arial"/>
          <w:color w:val="000000" w:themeColor="text1"/>
          <w:lang w:val="es-ES"/>
        </w:rPr>
        <w:fldChar w:fldCharType="separate"/>
      </w:r>
      <w:r w:rsidR="00881E6A">
        <w:rPr>
          <w:rFonts w:eastAsia="Aptos" w:cs="Arial"/>
          <w:color w:val="000000" w:themeColor="text1"/>
          <w:lang w:val="es-ES"/>
        </w:rPr>
        <w:t>350</w:t>
      </w:r>
      <w:r w:rsidR="002E64AF" w:rsidRPr="00C454A1">
        <w:rPr>
          <w:rFonts w:eastAsia="Aptos" w:cs="Arial"/>
          <w:color w:val="000000" w:themeColor="text1"/>
          <w:lang w:val="es-ES"/>
        </w:rPr>
        <w:fldChar w:fldCharType="end"/>
      </w:r>
      <w:r w:rsidR="000D7297" w:rsidRPr="00C454A1">
        <w:rPr>
          <w:rFonts w:eastAsia="Aptos" w:cs="Arial"/>
          <w:color w:val="000000" w:themeColor="text1"/>
          <w:lang w:val="es-ES"/>
        </w:rPr>
        <w:t>, crear nuevos tributos, adicionar el presupuesto, trasladar recursos entre rubros de gasto aprobados en la ley del PGN e incluso acudir a varias fuentes de endeudamiento requieren aprobación del Congreso de la República, así como avales de varias autoridades técnicas previa realización de los cálculos y estudios correspondientes.</w:t>
      </w:r>
      <w:r w:rsidR="00F84F6E" w:rsidRPr="00C454A1">
        <w:rPr>
          <w:rFonts w:eastAsia="Aptos" w:cs="Arial"/>
          <w:color w:val="000000" w:themeColor="text1"/>
          <w:lang w:val="es-ES"/>
        </w:rPr>
        <w:t xml:space="preserve"> </w:t>
      </w:r>
    </w:p>
    <w:p w14:paraId="7152091C" w14:textId="77777777" w:rsidR="00B505C6" w:rsidRPr="00C454A1" w:rsidRDefault="00B505C6" w:rsidP="00B505C6">
      <w:pPr>
        <w:pStyle w:val="Prrafodelista"/>
        <w:rPr>
          <w:rFonts w:eastAsia="Aptos" w:cs="Arial"/>
          <w:color w:val="000000" w:themeColor="text1"/>
          <w:lang w:val="es-ES"/>
        </w:rPr>
      </w:pPr>
    </w:p>
    <w:p w14:paraId="7D6D9DF7" w14:textId="1AF863B4" w:rsidR="00B505C6" w:rsidRPr="00C454A1" w:rsidRDefault="00B505C6" w:rsidP="00A90DEE">
      <w:pPr>
        <w:numPr>
          <w:ilvl w:val="0"/>
          <w:numId w:val="2"/>
        </w:numPr>
        <w:ind w:left="0" w:firstLine="0"/>
        <w:rPr>
          <w:rFonts w:eastAsia="Aptos" w:cs="Arial"/>
          <w:color w:val="000000" w:themeColor="text1"/>
          <w:lang w:val="es-ES"/>
        </w:rPr>
      </w:pPr>
      <w:r w:rsidRPr="00C454A1">
        <w:rPr>
          <w:rFonts w:eastAsia="Aptos" w:cs="Arial"/>
          <w:color w:val="000000" w:themeColor="text1"/>
          <w:lang w:val="es-ES"/>
        </w:rPr>
        <w:t xml:space="preserve">En cuanto a los traslados presupuestales que no afectan las autorizaciones de gasto aprobadas en el PGN y que podrían </w:t>
      </w:r>
      <w:r w:rsidR="004F64DF" w:rsidRPr="00C454A1">
        <w:rPr>
          <w:rFonts w:eastAsia="Aptos" w:cs="Arial"/>
          <w:color w:val="000000" w:themeColor="text1"/>
          <w:lang w:val="es-ES"/>
        </w:rPr>
        <w:t>realizarse por</w:t>
      </w:r>
      <w:r w:rsidRPr="00C454A1">
        <w:rPr>
          <w:rFonts w:eastAsia="Aptos" w:cs="Arial"/>
          <w:color w:val="000000" w:themeColor="text1"/>
          <w:lang w:val="es-ES"/>
        </w:rPr>
        <w:t xml:space="preserve"> decreto, la Sala observa que</w:t>
      </w:r>
      <w:r w:rsidR="004F64DF" w:rsidRPr="00C454A1">
        <w:rPr>
          <w:rFonts w:eastAsia="Aptos" w:cs="Arial"/>
          <w:color w:val="000000" w:themeColor="text1"/>
          <w:lang w:val="es-ES"/>
        </w:rPr>
        <w:t>,</w:t>
      </w:r>
      <w:r w:rsidRPr="00C454A1">
        <w:rPr>
          <w:rFonts w:eastAsia="Aptos" w:cs="Arial"/>
          <w:color w:val="000000" w:themeColor="text1"/>
          <w:lang w:val="es-ES"/>
        </w:rPr>
        <w:t xml:space="preserve"> a primera vista</w:t>
      </w:r>
      <w:r w:rsidR="004F64DF" w:rsidRPr="00C454A1">
        <w:rPr>
          <w:rFonts w:eastAsia="Aptos" w:cs="Arial"/>
          <w:color w:val="000000" w:themeColor="text1"/>
          <w:lang w:val="es-ES"/>
        </w:rPr>
        <w:t xml:space="preserve">, tampoco son la solución </w:t>
      </w:r>
      <w:r w:rsidRPr="00C454A1">
        <w:rPr>
          <w:rFonts w:eastAsia="Aptos" w:cs="Arial"/>
          <w:color w:val="000000" w:themeColor="text1"/>
          <w:lang w:val="es-ES"/>
        </w:rPr>
        <w:t>más idónea</w:t>
      </w:r>
      <w:r w:rsidR="004F64DF" w:rsidRPr="00C454A1">
        <w:rPr>
          <w:rFonts w:eastAsia="Aptos" w:cs="Arial"/>
          <w:color w:val="000000" w:themeColor="text1"/>
          <w:lang w:val="es-ES"/>
        </w:rPr>
        <w:t>. E</w:t>
      </w:r>
      <w:r w:rsidRPr="00C454A1">
        <w:rPr>
          <w:rFonts w:eastAsia="Aptos" w:cs="Arial"/>
          <w:color w:val="000000" w:themeColor="text1"/>
          <w:lang w:val="es-ES"/>
        </w:rPr>
        <w:t xml:space="preserve">l movimiento de recursos puede resultar en la desfinanciación de servicios y actividades de alta importancia para </w:t>
      </w:r>
      <w:r w:rsidR="004F64DF" w:rsidRPr="00C454A1">
        <w:rPr>
          <w:rFonts w:eastAsia="Aptos" w:cs="Arial"/>
          <w:color w:val="000000" w:themeColor="text1"/>
          <w:lang w:val="es-ES"/>
        </w:rPr>
        <w:t>el país, de manera que también requieren un cuidadoso análisis.</w:t>
      </w:r>
    </w:p>
    <w:p w14:paraId="47C8C8F8" w14:textId="77777777" w:rsidR="00B505C6" w:rsidRPr="00C454A1" w:rsidRDefault="00B505C6" w:rsidP="00B505C6">
      <w:pPr>
        <w:pStyle w:val="Prrafodelista"/>
        <w:rPr>
          <w:rFonts w:eastAsia="Aptos" w:cs="Arial"/>
          <w:color w:val="000000" w:themeColor="text1"/>
          <w:lang w:val="es-ES"/>
        </w:rPr>
      </w:pPr>
    </w:p>
    <w:p w14:paraId="34B40186" w14:textId="44943F37" w:rsidR="009B477F" w:rsidRPr="00C454A1" w:rsidRDefault="00321FAF" w:rsidP="00A90DEE">
      <w:pPr>
        <w:numPr>
          <w:ilvl w:val="0"/>
          <w:numId w:val="2"/>
        </w:numPr>
        <w:ind w:left="0" w:firstLine="0"/>
        <w:rPr>
          <w:rFonts w:eastAsia="Aptos" w:cs="Arial"/>
          <w:color w:val="000000" w:themeColor="text1"/>
          <w:lang w:val="es-ES"/>
        </w:rPr>
      </w:pPr>
      <w:r w:rsidRPr="00C454A1">
        <w:rPr>
          <w:rFonts w:eastAsia="Aptos" w:cs="Arial"/>
          <w:color w:val="000000" w:themeColor="text1"/>
          <w:lang w:val="es-ES"/>
        </w:rPr>
        <w:t xml:space="preserve">Estas dificultades las entendió el propio </w:t>
      </w:r>
      <w:r w:rsidR="009B477F" w:rsidRPr="00C454A1">
        <w:rPr>
          <w:rFonts w:eastAsia="Aptos" w:cs="Arial"/>
          <w:color w:val="000000" w:themeColor="text1"/>
          <w:lang w:val="es-ES"/>
        </w:rPr>
        <w:t>legislador estatutario al establecer disposiciones expresas que permiten al Gobierno</w:t>
      </w:r>
      <w:r w:rsidRPr="00C454A1">
        <w:rPr>
          <w:rFonts w:eastAsia="Aptos" w:cs="Arial"/>
          <w:color w:val="000000" w:themeColor="text1"/>
          <w:lang w:val="es-ES"/>
        </w:rPr>
        <w:t xml:space="preserve"> nacional</w:t>
      </w:r>
      <w:r w:rsidR="00C96422" w:rsidRPr="00C454A1">
        <w:rPr>
          <w:rFonts w:eastAsia="Aptos" w:cs="Arial"/>
          <w:color w:val="000000" w:themeColor="text1"/>
          <w:lang w:val="es-ES"/>
        </w:rPr>
        <w:t>,</w:t>
      </w:r>
      <w:r w:rsidRPr="00C454A1">
        <w:rPr>
          <w:rFonts w:eastAsia="Aptos" w:cs="Arial"/>
          <w:color w:val="000000" w:themeColor="text1"/>
          <w:lang w:val="es-ES"/>
        </w:rPr>
        <w:t xml:space="preserve"> en desarrollo de un estado de conmoción interior</w:t>
      </w:r>
      <w:r w:rsidR="009B477F" w:rsidRPr="00C454A1">
        <w:rPr>
          <w:rFonts w:eastAsia="Aptos" w:cs="Arial"/>
          <w:color w:val="000000" w:themeColor="text1"/>
          <w:lang w:val="es-ES"/>
        </w:rPr>
        <w:t>, entre otras medidas, (i) imponer contribuciones fiscales o parafiscales y (ii) modificar el presupuesto para enfrentar la perturbación del orden público</w:t>
      </w:r>
      <w:r w:rsidR="009B477F" w:rsidRPr="00C454A1">
        <w:rPr>
          <w:rStyle w:val="Refdenotaalpie"/>
          <w:rFonts w:eastAsia="Aptos" w:cs="Arial"/>
          <w:color w:val="000000" w:themeColor="text1"/>
          <w:lang w:val="es-ES"/>
        </w:rPr>
        <w:footnoteReference w:id="454"/>
      </w:r>
      <w:r w:rsidR="009B477F" w:rsidRPr="00C454A1">
        <w:rPr>
          <w:rFonts w:eastAsia="Aptos" w:cs="Arial"/>
          <w:color w:val="000000" w:themeColor="text1"/>
          <w:lang w:val="es-ES"/>
        </w:rPr>
        <w:t xml:space="preserve">. </w:t>
      </w:r>
      <w:r w:rsidRPr="00C454A1">
        <w:rPr>
          <w:rFonts w:eastAsia="Aptos" w:cs="Arial"/>
          <w:color w:val="000000" w:themeColor="text1"/>
          <w:lang w:val="es-ES"/>
        </w:rPr>
        <w:t>Por tanto, el mismo legislador estatutario previó mecanismos extraordinarios para facilitar durante los estados de excepción la consecución de nuevos ingresos y la modificación del PGN</w:t>
      </w:r>
      <w:r w:rsidR="00B505C6" w:rsidRPr="00C454A1">
        <w:rPr>
          <w:rFonts w:eastAsia="Aptos" w:cs="Arial"/>
          <w:color w:val="000000" w:themeColor="text1"/>
          <w:lang w:val="es-ES"/>
        </w:rPr>
        <w:t>.</w:t>
      </w:r>
    </w:p>
    <w:p w14:paraId="7B587083" w14:textId="77777777" w:rsidR="00703323" w:rsidRPr="00C454A1" w:rsidRDefault="00703323" w:rsidP="00703323">
      <w:pPr>
        <w:rPr>
          <w:rFonts w:eastAsia="Aptos" w:cs="Arial"/>
          <w:color w:val="000000" w:themeColor="text1"/>
          <w:lang w:val="es-ES"/>
        </w:rPr>
      </w:pPr>
    </w:p>
    <w:p w14:paraId="1FD8D22B" w14:textId="4C425CE3" w:rsidR="0089394A" w:rsidRPr="00C454A1" w:rsidRDefault="0089394A" w:rsidP="00381B4B">
      <w:pPr>
        <w:pStyle w:val="Prrafodelista"/>
        <w:widowControl w:val="0"/>
        <w:numPr>
          <w:ilvl w:val="2"/>
          <w:numId w:val="3"/>
        </w:numPr>
        <w:ind w:left="1134" w:hanging="708"/>
        <w:outlineLvl w:val="0"/>
        <w:rPr>
          <w:rFonts w:eastAsia="Aptos" w:cs="Arial"/>
          <w:b/>
          <w:bCs/>
          <w:color w:val="000000" w:themeColor="text1"/>
          <w:lang w:val="es-ES"/>
        </w:rPr>
      </w:pPr>
      <w:bookmarkStart w:id="221" w:name="_Toc223979960"/>
      <w:r w:rsidRPr="00C454A1">
        <w:rPr>
          <w:rFonts w:eastAsia="Times New Roman" w:cs="Times New Roman"/>
          <w:b/>
          <w:bCs/>
          <w:color w:val="000000" w:themeColor="text1"/>
          <w:szCs w:val="28"/>
          <w:lang w:val="es-ES"/>
        </w:rPr>
        <w:t>Conclusión</w:t>
      </w:r>
      <w:r w:rsidR="00321FAF" w:rsidRPr="00C454A1">
        <w:rPr>
          <w:rFonts w:eastAsia="Aptos" w:cs="Arial"/>
          <w:b/>
          <w:bCs/>
          <w:color w:val="000000" w:themeColor="text1"/>
          <w:lang w:val="es-ES"/>
        </w:rPr>
        <w:t xml:space="preserve"> sobre el juicio de suficiencia</w:t>
      </w:r>
      <w:bookmarkEnd w:id="221"/>
    </w:p>
    <w:p w14:paraId="5C037384" w14:textId="77777777" w:rsidR="0089394A" w:rsidRPr="00C454A1" w:rsidRDefault="0089394A" w:rsidP="0089394A">
      <w:pPr>
        <w:pStyle w:val="Prrafodelista"/>
        <w:rPr>
          <w:rFonts w:eastAsia="Aptos" w:cs="Arial"/>
          <w:color w:val="000000" w:themeColor="text1"/>
        </w:rPr>
      </w:pPr>
    </w:p>
    <w:p w14:paraId="6A9DEF4F" w14:textId="2F971278" w:rsidR="0065414D" w:rsidRPr="00C454A1" w:rsidRDefault="0065414D" w:rsidP="00A90DEE">
      <w:pPr>
        <w:pStyle w:val="Prrafodelista"/>
        <w:numPr>
          <w:ilvl w:val="0"/>
          <w:numId w:val="2"/>
        </w:numPr>
        <w:ind w:left="0" w:firstLine="0"/>
        <w:rPr>
          <w:rFonts w:eastAsia="Aptos" w:cs="Arial"/>
          <w:color w:val="000000" w:themeColor="text1"/>
          <w:lang w:val="es-ES"/>
        </w:rPr>
      </w:pPr>
      <w:r w:rsidRPr="00C454A1">
        <w:rPr>
          <w:rFonts w:eastAsia="Aptos" w:cs="Arial"/>
          <w:color w:val="000000" w:themeColor="text1"/>
          <w:lang w:val="es-ES"/>
        </w:rPr>
        <w:t xml:space="preserve">Para la Sala Plena, </w:t>
      </w:r>
      <w:r w:rsidR="00501465" w:rsidRPr="00C454A1">
        <w:rPr>
          <w:rFonts w:eastAsia="Aptos" w:cs="Arial"/>
          <w:color w:val="000000" w:themeColor="text1"/>
          <w:lang w:val="es-ES"/>
        </w:rPr>
        <w:t>la conclusión</w:t>
      </w:r>
      <w:r w:rsidRPr="00C454A1">
        <w:rPr>
          <w:rFonts w:eastAsia="Aptos" w:cs="Arial"/>
          <w:color w:val="000000" w:themeColor="text1"/>
          <w:lang w:val="es-ES"/>
        </w:rPr>
        <w:t xml:space="preserve"> </w:t>
      </w:r>
      <w:r w:rsidR="0045255B" w:rsidRPr="00C454A1">
        <w:rPr>
          <w:rFonts w:eastAsia="Aptos" w:cs="Arial"/>
          <w:color w:val="000000" w:themeColor="text1"/>
          <w:lang w:val="es-ES"/>
        </w:rPr>
        <w:t xml:space="preserve">del Gobierno nacional </w:t>
      </w:r>
      <w:r w:rsidR="00CB263E" w:rsidRPr="00C454A1">
        <w:rPr>
          <w:rFonts w:eastAsia="Aptos" w:cs="Arial"/>
          <w:color w:val="000000" w:themeColor="text1"/>
          <w:lang w:val="es-ES"/>
        </w:rPr>
        <w:t>s</w:t>
      </w:r>
      <w:r w:rsidR="00501465" w:rsidRPr="00C454A1">
        <w:rPr>
          <w:rFonts w:eastAsia="Aptos" w:cs="Arial"/>
          <w:color w:val="000000" w:themeColor="text1"/>
          <w:lang w:val="es-ES"/>
        </w:rPr>
        <w:t>obre la insuficiencia de</w:t>
      </w:r>
      <w:r w:rsidR="0045255B" w:rsidRPr="00C454A1">
        <w:rPr>
          <w:rFonts w:eastAsia="Aptos" w:cs="Arial"/>
          <w:color w:val="000000" w:themeColor="text1"/>
          <w:lang w:val="es-ES"/>
        </w:rPr>
        <w:t xml:space="preserve"> </w:t>
      </w:r>
      <w:r w:rsidRPr="00C454A1">
        <w:rPr>
          <w:rFonts w:eastAsia="Aptos" w:cs="Arial"/>
          <w:color w:val="000000" w:themeColor="text1"/>
          <w:lang w:val="es-ES"/>
        </w:rPr>
        <w:t xml:space="preserve">las medidas ordinarias a </w:t>
      </w:r>
      <w:r w:rsidR="0045255B" w:rsidRPr="00C454A1">
        <w:rPr>
          <w:rFonts w:eastAsia="Aptos" w:cs="Arial"/>
          <w:color w:val="000000" w:themeColor="text1"/>
          <w:lang w:val="es-ES"/>
        </w:rPr>
        <w:t xml:space="preserve">su </w:t>
      </w:r>
      <w:r w:rsidRPr="00C454A1">
        <w:rPr>
          <w:rFonts w:eastAsia="Aptos" w:cs="Arial"/>
          <w:color w:val="000000" w:themeColor="text1"/>
          <w:lang w:val="es-ES"/>
        </w:rPr>
        <w:t xml:space="preserve">disposición para </w:t>
      </w:r>
      <w:r w:rsidR="0045255B" w:rsidRPr="00C454A1">
        <w:rPr>
          <w:rFonts w:eastAsia="Aptos" w:cs="Arial"/>
          <w:color w:val="000000" w:themeColor="text1"/>
          <w:lang w:val="es-ES"/>
        </w:rPr>
        <w:t>enfrentar</w:t>
      </w:r>
      <w:r w:rsidR="00F3357D" w:rsidRPr="00C454A1">
        <w:rPr>
          <w:rFonts w:eastAsia="Aptos" w:cs="Arial"/>
          <w:color w:val="000000" w:themeColor="text1"/>
          <w:lang w:val="es-ES"/>
        </w:rPr>
        <w:t xml:space="preserve"> los dos </w:t>
      </w:r>
      <w:r w:rsidR="00E36A33" w:rsidRPr="00C454A1">
        <w:rPr>
          <w:rFonts w:eastAsia="Aptos" w:cs="Arial"/>
          <w:color w:val="000000" w:themeColor="text1"/>
          <w:lang w:val="es-ES"/>
        </w:rPr>
        <w:t>sub</w:t>
      </w:r>
      <w:r w:rsidR="00F3357D" w:rsidRPr="00C454A1">
        <w:rPr>
          <w:rFonts w:eastAsia="Aptos" w:cs="Arial"/>
          <w:color w:val="000000" w:themeColor="text1"/>
          <w:lang w:val="es-ES"/>
        </w:rPr>
        <w:t xml:space="preserve">grupos de hechos que </w:t>
      </w:r>
      <w:r w:rsidR="00AA7C5D" w:rsidRPr="00C454A1">
        <w:rPr>
          <w:rFonts w:eastAsia="Aptos" w:cs="Arial"/>
          <w:color w:val="000000" w:themeColor="text1"/>
          <w:lang w:val="es-ES"/>
        </w:rPr>
        <w:t>previamente</w:t>
      </w:r>
      <w:r w:rsidR="00F3357D" w:rsidRPr="00C454A1">
        <w:rPr>
          <w:rFonts w:eastAsia="Aptos" w:cs="Arial"/>
          <w:color w:val="000000" w:themeColor="text1"/>
          <w:lang w:val="es-ES"/>
        </w:rPr>
        <w:t xml:space="preserve"> superaron los juicios fáctico y valorativo</w:t>
      </w:r>
      <w:r w:rsidR="00501465" w:rsidRPr="00C454A1">
        <w:rPr>
          <w:rFonts w:eastAsia="Aptos" w:cs="Arial"/>
          <w:color w:val="000000" w:themeColor="text1"/>
          <w:lang w:val="es-ES"/>
        </w:rPr>
        <w:t xml:space="preserve">, </w:t>
      </w:r>
      <w:r w:rsidR="00F3357D" w:rsidRPr="00C454A1">
        <w:rPr>
          <w:rFonts w:eastAsia="Aptos" w:cs="Arial"/>
          <w:color w:val="000000" w:themeColor="text1"/>
          <w:lang w:val="es-ES"/>
        </w:rPr>
        <w:t xml:space="preserve">no es arbitraria ni irrazonable. </w:t>
      </w:r>
      <w:r w:rsidR="00996ADF" w:rsidRPr="00C454A1">
        <w:rPr>
          <w:rFonts w:eastAsia="Aptos" w:cs="Arial"/>
          <w:color w:val="000000" w:themeColor="text1"/>
          <w:lang w:val="es-ES"/>
        </w:rPr>
        <w:t>Aunque</w:t>
      </w:r>
      <w:r w:rsidR="00C96422" w:rsidRPr="00C454A1">
        <w:rPr>
          <w:rFonts w:eastAsia="Aptos" w:cs="Arial"/>
          <w:color w:val="000000" w:themeColor="text1"/>
          <w:lang w:val="es-ES"/>
        </w:rPr>
        <w:t>,</w:t>
      </w:r>
      <w:r w:rsidR="00996ADF" w:rsidRPr="00C454A1">
        <w:rPr>
          <w:rFonts w:eastAsia="Aptos" w:cs="Arial"/>
          <w:color w:val="000000" w:themeColor="text1"/>
          <w:lang w:val="es-ES"/>
        </w:rPr>
        <w:t xml:space="preserve"> como se analizó en la sección </w:t>
      </w:r>
      <w:r w:rsidR="002E64AF" w:rsidRPr="00C454A1">
        <w:rPr>
          <w:rFonts w:eastAsia="Aptos" w:cs="Arial"/>
          <w:color w:val="000000" w:themeColor="text1"/>
          <w:lang w:val="es-ES"/>
        </w:rPr>
        <w:fldChar w:fldCharType="begin"/>
      </w:r>
      <w:r w:rsidR="002E64AF" w:rsidRPr="00C454A1">
        <w:rPr>
          <w:rFonts w:eastAsia="Aptos" w:cs="Arial"/>
          <w:color w:val="000000" w:themeColor="text1"/>
          <w:lang w:val="es-ES"/>
        </w:rPr>
        <w:instrText xml:space="preserve"> REF _Ref203401691 \r \h </w:instrText>
      </w:r>
      <w:r w:rsidR="009421B8" w:rsidRPr="00C454A1">
        <w:rPr>
          <w:rFonts w:eastAsia="Aptos" w:cs="Arial"/>
          <w:color w:val="000000" w:themeColor="text1"/>
          <w:lang w:val="es-ES"/>
        </w:rPr>
        <w:instrText xml:space="preserve"> \* MERGEFORMAT </w:instrText>
      </w:r>
      <w:r w:rsidR="002E64AF" w:rsidRPr="00C454A1">
        <w:rPr>
          <w:rFonts w:eastAsia="Aptos" w:cs="Arial"/>
          <w:color w:val="000000" w:themeColor="text1"/>
          <w:lang w:val="es-ES"/>
        </w:rPr>
      </w:r>
      <w:r w:rsidR="002E64AF" w:rsidRPr="00C454A1">
        <w:rPr>
          <w:rFonts w:eastAsia="Aptos" w:cs="Arial"/>
          <w:color w:val="000000" w:themeColor="text1"/>
          <w:lang w:val="es-ES"/>
        </w:rPr>
        <w:fldChar w:fldCharType="separate"/>
      </w:r>
      <w:r w:rsidR="00881E6A">
        <w:rPr>
          <w:rFonts w:eastAsia="Aptos" w:cs="Arial"/>
          <w:color w:val="000000" w:themeColor="text1"/>
          <w:lang w:val="es-ES"/>
        </w:rPr>
        <w:t>6.3.2</w:t>
      </w:r>
      <w:r w:rsidR="002E64AF" w:rsidRPr="00C454A1">
        <w:rPr>
          <w:rFonts w:eastAsia="Aptos" w:cs="Arial"/>
          <w:color w:val="000000" w:themeColor="text1"/>
          <w:lang w:val="es-ES"/>
        </w:rPr>
        <w:fldChar w:fldCharType="end"/>
      </w:r>
      <w:r w:rsidR="0050356C" w:rsidRPr="00C454A1">
        <w:rPr>
          <w:rFonts w:eastAsia="Aptos" w:cs="Arial"/>
          <w:color w:val="000000" w:themeColor="text1"/>
          <w:lang w:val="es-ES"/>
        </w:rPr>
        <w:t xml:space="preserve">, el marco normativo prevé un amplio número de </w:t>
      </w:r>
      <w:r w:rsidR="005E49FB" w:rsidRPr="00C454A1">
        <w:rPr>
          <w:rFonts w:eastAsia="Aptos" w:cs="Arial"/>
          <w:color w:val="000000" w:themeColor="text1"/>
          <w:lang w:val="es-ES"/>
        </w:rPr>
        <w:t xml:space="preserve">facultades y mecanismos a </w:t>
      </w:r>
      <w:r w:rsidR="0045255B" w:rsidRPr="00C454A1">
        <w:rPr>
          <w:rFonts w:eastAsia="Aptos" w:cs="Arial"/>
          <w:color w:val="000000" w:themeColor="text1"/>
          <w:lang w:val="es-ES"/>
        </w:rPr>
        <w:t>los que puede acudir el</w:t>
      </w:r>
      <w:r w:rsidR="005E49FB" w:rsidRPr="00C454A1">
        <w:rPr>
          <w:rFonts w:eastAsia="Aptos" w:cs="Arial"/>
          <w:color w:val="000000" w:themeColor="text1"/>
          <w:lang w:val="es-ES"/>
        </w:rPr>
        <w:t xml:space="preserve"> Gobierno nacional para atender alteraciones del orden público y crisis humanitarias, existe</w:t>
      </w:r>
      <w:r w:rsidR="00321FAF" w:rsidRPr="00C454A1">
        <w:rPr>
          <w:rFonts w:eastAsia="Aptos" w:cs="Arial"/>
          <w:color w:val="000000" w:themeColor="text1"/>
          <w:lang w:val="es-ES"/>
        </w:rPr>
        <w:t>n</w:t>
      </w:r>
      <w:r w:rsidR="005E49FB" w:rsidRPr="00C454A1">
        <w:rPr>
          <w:rFonts w:eastAsia="Aptos" w:cs="Arial"/>
          <w:color w:val="000000" w:themeColor="text1"/>
          <w:lang w:val="es-ES"/>
        </w:rPr>
        <w:t xml:space="preserve"> también </w:t>
      </w:r>
      <w:r w:rsidR="00AA7C5D" w:rsidRPr="00C454A1">
        <w:rPr>
          <w:rFonts w:eastAsia="Aptos" w:cs="Arial"/>
          <w:color w:val="000000" w:themeColor="text1"/>
          <w:lang w:val="es-ES"/>
        </w:rPr>
        <w:t>indicios</w:t>
      </w:r>
      <w:r w:rsidR="005E49FB" w:rsidRPr="00C454A1">
        <w:rPr>
          <w:rFonts w:eastAsia="Aptos" w:cs="Arial"/>
          <w:color w:val="000000" w:themeColor="text1"/>
          <w:lang w:val="es-ES"/>
        </w:rPr>
        <w:t xml:space="preserve"> de que estos instrumentos no eran suficientes </w:t>
      </w:r>
      <w:r w:rsidR="0045255B" w:rsidRPr="00C454A1">
        <w:rPr>
          <w:rFonts w:eastAsia="Aptos" w:cs="Arial"/>
          <w:color w:val="000000" w:themeColor="text1"/>
          <w:lang w:val="es-ES"/>
        </w:rPr>
        <w:t>al momento de expedición del Decreto Legislativo 62 de 2025</w:t>
      </w:r>
      <w:r w:rsidR="00501465" w:rsidRPr="00C454A1">
        <w:rPr>
          <w:rFonts w:eastAsia="Aptos" w:cs="Arial"/>
          <w:color w:val="000000" w:themeColor="text1"/>
          <w:lang w:val="es-ES"/>
        </w:rPr>
        <w:t xml:space="preserve">. </w:t>
      </w:r>
      <w:r w:rsidR="00AA7875" w:rsidRPr="00C454A1">
        <w:rPr>
          <w:rFonts w:eastAsia="Aptos" w:cs="Arial"/>
          <w:color w:val="000000" w:themeColor="text1"/>
          <w:lang w:val="es-ES"/>
        </w:rPr>
        <w:t xml:space="preserve">El Gobierno nacional aportó concretamente pruebas sobre la insuficiencia de </w:t>
      </w:r>
      <w:r w:rsidR="00AA7C5D" w:rsidRPr="00C454A1">
        <w:rPr>
          <w:rFonts w:eastAsia="Aptos" w:cs="Arial"/>
          <w:color w:val="000000" w:themeColor="text1"/>
          <w:lang w:val="es-ES"/>
        </w:rPr>
        <w:t xml:space="preserve">(i) </w:t>
      </w:r>
      <w:r w:rsidR="00AA7875" w:rsidRPr="00C454A1">
        <w:rPr>
          <w:rFonts w:eastAsia="Aptos" w:cs="Arial"/>
          <w:color w:val="000000" w:themeColor="text1"/>
          <w:lang w:val="es-ES"/>
        </w:rPr>
        <w:t xml:space="preserve">los recursos fiscales para responder a la crisis humanitaria, </w:t>
      </w:r>
      <w:r w:rsidR="00AA7C5D" w:rsidRPr="00C454A1">
        <w:rPr>
          <w:rFonts w:eastAsia="Aptos" w:cs="Arial"/>
          <w:color w:val="000000" w:themeColor="text1"/>
          <w:lang w:val="es-ES"/>
        </w:rPr>
        <w:t>(ii)</w:t>
      </w:r>
      <w:r w:rsidR="00AA7875" w:rsidRPr="00C454A1">
        <w:rPr>
          <w:rFonts w:eastAsia="Aptos" w:cs="Arial"/>
          <w:color w:val="000000" w:themeColor="text1"/>
          <w:lang w:val="es-ES"/>
        </w:rPr>
        <w:t xml:space="preserve"> las capacidades logísticas y administrativas para bridar con celeridad AH</w:t>
      </w:r>
      <w:r w:rsidR="00501465" w:rsidRPr="00C454A1">
        <w:rPr>
          <w:rFonts w:eastAsia="Aptos" w:cs="Arial"/>
          <w:color w:val="000000" w:themeColor="text1"/>
          <w:lang w:val="es-ES"/>
        </w:rPr>
        <w:t>I</w:t>
      </w:r>
      <w:r w:rsidR="00AA7C5D" w:rsidRPr="00C454A1">
        <w:rPr>
          <w:rFonts w:eastAsia="Aptos" w:cs="Arial"/>
          <w:color w:val="000000" w:themeColor="text1"/>
          <w:lang w:val="es-ES"/>
        </w:rPr>
        <w:t xml:space="preserve"> y AHE</w:t>
      </w:r>
      <w:r w:rsidR="00AA7875" w:rsidRPr="00C454A1">
        <w:rPr>
          <w:rFonts w:eastAsia="Aptos" w:cs="Arial"/>
          <w:color w:val="000000" w:themeColor="text1"/>
          <w:lang w:val="es-ES"/>
        </w:rPr>
        <w:t xml:space="preserve"> a las personas desplazadas y confinadas, y </w:t>
      </w:r>
      <w:r w:rsidR="00AA7C5D" w:rsidRPr="00C454A1">
        <w:rPr>
          <w:rFonts w:eastAsia="Aptos" w:cs="Arial"/>
          <w:color w:val="000000" w:themeColor="text1"/>
          <w:lang w:val="es-ES"/>
        </w:rPr>
        <w:t>(iii)</w:t>
      </w:r>
      <w:r w:rsidR="00501465" w:rsidRPr="00C454A1">
        <w:rPr>
          <w:rFonts w:eastAsia="Aptos" w:cs="Arial"/>
          <w:color w:val="000000" w:themeColor="text1"/>
          <w:lang w:val="es-ES"/>
        </w:rPr>
        <w:t xml:space="preserve"> las capacidades </w:t>
      </w:r>
      <w:r w:rsidR="00AA7875" w:rsidRPr="00C454A1">
        <w:rPr>
          <w:rFonts w:eastAsia="Aptos" w:cs="Arial"/>
          <w:color w:val="000000" w:themeColor="text1"/>
          <w:lang w:val="es-ES"/>
        </w:rPr>
        <w:t>para brindar garantías de seguridad a la población firmante del AFP.</w:t>
      </w:r>
      <w:r w:rsidR="000106C2" w:rsidRPr="00C454A1">
        <w:rPr>
          <w:rFonts w:eastAsia="Aptos" w:cs="Arial"/>
          <w:color w:val="000000" w:themeColor="text1"/>
          <w:lang w:val="es-ES"/>
        </w:rPr>
        <w:t xml:space="preserve"> </w:t>
      </w:r>
      <w:r w:rsidR="00AA7C5D" w:rsidRPr="00C454A1">
        <w:rPr>
          <w:rFonts w:eastAsia="Aptos" w:cs="Arial"/>
          <w:color w:val="000000" w:themeColor="text1"/>
          <w:lang w:val="es-ES"/>
        </w:rPr>
        <w:t>Estas pruebas, junto con el carácter extraordinario e inusitado de la crisis humanitaria (evidenciado, por ejemplo, por número de personas desplazadas y confinadas y víctimas firmantes del AFP), llevan a la Sala a considerar que</w:t>
      </w:r>
      <w:r w:rsidR="000106C2" w:rsidRPr="00C454A1">
        <w:rPr>
          <w:rFonts w:eastAsia="Aptos" w:cs="Arial"/>
          <w:color w:val="000000" w:themeColor="text1"/>
          <w:lang w:val="es-ES"/>
        </w:rPr>
        <w:t xml:space="preserve"> la valoración del Gobierno </w:t>
      </w:r>
      <w:r w:rsidR="001276D5" w:rsidRPr="00C454A1">
        <w:rPr>
          <w:rFonts w:eastAsia="Aptos" w:cs="Arial"/>
          <w:color w:val="000000" w:themeColor="text1"/>
          <w:lang w:val="es-ES"/>
        </w:rPr>
        <w:t>nacional es razonable y que, por tanto, supera el juicio del presupuesto de suficiencia.</w:t>
      </w:r>
    </w:p>
    <w:p w14:paraId="47F2A927" w14:textId="77777777" w:rsidR="0065414D" w:rsidRPr="00C454A1" w:rsidRDefault="0065414D" w:rsidP="0065414D">
      <w:pPr>
        <w:pStyle w:val="Prrafodelista"/>
        <w:rPr>
          <w:rFonts w:eastAsia="Aptos" w:cs="Arial"/>
          <w:color w:val="000000" w:themeColor="text1"/>
        </w:rPr>
      </w:pPr>
      <w:bookmarkStart w:id="222" w:name="_Hlk198915853"/>
    </w:p>
    <w:p w14:paraId="7EBFC8B3" w14:textId="586969F3" w:rsidR="003A0DA8" w:rsidRPr="00C454A1" w:rsidRDefault="009760A6" w:rsidP="00A90DEE">
      <w:pPr>
        <w:numPr>
          <w:ilvl w:val="0"/>
          <w:numId w:val="2"/>
        </w:numPr>
        <w:ind w:left="0" w:firstLine="0"/>
        <w:rPr>
          <w:rFonts w:eastAsia="Aptos" w:cs="Arial"/>
          <w:color w:val="000000" w:themeColor="text1"/>
          <w:lang w:val="es-ES"/>
        </w:rPr>
      </w:pPr>
      <w:r w:rsidRPr="00C454A1">
        <w:rPr>
          <w:rFonts w:eastAsia="Aptos" w:cs="Arial"/>
          <w:color w:val="000000" w:themeColor="text1"/>
        </w:rPr>
        <w:t xml:space="preserve">Ahora </w:t>
      </w:r>
      <w:r w:rsidR="00AA7C5D" w:rsidRPr="00C454A1">
        <w:rPr>
          <w:rFonts w:eastAsia="Aptos" w:cs="Arial"/>
          <w:color w:val="000000" w:themeColor="text1"/>
        </w:rPr>
        <w:t>bien, de acuerdo con la Constitución y el análisis realizado por la Corte en esta providencia, la Sala Plena subraya que las medidas que adopte el Gobierno nacional deben estar estrictamente enfocadas en contrarrestar las causas de la perturbación del orden público que motivaron la declaración de conmoción interior y que este fallo ha considerado constitucionales</w:t>
      </w:r>
      <w:r w:rsidR="00F20FD2" w:rsidRPr="00C454A1">
        <w:rPr>
          <w:rFonts w:eastAsia="Aptos" w:cs="Arial"/>
          <w:color w:val="000000" w:themeColor="text1"/>
        </w:rPr>
        <w:t xml:space="preserve">, no así para contrarestar los hechos que esta providencia ha encontrado son estructurales, de larga data y no han presentado un agravameinto extraordinario -es decir, los hechos del grupo 1 mencionados en la sección </w:t>
      </w:r>
      <w:r w:rsidR="00F20FD2" w:rsidRPr="00C454A1">
        <w:rPr>
          <w:rFonts w:eastAsia="Aptos" w:cs="Arial"/>
          <w:color w:val="000000" w:themeColor="text1"/>
        </w:rPr>
        <w:fldChar w:fldCharType="begin"/>
      </w:r>
      <w:r w:rsidR="00F20FD2" w:rsidRPr="00C454A1">
        <w:rPr>
          <w:rFonts w:eastAsia="Aptos" w:cs="Arial"/>
          <w:color w:val="000000" w:themeColor="text1"/>
        </w:rPr>
        <w:instrText xml:space="preserve"> REF _Ref223956779 \r \h </w:instrText>
      </w:r>
      <w:r w:rsidR="00DD0E75" w:rsidRPr="00C454A1">
        <w:rPr>
          <w:rFonts w:eastAsia="Aptos" w:cs="Arial"/>
          <w:color w:val="000000" w:themeColor="text1"/>
        </w:rPr>
        <w:instrText xml:space="preserve"> \* MERGEFORMAT </w:instrText>
      </w:r>
      <w:r w:rsidR="00F20FD2" w:rsidRPr="00C454A1">
        <w:rPr>
          <w:rFonts w:eastAsia="Aptos" w:cs="Arial"/>
          <w:color w:val="000000" w:themeColor="text1"/>
        </w:rPr>
      </w:r>
      <w:r w:rsidR="00F20FD2" w:rsidRPr="00C454A1">
        <w:rPr>
          <w:rFonts w:eastAsia="Aptos" w:cs="Arial"/>
          <w:color w:val="000000" w:themeColor="text1"/>
        </w:rPr>
        <w:fldChar w:fldCharType="separate"/>
      </w:r>
      <w:r w:rsidR="00881E6A">
        <w:rPr>
          <w:rFonts w:eastAsia="Aptos" w:cs="Arial"/>
          <w:color w:val="000000" w:themeColor="text1"/>
        </w:rPr>
        <w:t>6.1.1</w:t>
      </w:r>
      <w:r w:rsidR="00F20FD2" w:rsidRPr="00C454A1">
        <w:rPr>
          <w:rFonts w:eastAsia="Aptos" w:cs="Arial"/>
          <w:color w:val="000000" w:themeColor="text1"/>
        </w:rPr>
        <w:fldChar w:fldCharType="end"/>
      </w:r>
      <w:r w:rsidR="00AA7C5D" w:rsidRPr="00C454A1">
        <w:rPr>
          <w:rFonts w:eastAsia="Aptos" w:cs="Arial"/>
          <w:color w:val="000000" w:themeColor="text1"/>
        </w:rPr>
        <w:t>.</w:t>
      </w:r>
      <w:r w:rsidR="00F20FD2" w:rsidRPr="00C454A1">
        <w:rPr>
          <w:rFonts w:eastAsia="Aptos" w:cs="Arial"/>
          <w:color w:val="000000" w:themeColor="text1"/>
        </w:rPr>
        <w:t>-.</w:t>
      </w:r>
      <w:r w:rsidR="003A0DA8" w:rsidRPr="00C454A1">
        <w:rPr>
          <w:rFonts w:eastAsia="Aptos" w:cs="Arial"/>
          <w:color w:val="000000" w:themeColor="text1"/>
        </w:rPr>
        <w:t xml:space="preserve"> Por cuenta de lo anterior, las medidas que se adopten solo pueden estar orientadas a enfrentar </w:t>
      </w:r>
      <w:r w:rsidR="00AA7C5D" w:rsidRPr="00C454A1">
        <w:rPr>
          <w:rFonts w:cs="Times New Roman"/>
          <w:color w:val="000000" w:themeColor="text1"/>
          <w:szCs w:val="28"/>
          <w:bdr w:val="none" w:sz="0" w:space="0" w:color="auto" w:frame="1"/>
        </w:rPr>
        <w:t xml:space="preserve">(i) la intensificación de los enfrentamientos entre el ELN y otros </w:t>
      </w:r>
      <w:r w:rsidR="00EE77DF" w:rsidRPr="00C454A1">
        <w:rPr>
          <w:rFonts w:cs="Times New Roman"/>
          <w:color w:val="000000" w:themeColor="text1"/>
          <w:szCs w:val="28"/>
          <w:bdr w:val="none" w:sz="0" w:space="0" w:color="auto" w:frame="1"/>
        </w:rPr>
        <w:t>GAO</w:t>
      </w:r>
      <w:r w:rsidR="00AA7C5D" w:rsidRPr="00C454A1">
        <w:rPr>
          <w:rFonts w:cs="Times New Roman"/>
          <w:color w:val="000000" w:themeColor="text1"/>
          <w:szCs w:val="28"/>
          <w:bdr w:val="none" w:sz="0" w:space="0" w:color="auto" w:frame="1"/>
        </w:rPr>
        <w:t>, así como los ataques y hostilidades dirigidos de forma indiscriminada contra la población civil y los firmantes del Acuerdo Final de Paz con las FARC y (ii) la crisis humanitaria derivada de desplazamientos forzados -internos y transfronterizos- y confinamientos masivos que ha desbordado la capacidad institucional del Estado para atenderla</w:t>
      </w:r>
      <w:r w:rsidR="003A0DA8" w:rsidRPr="00C454A1">
        <w:rPr>
          <w:color w:val="000000" w:themeColor="text1"/>
          <w:lang w:val="es-ES" w:eastAsia="es-ES"/>
        </w:rPr>
        <w:t>. Es decir, las medidas deben orientarse a conseguir el f</w:t>
      </w:r>
      <w:r w:rsidR="003A0DA8" w:rsidRPr="00C454A1">
        <w:rPr>
          <w:rFonts w:eastAsia="Aptos" w:cs="Arial"/>
          <w:color w:val="000000" w:themeColor="text1"/>
          <w:lang w:val="es-ES"/>
        </w:rPr>
        <w:t>ortalecimiento de la fuerza pública, la atención humanitaria, los derechos y garantías fundamentales de la población civil, y la financiación para esos propósitos específicos. El examen de la correspondencia de cada medida con dichos propósitos debe</w:t>
      </w:r>
      <w:r w:rsidR="00AA7C5D" w:rsidRPr="00C454A1">
        <w:rPr>
          <w:rFonts w:eastAsia="Aptos" w:cs="Arial"/>
          <w:color w:val="000000" w:themeColor="text1"/>
          <w:lang w:val="es-ES"/>
        </w:rPr>
        <w:t>rá</w:t>
      </w:r>
      <w:r w:rsidR="003A0DA8" w:rsidRPr="00C454A1">
        <w:rPr>
          <w:rFonts w:eastAsia="Aptos" w:cs="Arial"/>
          <w:color w:val="000000" w:themeColor="text1"/>
          <w:lang w:val="es-ES"/>
        </w:rPr>
        <w:t xml:space="preserve"> hacerse al estudiar los decretos de desarrollo.</w:t>
      </w:r>
    </w:p>
    <w:bookmarkEnd w:id="222"/>
    <w:p w14:paraId="0EECD28B" w14:textId="77777777" w:rsidR="00C96422" w:rsidRPr="00C454A1" w:rsidRDefault="00C96422" w:rsidP="00631C27">
      <w:pPr>
        <w:rPr>
          <w:color w:val="000000" w:themeColor="text1"/>
          <w:lang w:eastAsia="es-ES"/>
        </w:rPr>
      </w:pPr>
    </w:p>
    <w:p w14:paraId="0FB815C1" w14:textId="13616F59" w:rsidR="001C625D" w:rsidRPr="00C454A1" w:rsidRDefault="001C625D" w:rsidP="00381B4B">
      <w:pPr>
        <w:pStyle w:val="Prrafodelista"/>
        <w:widowControl w:val="0"/>
        <w:numPr>
          <w:ilvl w:val="0"/>
          <w:numId w:val="3"/>
        </w:numPr>
        <w:outlineLvl w:val="0"/>
        <w:rPr>
          <w:b/>
          <w:bCs/>
          <w:color w:val="000000" w:themeColor="text1"/>
          <w:lang w:eastAsia="es-ES"/>
        </w:rPr>
      </w:pPr>
      <w:bookmarkStart w:id="223" w:name="_Toc223979961"/>
      <w:r w:rsidRPr="00C454A1">
        <w:rPr>
          <w:rFonts w:cs="Times New Roman"/>
          <w:b/>
          <w:bCs/>
          <w:color w:val="000000" w:themeColor="text1"/>
          <w:szCs w:val="28"/>
          <w:lang w:eastAsia="es-ES"/>
        </w:rPr>
        <w:t>Conclusión</w:t>
      </w:r>
      <w:bookmarkEnd w:id="223"/>
    </w:p>
    <w:p w14:paraId="0F11279C" w14:textId="77777777" w:rsidR="001C625D" w:rsidRPr="00C454A1" w:rsidRDefault="001C625D" w:rsidP="00631C27">
      <w:pPr>
        <w:rPr>
          <w:color w:val="000000" w:themeColor="text1"/>
          <w:lang w:eastAsia="es-ES"/>
        </w:rPr>
      </w:pPr>
    </w:p>
    <w:p w14:paraId="11CE3AE1" w14:textId="44117E41" w:rsidR="00B64B3A" w:rsidRPr="00C454A1" w:rsidRDefault="00A72A95" w:rsidP="00A90DEE">
      <w:pPr>
        <w:pStyle w:val="Prrafodelista"/>
        <w:numPr>
          <w:ilvl w:val="0"/>
          <w:numId w:val="2"/>
        </w:numPr>
        <w:ind w:left="0" w:firstLine="0"/>
        <w:rPr>
          <w:color w:val="000000" w:themeColor="text1"/>
          <w:lang w:eastAsia="es-ES"/>
        </w:rPr>
      </w:pPr>
      <w:r w:rsidRPr="00C454A1">
        <w:rPr>
          <w:color w:val="000000" w:themeColor="text1"/>
          <w:lang w:eastAsia="es-ES"/>
        </w:rPr>
        <w:t xml:space="preserve">Tras verificar que el Decreto Legislativo 62 de 2025 cumple con los presupuestos formales y </w:t>
      </w:r>
      <w:r w:rsidR="00645943" w:rsidRPr="00C454A1">
        <w:rPr>
          <w:color w:val="000000" w:themeColor="text1"/>
          <w:lang w:eastAsia="es-ES"/>
        </w:rPr>
        <w:t>las exigencias</w:t>
      </w:r>
      <w:r w:rsidRPr="00C454A1">
        <w:rPr>
          <w:color w:val="000000" w:themeColor="text1"/>
          <w:lang w:eastAsia="es-ES"/>
        </w:rPr>
        <w:t xml:space="preserve"> del presupuesto fáctico, este fallo concluyó que satisface parcialmente el presupuesto valorativo. </w:t>
      </w:r>
      <w:r w:rsidR="00C330E4" w:rsidRPr="00C454A1">
        <w:rPr>
          <w:color w:val="000000" w:themeColor="text1"/>
          <w:lang w:eastAsia="es-ES"/>
        </w:rPr>
        <w:t>L</w:t>
      </w:r>
      <w:r w:rsidRPr="00C454A1">
        <w:rPr>
          <w:color w:val="000000" w:themeColor="text1"/>
          <w:lang w:eastAsia="es-ES"/>
        </w:rPr>
        <w:t>a Sala Plena observó que</w:t>
      </w:r>
      <w:r w:rsidR="00B64B3A" w:rsidRPr="00C454A1">
        <w:rPr>
          <w:color w:val="000000" w:themeColor="text1"/>
          <w:lang w:eastAsia="es-ES"/>
        </w:rPr>
        <w:t>,</w:t>
      </w:r>
      <w:r w:rsidRPr="00C454A1">
        <w:rPr>
          <w:color w:val="000000" w:themeColor="text1"/>
          <w:lang w:eastAsia="es-ES"/>
        </w:rPr>
        <w:t xml:space="preserve"> </w:t>
      </w:r>
      <w:r w:rsidR="00B64B3A" w:rsidRPr="00C454A1">
        <w:rPr>
          <w:color w:val="000000" w:themeColor="text1"/>
          <w:lang w:eastAsia="es-ES"/>
        </w:rPr>
        <w:t>si bien</w:t>
      </w:r>
      <w:r w:rsidRPr="00C454A1">
        <w:rPr>
          <w:color w:val="000000" w:themeColor="text1"/>
          <w:lang w:eastAsia="es-ES"/>
        </w:rPr>
        <w:t xml:space="preserve"> todos los hechos descritos en el decreto son graves, sólo un grupo de ellos puede ser calificado como extraordinario. </w:t>
      </w:r>
      <w:r w:rsidR="0042623F" w:rsidRPr="00C454A1">
        <w:rPr>
          <w:color w:val="000000" w:themeColor="text1"/>
          <w:lang w:eastAsia="es-ES"/>
        </w:rPr>
        <w:t xml:space="preserve">Esto se debe a que los hechos </w:t>
      </w:r>
      <w:r w:rsidR="00645943" w:rsidRPr="00C454A1">
        <w:rPr>
          <w:color w:val="000000" w:themeColor="text1"/>
          <w:lang w:eastAsia="es-ES"/>
        </w:rPr>
        <w:t xml:space="preserve">mencionados en el Decreto 62 de 2025 </w:t>
      </w:r>
      <w:r w:rsidR="0042623F" w:rsidRPr="00C454A1">
        <w:rPr>
          <w:color w:val="000000" w:themeColor="text1"/>
          <w:lang w:eastAsia="es-ES"/>
        </w:rPr>
        <w:t>reflejan problemas estructurales que</w:t>
      </w:r>
      <w:r w:rsidR="00C330E4" w:rsidRPr="00C454A1">
        <w:rPr>
          <w:color w:val="000000" w:themeColor="text1"/>
          <w:lang w:eastAsia="es-ES"/>
        </w:rPr>
        <w:t xml:space="preserve"> </w:t>
      </w:r>
      <w:r w:rsidR="0042623F" w:rsidRPr="00C454A1">
        <w:rPr>
          <w:color w:val="000000" w:themeColor="text1"/>
          <w:lang w:eastAsia="es-ES"/>
        </w:rPr>
        <w:t>el territorio del Catatumbo</w:t>
      </w:r>
      <w:r w:rsidR="00B64B3A" w:rsidRPr="00C454A1">
        <w:rPr>
          <w:color w:val="000000" w:themeColor="text1"/>
          <w:lang w:eastAsia="es-ES"/>
        </w:rPr>
        <w:t xml:space="preserve"> ha enfrentado por décadas</w:t>
      </w:r>
      <w:r w:rsidR="0042623F" w:rsidRPr="00C454A1">
        <w:rPr>
          <w:color w:val="000000" w:themeColor="text1"/>
          <w:lang w:eastAsia="es-ES"/>
        </w:rPr>
        <w:t>; sin embargo</w:t>
      </w:r>
      <w:r w:rsidR="00C330E4" w:rsidRPr="00C454A1">
        <w:rPr>
          <w:color w:val="000000" w:themeColor="text1"/>
          <w:lang w:eastAsia="es-ES"/>
        </w:rPr>
        <w:t>,</w:t>
      </w:r>
      <w:r w:rsidR="0042623F" w:rsidRPr="00C454A1">
        <w:rPr>
          <w:color w:val="000000" w:themeColor="text1"/>
          <w:lang w:eastAsia="es-ES"/>
        </w:rPr>
        <w:t xml:space="preserve"> </w:t>
      </w:r>
      <w:r w:rsidR="00F20FD2" w:rsidRPr="00C454A1">
        <w:rPr>
          <w:color w:val="000000" w:themeColor="text1"/>
          <w:lang w:eastAsia="es-ES"/>
        </w:rPr>
        <w:t xml:space="preserve">solo </w:t>
      </w:r>
      <w:r w:rsidR="0042623F" w:rsidRPr="00C454A1">
        <w:rPr>
          <w:color w:val="000000" w:themeColor="text1"/>
          <w:lang w:eastAsia="es-ES"/>
        </w:rPr>
        <w:t xml:space="preserve">un grupo de </w:t>
      </w:r>
      <w:r w:rsidR="00645943" w:rsidRPr="00C454A1">
        <w:rPr>
          <w:color w:val="000000" w:themeColor="text1"/>
          <w:lang w:eastAsia="es-ES"/>
        </w:rPr>
        <w:t>ellos</w:t>
      </w:r>
      <w:r w:rsidR="0042623F" w:rsidRPr="00C454A1">
        <w:rPr>
          <w:color w:val="000000" w:themeColor="text1"/>
          <w:lang w:eastAsia="es-ES"/>
        </w:rPr>
        <w:t xml:space="preserve"> adquirió una </w:t>
      </w:r>
      <w:r w:rsidR="00645943" w:rsidRPr="00C454A1">
        <w:rPr>
          <w:color w:val="000000" w:themeColor="text1"/>
          <w:lang w:eastAsia="es-ES"/>
        </w:rPr>
        <w:t>gravedad</w:t>
      </w:r>
      <w:r w:rsidR="0042623F" w:rsidRPr="00C454A1">
        <w:rPr>
          <w:color w:val="000000" w:themeColor="text1"/>
          <w:lang w:eastAsia="es-ES"/>
        </w:rPr>
        <w:t xml:space="preserve"> inusitada en un muy corto periodo, lo que condujo a la Sala a calificarlos de </w:t>
      </w:r>
      <w:r w:rsidR="00645943" w:rsidRPr="00C454A1">
        <w:rPr>
          <w:color w:val="000000" w:themeColor="text1"/>
          <w:lang w:eastAsia="es-ES"/>
        </w:rPr>
        <w:t>extraordinarios</w:t>
      </w:r>
      <w:r w:rsidR="0042623F" w:rsidRPr="00C454A1">
        <w:rPr>
          <w:color w:val="000000" w:themeColor="text1"/>
          <w:lang w:eastAsia="es-ES"/>
        </w:rPr>
        <w:t>.</w:t>
      </w:r>
      <w:r w:rsidR="00645943" w:rsidRPr="00C454A1">
        <w:rPr>
          <w:rFonts w:cs="Times New Roman"/>
          <w:color w:val="000000" w:themeColor="text1"/>
          <w:szCs w:val="28"/>
          <w:bdr w:val="none" w:sz="0" w:space="0" w:color="auto" w:frame="1"/>
        </w:rPr>
        <w:t xml:space="preserve"> </w:t>
      </w:r>
      <w:r w:rsidR="00C330E4" w:rsidRPr="00C454A1">
        <w:rPr>
          <w:color w:val="000000" w:themeColor="text1"/>
          <w:lang w:eastAsia="es-ES"/>
        </w:rPr>
        <w:t xml:space="preserve">Pertenecen a este </w:t>
      </w:r>
      <w:r w:rsidR="00F20FD2" w:rsidRPr="00C454A1">
        <w:rPr>
          <w:color w:val="000000" w:themeColor="text1"/>
          <w:lang w:eastAsia="es-ES"/>
        </w:rPr>
        <w:t xml:space="preserve">último </w:t>
      </w:r>
      <w:r w:rsidR="00C330E4" w:rsidRPr="00C454A1">
        <w:rPr>
          <w:color w:val="000000" w:themeColor="text1"/>
          <w:lang w:eastAsia="es-ES"/>
        </w:rPr>
        <w:t xml:space="preserve">grupo: </w:t>
      </w:r>
      <w:r w:rsidR="00C330E4" w:rsidRPr="00C454A1">
        <w:rPr>
          <w:rFonts w:cs="Times New Roman"/>
          <w:color w:val="000000" w:themeColor="text1"/>
          <w:szCs w:val="28"/>
          <w:bdr w:val="none" w:sz="0" w:space="0" w:color="auto" w:frame="1"/>
        </w:rPr>
        <w:t xml:space="preserve">(i) la intensificación de los enfrentamientos entre el ELN y otros </w:t>
      </w:r>
      <w:r w:rsidR="00EE77DF" w:rsidRPr="00C454A1">
        <w:rPr>
          <w:rFonts w:cs="Times New Roman"/>
          <w:color w:val="000000" w:themeColor="text1"/>
          <w:szCs w:val="28"/>
          <w:bdr w:val="none" w:sz="0" w:space="0" w:color="auto" w:frame="1"/>
        </w:rPr>
        <w:t>GAO</w:t>
      </w:r>
      <w:r w:rsidR="00C330E4" w:rsidRPr="00C454A1">
        <w:rPr>
          <w:rFonts w:cs="Times New Roman"/>
          <w:color w:val="000000" w:themeColor="text1"/>
          <w:szCs w:val="28"/>
          <w:bdr w:val="none" w:sz="0" w:space="0" w:color="auto" w:frame="1"/>
        </w:rPr>
        <w:t>, así como los ataques y hostilidades dirigidos de forma indiscriminada contra la población civil y los firmantes del Acuerdo Final de Paz con las FARC y (ii) la crisis humanitaria derivada de desplazamientos forzados -internos y transfronterizos- y confinamientos masivos que ha desbordado la capacidad institucional del Estado para atenderla. Respecto de estos hechos, la Sala también encontró elementos de</w:t>
      </w:r>
      <w:r w:rsidR="00B64B3A" w:rsidRPr="00C454A1">
        <w:rPr>
          <w:rFonts w:cs="Times New Roman"/>
          <w:color w:val="000000" w:themeColor="text1"/>
          <w:szCs w:val="28"/>
          <w:bdr w:val="none" w:sz="0" w:space="0" w:color="auto" w:frame="1"/>
        </w:rPr>
        <w:t xml:space="preserve"> </w:t>
      </w:r>
      <w:r w:rsidR="00C330E4" w:rsidRPr="00C454A1">
        <w:rPr>
          <w:rFonts w:cs="Times New Roman"/>
          <w:color w:val="000000" w:themeColor="text1"/>
          <w:szCs w:val="28"/>
          <w:bdr w:val="none" w:sz="0" w:space="0" w:color="auto" w:frame="1"/>
        </w:rPr>
        <w:t xml:space="preserve">juicio que apuntan a pueden afectar de forma inminente </w:t>
      </w:r>
      <w:r w:rsidR="00B64B3A" w:rsidRPr="00C454A1">
        <w:rPr>
          <w:rFonts w:cs="Times New Roman"/>
          <w:color w:val="000000" w:themeColor="text1"/>
          <w:szCs w:val="28"/>
          <w:bdr w:val="none" w:sz="0" w:space="0" w:color="auto" w:frame="1"/>
        </w:rPr>
        <w:t xml:space="preserve">la estabilidad institucional, la seguridad del Estado y la convivencia ciudadana. De este modo, solamente respecto de este grupo de hechos, </w:t>
      </w:r>
      <w:r w:rsidR="00942547" w:rsidRPr="00C454A1">
        <w:rPr>
          <w:rFonts w:cs="Times New Roman"/>
          <w:color w:val="000000" w:themeColor="text1"/>
          <w:szCs w:val="28"/>
          <w:bdr w:val="none" w:sz="0" w:space="0" w:color="auto" w:frame="1"/>
        </w:rPr>
        <w:t>esta Corporación</w:t>
      </w:r>
      <w:r w:rsidR="00B64B3A" w:rsidRPr="00C454A1">
        <w:rPr>
          <w:rFonts w:cs="Times New Roman"/>
          <w:color w:val="000000" w:themeColor="text1"/>
          <w:szCs w:val="28"/>
          <w:bdr w:val="none" w:sz="0" w:space="0" w:color="auto" w:frame="1"/>
        </w:rPr>
        <w:t xml:space="preserve"> concluyó que </w:t>
      </w:r>
      <w:r w:rsidR="00306D8A" w:rsidRPr="00C454A1">
        <w:rPr>
          <w:rFonts w:cs="Times New Roman"/>
          <w:color w:val="000000" w:themeColor="text1"/>
          <w:szCs w:val="28"/>
          <w:bdr w:val="none" w:sz="0" w:space="0" w:color="auto" w:frame="1"/>
        </w:rPr>
        <w:t>el decreto</w:t>
      </w:r>
      <w:r w:rsidR="00B64B3A" w:rsidRPr="00C454A1">
        <w:rPr>
          <w:rFonts w:cs="Times New Roman"/>
          <w:color w:val="000000" w:themeColor="text1"/>
          <w:szCs w:val="28"/>
          <w:bdr w:val="none" w:sz="0" w:space="0" w:color="auto" w:frame="1"/>
        </w:rPr>
        <w:t xml:space="preserve"> satisface el presupuesto valorativo. </w:t>
      </w:r>
    </w:p>
    <w:p w14:paraId="616ECEB1" w14:textId="77777777" w:rsidR="00B64B3A" w:rsidRPr="00C454A1" w:rsidRDefault="00B64B3A" w:rsidP="00B64B3A">
      <w:pPr>
        <w:pStyle w:val="Prrafodelista"/>
        <w:ind w:left="0"/>
        <w:rPr>
          <w:color w:val="000000" w:themeColor="text1"/>
          <w:lang w:eastAsia="es-ES"/>
        </w:rPr>
      </w:pPr>
    </w:p>
    <w:p w14:paraId="0B1E050D" w14:textId="11D40D2F" w:rsidR="00A72A95" w:rsidRPr="00C454A1" w:rsidRDefault="00306D8A" w:rsidP="00A90DEE">
      <w:pPr>
        <w:pStyle w:val="Prrafodelista"/>
        <w:numPr>
          <w:ilvl w:val="0"/>
          <w:numId w:val="2"/>
        </w:numPr>
        <w:ind w:left="0" w:firstLine="0"/>
        <w:rPr>
          <w:color w:val="000000" w:themeColor="text1"/>
          <w:lang w:eastAsia="es-ES"/>
        </w:rPr>
      </w:pPr>
      <w:r w:rsidRPr="00C454A1">
        <w:rPr>
          <w:rFonts w:cs="Times New Roman"/>
          <w:color w:val="000000" w:themeColor="text1"/>
          <w:szCs w:val="28"/>
          <w:bdr w:val="none" w:sz="0" w:space="0" w:color="auto" w:frame="1"/>
        </w:rPr>
        <w:t>Adicionalmente</w:t>
      </w:r>
      <w:r w:rsidR="00B64B3A" w:rsidRPr="00C454A1">
        <w:rPr>
          <w:rFonts w:cs="Times New Roman"/>
          <w:color w:val="000000" w:themeColor="text1"/>
          <w:szCs w:val="28"/>
          <w:bdr w:val="none" w:sz="0" w:space="0" w:color="auto" w:frame="1"/>
        </w:rPr>
        <w:t xml:space="preserve">, </w:t>
      </w:r>
      <w:r w:rsidRPr="00C454A1">
        <w:rPr>
          <w:rFonts w:cs="Times New Roman"/>
          <w:color w:val="000000" w:themeColor="text1"/>
          <w:szCs w:val="28"/>
          <w:bdr w:val="none" w:sz="0" w:space="0" w:color="auto" w:frame="1"/>
        </w:rPr>
        <w:t xml:space="preserve">la Sala considera que el decreto cumple con las exigencias del juicio de suficiencia en relación con estos </w:t>
      </w:r>
      <w:r w:rsidR="00F20FD2" w:rsidRPr="00C454A1">
        <w:rPr>
          <w:rFonts w:cs="Times New Roman"/>
          <w:color w:val="000000" w:themeColor="text1"/>
          <w:szCs w:val="28"/>
          <w:bdr w:val="none" w:sz="0" w:space="0" w:color="auto" w:frame="1"/>
        </w:rPr>
        <w:t xml:space="preserve">últimos </w:t>
      </w:r>
      <w:r w:rsidRPr="00C454A1">
        <w:rPr>
          <w:rFonts w:cs="Times New Roman"/>
          <w:color w:val="000000" w:themeColor="text1"/>
          <w:szCs w:val="28"/>
          <w:bdr w:val="none" w:sz="0" w:space="0" w:color="auto" w:frame="1"/>
        </w:rPr>
        <w:t>hechos</w:t>
      </w:r>
      <w:r w:rsidR="00B64B3A" w:rsidRPr="00C454A1">
        <w:rPr>
          <w:rFonts w:cs="Times New Roman"/>
          <w:color w:val="000000" w:themeColor="text1"/>
          <w:szCs w:val="28"/>
          <w:bdr w:val="none" w:sz="0" w:space="0" w:color="auto" w:frame="1"/>
        </w:rPr>
        <w:t xml:space="preserve">. Específicamente, halló evidencia de que, aunque el ordenamiento prevé un amplio abanico de facultades y mecanismos ordinarios a los que puede acudir el Gobierno nacional para enfrentar alteraciones del orden público y crisis </w:t>
      </w:r>
      <w:r w:rsidR="00B64B3A" w:rsidRPr="00C454A1">
        <w:rPr>
          <w:rFonts w:cs="Times New Roman"/>
          <w:color w:val="000000" w:themeColor="text1"/>
          <w:szCs w:val="28"/>
          <w:bdr w:val="none" w:sz="0" w:space="0" w:color="auto" w:frame="1"/>
        </w:rPr>
        <w:lastRenderedPageBreak/>
        <w:t>humanitaria, en este caso</w:t>
      </w:r>
      <w:r w:rsidRPr="00C454A1">
        <w:rPr>
          <w:rFonts w:cs="Times New Roman"/>
          <w:color w:val="000000" w:themeColor="text1"/>
          <w:szCs w:val="28"/>
          <w:bdr w:val="none" w:sz="0" w:space="0" w:color="auto" w:frame="1"/>
        </w:rPr>
        <w:t>,</w:t>
      </w:r>
      <w:r w:rsidR="00B64B3A" w:rsidRPr="00C454A1">
        <w:rPr>
          <w:rFonts w:cs="Times New Roman"/>
          <w:color w:val="000000" w:themeColor="text1"/>
          <w:szCs w:val="28"/>
          <w:bdr w:val="none" w:sz="0" w:space="0" w:color="auto" w:frame="1"/>
        </w:rPr>
        <w:t xml:space="preserve"> existe</w:t>
      </w:r>
      <w:r w:rsidR="001F4600" w:rsidRPr="00C454A1">
        <w:rPr>
          <w:rFonts w:cs="Times New Roman"/>
          <w:color w:val="000000" w:themeColor="text1"/>
          <w:szCs w:val="28"/>
          <w:bdr w:val="none" w:sz="0" w:space="0" w:color="auto" w:frame="1"/>
        </w:rPr>
        <w:t>n</w:t>
      </w:r>
      <w:r w:rsidR="00B64B3A" w:rsidRPr="00C454A1">
        <w:rPr>
          <w:rFonts w:cs="Times New Roman"/>
          <w:color w:val="000000" w:themeColor="text1"/>
          <w:szCs w:val="28"/>
          <w:bdr w:val="none" w:sz="0" w:space="0" w:color="auto" w:frame="1"/>
        </w:rPr>
        <w:t xml:space="preserve"> elementos que evidencian su insuficiencia dada la magnitud, gravedad y carácter inusitado de los hechos. En vista de lo anterior, para la Sala, la conclusión del Gobierno nacional </w:t>
      </w:r>
      <w:r w:rsidRPr="00C454A1">
        <w:rPr>
          <w:rFonts w:cs="Times New Roman"/>
          <w:color w:val="000000" w:themeColor="text1"/>
          <w:szCs w:val="28"/>
          <w:bdr w:val="none" w:sz="0" w:space="0" w:color="auto" w:frame="1"/>
        </w:rPr>
        <w:t>sobre la insuficiencia de</w:t>
      </w:r>
      <w:r w:rsidR="00B64B3A" w:rsidRPr="00C454A1">
        <w:rPr>
          <w:rFonts w:cs="Times New Roman"/>
          <w:color w:val="000000" w:themeColor="text1"/>
          <w:szCs w:val="28"/>
          <w:bdr w:val="none" w:sz="0" w:space="0" w:color="auto" w:frame="1"/>
        </w:rPr>
        <w:t xml:space="preserve"> los medios ordinarios a su alcance al momento de expedir el Decreto Legislativo 62 de 2025 no es arbitraria ni irrazonable, de modo que supera el estándar de escrutinio del juicio de suficiencia.</w:t>
      </w:r>
    </w:p>
    <w:p w14:paraId="2CD68866" w14:textId="77777777" w:rsidR="00D07886" w:rsidRPr="00C454A1" w:rsidRDefault="00D07886" w:rsidP="00500EE6">
      <w:pPr>
        <w:rPr>
          <w:rFonts w:cs="Times New Roman"/>
          <w:color w:val="000000" w:themeColor="text1"/>
          <w:szCs w:val="28"/>
        </w:rPr>
      </w:pPr>
      <w:bookmarkStart w:id="224" w:name="_Toc190338947"/>
      <w:bookmarkStart w:id="225" w:name="_Toc190339166"/>
      <w:bookmarkStart w:id="226" w:name="_Toc190339281"/>
      <w:bookmarkStart w:id="227" w:name="_Toc190339457"/>
      <w:bookmarkEnd w:id="224"/>
      <w:bookmarkEnd w:id="225"/>
      <w:bookmarkEnd w:id="226"/>
      <w:bookmarkEnd w:id="227"/>
    </w:p>
    <w:p w14:paraId="71B31AA0" w14:textId="7DC0EFA1" w:rsidR="00500EE6" w:rsidRPr="00C454A1" w:rsidRDefault="00500EE6" w:rsidP="00381B4B">
      <w:pPr>
        <w:pStyle w:val="Prrafodelista"/>
        <w:numPr>
          <w:ilvl w:val="0"/>
          <w:numId w:val="2"/>
        </w:numPr>
        <w:shd w:val="clear" w:color="auto" w:fill="FFFFFF"/>
        <w:ind w:left="0" w:firstLine="0"/>
        <w:textAlignment w:val="baseline"/>
        <w:rPr>
          <w:rFonts w:cs="Times New Roman"/>
          <w:color w:val="000000" w:themeColor="text1"/>
          <w:szCs w:val="28"/>
          <w:bdr w:val="none" w:sz="0" w:space="0" w:color="auto" w:frame="1"/>
        </w:rPr>
      </w:pPr>
      <w:r w:rsidRPr="00C454A1">
        <w:rPr>
          <w:rFonts w:eastAsia="Aptos" w:cs="Arial"/>
          <w:color w:val="000000" w:themeColor="text1"/>
          <w:lang w:val="es-ES"/>
        </w:rPr>
        <w:t xml:space="preserve">Por las razones anteriores, esta Corte declarará la exequibilidad del Decreto Legislativo 62 de 2025 </w:t>
      </w:r>
      <w:r w:rsidRPr="00C454A1">
        <w:rPr>
          <w:rFonts w:cs="Times New Roman"/>
          <w:color w:val="000000" w:themeColor="text1"/>
          <w:szCs w:val="28"/>
          <w:bdr w:val="none" w:sz="0" w:space="0" w:color="auto" w:frame="1"/>
        </w:rPr>
        <w:t xml:space="preserve">únicamente respecto de los hechos y consideraciones relacionados con (i) la intensificación de los enfrentamientos entre el ELN y otros </w:t>
      </w:r>
      <w:r w:rsidR="00EE77DF" w:rsidRPr="00C454A1">
        <w:rPr>
          <w:rFonts w:cs="Times New Roman"/>
          <w:color w:val="000000" w:themeColor="text1"/>
          <w:szCs w:val="28"/>
          <w:bdr w:val="none" w:sz="0" w:space="0" w:color="auto" w:frame="1"/>
        </w:rPr>
        <w:t>GAO</w:t>
      </w:r>
      <w:r w:rsidRPr="00C454A1">
        <w:rPr>
          <w:rFonts w:cs="Times New Roman"/>
          <w:color w:val="000000" w:themeColor="text1"/>
          <w:szCs w:val="28"/>
          <w:bdr w:val="none" w:sz="0" w:space="0" w:color="auto" w:frame="1"/>
        </w:rPr>
        <w:t xml:space="preserve">, así como los ataques y hostilidades dirigidos de forma indiscriminada contra la población civil y los firmantes del </w:t>
      </w:r>
      <w:r w:rsidR="004A58D4" w:rsidRPr="00C454A1">
        <w:rPr>
          <w:rFonts w:cs="Times New Roman"/>
          <w:color w:val="000000" w:themeColor="text1"/>
          <w:szCs w:val="28"/>
          <w:bdr w:val="none" w:sz="0" w:space="0" w:color="auto" w:frame="1"/>
        </w:rPr>
        <w:t>AFP</w:t>
      </w:r>
      <w:r w:rsidRPr="00C454A1">
        <w:rPr>
          <w:rFonts w:cs="Times New Roman"/>
          <w:color w:val="000000" w:themeColor="text1"/>
          <w:szCs w:val="28"/>
          <w:bdr w:val="none" w:sz="0" w:space="0" w:color="auto" w:frame="1"/>
        </w:rPr>
        <w:t xml:space="preserve"> y (ii) la crisis humanitaria derivada de desplazamientos forzados -internos y transfronterizos- y confinamientos masivos que ha desbordado la capacidad institucional del Estado para atenderla. Esto significa que la decisión de exequibilidad solamente cobija aquellas medidas que sean necesarias para el fortalecimiento de la fuerza pública, la atención humanitaria, los derechos y garantías fundamentales de la población civil, y la financiación para esos propósitos específicos, de conformidad con los términos de esta providencia.</w:t>
      </w:r>
    </w:p>
    <w:p w14:paraId="56EF0CDF" w14:textId="77777777" w:rsidR="00500EE6" w:rsidRPr="00C454A1" w:rsidRDefault="00500EE6" w:rsidP="00500EE6">
      <w:pPr>
        <w:pStyle w:val="Prrafodelista"/>
        <w:shd w:val="clear" w:color="auto" w:fill="FFFFFF"/>
        <w:tabs>
          <w:tab w:val="left" w:pos="1964"/>
        </w:tabs>
        <w:ind w:left="0"/>
        <w:textAlignment w:val="baseline"/>
        <w:rPr>
          <w:rFonts w:cs="Times New Roman"/>
          <w:color w:val="000000" w:themeColor="text1"/>
          <w:szCs w:val="28"/>
          <w:bdr w:val="none" w:sz="0" w:space="0" w:color="auto" w:frame="1"/>
        </w:rPr>
      </w:pPr>
    </w:p>
    <w:p w14:paraId="0B66B013" w14:textId="3BEBF7A9" w:rsidR="00500EE6" w:rsidRPr="00C454A1" w:rsidRDefault="00500EE6" w:rsidP="00381B4B">
      <w:pPr>
        <w:pStyle w:val="Prrafodelista"/>
        <w:numPr>
          <w:ilvl w:val="0"/>
          <w:numId w:val="2"/>
        </w:numPr>
        <w:shd w:val="clear" w:color="auto" w:fill="FFFFFF"/>
        <w:ind w:left="0" w:firstLine="0"/>
        <w:textAlignment w:val="baseline"/>
        <w:rPr>
          <w:rFonts w:cs="Times New Roman"/>
          <w:color w:val="000000" w:themeColor="text1"/>
          <w:szCs w:val="28"/>
          <w:bdr w:val="none" w:sz="0" w:space="0" w:color="auto" w:frame="1"/>
        </w:rPr>
      </w:pPr>
      <w:r w:rsidRPr="00C454A1">
        <w:rPr>
          <w:rFonts w:eastAsia="Aptos" w:cs="Arial"/>
          <w:color w:val="000000" w:themeColor="text1"/>
          <w:lang w:val="es-ES"/>
        </w:rPr>
        <w:t xml:space="preserve">En contraste, la Sala declarará la inexequibilidad del referido decreto </w:t>
      </w:r>
      <w:r w:rsidRPr="00C454A1">
        <w:rPr>
          <w:rFonts w:cs="Times New Roman"/>
          <w:color w:val="000000" w:themeColor="text1"/>
          <w:szCs w:val="28"/>
          <w:lang w:eastAsia="es-ES"/>
        </w:rPr>
        <w:t xml:space="preserve">respecto de los hechos y consideraciones relacionados con (i) la presencia histórica del ELN, los </w:t>
      </w:r>
      <w:r w:rsidR="00EE77DF" w:rsidRPr="00C454A1">
        <w:rPr>
          <w:rFonts w:cs="Times New Roman"/>
          <w:color w:val="000000" w:themeColor="text1"/>
          <w:szCs w:val="28"/>
          <w:lang w:eastAsia="es-ES"/>
        </w:rPr>
        <w:t>GAO</w:t>
      </w:r>
      <w:r w:rsidRPr="00C454A1">
        <w:rPr>
          <w:rFonts w:cs="Times New Roman"/>
          <w:color w:val="000000" w:themeColor="text1"/>
          <w:szCs w:val="28"/>
          <w:lang w:eastAsia="es-ES"/>
        </w:rPr>
        <w:t xml:space="preserve"> y GDO, (ii) la concentración de cultivos ilícitos, (iii)</w:t>
      </w:r>
      <w:r w:rsidRPr="00C454A1">
        <w:rPr>
          <w:rFonts w:cs="Times New Roman"/>
          <w:b/>
          <w:bCs/>
          <w:color w:val="000000" w:themeColor="text1"/>
          <w:szCs w:val="28"/>
        </w:rPr>
        <w:t xml:space="preserve"> </w:t>
      </w:r>
      <w:r w:rsidRPr="00C454A1">
        <w:rPr>
          <w:rFonts w:cs="Times New Roman"/>
          <w:color w:val="000000" w:themeColor="text1"/>
          <w:szCs w:val="28"/>
          <w:lang w:eastAsia="es-ES"/>
        </w:rPr>
        <w:t>las deficiencias e incumplimientos en la implementación del PNIS, (iv) las necesidades básicas insatisfechas de la población por insuficiencia en la política social y (v) los daños a la infraestructura energética y vial, así como las afectaciones a las operaciones del sector de hidrocarburos.</w:t>
      </w:r>
    </w:p>
    <w:p w14:paraId="08D4478C" w14:textId="77777777" w:rsidR="00F20FD2" w:rsidRPr="00C454A1" w:rsidRDefault="00F20FD2" w:rsidP="00F20FD2">
      <w:pPr>
        <w:pStyle w:val="Prrafodelista"/>
        <w:rPr>
          <w:rFonts w:cs="Times New Roman"/>
          <w:color w:val="000000" w:themeColor="text1"/>
          <w:szCs w:val="28"/>
          <w:bdr w:val="none" w:sz="0" w:space="0" w:color="auto" w:frame="1"/>
        </w:rPr>
      </w:pPr>
    </w:p>
    <w:p w14:paraId="6478C96D" w14:textId="20516F18" w:rsidR="00F20FD2" w:rsidRPr="00C454A1" w:rsidRDefault="00F20FD2" w:rsidP="00381B4B">
      <w:pPr>
        <w:pStyle w:val="Prrafodelista"/>
        <w:numPr>
          <w:ilvl w:val="0"/>
          <w:numId w:val="2"/>
        </w:numPr>
        <w:shd w:val="clear" w:color="auto" w:fill="FFFFFF"/>
        <w:ind w:left="0" w:firstLine="0"/>
        <w:textAlignment w:val="baseline"/>
        <w:rPr>
          <w:rFonts w:cs="Times New Roman"/>
          <w:color w:val="000000" w:themeColor="text1"/>
          <w:szCs w:val="28"/>
          <w:bdr w:val="none" w:sz="0" w:space="0" w:color="auto" w:frame="1"/>
        </w:rPr>
      </w:pPr>
      <w:r w:rsidRPr="00C454A1">
        <w:rPr>
          <w:rFonts w:cs="Times New Roman"/>
          <w:color w:val="000000" w:themeColor="text1"/>
          <w:szCs w:val="28"/>
          <w:bdr w:val="none" w:sz="0" w:space="0" w:color="auto" w:frame="1"/>
        </w:rPr>
        <w:t xml:space="preserve">Esta decisión no redefine ni flexibiliza los estándares constitucionales </w:t>
      </w:r>
      <w:r w:rsidR="000A7627" w:rsidRPr="00C454A1">
        <w:rPr>
          <w:rFonts w:cs="Times New Roman"/>
          <w:color w:val="000000" w:themeColor="text1"/>
          <w:szCs w:val="28"/>
          <w:bdr w:val="none" w:sz="0" w:space="0" w:color="auto" w:frame="1"/>
        </w:rPr>
        <w:t>aplicables a</w:t>
      </w:r>
      <w:r w:rsidRPr="00C454A1">
        <w:rPr>
          <w:rFonts w:cs="Times New Roman"/>
          <w:color w:val="000000" w:themeColor="text1"/>
          <w:szCs w:val="28"/>
          <w:bdr w:val="none" w:sz="0" w:space="0" w:color="auto" w:frame="1"/>
        </w:rPr>
        <w:t xml:space="preserve"> los estados de excepción, </w:t>
      </w:r>
      <w:r w:rsidR="00DC4B88" w:rsidRPr="00C454A1">
        <w:rPr>
          <w:rFonts w:cs="Times New Roman"/>
          <w:color w:val="000000" w:themeColor="text1"/>
          <w:szCs w:val="28"/>
          <w:bdr w:val="none" w:sz="0" w:space="0" w:color="auto" w:frame="1"/>
        </w:rPr>
        <w:t>por el contrario,</w:t>
      </w:r>
      <w:r w:rsidRPr="00C454A1">
        <w:rPr>
          <w:rFonts w:cs="Times New Roman"/>
          <w:color w:val="000000" w:themeColor="text1"/>
          <w:szCs w:val="28"/>
          <w:bdr w:val="none" w:sz="0" w:space="0" w:color="auto" w:frame="1"/>
        </w:rPr>
        <w:t xml:space="preserve"> los reafirma</w:t>
      </w:r>
      <w:r w:rsidR="00EF1AE6" w:rsidRPr="00C454A1">
        <w:rPr>
          <w:rFonts w:cs="Times New Roman"/>
          <w:color w:val="000000" w:themeColor="text1"/>
          <w:szCs w:val="28"/>
          <w:bdr w:val="none" w:sz="0" w:space="0" w:color="auto" w:frame="1"/>
        </w:rPr>
        <w:t>.</w:t>
      </w:r>
      <w:r w:rsidRPr="00C454A1">
        <w:rPr>
          <w:rFonts w:cs="Times New Roman"/>
          <w:color w:val="000000" w:themeColor="text1"/>
          <w:szCs w:val="28"/>
          <w:bdr w:val="none" w:sz="0" w:space="0" w:color="auto" w:frame="1"/>
        </w:rPr>
        <w:t xml:space="preserve"> </w:t>
      </w:r>
      <w:r w:rsidR="00EF1AE6" w:rsidRPr="00C454A1">
        <w:rPr>
          <w:rFonts w:cs="Times New Roman"/>
          <w:color w:val="000000" w:themeColor="text1"/>
          <w:szCs w:val="28"/>
          <w:bdr w:val="none" w:sz="0" w:space="0" w:color="auto" w:frame="1"/>
        </w:rPr>
        <w:t>E</w:t>
      </w:r>
      <w:r w:rsidRPr="00C454A1">
        <w:rPr>
          <w:rFonts w:cs="Times New Roman"/>
          <w:color w:val="000000" w:themeColor="text1"/>
          <w:szCs w:val="28"/>
          <w:bdr w:val="none" w:sz="0" w:space="0" w:color="auto" w:frame="1"/>
        </w:rPr>
        <w:t>n particular</w:t>
      </w:r>
      <w:r w:rsidR="00EF1AE6" w:rsidRPr="00C454A1">
        <w:rPr>
          <w:rFonts w:cs="Times New Roman"/>
          <w:color w:val="000000" w:themeColor="text1"/>
          <w:szCs w:val="28"/>
          <w:bdr w:val="none" w:sz="0" w:space="0" w:color="auto" w:frame="1"/>
        </w:rPr>
        <w:t>, reitera</w:t>
      </w:r>
      <w:r w:rsidRPr="00C454A1">
        <w:rPr>
          <w:rFonts w:cs="Times New Roman"/>
          <w:color w:val="000000" w:themeColor="text1"/>
          <w:szCs w:val="28"/>
          <w:bdr w:val="none" w:sz="0" w:space="0" w:color="auto" w:frame="1"/>
        </w:rPr>
        <w:t xml:space="preserve"> las siguientes </w:t>
      </w:r>
      <w:r w:rsidR="00EF1AE6" w:rsidRPr="00C454A1">
        <w:rPr>
          <w:rFonts w:cs="Times New Roman"/>
          <w:color w:val="000000" w:themeColor="text1"/>
          <w:szCs w:val="28"/>
          <w:bdr w:val="none" w:sz="0" w:space="0" w:color="auto" w:frame="1"/>
        </w:rPr>
        <w:t>sub</w:t>
      </w:r>
      <w:r w:rsidRPr="00C454A1">
        <w:rPr>
          <w:rFonts w:cs="Times New Roman"/>
          <w:color w:val="000000" w:themeColor="text1"/>
          <w:szCs w:val="28"/>
          <w:bdr w:val="none" w:sz="0" w:space="0" w:color="auto" w:frame="1"/>
        </w:rPr>
        <w:t xml:space="preserve">reglas: (i) la anormalidad institucional no se presume; (ii) </w:t>
      </w:r>
      <w:r w:rsidR="003E52B3" w:rsidRPr="00C454A1">
        <w:rPr>
          <w:rFonts w:cs="Times New Roman"/>
          <w:color w:val="000000" w:themeColor="text1"/>
          <w:szCs w:val="28"/>
          <w:bdr w:val="none" w:sz="0" w:space="0" w:color="auto" w:frame="1"/>
        </w:rPr>
        <w:t xml:space="preserve">en relación con </w:t>
      </w:r>
      <w:r w:rsidR="00EF1AE6" w:rsidRPr="00C454A1">
        <w:rPr>
          <w:rFonts w:cs="Times New Roman"/>
          <w:color w:val="000000" w:themeColor="text1"/>
          <w:szCs w:val="28"/>
          <w:bdr w:val="none" w:sz="0" w:space="0" w:color="auto" w:frame="1"/>
        </w:rPr>
        <w:t>el</w:t>
      </w:r>
      <w:r w:rsidR="003E52B3" w:rsidRPr="00C454A1">
        <w:rPr>
          <w:rFonts w:cs="Times New Roman"/>
          <w:color w:val="000000" w:themeColor="text1"/>
          <w:szCs w:val="28"/>
          <w:bdr w:val="none" w:sz="0" w:space="0" w:color="auto" w:frame="1"/>
        </w:rPr>
        <w:t xml:space="preserve"> presupu</w:t>
      </w:r>
      <w:r w:rsidR="004660E5" w:rsidRPr="00C454A1">
        <w:rPr>
          <w:rFonts w:cs="Times New Roman"/>
          <w:color w:val="000000" w:themeColor="text1"/>
          <w:szCs w:val="28"/>
          <w:bdr w:val="none" w:sz="0" w:space="0" w:color="auto" w:frame="1"/>
        </w:rPr>
        <w:t>e</w:t>
      </w:r>
      <w:r w:rsidR="003E52B3" w:rsidRPr="00C454A1">
        <w:rPr>
          <w:rFonts w:cs="Times New Roman"/>
          <w:color w:val="000000" w:themeColor="text1"/>
          <w:szCs w:val="28"/>
          <w:bdr w:val="none" w:sz="0" w:space="0" w:color="auto" w:frame="1"/>
        </w:rPr>
        <w:t xml:space="preserve">sto valorativo, </w:t>
      </w:r>
      <w:r w:rsidRPr="00C454A1">
        <w:rPr>
          <w:rFonts w:cs="Times New Roman"/>
          <w:color w:val="000000" w:themeColor="text1"/>
          <w:szCs w:val="28"/>
          <w:bdr w:val="none" w:sz="0" w:space="0" w:color="auto" w:frame="1"/>
        </w:rPr>
        <w:t xml:space="preserve">los problemas estructurales, por graves y persistentes que sean, no habilitan </w:t>
      </w:r>
      <w:r w:rsidR="00EF1AE6" w:rsidRPr="00C454A1">
        <w:rPr>
          <w:rFonts w:cs="Times New Roman"/>
          <w:color w:val="000000" w:themeColor="text1"/>
          <w:szCs w:val="28"/>
          <w:bdr w:val="none" w:sz="0" w:space="0" w:color="auto" w:frame="1"/>
        </w:rPr>
        <w:t xml:space="preserve">por sí mismos </w:t>
      </w:r>
      <w:r w:rsidR="003E52B3" w:rsidRPr="00C454A1">
        <w:rPr>
          <w:rFonts w:cs="Times New Roman"/>
          <w:color w:val="000000" w:themeColor="text1"/>
          <w:szCs w:val="28"/>
          <w:bdr w:val="none" w:sz="0" w:space="0" w:color="auto" w:frame="1"/>
        </w:rPr>
        <w:t>la declaración de un</w:t>
      </w:r>
      <w:r w:rsidRPr="00C454A1">
        <w:rPr>
          <w:rFonts w:cs="Times New Roman"/>
          <w:color w:val="000000" w:themeColor="text1"/>
          <w:szCs w:val="28"/>
          <w:bdr w:val="none" w:sz="0" w:space="0" w:color="auto" w:frame="1"/>
        </w:rPr>
        <w:t xml:space="preserve"> estado de excepción</w:t>
      </w:r>
      <w:r w:rsidR="003E52B3" w:rsidRPr="00C454A1">
        <w:rPr>
          <w:rFonts w:cs="Times New Roman"/>
          <w:color w:val="000000" w:themeColor="text1"/>
          <w:szCs w:val="28"/>
          <w:bdr w:val="none" w:sz="0" w:space="0" w:color="auto" w:frame="1"/>
        </w:rPr>
        <w:t>; para que proceda el régimen de excepcionalidad constitucional se requiere que tales perturbaciones del orden público adquieran un carácter extraordinario</w:t>
      </w:r>
      <w:r w:rsidR="00EF1AE6" w:rsidRPr="00C454A1">
        <w:rPr>
          <w:rFonts w:cs="Times New Roman"/>
          <w:color w:val="000000" w:themeColor="text1"/>
          <w:szCs w:val="28"/>
          <w:bdr w:val="none" w:sz="0" w:space="0" w:color="auto" w:frame="1"/>
        </w:rPr>
        <w:t>,</w:t>
      </w:r>
      <w:r w:rsidR="003E52B3" w:rsidRPr="00C454A1">
        <w:rPr>
          <w:rFonts w:cs="Times New Roman"/>
          <w:color w:val="000000" w:themeColor="text1"/>
          <w:szCs w:val="28"/>
          <w:bdr w:val="none" w:sz="0" w:space="0" w:color="auto" w:frame="1"/>
        </w:rPr>
        <w:t xml:space="preserve"> </w:t>
      </w:r>
      <w:r w:rsidR="004660E5" w:rsidRPr="00C454A1">
        <w:rPr>
          <w:rFonts w:cs="Times New Roman"/>
          <w:color w:val="000000" w:themeColor="text1"/>
          <w:szCs w:val="28"/>
          <w:bdr w:val="none" w:sz="0" w:space="0" w:color="auto" w:frame="1"/>
        </w:rPr>
        <w:t>tal y como se ha analizado</w:t>
      </w:r>
      <w:r w:rsidR="003E52B3" w:rsidRPr="00C454A1">
        <w:rPr>
          <w:rFonts w:cs="Times New Roman"/>
          <w:color w:val="000000" w:themeColor="text1"/>
          <w:szCs w:val="28"/>
          <w:bdr w:val="none" w:sz="0" w:space="0" w:color="auto" w:frame="1"/>
        </w:rPr>
        <w:t xml:space="preserve"> en este fallo</w:t>
      </w:r>
      <w:r w:rsidRPr="00C454A1">
        <w:rPr>
          <w:rFonts w:cs="Times New Roman"/>
          <w:color w:val="000000" w:themeColor="text1"/>
          <w:szCs w:val="28"/>
          <w:bdr w:val="none" w:sz="0" w:space="0" w:color="auto" w:frame="1"/>
        </w:rPr>
        <w:t xml:space="preserve">; y (iii) la exequibilidad parcial </w:t>
      </w:r>
      <w:r w:rsidR="003E52B3" w:rsidRPr="00C454A1">
        <w:rPr>
          <w:rFonts w:cs="Times New Roman"/>
          <w:color w:val="000000" w:themeColor="text1"/>
          <w:szCs w:val="28"/>
          <w:bdr w:val="none" w:sz="0" w:space="0" w:color="auto" w:frame="1"/>
        </w:rPr>
        <w:t>que se de</w:t>
      </w:r>
      <w:r w:rsidR="00EF1AE6" w:rsidRPr="00C454A1">
        <w:rPr>
          <w:rFonts w:cs="Times New Roman"/>
          <w:color w:val="000000" w:themeColor="text1"/>
          <w:szCs w:val="28"/>
          <w:bdr w:val="none" w:sz="0" w:space="0" w:color="auto" w:frame="1"/>
        </w:rPr>
        <w:t>cl</w:t>
      </w:r>
      <w:r w:rsidR="003E52B3" w:rsidRPr="00C454A1">
        <w:rPr>
          <w:rFonts w:cs="Times New Roman"/>
          <w:color w:val="000000" w:themeColor="text1"/>
          <w:szCs w:val="28"/>
          <w:bdr w:val="none" w:sz="0" w:space="0" w:color="auto" w:frame="1"/>
        </w:rPr>
        <w:t xml:space="preserve">ara en </w:t>
      </w:r>
      <w:r w:rsidR="004660E5" w:rsidRPr="00C454A1">
        <w:rPr>
          <w:rFonts w:cs="Times New Roman"/>
          <w:color w:val="000000" w:themeColor="text1"/>
          <w:szCs w:val="28"/>
          <w:bdr w:val="none" w:sz="0" w:space="0" w:color="auto" w:frame="1"/>
        </w:rPr>
        <w:t>esta sentencia</w:t>
      </w:r>
      <w:r w:rsidR="003E52B3" w:rsidRPr="00C454A1">
        <w:rPr>
          <w:rFonts w:cs="Times New Roman"/>
          <w:color w:val="000000" w:themeColor="text1"/>
          <w:szCs w:val="28"/>
          <w:bdr w:val="none" w:sz="0" w:space="0" w:color="auto" w:frame="1"/>
        </w:rPr>
        <w:t xml:space="preserve"> cobija</w:t>
      </w:r>
      <w:r w:rsidRPr="00C454A1">
        <w:rPr>
          <w:rFonts w:cs="Times New Roman"/>
          <w:color w:val="000000" w:themeColor="text1"/>
          <w:szCs w:val="28"/>
          <w:bdr w:val="none" w:sz="0" w:space="0" w:color="auto" w:frame="1"/>
        </w:rPr>
        <w:t xml:space="preserve"> </w:t>
      </w:r>
      <w:r w:rsidR="00EF1AE6" w:rsidRPr="00C454A1">
        <w:rPr>
          <w:rFonts w:cs="Times New Roman"/>
          <w:color w:val="000000" w:themeColor="text1"/>
          <w:szCs w:val="28"/>
          <w:bdr w:val="none" w:sz="0" w:space="0" w:color="auto" w:frame="1"/>
        </w:rPr>
        <w:t>únicamente</w:t>
      </w:r>
      <w:r w:rsidRPr="00C454A1">
        <w:rPr>
          <w:rFonts w:cs="Times New Roman"/>
          <w:color w:val="000000" w:themeColor="text1"/>
          <w:szCs w:val="28"/>
          <w:bdr w:val="none" w:sz="0" w:space="0" w:color="auto" w:frame="1"/>
        </w:rPr>
        <w:t xml:space="preserve"> un conjunto acotado de hechos graves y extraordinarios con coordenadas temporales y territoriales precisas, cuya intensidad produjo un desbordamiento institucional inmediato</w:t>
      </w:r>
      <w:r w:rsidR="003E52B3" w:rsidRPr="00C454A1">
        <w:rPr>
          <w:rFonts w:cs="Times New Roman"/>
          <w:color w:val="000000" w:themeColor="text1"/>
          <w:szCs w:val="28"/>
          <w:bdr w:val="none" w:sz="0" w:space="0" w:color="auto" w:frame="1"/>
        </w:rPr>
        <w:t xml:space="preserve">. Asimismo, la Sala recuerda que </w:t>
      </w:r>
      <w:r w:rsidR="000A7627" w:rsidRPr="00C454A1">
        <w:rPr>
          <w:rFonts w:cs="Times New Roman"/>
          <w:color w:val="000000" w:themeColor="text1"/>
          <w:szCs w:val="28"/>
          <w:bdr w:val="none" w:sz="0" w:space="0" w:color="auto" w:frame="1"/>
        </w:rPr>
        <w:t xml:space="preserve">la declaración de excequibilidad </w:t>
      </w:r>
      <w:r w:rsidR="00EF1AE6" w:rsidRPr="00C454A1">
        <w:rPr>
          <w:rFonts w:cs="Times New Roman"/>
          <w:color w:val="000000" w:themeColor="text1"/>
          <w:szCs w:val="28"/>
          <w:bdr w:val="none" w:sz="0" w:space="0" w:color="auto" w:frame="1"/>
        </w:rPr>
        <w:t>pa</w:t>
      </w:r>
      <w:r w:rsidR="000A7627" w:rsidRPr="00C454A1">
        <w:rPr>
          <w:rFonts w:cs="Times New Roman"/>
          <w:color w:val="000000" w:themeColor="text1"/>
          <w:szCs w:val="28"/>
          <w:bdr w:val="none" w:sz="0" w:space="0" w:color="auto" w:frame="1"/>
        </w:rPr>
        <w:t xml:space="preserve">rcial solamente habilita al Gobierno nacional </w:t>
      </w:r>
      <w:r w:rsidR="00EF1AE6" w:rsidRPr="00C454A1">
        <w:rPr>
          <w:rFonts w:cs="Times New Roman"/>
          <w:color w:val="000000" w:themeColor="text1"/>
          <w:szCs w:val="28"/>
          <w:bdr w:val="none" w:sz="0" w:space="0" w:color="auto" w:frame="1"/>
        </w:rPr>
        <w:t>para</w:t>
      </w:r>
      <w:r w:rsidR="000A7627" w:rsidRPr="00C454A1">
        <w:rPr>
          <w:rFonts w:cs="Times New Roman"/>
          <w:color w:val="000000" w:themeColor="text1"/>
          <w:szCs w:val="28"/>
          <w:bdr w:val="none" w:sz="0" w:space="0" w:color="auto" w:frame="1"/>
        </w:rPr>
        <w:t xml:space="preserve"> adoptar medidas </w:t>
      </w:r>
      <w:r w:rsidR="00EF1AE6" w:rsidRPr="00C454A1">
        <w:rPr>
          <w:rFonts w:cs="Times New Roman"/>
          <w:color w:val="000000" w:themeColor="text1"/>
          <w:szCs w:val="28"/>
          <w:bdr w:val="none" w:sz="0" w:space="0" w:color="auto" w:frame="1"/>
        </w:rPr>
        <w:t>dirigidas a</w:t>
      </w:r>
      <w:r w:rsidR="000A7627" w:rsidRPr="00C454A1">
        <w:rPr>
          <w:rFonts w:cs="Times New Roman"/>
          <w:color w:val="000000" w:themeColor="text1"/>
          <w:szCs w:val="28"/>
          <w:bdr w:val="none" w:sz="0" w:space="0" w:color="auto" w:frame="1"/>
        </w:rPr>
        <w:t xml:space="preserve"> conjurar las manifestaciones graves y extraordinarias de l</w:t>
      </w:r>
      <w:r w:rsidR="00EF1AE6" w:rsidRPr="00C454A1">
        <w:rPr>
          <w:rFonts w:cs="Times New Roman"/>
          <w:color w:val="000000" w:themeColor="text1"/>
          <w:szCs w:val="28"/>
          <w:bdr w:val="none" w:sz="0" w:space="0" w:color="auto" w:frame="1"/>
        </w:rPr>
        <w:t>os</w:t>
      </w:r>
      <w:r w:rsidR="000A7627" w:rsidRPr="00C454A1">
        <w:rPr>
          <w:rFonts w:cs="Times New Roman"/>
          <w:color w:val="000000" w:themeColor="text1"/>
          <w:szCs w:val="28"/>
          <w:bdr w:val="none" w:sz="0" w:space="0" w:color="auto" w:frame="1"/>
        </w:rPr>
        <w:t xml:space="preserve"> problemas que aquejan a la región del Catatumbo, de manera que la resolución de sus causas y dimensiones e</w:t>
      </w:r>
      <w:r w:rsidR="00EF1AE6" w:rsidRPr="00C454A1">
        <w:rPr>
          <w:rFonts w:cs="Times New Roman"/>
          <w:color w:val="000000" w:themeColor="text1"/>
          <w:szCs w:val="28"/>
          <w:bdr w:val="none" w:sz="0" w:space="0" w:color="auto" w:frame="1"/>
        </w:rPr>
        <w:t>s</w:t>
      </w:r>
      <w:r w:rsidR="000A7627" w:rsidRPr="00C454A1">
        <w:rPr>
          <w:rFonts w:cs="Times New Roman"/>
          <w:color w:val="000000" w:themeColor="text1"/>
          <w:szCs w:val="28"/>
          <w:bdr w:val="none" w:sz="0" w:space="0" w:color="auto" w:frame="1"/>
        </w:rPr>
        <w:t xml:space="preserve">tructurales </w:t>
      </w:r>
      <w:r w:rsidR="00EF1AE6" w:rsidRPr="00C454A1">
        <w:rPr>
          <w:rFonts w:cs="Times New Roman"/>
          <w:color w:val="000000" w:themeColor="text1"/>
          <w:szCs w:val="28"/>
          <w:bdr w:val="none" w:sz="0" w:space="0" w:color="auto" w:frame="1"/>
        </w:rPr>
        <w:t>continúa</w:t>
      </w:r>
      <w:r w:rsidR="000A7627" w:rsidRPr="00C454A1">
        <w:rPr>
          <w:rFonts w:cs="Times New Roman"/>
          <w:color w:val="000000" w:themeColor="text1"/>
          <w:szCs w:val="28"/>
          <w:bdr w:val="none" w:sz="0" w:space="0" w:color="auto" w:frame="1"/>
        </w:rPr>
        <w:t xml:space="preserve"> siendo de la órbita de los poderes ordinarios de las autoridades.</w:t>
      </w:r>
    </w:p>
    <w:p w14:paraId="310C3F5D" w14:textId="77777777" w:rsidR="00BE62EA" w:rsidRPr="00C454A1" w:rsidRDefault="00BE62EA" w:rsidP="00631C27">
      <w:pPr>
        <w:rPr>
          <w:rFonts w:cs="Times New Roman"/>
          <w:color w:val="000000" w:themeColor="text1"/>
          <w:szCs w:val="28"/>
        </w:rPr>
      </w:pPr>
    </w:p>
    <w:p w14:paraId="3D3B886C" w14:textId="77777777" w:rsidR="00D07886" w:rsidRPr="00C454A1" w:rsidRDefault="00D07886" w:rsidP="00631C27">
      <w:pPr>
        <w:pStyle w:val="Prrafodelista"/>
        <w:widowControl w:val="0"/>
        <w:numPr>
          <w:ilvl w:val="0"/>
          <w:numId w:val="1"/>
        </w:numPr>
        <w:ind w:left="0" w:firstLine="0"/>
        <w:outlineLvl w:val="0"/>
        <w:rPr>
          <w:rFonts w:cs="Times New Roman"/>
          <w:b/>
          <w:bCs/>
          <w:iCs/>
          <w:color w:val="000000" w:themeColor="text1"/>
          <w:szCs w:val="28"/>
          <w:lang w:eastAsia="es-ES"/>
        </w:rPr>
      </w:pPr>
      <w:bookmarkStart w:id="228" w:name="_Toc190338950"/>
      <w:bookmarkStart w:id="229" w:name="_Toc190339284"/>
      <w:bookmarkStart w:id="230" w:name="_Toc223979962"/>
      <w:r w:rsidRPr="00C454A1">
        <w:rPr>
          <w:rFonts w:cs="Times New Roman"/>
          <w:b/>
          <w:bCs/>
          <w:iCs/>
          <w:color w:val="000000" w:themeColor="text1"/>
          <w:szCs w:val="28"/>
          <w:lang w:eastAsia="es-ES"/>
        </w:rPr>
        <w:t>DECISIÓN</w:t>
      </w:r>
      <w:bookmarkEnd w:id="228"/>
      <w:bookmarkEnd w:id="229"/>
      <w:bookmarkEnd w:id="230"/>
    </w:p>
    <w:p w14:paraId="2FED6922" w14:textId="77777777" w:rsidR="00D07886" w:rsidRPr="00C454A1" w:rsidRDefault="00D07886" w:rsidP="00631C27">
      <w:pPr>
        <w:rPr>
          <w:rFonts w:cs="Times New Roman"/>
          <w:color w:val="000000" w:themeColor="text1"/>
          <w:szCs w:val="28"/>
        </w:rPr>
      </w:pPr>
      <w:r w:rsidRPr="00C454A1">
        <w:rPr>
          <w:rFonts w:cs="Times New Roman"/>
          <w:b/>
          <w:bCs/>
          <w:color w:val="000000" w:themeColor="text1"/>
          <w:szCs w:val="28"/>
        </w:rPr>
        <w:t> </w:t>
      </w:r>
    </w:p>
    <w:p w14:paraId="41E70548" w14:textId="33E58207" w:rsidR="00D07886" w:rsidRPr="00C454A1" w:rsidRDefault="00D07886" w:rsidP="00631C27">
      <w:pPr>
        <w:rPr>
          <w:rFonts w:cs="Times New Roman"/>
          <w:color w:val="000000" w:themeColor="text1"/>
          <w:szCs w:val="28"/>
        </w:rPr>
      </w:pPr>
      <w:r w:rsidRPr="00C454A1">
        <w:rPr>
          <w:rFonts w:cs="Times New Roman"/>
          <w:color w:val="000000" w:themeColor="text1"/>
          <w:szCs w:val="28"/>
        </w:rPr>
        <w:lastRenderedPageBreak/>
        <w:t xml:space="preserve">En mérito de lo expuesto, la Sala Plena de la Corte Constitucional, </w:t>
      </w:r>
      <w:r w:rsidR="00120451" w:rsidRPr="00C454A1">
        <w:rPr>
          <w:rFonts w:cs="Times New Roman"/>
          <w:color w:val="000000" w:themeColor="text1"/>
          <w:szCs w:val="28"/>
        </w:rPr>
        <w:t>administrando justicia en nombre de la República de Colombia y por autoridad de la ley</w:t>
      </w:r>
      <w:r w:rsidRPr="00C454A1">
        <w:rPr>
          <w:rFonts w:cs="Times New Roman"/>
          <w:color w:val="000000" w:themeColor="text1"/>
          <w:szCs w:val="28"/>
        </w:rPr>
        <w:t>,</w:t>
      </w:r>
    </w:p>
    <w:p w14:paraId="56C28361" w14:textId="77777777" w:rsidR="00D07886" w:rsidRPr="00C454A1" w:rsidRDefault="00D07886" w:rsidP="00631C27">
      <w:pPr>
        <w:rPr>
          <w:rFonts w:cs="Times New Roman"/>
          <w:color w:val="000000" w:themeColor="text1"/>
          <w:szCs w:val="28"/>
        </w:rPr>
      </w:pPr>
      <w:r w:rsidRPr="00C454A1">
        <w:rPr>
          <w:rFonts w:cs="Times New Roman"/>
          <w:color w:val="000000" w:themeColor="text1"/>
          <w:szCs w:val="28"/>
        </w:rPr>
        <w:t> </w:t>
      </w:r>
    </w:p>
    <w:p w14:paraId="7F371379" w14:textId="77777777" w:rsidR="00D07886" w:rsidRPr="00C454A1" w:rsidRDefault="00D07886" w:rsidP="00631C27">
      <w:pPr>
        <w:jc w:val="center"/>
        <w:rPr>
          <w:rFonts w:cs="Times New Roman"/>
          <w:color w:val="000000" w:themeColor="text1"/>
          <w:szCs w:val="28"/>
        </w:rPr>
      </w:pPr>
      <w:r w:rsidRPr="00C454A1">
        <w:rPr>
          <w:rFonts w:cs="Times New Roman"/>
          <w:b/>
          <w:bCs/>
          <w:color w:val="000000" w:themeColor="text1"/>
          <w:szCs w:val="28"/>
        </w:rPr>
        <w:t>RESUELVE</w:t>
      </w:r>
    </w:p>
    <w:p w14:paraId="7EF31718" w14:textId="77777777" w:rsidR="00D07886" w:rsidRPr="00C454A1" w:rsidRDefault="00D07886" w:rsidP="00631C27">
      <w:pPr>
        <w:rPr>
          <w:rFonts w:cs="Times New Roman"/>
          <w:color w:val="000000" w:themeColor="text1"/>
          <w:szCs w:val="28"/>
        </w:rPr>
      </w:pPr>
      <w:r w:rsidRPr="00C454A1">
        <w:rPr>
          <w:rFonts w:cs="Times New Roman"/>
          <w:b/>
          <w:bCs/>
          <w:color w:val="000000" w:themeColor="text1"/>
          <w:szCs w:val="28"/>
        </w:rPr>
        <w:t> </w:t>
      </w:r>
      <w:r w:rsidRPr="00C454A1">
        <w:rPr>
          <w:rFonts w:cs="Times New Roman"/>
          <w:b/>
          <w:bCs/>
          <w:color w:val="000000" w:themeColor="text1"/>
          <w:szCs w:val="28"/>
          <w:bdr w:val="none" w:sz="0" w:space="0" w:color="auto" w:frame="1"/>
        </w:rPr>
        <w:t>  </w:t>
      </w:r>
    </w:p>
    <w:p w14:paraId="322CD2AD" w14:textId="6688E921" w:rsidR="00D07886" w:rsidRPr="00C454A1" w:rsidRDefault="00D07886" w:rsidP="00797327">
      <w:pPr>
        <w:shd w:val="clear" w:color="auto" w:fill="FFFFFF"/>
        <w:tabs>
          <w:tab w:val="left" w:pos="1964"/>
        </w:tabs>
        <w:textAlignment w:val="baseline"/>
        <w:rPr>
          <w:rFonts w:cs="Times New Roman"/>
          <w:b/>
          <w:bCs/>
          <w:color w:val="000000" w:themeColor="text1"/>
          <w:szCs w:val="28"/>
          <w:bdr w:val="none" w:sz="0" w:space="0" w:color="auto" w:frame="1"/>
        </w:rPr>
      </w:pPr>
      <w:r w:rsidRPr="00C454A1">
        <w:rPr>
          <w:rFonts w:cs="Times New Roman"/>
          <w:b/>
          <w:bCs/>
          <w:color w:val="000000" w:themeColor="text1"/>
          <w:szCs w:val="28"/>
          <w:bdr w:val="none" w:sz="0" w:space="0" w:color="auto" w:frame="1"/>
        </w:rPr>
        <w:t>PRIMERO.</w:t>
      </w:r>
      <w:r w:rsidRPr="00C454A1">
        <w:rPr>
          <w:rFonts w:cs="Times New Roman"/>
          <w:color w:val="000000" w:themeColor="text1"/>
          <w:szCs w:val="28"/>
          <w:bdr w:val="none" w:sz="0" w:space="0" w:color="auto" w:frame="1"/>
        </w:rPr>
        <w:t xml:space="preserve"> </w:t>
      </w:r>
      <w:r w:rsidR="00797327" w:rsidRPr="00C454A1">
        <w:rPr>
          <w:rFonts w:cs="Times New Roman"/>
          <w:color w:val="000000" w:themeColor="text1"/>
          <w:szCs w:val="28"/>
          <w:bdr w:val="none" w:sz="0" w:space="0" w:color="auto" w:frame="1"/>
        </w:rPr>
        <w:t xml:space="preserve">Declarar la </w:t>
      </w:r>
      <w:r w:rsidR="00797327" w:rsidRPr="00C454A1">
        <w:rPr>
          <w:rFonts w:cs="Times New Roman"/>
          <w:b/>
          <w:bCs/>
          <w:color w:val="000000" w:themeColor="text1"/>
          <w:szCs w:val="28"/>
          <w:bdr w:val="none" w:sz="0" w:space="0" w:color="auto" w:frame="1"/>
        </w:rPr>
        <w:t>EXEQUIBILIDAD</w:t>
      </w:r>
      <w:r w:rsidR="00797327" w:rsidRPr="00C454A1">
        <w:rPr>
          <w:rFonts w:cs="Times New Roman"/>
          <w:color w:val="000000" w:themeColor="text1"/>
          <w:szCs w:val="28"/>
          <w:bdr w:val="none" w:sz="0" w:space="0" w:color="auto" w:frame="1"/>
        </w:rPr>
        <w:t xml:space="preserve"> del Decreto Legislativo 62 del 24 de enero de 2025, “Por el cual se decreta el estado de conmoción interior en la región del Catatumbo, los municipios del área metropolitana de Cúcuta y los municipios de Río de Oro y González del departamento del Cesar”, únicamente respecto de los hechos y consideraciones relacionados con (i) la intensificación de los enfrentamientos entre el ELN y otros </w:t>
      </w:r>
      <w:r w:rsidR="00EE77DF" w:rsidRPr="00C454A1">
        <w:rPr>
          <w:rFonts w:cs="Times New Roman"/>
          <w:color w:val="000000" w:themeColor="text1"/>
          <w:szCs w:val="28"/>
          <w:bdr w:val="none" w:sz="0" w:space="0" w:color="auto" w:frame="1"/>
        </w:rPr>
        <w:t>GAO</w:t>
      </w:r>
      <w:r w:rsidR="00797327" w:rsidRPr="00C454A1">
        <w:rPr>
          <w:rFonts w:cs="Times New Roman"/>
          <w:color w:val="000000" w:themeColor="text1"/>
          <w:szCs w:val="28"/>
          <w:bdr w:val="none" w:sz="0" w:space="0" w:color="auto" w:frame="1"/>
        </w:rPr>
        <w:t>, así como los ataques y hostilidades dirigidos de forma indiscriminada contra la población civil y los firmantes del Acuerdo Final de Paz con las FARC y (ii) la crisis humanitaria derivada de desplazamientos forzados -internos y transfronterizos- y confinamientos masivos que ha desbordado la capacidad institucional del Estado para atenderla. Esta decisión solo incluye aquellas medidas que sean necesarias para el fortalecimiento de la fuerza pública, la atención humanitaria, los derechos y garantías fundamentales de la población civil, y la financiación para esos propósitos específicos, de conformidad con los términos de esta providencia.</w:t>
      </w:r>
    </w:p>
    <w:p w14:paraId="11591110" w14:textId="77777777" w:rsidR="00797327" w:rsidRPr="00C454A1" w:rsidRDefault="00797327" w:rsidP="00797327">
      <w:pPr>
        <w:shd w:val="clear" w:color="auto" w:fill="FFFFFF"/>
        <w:tabs>
          <w:tab w:val="left" w:pos="1964"/>
        </w:tabs>
        <w:textAlignment w:val="baseline"/>
        <w:rPr>
          <w:rFonts w:cs="Times New Roman"/>
          <w:bCs/>
          <w:color w:val="000000" w:themeColor="text1"/>
          <w:szCs w:val="28"/>
          <w:bdr w:val="none" w:sz="0" w:space="0" w:color="auto" w:frame="1"/>
        </w:rPr>
      </w:pPr>
    </w:p>
    <w:p w14:paraId="6F601498" w14:textId="2D6495EB" w:rsidR="005D0BFA" w:rsidRPr="00C454A1" w:rsidRDefault="00D07886" w:rsidP="00631C27">
      <w:pPr>
        <w:shd w:val="clear" w:color="auto" w:fill="FFFFFF"/>
        <w:ind w:right="51"/>
        <w:textAlignment w:val="baseline"/>
        <w:rPr>
          <w:rFonts w:cs="Times New Roman"/>
          <w:b/>
          <w:bCs/>
          <w:color w:val="000000" w:themeColor="text1"/>
          <w:szCs w:val="28"/>
        </w:rPr>
      </w:pPr>
      <w:r w:rsidRPr="00C454A1">
        <w:rPr>
          <w:rFonts w:cs="Times New Roman"/>
          <w:b/>
          <w:bCs/>
          <w:color w:val="000000" w:themeColor="text1"/>
          <w:szCs w:val="28"/>
          <w:bdr w:val="none" w:sz="0" w:space="0" w:color="auto" w:frame="1"/>
        </w:rPr>
        <w:t>SEGUNDO.</w:t>
      </w:r>
      <w:r w:rsidR="00E5191E" w:rsidRPr="00C454A1">
        <w:rPr>
          <w:rFonts w:cs="Times New Roman"/>
          <w:b/>
          <w:bCs/>
          <w:color w:val="000000" w:themeColor="text1"/>
          <w:szCs w:val="28"/>
          <w:bdr w:val="none" w:sz="0" w:space="0" w:color="auto" w:frame="1"/>
        </w:rPr>
        <w:t xml:space="preserve"> </w:t>
      </w:r>
      <w:r w:rsidR="005D0BFA" w:rsidRPr="00C454A1">
        <w:rPr>
          <w:rFonts w:cs="Times New Roman"/>
          <w:color w:val="000000" w:themeColor="text1"/>
          <w:szCs w:val="28"/>
          <w:lang w:eastAsia="es-ES"/>
        </w:rPr>
        <w:t xml:space="preserve">Declarar la </w:t>
      </w:r>
      <w:r w:rsidR="005D0BFA" w:rsidRPr="00C454A1">
        <w:rPr>
          <w:rFonts w:cs="Times New Roman"/>
          <w:b/>
          <w:bCs/>
          <w:color w:val="000000" w:themeColor="text1"/>
          <w:szCs w:val="28"/>
          <w:lang w:eastAsia="es-ES"/>
        </w:rPr>
        <w:t xml:space="preserve">INEXEQUIBILIDAD </w:t>
      </w:r>
      <w:r w:rsidR="005D0BFA" w:rsidRPr="00C454A1">
        <w:rPr>
          <w:rFonts w:cs="Times New Roman"/>
          <w:color w:val="000000" w:themeColor="text1"/>
          <w:szCs w:val="28"/>
          <w:lang w:eastAsia="es-ES"/>
        </w:rPr>
        <w:t xml:space="preserve">del Decreto Legislativo 62 del 24 de enero de 2025, “Por el cual se decreta el estado de conmoción interior en la región del Catatumbo, los municipios del área metropolitana de Cúcuta y los municipios de Río de Oro y González del departamento del Cesar”, respecto de los hechos y consideraciones relacionados con (i) la presencia histórica del ELN, los </w:t>
      </w:r>
      <w:r w:rsidR="00EE77DF" w:rsidRPr="00C454A1">
        <w:rPr>
          <w:rFonts w:cs="Times New Roman"/>
          <w:color w:val="000000" w:themeColor="text1"/>
          <w:szCs w:val="28"/>
          <w:lang w:eastAsia="es-ES"/>
        </w:rPr>
        <w:t>GAO</w:t>
      </w:r>
      <w:r w:rsidR="005D0BFA" w:rsidRPr="00C454A1">
        <w:rPr>
          <w:rFonts w:cs="Times New Roman"/>
          <w:color w:val="000000" w:themeColor="text1"/>
          <w:szCs w:val="28"/>
          <w:lang w:eastAsia="es-ES"/>
        </w:rPr>
        <w:t xml:space="preserve"> y GDO, (ii) la concentración de cultivos ilícitos, (iii)</w:t>
      </w:r>
      <w:r w:rsidR="005D0BFA" w:rsidRPr="00C454A1">
        <w:rPr>
          <w:rFonts w:cs="Times New Roman"/>
          <w:b/>
          <w:bCs/>
          <w:color w:val="000000" w:themeColor="text1"/>
          <w:szCs w:val="28"/>
        </w:rPr>
        <w:t xml:space="preserve"> </w:t>
      </w:r>
      <w:r w:rsidR="005D0BFA" w:rsidRPr="00C454A1">
        <w:rPr>
          <w:rFonts w:cs="Times New Roman"/>
          <w:color w:val="000000" w:themeColor="text1"/>
          <w:szCs w:val="28"/>
          <w:lang w:eastAsia="es-ES"/>
        </w:rPr>
        <w:t>las deficiencias e incumplimientos en la implementación del PNIS, (iv) las necesidades básicas insatisfechas de la población por insuficiencia en la política social y (v) los daños a la infraestructura energética y vial, así como las afectaciones a las operaciones del sector de hidrocarburos.</w:t>
      </w:r>
    </w:p>
    <w:p w14:paraId="1494D781" w14:textId="77777777" w:rsidR="005D0BFA" w:rsidRPr="00C454A1" w:rsidRDefault="005D0BFA" w:rsidP="00631C27">
      <w:pPr>
        <w:shd w:val="clear" w:color="auto" w:fill="FFFFFF"/>
        <w:ind w:right="51"/>
        <w:textAlignment w:val="baseline"/>
        <w:rPr>
          <w:rFonts w:cs="Times New Roman"/>
          <w:color w:val="000000" w:themeColor="text1"/>
          <w:szCs w:val="28"/>
          <w:lang w:eastAsia="es-ES"/>
        </w:rPr>
      </w:pPr>
    </w:p>
    <w:p w14:paraId="255AFBCC" w14:textId="77777777" w:rsidR="00D07886" w:rsidRPr="00C454A1" w:rsidRDefault="00D07886" w:rsidP="00631C27">
      <w:pPr>
        <w:shd w:val="clear" w:color="auto" w:fill="FFFFFF"/>
        <w:textAlignment w:val="baseline"/>
        <w:rPr>
          <w:rFonts w:cs="Times New Roman"/>
          <w:color w:val="000000" w:themeColor="text1"/>
          <w:szCs w:val="28"/>
          <w:bdr w:val="none" w:sz="0" w:space="0" w:color="auto" w:frame="1"/>
        </w:rPr>
      </w:pPr>
      <w:r w:rsidRPr="00C454A1">
        <w:rPr>
          <w:rFonts w:cs="Times New Roman"/>
          <w:color w:val="000000" w:themeColor="text1"/>
          <w:szCs w:val="28"/>
          <w:bdr w:val="none" w:sz="0" w:space="0" w:color="auto" w:frame="1"/>
        </w:rPr>
        <w:t>Notifíquese, comuníquese y cúmplase,</w:t>
      </w:r>
    </w:p>
    <w:bookmarkEnd w:id="3"/>
    <w:p w14:paraId="67BF4BB8" w14:textId="77777777" w:rsidR="00B61AD1" w:rsidRPr="00C454A1" w:rsidRDefault="00B61AD1" w:rsidP="00216051">
      <w:pPr>
        <w:pStyle w:val="Prrafodelista"/>
        <w:ind w:left="0"/>
        <w:jc w:val="center"/>
        <w:rPr>
          <w:rFonts w:cs="Times New Roman"/>
          <w:color w:val="000000" w:themeColor="text1"/>
          <w:szCs w:val="28"/>
        </w:rPr>
      </w:pPr>
    </w:p>
    <w:p w14:paraId="08D0C9E8" w14:textId="77777777" w:rsidR="007A207A" w:rsidRPr="00C454A1" w:rsidRDefault="007A207A" w:rsidP="00216051">
      <w:pPr>
        <w:pStyle w:val="Prrafodelista"/>
        <w:ind w:left="0"/>
        <w:jc w:val="center"/>
        <w:rPr>
          <w:rFonts w:cs="Times New Roman"/>
          <w:color w:val="000000" w:themeColor="text1"/>
          <w:szCs w:val="28"/>
        </w:rPr>
      </w:pPr>
    </w:p>
    <w:p w14:paraId="0C3FE8DA" w14:textId="77777777" w:rsidR="007A207A" w:rsidRPr="00C454A1" w:rsidRDefault="007A207A" w:rsidP="00216051">
      <w:pPr>
        <w:pStyle w:val="Prrafodelista"/>
        <w:ind w:left="0"/>
        <w:jc w:val="center"/>
        <w:rPr>
          <w:rFonts w:cs="Times New Roman"/>
          <w:color w:val="000000" w:themeColor="text1"/>
          <w:szCs w:val="28"/>
        </w:rPr>
      </w:pPr>
    </w:p>
    <w:p w14:paraId="6D0F5F96" w14:textId="01D2E4AC"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JORGE ENRIQUE IBÁÑEZ NAJAR</w:t>
      </w:r>
    </w:p>
    <w:p w14:paraId="21CDD66D" w14:textId="70A7D395"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Presidente</w:t>
      </w:r>
    </w:p>
    <w:p w14:paraId="0F7C42AC" w14:textId="2D1674F0"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Con salvamento de voto</w:t>
      </w:r>
    </w:p>
    <w:p w14:paraId="1DF364AA" w14:textId="77777777" w:rsidR="007A207A" w:rsidRPr="00C454A1" w:rsidRDefault="007A207A" w:rsidP="00ED6726">
      <w:pPr>
        <w:pStyle w:val="Prrafodelista"/>
        <w:ind w:left="0"/>
        <w:jc w:val="center"/>
        <w:rPr>
          <w:rFonts w:cs="Times New Roman"/>
          <w:color w:val="000000" w:themeColor="text1"/>
          <w:szCs w:val="28"/>
        </w:rPr>
      </w:pPr>
    </w:p>
    <w:p w14:paraId="74840179" w14:textId="77777777" w:rsidR="007A207A" w:rsidRPr="00C454A1" w:rsidRDefault="007A207A" w:rsidP="00ED6726">
      <w:pPr>
        <w:pStyle w:val="Prrafodelista"/>
        <w:ind w:left="0"/>
        <w:jc w:val="center"/>
        <w:rPr>
          <w:rFonts w:cs="Times New Roman"/>
          <w:color w:val="000000" w:themeColor="text1"/>
          <w:szCs w:val="28"/>
        </w:rPr>
      </w:pPr>
    </w:p>
    <w:p w14:paraId="42FE4328" w14:textId="77777777" w:rsidR="007A207A" w:rsidRPr="00C454A1" w:rsidRDefault="007A207A" w:rsidP="00ED6726">
      <w:pPr>
        <w:pStyle w:val="Prrafodelista"/>
        <w:ind w:left="0"/>
        <w:jc w:val="center"/>
        <w:rPr>
          <w:rFonts w:cs="Times New Roman"/>
          <w:color w:val="000000" w:themeColor="text1"/>
          <w:szCs w:val="28"/>
        </w:rPr>
      </w:pPr>
    </w:p>
    <w:p w14:paraId="123EED83" w14:textId="132A65FA"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NATALIA ÁNGEL CABO</w:t>
      </w:r>
    </w:p>
    <w:p w14:paraId="6F0625B9" w14:textId="59E21CEC"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Magistrada</w:t>
      </w:r>
    </w:p>
    <w:p w14:paraId="0C39B462" w14:textId="77777777" w:rsidR="007A207A" w:rsidRPr="00C454A1" w:rsidRDefault="007A207A" w:rsidP="00ED6726">
      <w:pPr>
        <w:pStyle w:val="Prrafodelista"/>
        <w:ind w:left="0"/>
        <w:jc w:val="center"/>
        <w:rPr>
          <w:rFonts w:cs="Times New Roman"/>
          <w:color w:val="000000" w:themeColor="text1"/>
          <w:szCs w:val="28"/>
        </w:rPr>
      </w:pPr>
    </w:p>
    <w:p w14:paraId="05EF6489" w14:textId="77777777" w:rsidR="007A207A" w:rsidRPr="00C454A1" w:rsidRDefault="007A207A" w:rsidP="00ED6726">
      <w:pPr>
        <w:pStyle w:val="Prrafodelista"/>
        <w:ind w:left="0"/>
        <w:jc w:val="center"/>
        <w:rPr>
          <w:rFonts w:cs="Times New Roman"/>
          <w:color w:val="000000" w:themeColor="text1"/>
          <w:szCs w:val="28"/>
        </w:rPr>
      </w:pPr>
    </w:p>
    <w:p w14:paraId="641673B1" w14:textId="77777777" w:rsidR="007A207A" w:rsidRPr="00C454A1" w:rsidRDefault="007A207A" w:rsidP="00ED6726">
      <w:pPr>
        <w:pStyle w:val="Prrafodelista"/>
        <w:ind w:left="0"/>
        <w:jc w:val="center"/>
        <w:rPr>
          <w:rFonts w:cs="Times New Roman"/>
          <w:color w:val="000000" w:themeColor="text1"/>
          <w:szCs w:val="28"/>
        </w:rPr>
      </w:pPr>
    </w:p>
    <w:p w14:paraId="684F21C5" w14:textId="3ECF822B"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lastRenderedPageBreak/>
        <w:t>JUAN CARLOS CORTÉS GONZÁLEZ</w:t>
      </w:r>
    </w:p>
    <w:p w14:paraId="63749993" w14:textId="0B349A23"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Magistrado</w:t>
      </w:r>
    </w:p>
    <w:p w14:paraId="46414096" w14:textId="77777777" w:rsidR="007A207A" w:rsidRPr="00C454A1" w:rsidRDefault="007A207A" w:rsidP="00ED6726">
      <w:pPr>
        <w:pStyle w:val="Prrafodelista"/>
        <w:ind w:left="0"/>
        <w:jc w:val="center"/>
        <w:rPr>
          <w:rFonts w:cs="Times New Roman"/>
          <w:color w:val="000000" w:themeColor="text1"/>
          <w:szCs w:val="28"/>
        </w:rPr>
      </w:pPr>
    </w:p>
    <w:p w14:paraId="4B01F121" w14:textId="77777777" w:rsidR="007A207A" w:rsidRPr="00C454A1" w:rsidRDefault="007A207A" w:rsidP="00ED6726">
      <w:pPr>
        <w:pStyle w:val="Prrafodelista"/>
        <w:ind w:left="0"/>
        <w:jc w:val="center"/>
        <w:rPr>
          <w:rFonts w:cs="Times New Roman"/>
          <w:color w:val="000000" w:themeColor="text1"/>
          <w:szCs w:val="28"/>
        </w:rPr>
      </w:pPr>
    </w:p>
    <w:p w14:paraId="361BFB7E" w14:textId="77777777" w:rsidR="007A207A" w:rsidRPr="00C454A1" w:rsidRDefault="007A207A" w:rsidP="00ED6726">
      <w:pPr>
        <w:pStyle w:val="Prrafodelista"/>
        <w:ind w:left="0"/>
        <w:jc w:val="center"/>
        <w:rPr>
          <w:rFonts w:cs="Times New Roman"/>
          <w:color w:val="000000" w:themeColor="text1"/>
          <w:szCs w:val="28"/>
        </w:rPr>
      </w:pPr>
    </w:p>
    <w:p w14:paraId="5F73D477" w14:textId="79AAC8F2"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DIANA FAJARDO RIVERA</w:t>
      </w:r>
    </w:p>
    <w:p w14:paraId="29FF39EC" w14:textId="3F5DE5C1"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Magistrada</w:t>
      </w:r>
    </w:p>
    <w:p w14:paraId="6D69510B" w14:textId="77777777" w:rsidR="007A207A" w:rsidRPr="00C454A1" w:rsidRDefault="007A207A" w:rsidP="00ED6726">
      <w:pPr>
        <w:pStyle w:val="Prrafodelista"/>
        <w:ind w:left="0"/>
        <w:jc w:val="center"/>
        <w:rPr>
          <w:rFonts w:cs="Times New Roman"/>
          <w:color w:val="000000" w:themeColor="text1"/>
          <w:szCs w:val="28"/>
        </w:rPr>
      </w:pPr>
    </w:p>
    <w:p w14:paraId="30D0BC92" w14:textId="77777777" w:rsidR="007A207A" w:rsidRPr="00C454A1" w:rsidRDefault="007A207A" w:rsidP="00ED6726">
      <w:pPr>
        <w:pStyle w:val="Prrafodelista"/>
        <w:ind w:left="0"/>
        <w:jc w:val="center"/>
        <w:rPr>
          <w:rFonts w:cs="Times New Roman"/>
          <w:color w:val="000000" w:themeColor="text1"/>
          <w:szCs w:val="28"/>
        </w:rPr>
      </w:pPr>
    </w:p>
    <w:p w14:paraId="520EEC4A" w14:textId="77777777" w:rsidR="007A207A" w:rsidRPr="00C454A1" w:rsidRDefault="007A207A" w:rsidP="00ED6726">
      <w:pPr>
        <w:pStyle w:val="Prrafodelista"/>
        <w:ind w:left="0"/>
        <w:jc w:val="center"/>
        <w:rPr>
          <w:rFonts w:cs="Times New Roman"/>
          <w:color w:val="000000" w:themeColor="text1"/>
          <w:szCs w:val="28"/>
        </w:rPr>
      </w:pPr>
    </w:p>
    <w:p w14:paraId="59144F4F" w14:textId="7B338122"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VLADIMIR FERNÁNDEZ ANDRADE</w:t>
      </w:r>
    </w:p>
    <w:p w14:paraId="3107E803" w14:textId="175C7875"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Magistrado</w:t>
      </w:r>
    </w:p>
    <w:p w14:paraId="04FE1770" w14:textId="77777777" w:rsidR="007A207A" w:rsidRPr="00C454A1" w:rsidRDefault="007A207A" w:rsidP="00ED6726">
      <w:pPr>
        <w:pStyle w:val="Prrafodelista"/>
        <w:ind w:left="0"/>
        <w:jc w:val="center"/>
        <w:rPr>
          <w:rFonts w:cs="Times New Roman"/>
          <w:color w:val="000000" w:themeColor="text1"/>
          <w:szCs w:val="28"/>
        </w:rPr>
      </w:pPr>
    </w:p>
    <w:p w14:paraId="7F2B0941" w14:textId="77777777" w:rsidR="007A207A" w:rsidRPr="00C454A1" w:rsidRDefault="007A207A" w:rsidP="00ED6726">
      <w:pPr>
        <w:pStyle w:val="Prrafodelista"/>
        <w:ind w:left="0"/>
        <w:jc w:val="center"/>
        <w:rPr>
          <w:rFonts w:cs="Times New Roman"/>
          <w:color w:val="000000" w:themeColor="text1"/>
          <w:szCs w:val="28"/>
        </w:rPr>
      </w:pPr>
    </w:p>
    <w:p w14:paraId="2A1F4454" w14:textId="77777777" w:rsidR="007A207A" w:rsidRPr="00C454A1" w:rsidRDefault="007A207A" w:rsidP="00ED6726">
      <w:pPr>
        <w:pStyle w:val="Prrafodelista"/>
        <w:ind w:left="0"/>
        <w:jc w:val="center"/>
        <w:rPr>
          <w:rFonts w:cs="Times New Roman"/>
          <w:color w:val="000000" w:themeColor="text1"/>
          <w:szCs w:val="28"/>
        </w:rPr>
      </w:pPr>
    </w:p>
    <w:p w14:paraId="2D7F5F15" w14:textId="0A6F6D73"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PAOLA ANDREA MENESES MOSQUERA</w:t>
      </w:r>
    </w:p>
    <w:p w14:paraId="26512BC9" w14:textId="130977CB"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Magistrada</w:t>
      </w:r>
    </w:p>
    <w:p w14:paraId="7BDD9B3F" w14:textId="7F99A99B"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Con salvamento de voto</w:t>
      </w:r>
    </w:p>
    <w:p w14:paraId="5D7F3FB4" w14:textId="77777777" w:rsidR="007A207A" w:rsidRPr="00C454A1" w:rsidRDefault="007A207A" w:rsidP="00ED6726">
      <w:pPr>
        <w:pStyle w:val="Prrafodelista"/>
        <w:ind w:left="0"/>
        <w:jc w:val="center"/>
        <w:rPr>
          <w:rFonts w:cs="Times New Roman"/>
          <w:color w:val="000000" w:themeColor="text1"/>
          <w:szCs w:val="28"/>
        </w:rPr>
      </w:pPr>
    </w:p>
    <w:p w14:paraId="3FD749C0" w14:textId="77777777" w:rsidR="007A207A" w:rsidRPr="00C454A1" w:rsidRDefault="007A207A" w:rsidP="00ED6726">
      <w:pPr>
        <w:pStyle w:val="Prrafodelista"/>
        <w:ind w:left="0"/>
        <w:jc w:val="center"/>
        <w:rPr>
          <w:rFonts w:cs="Times New Roman"/>
          <w:color w:val="000000" w:themeColor="text1"/>
          <w:szCs w:val="28"/>
        </w:rPr>
      </w:pPr>
    </w:p>
    <w:p w14:paraId="2C84E0A7" w14:textId="77777777" w:rsidR="007A207A" w:rsidRPr="00C454A1" w:rsidRDefault="007A207A" w:rsidP="00ED6726">
      <w:pPr>
        <w:pStyle w:val="Prrafodelista"/>
        <w:ind w:left="0"/>
        <w:jc w:val="center"/>
        <w:rPr>
          <w:rFonts w:cs="Times New Roman"/>
          <w:color w:val="000000" w:themeColor="text1"/>
          <w:szCs w:val="28"/>
        </w:rPr>
      </w:pPr>
    </w:p>
    <w:p w14:paraId="32162815" w14:textId="170C8838"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CRISTINA PARDO SCHLESINGER</w:t>
      </w:r>
    </w:p>
    <w:p w14:paraId="2958995C" w14:textId="47001C3D"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Magistrada</w:t>
      </w:r>
    </w:p>
    <w:p w14:paraId="430AA197" w14:textId="77777777" w:rsidR="007A207A" w:rsidRPr="00C454A1" w:rsidRDefault="007A207A" w:rsidP="00ED6726">
      <w:pPr>
        <w:pStyle w:val="Prrafodelista"/>
        <w:ind w:left="0"/>
        <w:jc w:val="center"/>
        <w:rPr>
          <w:rFonts w:cs="Times New Roman"/>
          <w:color w:val="000000" w:themeColor="text1"/>
          <w:szCs w:val="28"/>
        </w:rPr>
      </w:pPr>
    </w:p>
    <w:p w14:paraId="575EF929" w14:textId="77777777" w:rsidR="007A207A" w:rsidRPr="00C454A1" w:rsidRDefault="007A207A" w:rsidP="00ED6726">
      <w:pPr>
        <w:pStyle w:val="Prrafodelista"/>
        <w:ind w:left="0"/>
        <w:jc w:val="center"/>
        <w:rPr>
          <w:rFonts w:cs="Times New Roman"/>
          <w:color w:val="000000" w:themeColor="text1"/>
          <w:szCs w:val="28"/>
        </w:rPr>
      </w:pPr>
    </w:p>
    <w:p w14:paraId="41CD9D99" w14:textId="77777777" w:rsidR="007A207A" w:rsidRPr="00C454A1" w:rsidRDefault="007A207A" w:rsidP="00ED6726">
      <w:pPr>
        <w:pStyle w:val="Prrafodelista"/>
        <w:ind w:left="0"/>
        <w:jc w:val="center"/>
        <w:rPr>
          <w:rFonts w:cs="Times New Roman"/>
          <w:color w:val="000000" w:themeColor="text1"/>
          <w:szCs w:val="28"/>
        </w:rPr>
      </w:pPr>
    </w:p>
    <w:p w14:paraId="430878D8" w14:textId="3710C19F"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MIGUEL POLO ROSERO</w:t>
      </w:r>
    </w:p>
    <w:p w14:paraId="5F1943DF" w14:textId="674D988D"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Magistrado</w:t>
      </w:r>
    </w:p>
    <w:p w14:paraId="603C19B3" w14:textId="77777777" w:rsidR="007A207A" w:rsidRPr="00C454A1" w:rsidRDefault="007A207A" w:rsidP="00ED6726">
      <w:pPr>
        <w:pStyle w:val="Prrafodelista"/>
        <w:ind w:left="0"/>
        <w:jc w:val="center"/>
        <w:rPr>
          <w:rFonts w:cs="Times New Roman"/>
          <w:color w:val="000000" w:themeColor="text1"/>
          <w:szCs w:val="28"/>
        </w:rPr>
      </w:pPr>
    </w:p>
    <w:p w14:paraId="72735FEB" w14:textId="77777777" w:rsidR="007A207A" w:rsidRPr="00C454A1" w:rsidRDefault="007A207A" w:rsidP="00ED6726">
      <w:pPr>
        <w:pStyle w:val="Prrafodelista"/>
        <w:ind w:left="0"/>
        <w:jc w:val="center"/>
        <w:rPr>
          <w:rFonts w:cs="Times New Roman"/>
          <w:color w:val="000000" w:themeColor="text1"/>
          <w:szCs w:val="28"/>
        </w:rPr>
      </w:pPr>
    </w:p>
    <w:p w14:paraId="0DD1736E" w14:textId="77777777" w:rsidR="007A207A" w:rsidRPr="00C454A1" w:rsidRDefault="007A207A" w:rsidP="00ED6726">
      <w:pPr>
        <w:pStyle w:val="Prrafodelista"/>
        <w:ind w:left="0"/>
        <w:jc w:val="center"/>
        <w:rPr>
          <w:rFonts w:cs="Times New Roman"/>
          <w:color w:val="000000" w:themeColor="text1"/>
          <w:szCs w:val="28"/>
        </w:rPr>
      </w:pPr>
    </w:p>
    <w:p w14:paraId="462C396C" w14:textId="29A3B934"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JOSE FERNANDO REYES CUARTAS</w:t>
      </w:r>
    </w:p>
    <w:p w14:paraId="65857239" w14:textId="4B7BE3AD"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Magistrado</w:t>
      </w:r>
    </w:p>
    <w:p w14:paraId="153260ED" w14:textId="48BD1A45"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Con salvamento de voto</w:t>
      </w:r>
    </w:p>
    <w:p w14:paraId="124E1563" w14:textId="77777777" w:rsidR="007A207A" w:rsidRPr="00C454A1" w:rsidRDefault="007A207A" w:rsidP="00ED6726">
      <w:pPr>
        <w:pStyle w:val="Prrafodelista"/>
        <w:ind w:left="0"/>
        <w:jc w:val="center"/>
        <w:rPr>
          <w:rFonts w:cs="Times New Roman"/>
          <w:color w:val="000000" w:themeColor="text1"/>
          <w:szCs w:val="28"/>
        </w:rPr>
      </w:pPr>
    </w:p>
    <w:p w14:paraId="3D3DC074" w14:textId="77777777" w:rsidR="007A207A" w:rsidRPr="00C454A1" w:rsidRDefault="007A207A" w:rsidP="00ED6726">
      <w:pPr>
        <w:pStyle w:val="Prrafodelista"/>
        <w:ind w:left="0"/>
        <w:jc w:val="center"/>
        <w:rPr>
          <w:rFonts w:cs="Times New Roman"/>
          <w:color w:val="000000" w:themeColor="text1"/>
          <w:szCs w:val="28"/>
        </w:rPr>
      </w:pPr>
    </w:p>
    <w:p w14:paraId="5B6B5D8A" w14:textId="77777777" w:rsidR="007A207A" w:rsidRPr="00C454A1" w:rsidRDefault="007A207A" w:rsidP="00ED6726">
      <w:pPr>
        <w:pStyle w:val="Prrafodelista"/>
        <w:ind w:left="0"/>
        <w:jc w:val="center"/>
        <w:rPr>
          <w:rFonts w:cs="Times New Roman"/>
          <w:color w:val="000000" w:themeColor="text1"/>
          <w:szCs w:val="28"/>
        </w:rPr>
      </w:pPr>
    </w:p>
    <w:p w14:paraId="2505F099" w14:textId="6FEBE091" w:rsidR="00ED6726" w:rsidRPr="00C454A1"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ANDREA LILIANA ROMERO LOPEZ</w:t>
      </w:r>
    </w:p>
    <w:p w14:paraId="3CAB9438" w14:textId="4BB5BDEF" w:rsidR="00ED6726" w:rsidRDefault="00ED6726" w:rsidP="00ED6726">
      <w:pPr>
        <w:pStyle w:val="Prrafodelista"/>
        <w:ind w:left="0"/>
        <w:jc w:val="center"/>
        <w:rPr>
          <w:rFonts w:cs="Times New Roman"/>
          <w:color w:val="000000" w:themeColor="text1"/>
          <w:szCs w:val="28"/>
        </w:rPr>
      </w:pPr>
      <w:r w:rsidRPr="00C454A1">
        <w:rPr>
          <w:rFonts w:cs="Times New Roman"/>
          <w:color w:val="000000" w:themeColor="text1"/>
          <w:szCs w:val="28"/>
        </w:rPr>
        <w:t>Secretaria General</w:t>
      </w:r>
    </w:p>
    <w:p w14:paraId="16444AF9" w14:textId="19511827" w:rsidR="007E07A6" w:rsidRDefault="007E07A6" w:rsidP="00ED6726">
      <w:pPr>
        <w:pStyle w:val="Prrafodelista"/>
        <w:ind w:left="0"/>
        <w:jc w:val="center"/>
        <w:rPr>
          <w:rFonts w:cs="Times New Roman"/>
          <w:color w:val="000000" w:themeColor="text1"/>
          <w:szCs w:val="28"/>
        </w:rPr>
      </w:pPr>
    </w:p>
    <w:p w14:paraId="57184F08" w14:textId="5ABF6E24" w:rsidR="007E07A6" w:rsidRDefault="007E07A6" w:rsidP="00ED6726">
      <w:pPr>
        <w:pStyle w:val="Prrafodelista"/>
        <w:ind w:left="0"/>
        <w:jc w:val="center"/>
        <w:rPr>
          <w:rFonts w:cs="Times New Roman"/>
          <w:color w:val="000000" w:themeColor="text1"/>
          <w:szCs w:val="28"/>
        </w:rPr>
      </w:pPr>
    </w:p>
    <w:p w14:paraId="7CF1506A" w14:textId="77777777" w:rsidR="007E07A6" w:rsidRPr="00C454A1" w:rsidRDefault="007E07A6" w:rsidP="00ED6726">
      <w:pPr>
        <w:pStyle w:val="Prrafodelista"/>
        <w:ind w:left="0"/>
        <w:jc w:val="center"/>
        <w:rPr>
          <w:rFonts w:cs="Times New Roman"/>
          <w:color w:val="000000" w:themeColor="text1"/>
          <w:szCs w:val="28"/>
        </w:rPr>
      </w:pPr>
    </w:p>
    <w:p w14:paraId="3A77CFA5" w14:textId="77777777" w:rsidR="00C454A1" w:rsidRDefault="007A207A" w:rsidP="00C454A1">
      <w:pPr>
        <w:jc w:val="center"/>
        <w:rPr>
          <w:rFonts w:cs="Times New Roman"/>
          <w:szCs w:val="28"/>
        </w:rPr>
        <w:sectPr w:rsidR="00C454A1" w:rsidSect="00BA6497">
          <w:type w:val="continuous"/>
          <w:pgSz w:w="12242" w:h="18700"/>
          <w:pgMar w:top="1276" w:right="1701" w:bottom="1701" w:left="1701" w:header="737" w:footer="709" w:gutter="0"/>
          <w:cols w:space="708"/>
          <w:titlePg/>
          <w:docGrid w:linePitch="360"/>
        </w:sectPr>
      </w:pPr>
      <w:r>
        <w:rPr>
          <w:rFonts w:cs="Times New Roman"/>
          <w:szCs w:val="28"/>
        </w:rPr>
        <w:br w:type="page"/>
      </w:r>
    </w:p>
    <w:p w14:paraId="00843CD5" w14:textId="77777777" w:rsidR="00C454A1" w:rsidRPr="00833016" w:rsidRDefault="00C454A1" w:rsidP="00881E6A">
      <w:pPr>
        <w:ind w:right="272"/>
        <w:jc w:val="center"/>
        <w:rPr>
          <w:rFonts w:cs="Times New Roman"/>
          <w:b/>
          <w:lang w:val="es-ES"/>
        </w:rPr>
      </w:pPr>
      <w:r>
        <w:rPr>
          <w:rFonts w:cs="Times New Roman"/>
          <w:b/>
          <w:lang w:val="es-ES"/>
        </w:rPr>
        <w:lastRenderedPageBreak/>
        <w:t>ANEXO I: s</w:t>
      </w:r>
      <w:r w:rsidRPr="00833016">
        <w:rPr>
          <w:rFonts w:cs="Times New Roman"/>
          <w:b/>
          <w:lang w:val="es-ES"/>
        </w:rPr>
        <w:t>íntesis de las pruebas</w:t>
      </w:r>
      <w:r>
        <w:rPr>
          <w:rStyle w:val="Refdenotaalpie"/>
          <w:rFonts w:cs="Times New Roman"/>
          <w:b/>
          <w:lang w:val="es-ES"/>
        </w:rPr>
        <w:footnoteReference w:id="455"/>
      </w:r>
    </w:p>
    <w:p w14:paraId="6C1E54F9" w14:textId="77777777" w:rsidR="00C454A1" w:rsidRPr="00833016" w:rsidRDefault="00C454A1" w:rsidP="00881E6A">
      <w:pPr>
        <w:ind w:right="272"/>
        <w:rPr>
          <w:rFonts w:cs="Times New Roman"/>
          <w:b/>
          <w:lang w:val="es-ES"/>
        </w:rPr>
      </w:pPr>
    </w:p>
    <w:tbl>
      <w:tblPr>
        <w:tblStyle w:val="Tablaconcuadrcula"/>
        <w:tblW w:w="5000" w:type="pct"/>
        <w:tblLook w:val="04A0" w:firstRow="1" w:lastRow="0" w:firstColumn="1" w:lastColumn="0" w:noHBand="0" w:noVBand="1"/>
      </w:tblPr>
      <w:tblGrid>
        <w:gridCol w:w="1956"/>
        <w:gridCol w:w="13757"/>
      </w:tblGrid>
      <w:tr w:rsidR="00C454A1" w:rsidRPr="00833016" w14:paraId="4B709AC1" w14:textId="77777777" w:rsidTr="005F4A6F">
        <w:trPr>
          <w:trHeight w:val="300"/>
        </w:trPr>
        <w:tc>
          <w:tcPr>
            <w:tcW w:w="642" w:type="pct"/>
            <w:shd w:val="clear" w:color="auto" w:fill="BFBFBF" w:themeFill="background1" w:themeFillShade="BF"/>
          </w:tcPr>
          <w:p w14:paraId="62AECAFE" w14:textId="77777777" w:rsidR="00C454A1" w:rsidRPr="00833016" w:rsidRDefault="00C454A1" w:rsidP="00881E6A">
            <w:pPr>
              <w:ind w:right="272"/>
              <w:jc w:val="center"/>
              <w:rPr>
                <w:rFonts w:cs="Times New Roman"/>
                <w:b/>
                <w:lang w:val="es-ES"/>
              </w:rPr>
            </w:pPr>
            <w:r w:rsidRPr="00833016">
              <w:rPr>
                <w:rFonts w:cs="Times New Roman"/>
                <w:b/>
                <w:lang w:val="es-ES"/>
              </w:rPr>
              <w:t>Entidad</w:t>
            </w:r>
          </w:p>
        </w:tc>
        <w:tc>
          <w:tcPr>
            <w:tcW w:w="4358" w:type="pct"/>
            <w:shd w:val="clear" w:color="auto" w:fill="BFBFBF" w:themeFill="background1" w:themeFillShade="BF"/>
          </w:tcPr>
          <w:p w14:paraId="66AE6549" w14:textId="77777777" w:rsidR="00C454A1" w:rsidRPr="00833016" w:rsidRDefault="00C454A1" w:rsidP="00881E6A">
            <w:pPr>
              <w:ind w:right="272"/>
              <w:jc w:val="center"/>
              <w:rPr>
                <w:rFonts w:cs="Times New Roman"/>
                <w:b/>
                <w:lang w:val="es-ES"/>
              </w:rPr>
            </w:pPr>
            <w:r w:rsidRPr="00833016">
              <w:rPr>
                <w:rFonts w:cs="Times New Roman"/>
                <w:b/>
                <w:lang w:val="es-ES"/>
              </w:rPr>
              <w:t>Síntesis</w:t>
            </w:r>
          </w:p>
        </w:tc>
      </w:tr>
      <w:tr w:rsidR="00C454A1" w:rsidRPr="00F8202F" w14:paraId="059ACE85" w14:textId="77777777" w:rsidTr="005F4A6F">
        <w:trPr>
          <w:trHeight w:val="300"/>
        </w:trPr>
        <w:tc>
          <w:tcPr>
            <w:tcW w:w="642" w:type="pct"/>
            <w:vAlign w:val="center"/>
          </w:tcPr>
          <w:p w14:paraId="39EDB3E8" w14:textId="77777777" w:rsidR="00C454A1" w:rsidRPr="00833016" w:rsidRDefault="00C454A1" w:rsidP="00881E6A">
            <w:pPr>
              <w:ind w:right="272"/>
              <w:jc w:val="center"/>
              <w:rPr>
                <w:rFonts w:cs="Times New Roman"/>
                <w:lang w:val="es-ES"/>
              </w:rPr>
            </w:pPr>
            <w:r w:rsidRPr="00833016">
              <w:rPr>
                <w:rFonts w:eastAsia="Times New Roman" w:cs="Times New Roman"/>
                <w:lang w:val="es-ES"/>
              </w:rPr>
              <w:t>Departamento Administrativo de la Presidencia de la República (DAPRE)</w:t>
            </w:r>
          </w:p>
        </w:tc>
        <w:tc>
          <w:tcPr>
            <w:tcW w:w="4358" w:type="pct"/>
          </w:tcPr>
          <w:p w14:paraId="6F1BA44B" w14:textId="77777777" w:rsidR="00C454A1" w:rsidRPr="00833016" w:rsidRDefault="00C454A1" w:rsidP="00881E6A">
            <w:pPr>
              <w:ind w:right="272"/>
              <w:rPr>
                <w:rFonts w:eastAsia="Times New Roman" w:cs="Times New Roman"/>
                <w:lang w:val="es-ES"/>
              </w:rPr>
            </w:pPr>
            <w:r w:rsidRPr="00833016">
              <w:rPr>
                <w:rFonts w:eastAsia="Times New Roman" w:cs="Times New Roman"/>
                <w:lang w:val="es-ES"/>
              </w:rPr>
              <w:t>El DAPRE remitió la siguiente información en relación con los interrogantes planteados en el auto de pruebas respecto de cada uno de los presupuestos:</w:t>
            </w:r>
          </w:p>
          <w:p w14:paraId="127AC95C" w14:textId="77777777" w:rsidR="00C454A1" w:rsidRPr="00833016" w:rsidRDefault="00C454A1" w:rsidP="00881E6A">
            <w:pPr>
              <w:ind w:right="272"/>
              <w:rPr>
                <w:rFonts w:eastAsia="Times New Roman" w:cs="Times New Roman"/>
                <w:lang w:val="es-ES"/>
              </w:rPr>
            </w:pPr>
            <w:r w:rsidRPr="00833016">
              <w:rPr>
                <w:rFonts w:eastAsia="Times New Roman" w:cs="Times New Roman"/>
                <w:lang w:val="es-ES"/>
              </w:rPr>
              <w:t xml:space="preserve"> </w:t>
            </w:r>
          </w:p>
          <w:p w14:paraId="0B8B887F" w14:textId="77777777" w:rsidR="00C454A1" w:rsidRPr="00833016" w:rsidRDefault="00C454A1" w:rsidP="00881E6A">
            <w:pPr>
              <w:ind w:right="272"/>
              <w:rPr>
                <w:rFonts w:eastAsia="Times New Roman" w:cs="Times New Roman"/>
                <w:lang w:val="es-ES"/>
              </w:rPr>
            </w:pPr>
            <w:r w:rsidRPr="00833016">
              <w:rPr>
                <w:rFonts w:eastAsia="Times New Roman" w:cs="Times New Roman"/>
                <w:b/>
                <w:i/>
                <w:lang w:val="es-ES"/>
              </w:rPr>
              <w:t>Presupuestos formales</w:t>
            </w:r>
            <w:r w:rsidRPr="00833016">
              <w:rPr>
                <w:rFonts w:eastAsia="Times New Roman" w:cs="Times New Roman"/>
                <w:b/>
                <w:lang w:val="es-ES"/>
              </w:rPr>
              <w:t xml:space="preserve">. </w:t>
            </w:r>
            <w:r w:rsidRPr="00833016">
              <w:rPr>
                <w:rFonts w:eastAsia="Times New Roman" w:cs="Times New Roman"/>
                <w:lang w:val="es-ES"/>
              </w:rPr>
              <w:t>De un lado, la entidad indicó que, el 24 de enero de 2025, la Misión Permanente de Colombia ante la OEA le informó a la Secretaría General de dicha organización sobre la declaratoria del estado de conmoción interior</w:t>
            </w:r>
            <w:r w:rsidRPr="00833016">
              <w:rPr>
                <w:rStyle w:val="Refdenotaalpie"/>
                <w:rFonts w:eastAsia="Times New Roman" w:cs="Times New Roman"/>
                <w:lang w:val="es-ES"/>
              </w:rPr>
              <w:footnoteReference w:id="456"/>
            </w:r>
            <w:r w:rsidRPr="00833016">
              <w:rPr>
                <w:rFonts w:eastAsia="Times New Roman" w:cs="Times New Roman"/>
                <w:lang w:val="es-ES"/>
              </w:rPr>
              <w:t xml:space="preserve">. En consecuencia, mediante la comunicación OEA/2.2/18/25 de 27 de enero de 2025, el Departamento de Derecho Internacional de la Secretaría de Asuntos Jurídicos de la Secretaría General de la OEA puso en conocimiento de los Estados Parte de la Convención Americana sobre Derechos Humanos (CADH) esta información, y remitió copia a la </w:t>
            </w:r>
            <w:r>
              <w:rPr>
                <w:rFonts w:eastAsia="Times New Roman" w:cs="Times New Roman"/>
                <w:lang w:val="es-ES"/>
              </w:rPr>
              <w:t>o</w:t>
            </w:r>
            <w:r w:rsidRPr="00833016">
              <w:rPr>
                <w:rFonts w:eastAsia="Times New Roman" w:cs="Times New Roman"/>
                <w:lang w:val="es-ES"/>
              </w:rPr>
              <w:t xml:space="preserve">ficina del secretario general, a la Comisión </w:t>
            </w:r>
            <w:r>
              <w:rPr>
                <w:rFonts w:eastAsia="Times New Roman" w:cs="Times New Roman"/>
                <w:lang w:val="es-ES"/>
              </w:rPr>
              <w:t>Interamericana de Derechos Humanos</w:t>
            </w:r>
            <w:r w:rsidRPr="00833016">
              <w:rPr>
                <w:rFonts w:eastAsia="Times New Roman" w:cs="Times New Roman"/>
                <w:lang w:val="es-ES"/>
              </w:rPr>
              <w:t xml:space="preserve"> y a la Corte Interamericana de Derechos Humanos</w:t>
            </w:r>
            <w:r w:rsidRPr="00833016">
              <w:rPr>
                <w:rStyle w:val="Refdenotaalpie"/>
                <w:rFonts w:eastAsia="Times New Roman" w:cs="Times New Roman"/>
                <w:lang w:val="es-ES"/>
              </w:rPr>
              <w:footnoteReference w:id="457"/>
            </w:r>
            <w:r w:rsidRPr="00833016">
              <w:rPr>
                <w:rFonts w:eastAsia="Times New Roman" w:cs="Times New Roman"/>
                <w:lang w:val="es-ES"/>
              </w:rPr>
              <w:t xml:space="preserve">. Asimismo, puso de presente que el 24 de enero de 2025, la Misión Permanente de Colombia ante </w:t>
            </w:r>
            <w:r>
              <w:rPr>
                <w:rFonts w:eastAsia="Times New Roman" w:cs="Times New Roman"/>
                <w:lang w:val="es-ES"/>
              </w:rPr>
              <w:t xml:space="preserve">la </w:t>
            </w:r>
            <w:r w:rsidRPr="00833016">
              <w:rPr>
                <w:rFonts w:eastAsia="Times New Roman" w:cs="Times New Roman"/>
                <w:lang w:val="es-ES"/>
              </w:rPr>
              <w:t>ONU le informó a la Sección de Tratados de la Oficina de Asuntos Legales de esta organización sobre la declaratoria del estado de conmoción interior</w:t>
            </w:r>
            <w:r w:rsidRPr="00833016">
              <w:rPr>
                <w:rStyle w:val="Refdenotaalpie"/>
                <w:rFonts w:eastAsia="Times New Roman" w:cs="Times New Roman"/>
                <w:lang w:val="es-ES"/>
              </w:rPr>
              <w:footnoteReference w:id="458"/>
            </w:r>
            <w:r w:rsidRPr="00833016">
              <w:rPr>
                <w:rFonts w:eastAsia="Times New Roman" w:cs="Times New Roman"/>
                <w:lang w:val="es-ES"/>
              </w:rPr>
              <w:t xml:space="preserve">. </w:t>
            </w:r>
          </w:p>
          <w:p w14:paraId="03001ADA" w14:textId="77777777" w:rsidR="00C454A1" w:rsidRPr="00833016" w:rsidRDefault="00C454A1" w:rsidP="00881E6A">
            <w:pPr>
              <w:ind w:right="272"/>
              <w:rPr>
                <w:rFonts w:eastAsia="Times New Roman" w:cs="Times New Roman"/>
                <w:lang w:val="es-ES"/>
              </w:rPr>
            </w:pPr>
            <w:r w:rsidRPr="00833016">
              <w:rPr>
                <w:rFonts w:eastAsia="Times New Roman" w:cs="Times New Roman"/>
                <w:lang w:val="es-ES"/>
              </w:rPr>
              <w:t xml:space="preserve"> </w:t>
            </w:r>
          </w:p>
          <w:p w14:paraId="3612BED7" w14:textId="77777777" w:rsidR="00C454A1" w:rsidRPr="00833016" w:rsidRDefault="00C454A1" w:rsidP="00881E6A">
            <w:pPr>
              <w:ind w:right="272"/>
              <w:rPr>
                <w:rFonts w:eastAsia="Times New Roman" w:cs="Times New Roman"/>
                <w:lang w:val="es-ES"/>
              </w:rPr>
            </w:pPr>
            <w:r w:rsidRPr="00833016">
              <w:rPr>
                <w:rFonts w:eastAsia="Times New Roman" w:cs="Times New Roman"/>
                <w:lang w:val="es-ES"/>
              </w:rPr>
              <w:t xml:space="preserve">De otro lado, el DAPRE mencionó los actos administrativos por medio de los cuales el presidente de la República adoptó medidas relevantes relacionadas con los funcionarios que suscribieron el Decreto 062 de 2025. </w:t>
            </w:r>
          </w:p>
          <w:p w14:paraId="083006F1" w14:textId="77777777" w:rsidR="00C454A1" w:rsidRDefault="00C454A1" w:rsidP="00881E6A">
            <w:pPr>
              <w:ind w:right="272"/>
              <w:rPr>
                <w:rFonts w:eastAsia="Times New Roman" w:cs="Times New Roman"/>
                <w:lang w:val="es-ES"/>
              </w:rPr>
            </w:pPr>
            <w:r w:rsidRPr="00833016">
              <w:rPr>
                <w:rFonts w:eastAsia="Times New Roman" w:cs="Times New Roman"/>
                <w:lang w:val="es-ES"/>
              </w:rPr>
              <w:t xml:space="preserve"> </w:t>
            </w:r>
          </w:p>
          <w:p w14:paraId="358704F2" w14:textId="77777777" w:rsidR="00C454A1" w:rsidRPr="008345FB" w:rsidRDefault="00C454A1" w:rsidP="00881E6A">
            <w:pPr>
              <w:ind w:right="272"/>
              <w:jc w:val="center"/>
              <w:rPr>
                <w:rFonts w:eastAsia="Times New Roman" w:cs="Times New Roman"/>
                <w:i/>
                <w:iCs/>
                <w:sz w:val="20"/>
                <w:szCs w:val="20"/>
                <w:lang w:val="es-ES"/>
              </w:rPr>
            </w:pPr>
            <w:r w:rsidRPr="008345FB">
              <w:rPr>
                <w:rFonts w:eastAsia="Times New Roman" w:cs="Times New Roman"/>
                <w:i/>
                <w:iCs/>
                <w:sz w:val="20"/>
                <w:szCs w:val="20"/>
                <w:lang w:val="es-ES"/>
              </w:rPr>
              <w:t xml:space="preserve">Tabla 1: </w:t>
            </w:r>
            <w:r>
              <w:rPr>
                <w:rFonts w:eastAsia="Times New Roman" w:cs="Times New Roman"/>
                <w:i/>
                <w:iCs/>
                <w:sz w:val="20"/>
                <w:szCs w:val="20"/>
                <w:lang w:val="es-ES"/>
              </w:rPr>
              <w:t>d</w:t>
            </w:r>
            <w:r w:rsidRPr="008345FB">
              <w:rPr>
                <w:rFonts w:eastAsia="Times New Roman" w:cs="Times New Roman"/>
                <w:i/>
                <w:iCs/>
                <w:sz w:val="20"/>
                <w:szCs w:val="20"/>
                <w:lang w:val="es-ES"/>
              </w:rPr>
              <w:t>ecretos adoptados en relación con los funcionarios que suscribieron el decreto declaratorio</w:t>
            </w:r>
          </w:p>
          <w:tbl>
            <w:tblPr>
              <w:tblStyle w:val="Tablaconcuadrcula"/>
              <w:tblW w:w="0" w:type="auto"/>
              <w:jc w:val="center"/>
              <w:tblLook w:val="04A0" w:firstRow="1" w:lastRow="0" w:firstColumn="1" w:lastColumn="0" w:noHBand="0" w:noVBand="1"/>
            </w:tblPr>
            <w:tblGrid>
              <w:gridCol w:w="2248"/>
              <w:gridCol w:w="5819"/>
              <w:gridCol w:w="5454"/>
            </w:tblGrid>
            <w:tr w:rsidR="00C454A1" w:rsidRPr="00F8202F" w14:paraId="3C28CAA4" w14:textId="77777777" w:rsidTr="001F3006">
              <w:trPr>
                <w:trHeight w:val="300"/>
                <w:jc w:val="center"/>
              </w:trPr>
              <w:tc>
                <w:tcPr>
                  <w:tcW w:w="23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D59700"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Decreto</w:t>
                  </w:r>
                </w:p>
              </w:tc>
              <w:tc>
                <w:tcPr>
                  <w:tcW w:w="62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80EA1BB"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Decisiones</w:t>
                  </w:r>
                </w:p>
              </w:tc>
              <w:tc>
                <w:tcPr>
                  <w:tcW w:w="589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45F6EC1"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Fecha a partir de la cual surtió efectos</w:t>
                  </w:r>
                </w:p>
              </w:tc>
            </w:tr>
            <w:tr w:rsidR="00C454A1" w:rsidRPr="00F8202F" w14:paraId="0CD9D13A" w14:textId="77777777" w:rsidTr="001F3006">
              <w:trPr>
                <w:trHeight w:val="300"/>
                <w:jc w:val="center"/>
              </w:trPr>
              <w:tc>
                <w:tcPr>
                  <w:tcW w:w="23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F2B7F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lastRenderedPageBreak/>
                    <w:t>Decreto 0111 de 29 de enero de 2025</w:t>
                  </w:r>
                </w:p>
              </w:tc>
              <w:tc>
                <w:tcPr>
                  <w:tcW w:w="6225" w:type="dxa"/>
                  <w:tcBorders>
                    <w:top w:val="single" w:sz="8" w:space="0" w:color="auto"/>
                    <w:left w:val="single" w:sz="8" w:space="0" w:color="auto"/>
                    <w:bottom w:val="single" w:sz="8" w:space="0" w:color="auto"/>
                    <w:right w:val="single" w:sz="8" w:space="0" w:color="auto"/>
                  </w:tcBorders>
                  <w:tcMar>
                    <w:left w:w="108" w:type="dxa"/>
                    <w:right w:w="108" w:type="dxa"/>
                  </w:tcMar>
                </w:tcPr>
                <w:p w14:paraId="1188560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Aceptó la renuncia de Luis Gilberto Murillo Urrutia como ministro de Relaciones Exteriores.</w:t>
                  </w:r>
                </w:p>
              </w:tc>
              <w:tc>
                <w:tcPr>
                  <w:tcW w:w="5897" w:type="dxa"/>
                  <w:tcBorders>
                    <w:top w:val="single" w:sz="8" w:space="0" w:color="auto"/>
                    <w:left w:val="single" w:sz="8" w:space="0" w:color="auto"/>
                    <w:bottom w:val="single" w:sz="8" w:space="0" w:color="auto"/>
                    <w:right w:val="single" w:sz="8" w:space="0" w:color="auto"/>
                  </w:tcBorders>
                  <w:tcMar>
                    <w:left w:w="108" w:type="dxa"/>
                    <w:right w:w="108" w:type="dxa"/>
                  </w:tcMar>
                </w:tcPr>
                <w:p w14:paraId="3658EF1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29 de enero de 2025, con la posesión de Laura Camila Sarabia Torres en el cargo</w:t>
                  </w:r>
                  <w:r w:rsidRPr="002954F2">
                    <w:rPr>
                      <w:rStyle w:val="Refdenotaalpie"/>
                      <w:rFonts w:eastAsia="Times New Roman" w:cs="Times New Roman"/>
                      <w:sz w:val="20"/>
                      <w:szCs w:val="20"/>
                      <w:lang w:val="es-ES"/>
                    </w:rPr>
                    <w:footnoteReference w:id="459"/>
                  </w:r>
                  <w:r w:rsidRPr="002954F2">
                    <w:rPr>
                      <w:rFonts w:eastAsia="Times New Roman" w:cs="Times New Roman"/>
                      <w:sz w:val="20"/>
                      <w:szCs w:val="20"/>
                      <w:lang w:val="es-ES"/>
                    </w:rPr>
                    <w:t>.</w:t>
                  </w:r>
                </w:p>
              </w:tc>
            </w:tr>
            <w:tr w:rsidR="00C454A1" w:rsidRPr="00F8202F" w14:paraId="105F8800" w14:textId="77777777" w:rsidTr="001F3006">
              <w:trPr>
                <w:trHeight w:val="300"/>
                <w:jc w:val="center"/>
              </w:trPr>
              <w:tc>
                <w:tcPr>
                  <w:tcW w:w="23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3C5F8F"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Decreto 0019 de 17 de enero de 2025</w:t>
                  </w:r>
                </w:p>
              </w:tc>
              <w:tc>
                <w:tcPr>
                  <w:tcW w:w="6225" w:type="dxa"/>
                  <w:tcBorders>
                    <w:top w:val="single" w:sz="8" w:space="0" w:color="auto"/>
                    <w:left w:val="single" w:sz="8" w:space="0" w:color="auto"/>
                    <w:bottom w:val="single" w:sz="8" w:space="0" w:color="auto"/>
                    <w:right w:val="single" w:sz="8" w:space="0" w:color="auto"/>
                  </w:tcBorders>
                  <w:tcMar>
                    <w:left w:w="108" w:type="dxa"/>
                    <w:right w:w="108" w:type="dxa"/>
                  </w:tcMar>
                </w:tcPr>
                <w:p w14:paraId="762AC15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Encargó a Paola Andrea Vásquez Restrepo de las funciones del ministro de Relaciones Exteriores entre el 19 y el 24 de enero de 2025.</w:t>
                  </w:r>
                </w:p>
                <w:p w14:paraId="61484959" w14:textId="77777777" w:rsidR="00C454A1" w:rsidRPr="002954F2" w:rsidRDefault="00C454A1" w:rsidP="00881E6A">
                  <w:pPr>
                    <w:ind w:right="272"/>
                    <w:rPr>
                      <w:rFonts w:eastAsia="Times New Roman" w:cs="Times New Roman"/>
                      <w:sz w:val="20"/>
                      <w:szCs w:val="20"/>
                      <w:lang w:val="es-ES"/>
                    </w:rPr>
                  </w:pPr>
                </w:p>
              </w:tc>
              <w:tc>
                <w:tcPr>
                  <w:tcW w:w="5897" w:type="dxa"/>
                  <w:tcBorders>
                    <w:top w:val="single" w:sz="8" w:space="0" w:color="auto"/>
                    <w:left w:val="single" w:sz="8" w:space="0" w:color="auto"/>
                    <w:bottom w:val="single" w:sz="8" w:space="0" w:color="auto"/>
                    <w:right w:val="single" w:sz="8" w:space="0" w:color="auto"/>
                  </w:tcBorders>
                  <w:tcMar>
                    <w:left w:w="108" w:type="dxa"/>
                    <w:right w:w="108" w:type="dxa"/>
                  </w:tcMar>
                </w:tcPr>
                <w:p w14:paraId="2D32C94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17 de enero de 2025, con la posesión de la funcionaria</w:t>
                  </w:r>
                  <w:r w:rsidRPr="002954F2">
                    <w:rPr>
                      <w:rStyle w:val="Refdenotaalpie"/>
                      <w:rFonts w:eastAsia="Times New Roman" w:cs="Times New Roman"/>
                      <w:sz w:val="20"/>
                      <w:szCs w:val="20"/>
                      <w:lang w:val="es-ES"/>
                    </w:rPr>
                    <w:footnoteReference w:id="460"/>
                  </w:r>
                  <w:r w:rsidRPr="002954F2">
                    <w:rPr>
                      <w:rFonts w:eastAsia="Times New Roman" w:cs="Times New Roman"/>
                      <w:sz w:val="20"/>
                      <w:szCs w:val="20"/>
                      <w:lang w:val="es-ES"/>
                    </w:rPr>
                    <w:t>. En todo caso, de conformidad con el acta de posesión, esta surtió efectos a partir del día 19 de enero de 2025</w:t>
                  </w:r>
                  <w:r w:rsidRPr="002954F2">
                    <w:rPr>
                      <w:rStyle w:val="Refdenotaalpie"/>
                      <w:rFonts w:eastAsia="Times New Roman" w:cs="Times New Roman"/>
                      <w:sz w:val="20"/>
                      <w:szCs w:val="20"/>
                      <w:lang w:val="es-ES"/>
                    </w:rPr>
                    <w:footnoteReference w:id="461"/>
                  </w:r>
                  <w:r w:rsidRPr="002954F2">
                    <w:rPr>
                      <w:rFonts w:eastAsia="Times New Roman" w:cs="Times New Roman"/>
                      <w:sz w:val="20"/>
                      <w:szCs w:val="20"/>
                      <w:lang w:val="es-ES"/>
                    </w:rPr>
                    <w:t xml:space="preserve">. </w:t>
                  </w:r>
                </w:p>
              </w:tc>
            </w:tr>
            <w:tr w:rsidR="00C454A1" w:rsidRPr="00F8202F" w14:paraId="0D5009AB" w14:textId="77777777" w:rsidTr="001F3006">
              <w:trPr>
                <w:trHeight w:val="300"/>
                <w:jc w:val="center"/>
              </w:trPr>
              <w:tc>
                <w:tcPr>
                  <w:tcW w:w="23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F1231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Decreto 1459 de 9 de diciembre de 2024</w:t>
                  </w:r>
                </w:p>
              </w:tc>
              <w:tc>
                <w:tcPr>
                  <w:tcW w:w="6225" w:type="dxa"/>
                  <w:tcBorders>
                    <w:top w:val="single" w:sz="8" w:space="0" w:color="auto"/>
                    <w:left w:val="single" w:sz="8" w:space="0" w:color="auto"/>
                    <w:bottom w:val="single" w:sz="8" w:space="0" w:color="auto"/>
                    <w:right w:val="single" w:sz="8" w:space="0" w:color="auto"/>
                  </w:tcBorders>
                  <w:tcMar>
                    <w:left w:w="108" w:type="dxa"/>
                    <w:right w:w="108" w:type="dxa"/>
                  </w:tcMar>
                </w:tcPr>
                <w:p w14:paraId="2CDD1BC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Aceptó la renuncia de Ricardo Bonilla González como ministro de Hacienda y Crédito Público y encargó a Diego Alejandro Guevara Castañeda de esas funciones.</w:t>
                  </w:r>
                </w:p>
              </w:tc>
              <w:tc>
                <w:tcPr>
                  <w:tcW w:w="5897" w:type="dxa"/>
                  <w:tcBorders>
                    <w:top w:val="single" w:sz="8" w:space="0" w:color="auto"/>
                    <w:left w:val="single" w:sz="8" w:space="0" w:color="auto"/>
                    <w:bottom w:val="single" w:sz="8" w:space="0" w:color="auto"/>
                    <w:right w:val="single" w:sz="8" w:space="0" w:color="auto"/>
                  </w:tcBorders>
                  <w:tcMar>
                    <w:left w:w="108" w:type="dxa"/>
                    <w:right w:w="108" w:type="dxa"/>
                  </w:tcMar>
                </w:tcPr>
                <w:p w14:paraId="3980628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9 de diciembre de 2024, a partir de la posesión de Diego Alejandro Guevara Castañeda como encargado</w:t>
                  </w:r>
                  <w:r w:rsidRPr="002954F2">
                    <w:rPr>
                      <w:rStyle w:val="Refdenotaalpie"/>
                      <w:rFonts w:eastAsia="Times New Roman" w:cs="Times New Roman"/>
                      <w:sz w:val="20"/>
                      <w:szCs w:val="20"/>
                      <w:lang w:val="es-ES"/>
                    </w:rPr>
                    <w:footnoteReference w:id="462"/>
                  </w:r>
                  <w:r w:rsidRPr="002954F2">
                    <w:rPr>
                      <w:rFonts w:eastAsia="Times New Roman" w:cs="Times New Roman"/>
                      <w:sz w:val="20"/>
                      <w:szCs w:val="20"/>
                      <w:lang w:val="es-ES"/>
                    </w:rPr>
                    <w:t>.</w:t>
                  </w:r>
                </w:p>
              </w:tc>
            </w:tr>
            <w:tr w:rsidR="00C454A1" w:rsidRPr="00F8202F" w14:paraId="5B70FAA5" w14:textId="77777777" w:rsidTr="001F3006">
              <w:trPr>
                <w:trHeight w:val="300"/>
                <w:jc w:val="center"/>
              </w:trPr>
              <w:tc>
                <w:tcPr>
                  <w:tcW w:w="23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8FA2F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Decreto 00059 de 23 de enero de 2025</w:t>
                  </w:r>
                </w:p>
              </w:tc>
              <w:tc>
                <w:tcPr>
                  <w:tcW w:w="6225" w:type="dxa"/>
                  <w:tcBorders>
                    <w:top w:val="single" w:sz="8" w:space="0" w:color="auto"/>
                    <w:left w:val="single" w:sz="8" w:space="0" w:color="auto"/>
                    <w:bottom w:val="single" w:sz="8" w:space="0" w:color="auto"/>
                    <w:right w:val="single" w:sz="8" w:space="0" w:color="auto"/>
                  </w:tcBorders>
                  <w:tcMar>
                    <w:left w:w="108" w:type="dxa"/>
                    <w:right w:w="108" w:type="dxa"/>
                  </w:tcMar>
                </w:tcPr>
                <w:p w14:paraId="6B6AA56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Aceptó la renuncia de María Constanza García Alicastro como ministra de Transporte y encargó interinstitucionalmente a María Fernanda Rojas Mantilla de tales funciones.</w:t>
                  </w:r>
                </w:p>
              </w:tc>
              <w:tc>
                <w:tcPr>
                  <w:tcW w:w="5897" w:type="dxa"/>
                  <w:tcBorders>
                    <w:top w:val="single" w:sz="8" w:space="0" w:color="auto"/>
                    <w:left w:val="single" w:sz="8" w:space="0" w:color="auto"/>
                    <w:bottom w:val="single" w:sz="8" w:space="0" w:color="auto"/>
                    <w:right w:val="single" w:sz="8" w:space="0" w:color="auto"/>
                  </w:tcBorders>
                  <w:tcMar>
                    <w:left w:w="108" w:type="dxa"/>
                    <w:right w:w="108" w:type="dxa"/>
                  </w:tcMar>
                </w:tcPr>
                <w:p w14:paraId="755866E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A partir de las 4 p.m. del 23 de enero de 2025, con la posesión de María Fernanda Rojas Mantilla como encargada</w:t>
                  </w:r>
                  <w:r w:rsidRPr="002954F2">
                    <w:rPr>
                      <w:rStyle w:val="Refdenotaalpie"/>
                      <w:rFonts w:eastAsia="Times New Roman" w:cs="Times New Roman"/>
                      <w:sz w:val="20"/>
                      <w:szCs w:val="20"/>
                      <w:lang w:val="es-ES"/>
                    </w:rPr>
                    <w:footnoteReference w:id="463"/>
                  </w:r>
                  <w:r w:rsidRPr="002954F2">
                    <w:rPr>
                      <w:rFonts w:eastAsia="Times New Roman" w:cs="Times New Roman"/>
                      <w:sz w:val="20"/>
                      <w:szCs w:val="20"/>
                      <w:lang w:val="es-ES"/>
                    </w:rPr>
                    <w:t>.</w:t>
                  </w:r>
                </w:p>
              </w:tc>
            </w:tr>
          </w:tbl>
          <w:p w14:paraId="184C6B7A" w14:textId="77777777" w:rsidR="00C454A1" w:rsidRPr="00833016" w:rsidRDefault="00C454A1" w:rsidP="00881E6A">
            <w:pPr>
              <w:ind w:right="272"/>
              <w:rPr>
                <w:rFonts w:cs="Times New Roman"/>
                <w:lang w:val="es-ES"/>
              </w:rPr>
            </w:pPr>
          </w:p>
          <w:p w14:paraId="46C3F180" w14:textId="77777777" w:rsidR="00C454A1" w:rsidRPr="00833016" w:rsidRDefault="00C454A1" w:rsidP="00881E6A">
            <w:pPr>
              <w:ind w:right="272"/>
              <w:rPr>
                <w:rFonts w:eastAsia="Times New Roman" w:cs="Times New Roman"/>
                <w:lang w:val="es-ES"/>
              </w:rPr>
            </w:pPr>
            <w:r w:rsidRPr="00833016">
              <w:rPr>
                <w:rFonts w:eastAsia="Times New Roman" w:cs="Times New Roman"/>
                <w:b/>
                <w:i/>
                <w:lang w:val="es-ES"/>
              </w:rPr>
              <w:t>Presupuesto fáctico</w:t>
            </w:r>
            <w:r w:rsidRPr="00833016">
              <w:rPr>
                <w:rFonts w:eastAsia="Times New Roman" w:cs="Times New Roman"/>
                <w:b/>
                <w:lang w:val="es-ES"/>
              </w:rPr>
              <w:t xml:space="preserve">. </w:t>
            </w:r>
            <w:r w:rsidRPr="00833016">
              <w:rPr>
                <w:rFonts w:eastAsia="Times New Roman" w:cs="Times New Roman"/>
                <w:lang w:val="es-ES"/>
              </w:rPr>
              <w:t xml:space="preserve">La secretaria jurídica del DAPRE remitió información relacionada con </w:t>
            </w:r>
            <w:r w:rsidRPr="00D66E71">
              <w:rPr>
                <w:rFonts w:eastAsia="Times New Roman" w:cs="Times New Roman"/>
                <w:i/>
                <w:iCs/>
                <w:lang w:val="es-ES"/>
              </w:rPr>
              <w:t>(i)</w:t>
            </w:r>
            <w:r w:rsidRPr="00833016">
              <w:rPr>
                <w:rFonts w:eastAsia="Times New Roman" w:cs="Times New Roman"/>
                <w:lang w:val="es-ES"/>
              </w:rPr>
              <w:t xml:space="preserve"> la fecha desde la que el Frente de Guerra Nororiental del ELN, los GAO Segunda Marquetalia y Estado Mayor Central, el GDO los “Pelusos” y el Clan del Golfo hacen o intentan hacer presencia en la zona respecto de la cual el </w:t>
            </w:r>
            <w:r>
              <w:rPr>
                <w:rFonts w:eastAsia="Times New Roman" w:cs="Times New Roman"/>
                <w:lang w:val="es-ES"/>
              </w:rPr>
              <w:t>G</w:t>
            </w:r>
            <w:r w:rsidRPr="00833016">
              <w:rPr>
                <w:rFonts w:eastAsia="Times New Roman" w:cs="Times New Roman"/>
                <w:lang w:val="es-ES"/>
              </w:rPr>
              <w:t xml:space="preserve">obierno </w:t>
            </w:r>
            <w:r>
              <w:rPr>
                <w:rFonts w:eastAsia="Times New Roman" w:cs="Times New Roman"/>
                <w:lang w:val="es-ES"/>
              </w:rPr>
              <w:t>n</w:t>
            </w:r>
            <w:r w:rsidRPr="00833016">
              <w:rPr>
                <w:rFonts w:eastAsia="Times New Roman" w:cs="Times New Roman"/>
                <w:lang w:val="es-ES"/>
              </w:rPr>
              <w:t xml:space="preserve">acional decretó el Estado de Conmoción Interior; </w:t>
            </w:r>
            <w:r w:rsidRPr="00D66E71">
              <w:rPr>
                <w:rFonts w:eastAsia="Times New Roman" w:cs="Times New Roman"/>
                <w:i/>
                <w:iCs/>
                <w:u w:val="single"/>
                <w:lang w:val="es-ES"/>
              </w:rPr>
              <w:t>(ii)</w:t>
            </w:r>
            <w:r w:rsidRPr="00833016">
              <w:rPr>
                <w:rFonts w:eastAsia="Times New Roman" w:cs="Times New Roman"/>
                <w:lang w:val="es-ES"/>
              </w:rPr>
              <w:t xml:space="preserve"> la caracterización de esos grupos armados al margen de la ley y las actividades que desarrollan en esa zona; </w:t>
            </w:r>
            <w:r w:rsidRPr="00D66E71">
              <w:rPr>
                <w:rFonts w:eastAsia="Times New Roman" w:cs="Times New Roman"/>
                <w:i/>
                <w:iCs/>
                <w:lang w:val="es-ES"/>
              </w:rPr>
              <w:t xml:space="preserve">(iii) </w:t>
            </w:r>
            <w:r w:rsidRPr="00833016">
              <w:rPr>
                <w:rFonts w:eastAsia="Times New Roman" w:cs="Times New Roman"/>
                <w:lang w:val="es-ES"/>
              </w:rPr>
              <w:t xml:space="preserve">el escalamiento y la evolución de las hostilidades y los ataques a la población civil en la referida zona; </w:t>
            </w:r>
            <w:r w:rsidRPr="00D66E71">
              <w:rPr>
                <w:rFonts w:eastAsia="Times New Roman" w:cs="Times New Roman"/>
                <w:i/>
                <w:iCs/>
                <w:lang w:val="es-ES"/>
              </w:rPr>
              <w:t>(iv)</w:t>
            </w:r>
            <w:r w:rsidRPr="00833016">
              <w:rPr>
                <w:rFonts w:eastAsia="Times New Roman" w:cs="Times New Roman"/>
                <w:lang w:val="es-ES"/>
              </w:rPr>
              <w:t xml:space="preserve"> los enfrentamientos entre grupos armados al margen de la ley y afectaciones a derechos humanos advertidos por la Defensoría del Pueblo o alguna entidad territorial en la zona; </w:t>
            </w:r>
            <w:r w:rsidRPr="00172BDE">
              <w:rPr>
                <w:rFonts w:eastAsia="Times New Roman" w:cs="Times New Roman"/>
                <w:i/>
                <w:iCs/>
                <w:lang w:val="es-ES"/>
              </w:rPr>
              <w:t>(v)</w:t>
            </w:r>
            <w:r w:rsidRPr="00833016">
              <w:rPr>
                <w:rFonts w:eastAsia="Times New Roman" w:cs="Times New Roman"/>
                <w:lang w:val="es-ES"/>
              </w:rPr>
              <w:t xml:space="preserve"> la evolución de los ataques en contra de firmantes de paz y de líderes sociales en la zona, así como de los hechos victimizantes cometidos en contra de la población civil; </w:t>
            </w:r>
            <w:r w:rsidRPr="00172BDE">
              <w:rPr>
                <w:rFonts w:eastAsia="Times New Roman" w:cs="Times New Roman"/>
                <w:i/>
                <w:iCs/>
                <w:lang w:val="es-ES"/>
              </w:rPr>
              <w:t>(vi)</w:t>
            </w:r>
            <w:r w:rsidRPr="00833016">
              <w:rPr>
                <w:rFonts w:eastAsia="Times New Roman" w:cs="Times New Roman"/>
                <w:lang w:val="es-ES"/>
              </w:rPr>
              <w:t xml:space="preserve"> la evolución de hectáreas afectadas con cultivos de uso ilícito en la zona; </w:t>
            </w:r>
            <w:r w:rsidRPr="00172BDE">
              <w:rPr>
                <w:rFonts w:eastAsia="Times New Roman" w:cs="Times New Roman"/>
                <w:i/>
                <w:iCs/>
                <w:lang w:val="es-ES"/>
              </w:rPr>
              <w:t>(vii)</w:t>
            </w:r>
            <w:r w:rsidRPr="00833016">
              <w:rPr>
                <w:rFonts w:eastAsia="Times New Roman" w:cs="Times New Roman"/>
                <w:lang w:val="es-ES"/>
              </w:rPr>
              <w:t xml:space="preserve"> las acciones del ELN durante el cese al fuego bilateral; </w:t>
            </w:r>
            <w:r w:rsidRPr="00172BDE">
              <w:rPr>
                <w:rFonts w:eastAsia="Times New Roman" w:cs="Times New Roman"/>
                <w:i/>
                <w:iCs/>
                <w:lang w:val="es-ES"/>
              </w:rPr>
              <w:t>(viii)</w:t>
            </w:r>
            <w:r w:rsidRPr="00833016">
              <w:rPr>
                <w:rFonts w:eastAsia="Times New Roman" w:cs="Times New Roman"/>
                <w:lang w:val="es-ES"/>
              </w:rPr>
              <w:t xml:space="preserve"> los reconocimientos como representantes de grupos organizados al margen de </w:t>
            </w:r>
            <w:r w:rsidRPr="00833016">
              <w:rPr>
                <w:rFonts w:eastAsia="Times New Roman" w:cs="Times New Roman"/>
                <w:lang w:val="es-ES"/>
              </w:rPr>
              <w:lastRenderedPageBreak/>
              <w:t xml:space="preserve">la ley, de estructuras armadas organizadas de crimen de alto impacto y designaciones como gestores y promotores de paz; </w:t>
            </w:r>
            <w:r w:rsidRPr="005F517E">
              <w:rPr>
                <w:rFonts w:eastAsia="Times New Roman" w:cs="Times New Roman"/>
                <w:i/>
                <w:iCs/>
                <w:lang w:val="es-ES"/>
              </w:rPr>
              <w:t>(ix)</w:t>
            </w:r>
            <w:r w:rsidRPr="00833016">
              <w:rPr>
                <w:rFonts w:eastAsia="Times New Roman" w:cs="Times New Roman"/>
                <w:lang w:val="es-ES"/>
              </w:rPr>
              <w:t xml:space="preserve"> los eventos de alteración al orden público, y </w:t>
            </w:r>
            <w:r w:rsidRPr="005F517E">
              <w:rPr>
                <w:rFonts w:eastAsia="Times New Roman" w:cs="Times New Roman"/>
                <w:i/>
                <w:iCs/>
                <w:lang w:val="es-ES"/>
              </w:rPr>
              <w:t>(x)</w:t>
            </w:r>
            <w:r w:rsidRPr="00833016">
              <w:rPr>
                <w:rFonts w:eastAsia="Times New Roman" w:cs="Times New Roman"/>
                <w:lang w:val="es-ES"/>
              </w:rPr>
              <w:t xml:space="preserve"> los daños a bienes protegidos y al ambiente en la zona.</w:t>
            </w:r>
          </w:p>
          <w:p w14:paraId="66148E98" w14:textId="77777777" w:rsidR="00C454A1" w:rsidRPr="00833016" w:rsidRDefault="00C454A1" w:rsidP="00881E6A">
            <w:pPr>
              <w:ind w:right="272"/>
              <w:rPr>
                <w:rFonts w:eastAsia="Times New Roman" w:cs="Times New Roman"/>
                <w:lang w:val="es-ES"/>
              </w:rPr>
            </w:pPr>
          </w:p>
          <w:p w14:paraId="3DAF47EB" w14:textId="77777777" w:rsidR="00C454A1" w:rsidRPr="00833016" w:rsidRDefault="00C454A1" w:rsidP="005F4A6F">
            <w:pPr>
              <w:pStyle w:val="Prrafodelista"/>
              <w:numPr>
                <w:ilvl w:val="0"/>
                <w:numId w:val="31"/>
              </w:numPr>
              <w:ind w:left="360" w:right="272"/>
              <w:rPr>
                <w:rFonts w:eastAsia="Times New Roman" w:cs="Times New Roman"/>
                <w:lang w:val="es-ES"/>
              </w:rPr>
            </w:pPr>
            <w:r w:rsidRPr="005F517E">
              <w:rPr>
                <w:rFonts w:eastAsia="Times New Roman" w:cs="Times New Roman"/>
                <w:u w:val="single"/>
                <w:lang w:val="es-ES"/>
              </w:rPr>
              <w:t>Fecha desde la que los grupos armados al margen de la ley hacen o intentan hacer presencia en la zona</w:t>
            </w:r>
            <w:r w:rsidRPr="00833016">
              <w:rPr>
                <w:rFonts w:eastAsia="Times New Roman" w:cs="Times New Roman"/>
                <w:lang w:val="es-ES"/>
              </w:rPr>
              <w:t>. MinDefensa informó que el GAO ELN hace presencia en la región del Catatumbo desde finales de los años 80</w:t>
            </w:r>
            <w:r w:rsidRPr="00833016">
              <w:rPr>
                <w:rStyle w:val="Refdenotaalpie"/>
                <w:rFonts w:eastAsia="Times New Roman" w:cs="Times New Roman"/>
                <w:lang w:val="es-ES"/>
              </w:rPr>
              <w:footnoteReference w:id="464"/>
            </w:r>
            <w:r w:rsidRPr="00833016">
              <w:rPr>
                <w:rFonts w:eastAsia="Times New Roman" w:cs="Times New Roman"/>
                <w:lang w:val="es-ES"/>
              </w:rPr>
              <w:t>, el Grupo Armado Organizado Residual (GAO</w:t>
            </w:r>
            <w:r>
              <w:rPr>
                <w:rFonts w:eastAsia="Times New Roman" w:cs="Times New Roman"/>
                <w:lang w:val="es-ES"/>
              </w:rPr>
              <w:t>R</w:t>
            </w:r>
            <w:r w:rsidRPr="00833016">
              <w:rPr>
                <w:rFonts w:eastAsia="Times New Roman" w:cs="Times New Roman"/>
                <w:lang w:val="es-ES"/>
              </w:rPr>
              <w:t>) Estado Mayor Central (Disidencias E-33) desde finales de 2017</w:t>
            </w:r>
            <w:r w:rsidRPr="00833016">
              <w:rPr>
                <w:rStyle w:val="Refdenotaalpie"/>
                <w:rFonts w:eastAsia="Times New Roman" w:cs="Times New Roman"/>
                <w:lang w:val="es-ES"/>
              </w:rPr>
              <w:footnoteReference w:id="465"/>
            </w:r>
            <w:r w:rsidRPr="00833016">
              <w:rPr>
                <w:rFonts w:eastAsia="Times New Roman" w:cs="Times New Roman"/>
                <w:lang w:val="es-ES"/>
              </w:rPr>
              <w:t xml:space="preserve"> y el </w:t>
            </w:r>
            <w:r>
              <w:rPr>
                <w:rFonts w:eastAsia="Times New Roman" w:cs="Times New Roman"/>
                <w:lang w:val="es-ES"/>
              </w:rPr>
              <w:t>GOD</w:t>
            </w:r>
            <w:r w:rsidRPr="00833016">
              <w:rPr>
                <w:rFonts w:eastAsia="Times New Roman" w:cs="Times New Roman"/>
                <w:lang w:val="es-ES"/>
              </w:rPr>
              <w:t xml:space="preserve"> “Pelusos” desde 2016</w:t>
            </w:r>
            <w:r w:rsidRPr="00833016">
              <w:rPr>
                <w:rStyle w:val="Refdenotaalpie"/>
                <w:rFonts w:eastAsia="Times New Roman" w:cs="Times New Roman"/>
                <w:lang w:val="es-ES"/>
              </w:rPr>
              <w:footnoteReference w:id="466"/>
            </w:r>
            <w:r w:rsidRPr="00833016">
              <w:rPr>
                <w:rFonts w:eastAsia="Times New Roman" w:cs="Times New Roman"/>
                <w:lang w:val="es-ES"/>
              </w:rPr>
              <w:t>. Además, no tiene registros de que el GAO</w:t>
            </w:r>
            <w:r>
              <w:rPr>
                <w:rFonts w:eastAsia="Times New Roman" w:cs="Times New Roman"/>
                <w:lang w:val="es-ES"/>
              </w:rPr>
              <w:t>R</w:t>
            </w:r>
            <w:r w:rsidRPr="00833016">
              <w:rPr>
                <w:rFonts w:eastAsia="Times New Roman" w:cs="Times New Roman"/>
                <w:lang w:val="es-ES"/>
              </w:rPr>
              <w:t xml:space="preserve"> Segunda Marquetalia haga presencia en la región. Por su parte, el GAO Clan del Golfo ha hecho presencia en algunas comunas de Cúcuta, en el municipio de Zulia y Puerto Santander y desde 2017 ha demostrado interés en ingresar a la región del Catatumbo. </w:t>
            </w:r>
          </w:p>
          <w:p w14:paraId="0866CF07" w14:textId="77777777" w:rsidR="00C454A1" w:rsidRPr="00833016" w:rsidRDefault="00C454A1" w:rsidP="00881E6A">
            <w:pPr>
              <w:pStyle w:val="Prrafodelista"/>
              <w:ind w:left="360" w:right="272" w:hanging="360"/>
              <w:rPr>
                <w:rFonts w:eastAsia="Times New Roman" w:cs="Times New Roman"/>
                <w:lang w:val="es-ES"/>
              </w:rPr>
            </w:pPr>
            <w:r w:rsidRPr="00833016">
              <w:rPr>
                <w:rFonts w:eastAsia="Times New Roman" w:cs="Times New Roman"/>
                <w:lang w:val="es-ES"/>
              </w:rPr>
              <w:t xml:space="preserve"> </w:t>
            </w:r>
          </w:p>
          <w:p w14:paraId="6B20EC0C" w14:textId="77777777" w:rsidR="00C454A1" w:rsidRPr="00833016" w:rsidRDefault="00C454A1" w:rsidP="005F4A6F">
            <w:pPr>
              <w:pStyle w:val="Prrafodelista"/>
              <w:numPr>
                <w:ilvl w:val="0"/>
                <w:numId w:val="31"/>
              </w:numPr>
              <w:ind w:left="360" w:right="272"/>
              <w:rPr>
                <w:rFonts w:eastAsia="Times New Roman" w:cs="Times New Roman"/>
                <w:lang w:val="es-ES"/>
              </w:rPr>
            </w:pPr>
            <w:r w:rsidRPr="005F517E">
              <w:rPr>
                <w:rFonts w:eastAsia="Times New Roman" w:cs="Times New Roman"/>
                <w:u w:val="single"/>
                <w:lang w:val="es-ES"/>
              </w:rPr>
              <w:t>Caracterización de los grupos armados al margen de la ley y actividades que desarrollan</w:t>
            </w:r>
            <w:r w:rsidRPr="00833016">
              <w:rPr>
                <w:rFonts w:eastAsia="Times New Roman" w:cs="Times New Roman"/>
                <w:lang w:val="es-ES"/>
              </w:rPr>
              <w:t>. El MinDefensa dio cuenta de la siguiente información</w:t>
            </w:r>
            <w:r w:rsidRPr="00833016">
              <w:rPr>
                <w:rStyle w:val="Refdenotaalpie"/>
                <w:rFonts w:eastAsia="Times New Roman" w:cs="Times New Roman"/>
                <w:lang w:val="es-ES"/>
              </w:rPr>
              <w:footnoteReference w:id="467"/>
            </w:r>
            <w:r w:rsidRPr="00833016">
              <w:rPr>
                <w:rFonts w:eastAsia="Times New Roman" w:cs="Times New Roman"/>
                <w:lang w:val="es-ES"/>
              </w:rPr>
              <w:t>:</w:t>
            </w:r>
          </w:p>
          <w:p w14:paraId="690C8483" w14:textId="77777777" w:rsidR="00C454A1" w:rsidRDefault="00C454A1" w:rsidP="00881E6A">
            <w:pPr>
              <w:ind w:left="378" w:right="272"/>
              <w:rPr>
                <w:rFonts w:eastAsia="Times New Roman" w:cs="Times New Roman"/>
                <w:lang w:val="es-ES"/>
              </w:rPr>
            </w:pPr>
          </w:p>
          <w:p w14:paraId="2044950C" w14:textId="77777777" w:rsidR="00C454A1" w:rsidRPr="008345FB" w:rsidRDefault="00C454A1" w:rsidP="00881E6A">
            <w:pPr>
              <w:ind w:left="378" w:right="272"/>
              <w:jc w:val="center"/>
              <w:rPr>
                <w:rFonts w:eastAsia="Times New Roman" w:cs="Times New Roman"/>
                <w:i/>
                <w:iCs/>
                <w:lang w:val="es-ES"/>
              </w:rPr>
            </w:pPr>
            <w:r w:rsidRPr="008345FB">
              <w:rPr>
                <w:rFonts w:eastAsia="Times New Roman" w:cs="Times New Roman"/>
                <w:i/>
                <w:iCs/>
                <w:lang w:val="es-ES"/>
              </w:rPr>
              <w:t xml:space="preserve">Tabla 2: </w:t>
            </w:r>
            <w:r>
              <w:rPr>
                <w:rFonts w:eastAsia="Times New Roman" w:cs="Times New Roman"/>
                <w:i/>
                <w:iCs/>
                <w:lang w:val="es-ES"/>
              </w:rPr>
              <w:t>c</w:t>
            </w:r>
            <w:r w:rsidRPr="008345FB">
              <w:rPr>
                <w:rFonts w:eastAsia="Times New Roman" w:cs="Times New Roman"/>
                <w:i/>
                <w:iCs/>
                <w:lang w:val="es-ES"/>
              </w:rPr>
              <w:t>aracterización de los grupos armados al margen de la ley y actividades que desarrollan</w:t>
            </w:r>
          </w:p>
          <w:tbl>
            <w:tblPr>
              <w:tblStyle w:val="Tablaconcuadrcula"/>
              <w:tblW w:w="0" w:type="auto"/>
              <w:jc w:val="center"/>
              <w:tblLook w:val="04A0" w:firstRow="1" w:lastRow="0" w:firstColumn="1" w:lastColumn="0" w:noHBand="0" w:noVBand="1"/>
            </w:tblPr>
            <w:tblGrid>
              <w:gridCol w:w="1915"/>
              <w:gridCol w:w="1917"/>
              <w:gridCol w:w="1917"/>
              <w:gridCol w:w="1969"/>
              <w:gridCol w:w="1969"/>
              <w:gridCol w:w="1917"/>
              <w:gridCol w:w="1917"/>
            </w:tblGrid>
            <w:tr w:rsidR="00C454A1" w:rsidRPr="00F8202F" w14:paraId="2DAAF74A" w14:textId="77777777" w:rsidTr="001F3006">
              <w:trPr>
                <w:trHeight w:val="300"/>
                <w:jc w:val="center"/>
              </w:trPr>
              <w:tc>
                <w:tcPr>
                  <w:tcW w:w="206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2169FB7"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Grupo</w:t>
                  </w:r>
                </w:p>
              </w:tc>
              <w:tc>
                <w:tcPr>
                  <w:tcW w:w="206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F9E55B"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2022-1</w:t>
                  </w:r>
                </w:p>
              </w:tc>
              <w:tc>
                <w:tcPr>
                  <w:tcW w:w="206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5E09E8A"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2022-2</w:t>
                  </w:r>
                </w:p>
              </w:tc>
              <w:tc>
                <w:tcPr>
                  <w:tcW w:w="206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52EF3BD"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2023-1</w:t>
                  </w:r>
                </w:p>
              </w:tc>
              <w:tc>
                <w:tcPr>
                  <w:tcW w:w="206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549912C"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2023-2</w:t>
                  </w:r>
                </w:p>
              </w:tc>
              <w:tc>
                <w:tcPr>
                  <w:tcW w:w="206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2531409"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2024-1</w:t>
                  </w:r>
                </w:p>
              </w:tc>
              <w:tc>
                <w:tcPr>
                  <w:tcW w:w="206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83468F3" w14:textId="77777777" w:rsidR="00C454A1" w:rsidRPr="002954F2" w:rsidRDefault="00C454A1" w:rsidP="00881E6A">
                  <w:pPr>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2024-2</w:t>
                  </w:r>
                </w:p>
              </w:tc>
            </w:tr>
            <w:tr w:rsidR="00C454A1" w:rsidRPr="00F8202F" w14:paraId="5C66075D" w14:textId="77777777" w:rsidTr="001F3006">
              <w:trPr>
                <w:trHeight w:val="300"/>
                <w:jc w:val="center"/>
              </w:trPr>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12DD908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ELN</w:t>
                  </w:r>
                </w:p>
              </w:tc>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58FE38D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1.982 (ACCAM 39)</w:t>
                  </w:r>
                </w:p>
              </w:tc>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2BD6CFD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1.911 (ACCAM 40)</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6AEF649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1.937 (ACCAM41)</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7CF38CC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1.979 (ACCAM42)</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266CEC3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1.980 (ACCAM 43)</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3BAFA55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2.030 (ACCAM 44)</w:t>
                  </w:r>
                </w:p>
              </w:tc>
            </w:tr>
            <w:tr w:rsidR="00C454A1" w:rsidRPr="00F8202F" w14:paraId="7E63B376" w14:textId="77777777" w:rsidTr="001F3006">
              <w:trPr>
                <w:trHeight w:val="300"/>
                <w:jc w:val="center"/>
              </w:trPr>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51356D0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Estado Mayor Central</w:t>
                  </w:r>
                </w:p>
              </w:tc>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09A565A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225 (ACCAM 39)</w:t>
                  </w:r>
                </w:p>
              </w:tc>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2938F6D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249 (ACCAM 40)</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096304D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293 (ACCAM 41)</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36BD079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340 (ACCAM 42)</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0CDA00A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412 (ACCAM 43)</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2256FE3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449 (ACCAM 44)</w:t>
                  </w:r>
                </w:p>
              </w:tc>
            </w:tr>
            <w:tr w:rsidR="00C454A1" w:rsidRPr="00F8202F" w14:paraId="0F8EB892" w14:textId="77777777" w:rsidTr="001F3006">
              <w:trPr>
                <w:trHeight w:val="300"/>
                <w:jc w:val="center"/>
              </w:trPr>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51E89F2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Clan del Golfo</w:t>
                  </w:r>
                </w:p>
              </w:tc>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642E09D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80 (ACCAM 39)</w:t>
                  </w:r>
                </w:p>
              </w:tc>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553D185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92 (ACCAM 40)</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23DB65C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113 (ACCAM 41) </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32DD12AF"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163 (ACCAM 42)</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662299A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173 (ACCAM 43)</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586E03A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166 (ACCAM 44)</w:t>
                  </w:r>
                </w:p>
              </w:tc>
            </w:tr>
            <w:tr w:rsidR="00C454A1" w:rsidRPr="00F8202F" w14:paraId="00313149" w14:textId="77777777" w:rsidTr="001F3006">
              <w:trPr>
                <w:trHeight w:val="300"/>
                <w:jc w:val="center"/>
              </w:trPr>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714B748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Los “Pelusos”</w:t>
                  </w:r>
                </w:p>
              </w:tc>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76C267C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22</w:t>
                  </w:r>
                </w:p>
              </w:tc>
              <w:tc>
                <w:tcPr>
                  <w:tcW w:w="2068" w:type="dxa"/>
                  <w:tcBorders>
                    <w:top w:val="single" w:sz="8" w:space="0" w:color="auto"/>
                    <w:left w:val="single" w:sz="8" w:space="0" w:color="auto"/>
                    <w:bottom w:val="single" w:sz="8" w:space="0" w:color="auto"/>
                    <w:right w:val="single" w:sz="8" w:space="0" w:color="auto"/>
                  </w:tcBorders>
                  <w:tcMar>
                    <w:left w:w="108" w:type="dxa"/>
                    <w:right w:w="108" w:type="dxa"/>
                  </w:tcMar>
                </w:tcPr>
                <w:p w14:paraId="1B1476E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26</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7B21DFD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56</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5D9450B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55</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1DE90C4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77</w:t>
                  </w:r>
                </w:p>
              </w:tc>
              <w:tc>
                <w:tcPr>
                  <w:tcW w:w="2069" w:type="dxa"/>
                  <w:tcBorders>
                    <w:top w:val="single" w:sz="8" w:space="0" w:color="auto"/>
                    <w:left w:val="single" w:sz="8" w:space="0" w:color="auto"/>
                    <w:bottom w:val="single" w:sz="8" w:space="0" w:color="auto"/>
                    <w:right w:val="single" w:sz="8" w:space="0" w:color="auto"/>
                  </w:tcBorders>
                  <w:tcMar>
                    <w:left w:w="108" w:type="dxa"/>
                    <w:right w:w="108" w:type="dxa"/>
                  </w:tcMar>
                </w:tcPr>
                <w:p w14:paraId="1089593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57</w:t>
                  </w:r>
                </w:p>
              </w:tc>
            </w:tr>
          </w:tbl>
          <w:p w14:paraId="7A3C72DE" w14:textId="77777777" w:rsidR="00C454A1" w:rsidRDefault="00C454A1" w:rsidP="00881E6A">
            <w:pPr>
              <w:ind w:left="360" w:right="272"/>
              <w:rPr>
                <w:rFonts w:eastAsia="Times New Roman" w:cs="Times New Roman"/>
                <w:lang w:val="es-ES"/>
              </w:rPr>
            </w:pPr>
          </w:p>
          <w:p w14:paraId="7C0F9513" w14:textId="77777777" w:rsidR="00C454A1" w:rsidRPr="009E06AB" w:rsidRDefault="00C454A1" w:rsidP="00881E6A">
            <w:pPr>
              <w:ind w:left="360" w:right="272"/>
              <w:rPr>
                <w:rFonts w:cs="Times New Roman"/>
                <w:lang w:val="es-ES"/>
              </w:rPr>
            </w:pPr>
            <w:r w:rsidRPr="009E06AB">
              <w:rPr>
                <w:rFonts w:eastAsia="Times New Roman" w:cs="Times New Roman"/>
                <w:lang w:val="es-ES"/>
              </w:rPr>
              <w:t>Además, ese ministerio indicó que los grupos organizados al margen de la ley realizan las siguientes actividades en las zonas objeto del Estado de Conmoción Interior: “secuestro extorsivo, extorsión a empresas multinacionales, asesinatos selectivos, control de rutas del narcotráfico, minería ilegal, reclutamiento forzado de niños, niñas y adolescentes (NNA), control de pasos no formales, contrabando y control de cultivos ilícitos”</w:t>
            </w:r>
            <w:r w:rsidRPr="00833016">
              <w:rPr>
                <w:rStyle w:val="Refdenotaalpie"/>
                <w:rFonts w:eastAsia="Times New Roman" w:cs="Times New Roman"/>
                <w:lang w:val="es-ES"/>
              </w:rPr>
              <w:footnoteReference w:id="468"/>
            </w:r>
            <w:r w:rsidRPr="009E06AB">
              <w:rPr>
                <w:rFonts w:eastAsia="Times New Roman" w:cs="Times New Roman"/>
                <w:lang w:val="es-ES"/>
              </w:rPr>
              <w:t>. Respecto del GDO los “Pelusos”, señaló que sus principales fuentes de financiamiento son el narcotráfico, la extorsión, el contrabando y el tráfico local de estupefacientes. Agregó que “imponen reglas de conducta a la comunidad, prohibiendo el libre tránsito en ciertos horarios, lugares y ejercen coerción a los campesinos para que cultiven hoja de coca”</w:t>
            </w:r>
            <w:r w:rsidRPr="00833016">
              <w:rPr>
                <w:rStyle w:val="Refdenotaalpie"/>
                <w:rFonts w:eastAsia="Times New Roman" w:cs="Times New Roman"/>
                <w:lang w:val="es-ES"/>
              </w:rPr>
              <w:footnoteReference w:id="469"/>
            </w:r>
            <w:r w:rsidRPr="009E06AB">
              <w:rPr>
                <w:rFonts w:eastAsia="Times New Roman" w:cs="Times New Roman"/>
                <w:lang w:val="es-ES"/>
              </w:rPr>
              <w:t>.</w:t>
            </w:r>
          </w:p>
          <w:p w14:paraId="7CD6EDD0" w14:textId="77777777" w:rsidR="00C454A1" w:rsidRPr="00833016" w:rsidRDefault="00C454A1" w:rsidP="00881E6A">
            <w:pPr>
              <w:pStyle w:val="Prrafodelista"/>
              <w:ind w:left="360" w:right="272" w:hanging="360"/>
              <w:rPr>
                <w:rFonts w:eastAsia="Times New Roman" w:cs="Times New Roman"/>
                <w:lang w:val="es-ES"/>
              </w:rPr>
            </w:pPr>
          </w:p>
          <w:p w14:paraId="5C6E44C3" w14:textId="77777777" w:rsidR="00C454A1" w:rsidRPr="00833016" w:rsidRDefault="00C454A1" w:rsidP="005F4A6F">
            <w:pPr>
              <w:pStyle w:val="Prrafodelista"/>
              <w:numPr>
                <w:ilvl w:val="0"/>
                <w:numId w:val="31"/>
              </w:numPr>
              <w:ind w:left="360" w:right="272"/>
              <w:rPr>
                <w:rFonts w:eastAsia="Times New Roman" w:cs="Times New Roman"/>
                <w:lang w:val="es-ES"/>
              </w:rPr>
            </w:pPr>
            <w:r w:rsidRPr="006100B7">
              <w:rPr>
                <w:rFonts w:eastAsia="Times New Roman" w:cs="Times New Roman"/>
                <w:u w:val="single"/>
                <w:lang w:val="es-ES"/>
              </w:rPr>
              <w:t>Escalamiento y evolución de las hostilidades y de los ataques a la población civil</w:t>
            </w:r>
            <w:r w:rsidRPr="00833016">
              <w:rPr>
                <w:rFonts w:eastAsia="Times New Roman" w:cs="Times New Roman"/>
                <w:lang w:val="es-ES"/>
              </w:rPr>
              <w:t>. El MinDefensa explicó que en los municipios de Río de Oro y de González (Cesar) no se registraron homicidios en contra de defensores de derechos humanos ni de firmantes de paz. Además, sistematizó la siguiente información sobre homicidios a líderes sociales y a firmantes de paz en la subregión del Catatumbo y en el Área Metropolitana de Cúcuta</w:t>
            </w:r>
            <w:r w:rsidRPr="00833016">
              <w:rPr>
                <w:rStyle w:val="Refdenotaalpie"/>
                <w:rFonts w:eastAsia="Times New Roman" w:cs="Times New Roman"/>
                <w:lang w:val="es-ES"/>
              </w:rPr>
              <w:footnoteReference w:id="470"/>
            </w:r>
            <w:r w:rsidRPr="00833016">
              <w:rPr>
                <w:rFonts w:eastAsia="Times New Roman" w:cs="Times New Roman"/>
                <w:lang w:val="es-ES"/>
              </w:rPr>
              <w:t>:</w:t>
            </w:r>
          </w:p>
          <w:p w14:paraId="0D50E4F4" w14:textId="77777777" w:rsidR="00C454A1" w:rsidRDefault="00C454A1" w:rsidP="00881E6A">
            <w:pPr>
              <w:pStyle w:val="Prrafodelista"/>
              <w:ind w:left="360" w:right="272" w:hanging="360"/>
              <w:rPr>
                <w:rFonts w:eastAsia="Times New Roman" w:cs="Times New Roman"/>
                <w:lang w:val="es-ES"/>
              </w:rPr>
            </w:pPr>
          </w:p>
          <w:p w14:paraId="736C1EA2" w14:textId="77777777" w:rsidR="00C454A1" w:rsidRPr="00AD4CCE" w:rsidRDefault="00C454A1" w:rsidP="00881E6A">
            <w:pPr>
              <w:pStyle w:val="Prrafodelista"/>
              <w:ind w:left="360" w:right="272" w:hanging="360"/>
              <w:jc w:val="center"/>
              <w:rPr>
                <w:rFonts w:eastAsia="Times New Roman" w:cs="Times New Roman"/>
                <w:i/>
                <w:iCs/>
                <w:sz w:val="20"/>
                <w:szCs w:val="20"/>
                <w:lang w:val="es-ES"/>
              </w:rPr>
            </w:pPr>
            <w:r w:rsidRPr="00AD4CCE">
              <w:rPr>
                <w:rFonts w:eastAsia="Times New Roman" w:cs="Times New Roman"/>
                <w:i/>
                <w:iCs/>
                <w:sz w:val="20"/>
                <w:szCs w:val="20"/>
                <w:lang w:val="es-ES"/>
              </w:rPr>
              <w:t>Tabla 3: Afectaciones a defensores de DDHH y firmantes del AFP</w:t>
            </w:r>
          </w:p>
          <w:tbl>
            <w:tblPr>
              <w:tblStyle w:val="Tablaconcuadrcula"/>
              <w:tblW w:w="0" w:type="auto"/>
              <w:jc w:val="center"/>
              <w:tblLook w:val="04A0" w:firstRow="1" w:lastRow="0" w:firstColumn="1" w:lastColumn="0" w:noHBand="0" w:noVBand="1"/>
            </w:tblPr>
            <w:tblGrid>
              <w:gridCol w:w="3641"/>
              <w:gridCol w:w="1005"/>
              <w:gridCol w:w="1050"/>
              <w:gridCol w:w="975"/>
              <w:gridCol w:w="1110"/>
              <w:gridCol w:w="1005"/>
              <w:gridCol w:w="1110"/>
              <w:gridCol w:w="889"/>
            </w:tblGrid>
            <w:tr w:rsidR="00C454A1" w:rsidRPr="00F8202F" w14:paraId="51D19EFE" w14:textId="77777777" w:rsidTr="001F3006">
              <w:trPr>
                <w:trHeight w:val="300"/>
                <w:jc w:val="center"/>
              </w:trPr>
              <w:tc>
                <w:tcPr>
                  <w:tcW w:w="10691" w:type="dxa"/>
                  <w:gridSpan w:val="8"/>
                  <w:tcBorders>
                    <w:top w:val="single" w:sz="8" w:space="0" w:color="auto"/>
                    <w:left w:val="single" w:sz="8" w:space="0" w:color="auto"/>
                    <w:bottom w:val="single" w:sz="8" w:space="0" w:color="auto"/>
                    <w:right w:val="single" w:sz="8" w:space="0" w:color="auto"/>
                  </w:tcBorders>
                  <w:tcMar>
                    <w:left w:w="108" w:type="dxa"/>
                    <w:right w:w="108" w:type="dxa"/>
                  </w:tcMar>
                </w:tcPr>
                <w:p w14:paraId="15E01D52"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Afectaciones a defensores de derechos humanos y firmantes de paz</w:t>
                  </w:r>
                </w:p>
              </w:tc>
            </w:tr>
            <w:tr w:rsidR="00C454A1" w:rsidRPr="00F8202F" w14:paraId="21E1DBD4" w14:textId="77777777" w:rsidTr="001F3006">
              <w:trPr>
                <w:trHeight w:val="300"/>
                <w:jc w:val="center"/>
              </w:trPr>
              <w:tc>
                <w:tcPr>
                  <w:tcW w:w="3641" w:type="dxa"/>
                  <w:tcBorders>
                    <w:top w:val="single" w:sz="8" w:space="0" w:color="auto"/>
                    <w:left w:val="single" w:sz="8" w:space="0" w:color="auto"/>
                    <w:bottom w:val="single" w:sz="8" w:space="0" w:color="auto"/>
                    <w:right w:val="single" w:sz="8" w:space="0" w:color="auto"/>
                  </w:tcBorders>
                  <w:tcMar>
                    <w:left w:w="108" w:type="dxa"/>
                    <w:right w:w="108" w:type="dxa"/>
                  </w:tcMar>
                </w:tcPr>
                <w:p w14:paraId="71CD45B2"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 xml:space="preserve"> </w:t>
                  </w:r>
                </w:p>
              </w:tc>
              <w:tc>
                <w:tcPr>
                  <w:tcW w:w="1005" w:type="dxa"/>
                  <w:tcBorders>
                    <w:top w:val="nil"/>
                    <w:left w:val="single" w:sz="8" w:space="0" w:color="auto"/>
                    <w:bottom w:val="single" w:sz="8" w:space="0" w:color="auto"/>
                    <w:right w:val="single" w:sz="8" w:space="0" w:color="auto"/>
                  </w:tcBorders>
                  <w:tcMar>
                    <w:left w:w="108" w:type="dxa"/>
                    <w:right w:w="108" w:type="dxa"/>
                  </w:tcMar>
                </w:tcPr>
                <w:p w14:paraId="6AF7AC2E"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2022 – I</w:t>
                  </w:r>
                </w:p>
              </w:tc>
              <w:tc>
                <w:tcPr>
                  <w:tcW w:w="1050" w:type="dxa"/>
                  <w:tcBorders>
                    <w:top w:val="nil"/>
                    <w:left w:val="single" w:sz="8" w:space="0" w:color="auto"/>
                    <w:bottom w:val="single" w:sz="8" w:space="0" w:color="auto"/>
                    <w:right w:val="single" w:sz="8" w:space="0" w:color="auto"/>
                  </w:tcBorders>
                  <w:tcMar>
                    <w:left w:w="108" w:type="dxa"/>
                    <w:right w:w="108" w:type="dxa"/>
                  </w:tcMar>
                </w:tcPr>
                <w:p w14:paraId="3A955DEB"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2022 – II</w:t>
                  </w:r>
                </w:p>
              </w:tc>
              <w:tc>
                <w:tcPr>
                  <w:tcW w:w="975" w:type="dxa"/>
                  <w:tcBorders>
                    <w:top w:val="nil"/>
                    <w:left w:val="single" w:sz="8" w:space="0" w:color="auto"/>
                    <w:bottom w:val="single" w:sz="8" w:space="0" w:color="auto"/>
                    <w:right w:val="single" w:sz="8" w:space="0" w:color="auto"/>
                  </w:tcBorders>
                  <w:tcMar>
                    <w:left w:w="108" w:type="dxa"/>
                    <w:right w:w="108" w:type="dxa"/>
                  </w:tcMar>
                </w:tcPr>
                <w:p w14:paraId="0F40C7EE"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2023 – I</w:t>
                  </w:r>
                </w:p>
              </w:tc>
              <w:tc>
                <w:tcPr>
                  <w:tcW w:w="1110" w:type="dxa"/>
                  <w:tcBorders>
                    <w:top w:val="nil"/>
                    <w:left w:val="single" w:sz="8" w:space="0" w:color="auto"/>
                    <w:bottom w:val="single" w:sz="8" w:space="0" w:color="auto"/>
                    <w:right w:val="single" w:sz="8" w:space="0" w:color="auto"/>
                  </w:tcBorders>
                  <w:tcMar>
                    <w:left w:w="108" w:type="dxa"/>
                    <w:right w:w="108" w:type="dxa"/>
                  </w:tcMar>
                </w:tcPr>
                <w:p w14:paraId="4342BAD8"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 xml:space="preserve">2023 – II </w:t>
                  </w:r>
                </w:p>
              </w:tc>
              <w:tc>
                <w:tcPr>
                  <w:tcW w:w="1005" w:type="dxa"/>
                  <w:tcBorders>
                    <w:top w:val="nil"/>
                    <w:left w:val="single" w:sz="8" w:space="0" w:color="auto"/>
                    <w:bottom w:val="single" w:sz="8" w:space="0" w:color="auto"/>
                    <w:right w:val="single" w:sz="8" w:space="0" w:color="auto"/>
                  </w:tcBorders>
                  <w:tcMar>
                    <w:left w:w="108" w:type="dxa"/>
                    <w:right w:w="108" w:type="dxa"/>
                  </w:tcMar>
                </w:tcPr>
                <w:p w14:paraId="7206D1F3"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 xml:space="preserve">2024 – I </w:t>
                  </w:r>
                </w:p>
              </w:tc>
              <w:tc>
                <w:tcPr>
                  <w:tcW w:w="1110" w:type="dxa"/>
                  <w:tcBorders>
                    <w:top w:val="nil"/>
                    <w:left w:val="single" w:sz="8" w:space="0" w:color="auto"/>
                    <w:bottom w:val="single" w:sz="8" w:space="0" w:color="auto"/>
                    <w:right w:val="single" w:sz="8" w:space="0" w:color="auto"/>
                  </w:tcBorders>
                  <w:tcMar>
                    <w:left w:w="108" w:type="dxa"/>
                    <w:right w:w="108" w:type="dxa"/>
                  </w:tcMar>
                </w:tcPr>
                <w:p w14:paraId="0AB13D2F"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 xml:space="preserve">2024 – II </w:t>
                  </w:r>
                </w:p>
              </w:tc>
              <w:tc>
                <w:tcPr>
                  <w:tcW w:w="795" w:type="dxa"/>
                  <w:tcBorders>
                    <w:top w:val="nil"/>
                    <w:left w:val="single" w:sz="8" w:space="0" w:color="auto"/>
                    <w:bottom w:val="single" w:sz="8" w:space="0" w:color="auto"/>
                    <w:right w:val="single" w:sz="8" w:space="0" w:color="auto"/>
                  </w:tcBorders>
                  <w:tcMar>
                    <w:left w:w="108" w:type="dxa"/>
                    <w:right w:w="108" w:type="dxa"/>
                  </w:tcMar>
                </w:tcPr>
                <w:p w14:paraId="4C84E8C0"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2025</w:t>
                  </w:r>
                </w:p>
              </w:tc>
            </w:tr>
            <w:tr w:rsidR="00C454A1" w:rsidRPr="00F8202F" w14:paraId="0AAD2D4A" w14:textId="77777777" w:rsidTr="001F3006">
              <w:trPr>
                <w:trHeight w:val="300"/>
                <w:jc w:val="center"/>
              </w:trPr>
              <w:tc>
                <w:tcPr>
                  <w:tcW w:w="3641" w:type="dxa"/>
                  <w:tcBorders>
                    <w:top w:val="single" w:sz="8" w:space="0" w:color="auto"/>
                    <w:left w:val="single" w:sz="8" w:space="0" w:color="auto"/>
                    <w:bottom w:val="single" w:sz="8" w:space="0" w:color="auto"/>
                    <w:right w:val="single" w:sz="8" w:space="0" w:color="auto"/>
                  </w:tcBorders>
                  <w:tcMar>
                    <w:left w:w="108" w:type="dxa"/>
                    <w:right w:w="108" w:type="dxa"/>
                  </w:tcMar>
                </w:tcPr>
                <w:p w14:paraId="70BB11D4"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Defensores de Derechos Humanos</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7EC99"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5</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2C89B6"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2</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AC0D0C"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3</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7D37A2"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3</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CC3D7C"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4</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5F8CCC"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7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A94447"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3</w:t>
                  </w:r>
                </w:p>
              </w:tc>
            </w:tr>
            <w:tr w:rsidR="00C454A1" w:rsidRPr="00F8202F" w14:paraId="07D72D06" w14:textId="77777777" w:rsidTr="001F3006">
              <w:trPr>
                <w:trHeight w:val="300"/>
                <w:jc w:val="center"/>
              </w:trPr>
              <w:tc>
                <w:tcPr>
                  <w:tcW w:w="3641" w:type="dxa"/>
                  <w:tcBorders>
                    <w:top w:val="single" w:sz="8" w:space="0" w:color="auto"/>
                    <w:left w:val="single" w:sz="8" w:space="0" w:color="auto"/>
                    <w:bottom w:val="single" w:sz="8" w:space="0" w:color="auto"/>
                    <w:right w:val="single" w:sz="8" w:space="0" w:color="auto"/>
                  </w:tcBorders>
                  <w:tcMar>
                    <w:left w:w="108" w:type="dxa"/>
                    <w:right w:w="108" w:type="dxa"/>
                  </w:tcMar>
                </w:tcPr>
                <w:p w14:paraId="30AF2D07" w14:textId="77777777" w:rsidR="00C454A1" w:rsidRPr="002954F2" w:rsidRDefault="00C454A1" w:rsidP="00881E6A">
                  <w:pPr>
                    <w:ind w:right="272"/>
                    <w:rPr>
                      <w:rFonts w:eastAsia="Times New Roman" w:cs="Times New Roman"/>
                      <w:b/>
                      <w:sz w:val="20"/>
                      <w:szCs w:val="20"/>
                      <w:lang w:val="es-ES"/>
                    </w:rPr>
                  </w:pPr>
                  <w:r w:rsidRPr="002954F2">
                    <w:rPr>
                      <w:rFonts w:eastAsia="Times New Roman" w:cs="Times New Roman"/>
                      <w:b/>
                      <w:sz w:val="20"/>
                      <w:szCs w:val="20"/>
                      <w:lang w:val="es-ES"/>
                    </w:rPr>
                    <w:t>Firmantes de paz</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5F2169"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919802"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81368E"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16B768"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0</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86F81B"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0</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E91027"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0</w:t>
                  </w:r>
                </w:p>
              </w:tc>
              <w:tc>
                <w:tcPr>
                  <w:tcW w:w="7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1D9B2F"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6</w:t>
                  </w:r>
                </w:p>
              </w:tc>
            </w:tr>
          </w:tbl>
          <w:p w14:paraId="64E6F593" w14:textId="77777777" w:rsidR="00C454A1" w:rsidRPr="00833016" w:rsidRDefault="00C454A1" w:rsidP="00881E6A">
            <w:pPr>
              <w:pStyle w:val="Prrafodelista"/>
              <w:ind w:left="360" w:right="272" w:hanging="90"/>
              <w:rPr>
                <w:rFonts w:eastAsia="Times New Roman" w:cs="Times New Roman"/>
                <w:lang w:val="es-ES"/>
              </w:rPr>
            </w:pPr>
          </w:p>
          <w:p w14:paraId="0B6803AA" w14:textId="77777777" w:rsidR="00C454A1" w:rsidRPr="00833016" w:rsidRDefault="00C454A1" w:rsidP="00881E6A">
            <w:pPr>
              <w:pStyle w:val="Prrafodelista"/>
              <w:ind w:left="360" w:right="272" w:hanging="90"/>
              <w:rPr>
                <w:rFonts w:eastAsia="Times New Roman" w:cs="Times New Roman"/>
                <w:lang w:val="es-ES"/>
              </w:rPr>
            </w:pPr>
            <w:r w:rsidRPr="00833016">
              <w:rPr>
                <w:rFonts w:eastAsia="Times New Roman" w:cs="Times New Roman"/>
                <w:lang w:val="es-ES"/>
              </w:rPr>
              <w:t xml:space="preserve">En relación con los ataques a la infraestructura y a la </w:t>
            </w:r>
            <w:r>
              <w:rPr>
                <w:rFonts w:eastAsia="Times New Roman" w:cs="Times New Roman"/>
                <w:lang w:val="es-ES"/>
              </w:rPr>
              <w:t>f</w:t>
            </w:r>
            <w:r w:rsidRPr="00833016">
              <w:rPr>
                <w:rFonts w:eastAsia="Times New Roman" w:cs="Times New Roman"/>
                <w:lang w:val="es-ES"/>
              </w:rPr>
              <w:t xml:space="preserve">uerza </w:t>
            </w:r>
            <w:r>
              <w:rPr>
                <w:rFonts w:eastAsia="Times New Roman" w:cs="Times New Roman"/>
                <w:lang w:val="es-ES"/>
              </w:rPr>
              <w:t>p</w:t>
            </w:r>
            <w:r w:rsidRPr="00833016">
              <w:rPr>
                <w:rFonts w:eastAsia="Times New Roman" w:cs="Times New Roman"/>
                <w:lang w:val="es-ES"/>
              </w:rPr>
              <w:t>ública entre 2022 y el 30 de enero de 2025, el MinDefensa relacionó la siguiente información</w:t>
            </w:r>
            <w:r w:rsidRPr="00833016">
              <w:rPr>
                <w:rStyle w:val="Refdenotaalpie"/>
                <w:rFonts w:eastAsia="Times New Roman" w:cs="Times New Roman"/>
                <w:lang w:val="es-ES"/>
              </w:rPr>
              <w:footnoteReference w:id="471"/>
            </w:r>
            <w:r w:rsidRPr="00833016">
              <w:rPr>
                <w:rFonts w:eastAsia="Times New Roman" w:cs="Times New Roman"/>
                <w:lang w:val="es-ES"/>
              </w:rPr>
              <w:t>:</w:t>
            </w:r>
          </w:p>
          <w:p w14:paraId="30613C84" w14:textId="77777777" w:rsidR="00C454A1" w:rsidRDefault="00C454A1" w:rsidP="00881E6A">
            <w:pPr>
              <w:pStyle w:val="Prrafodelista"/>
              <w:ind w:left="360" w:right="272" w:hanging="90"/>
              <w:rPr>
                <w:rFonts w:eastAsia="Times New Roman" w:cs="Times New Roman"/>
                <w:lang w:val="es-ES"/>
              </w:rPr>
            </w:pPr>
          </w:p>
          <w:p w14:paraId="1D5B70CB" w14:textId="77777777" w:rsidR="00C454A1" w:rsidRPr="00560670" w:rsidRDefault="00C454A1" w:rsidP="00881E6A">
            <w:pPr>
              <w:pStyle w:val="Prrafodelista"/>
              <w:ind w:left="360" w:right="272" w:hanging="90"/>
              <w:jc w:val="center"/>
              <w:rPr>
                <w:rFonts w:eastAsia="Times New Roman" w:cs="Times New Roman"/>
                <w:i/>
                <w:iCs/>
                <w:sz w:val="20"/>
                <w:szCs w:val="20"/>
                <w:lang w:val="es-ES"/>
              </w:rPr>
            </w:pPr>
            <w:r w:rsidRPr="00560670">
              <w:rPr>
                <w:rFonts w:eastAsia="Times New Roman" w:cs="Times New Roman"/>
                <w:i/>
                <w:iCs/>
                <w:sz w:val="20"/>
                <w:szCs w:val="20"/>
                <w:lang w:val="es-ES"/>
              </w:rPr>
              <w:lastRenderedPageBreak/>
              <w:t>Tabla 4: ataques a infraestructura y fuerza pública desde 2022</w:t>
            </w:r>
          </w:p>
          <w:tbl>
            <w:tblPr>
              <w:tblStyle w:val="Tablaconcuadrcula"/>
              <w:tblW w:w="0" w:type="auto"/>
              <w:jc w:val="center"/>
              <w:tblLook w:val="04A0" w:firstRow="1" w:lastRow="0" w:firstColumn="1" w:lastColumn="0" w:noHBand="0" w:noVBand="1"/>
            </w:tblPr>
            <w:tblGrid>
              <w:gridCol w:w="3210"/>
              <w:gridCol w:w="990"/>
              <w:gridCol w:w="1035"/>
              <w:gridCol w:w="975"/>
              <w:gridCol w:w="1035"/>
              <w:gridCol w:w="1050"/>
              <w:gridCol w:w="1065"/>
              <w:gridCol w:w="960"/>
            </w:tblGrid>
            <w:tr w:rsidR="00C454A1" w:rsidRPr="00F8202F" w14:paraId="2A446BD1" w14:textId="77777777" w:rsidTr="001F3006">
              <w:trPr>
                <w:trHeight w:val="300"/>
                <w:jc w:val="center"/>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5802D13E"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Etiqueta de fila</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F222BE2"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2022 – I</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5CFA80AD"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2022 – II</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11274531"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2023 – I</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2A962233"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2023 – II</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5CAAB73F"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2024 – I</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tcPr>
                <w:p w14:paraId="1C44D8FC"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2024 – II</w:t>
                  </w:r>
                </w:p>
              </w:tc>
              <w:tc>
                <w:tcPr>
                  <w:tcW w:w="960" w:type="dxa"/>
                  <w:tcBorders>
                    <w:top w:val="single" w:sz="8" w:space="0" w:color="auto"/>
                    <w:left w:val="single" w:sz="8" w:space="0" w:color="auto"/>
                    <w:bottom w:val="single" w:sz="8" w:space="0" w:color="auto"/>
                    <w:right w:val="single" w:sz="8" w:space="0" w:color="auto"/>
                  </w:tcBorders>
                  <w:tcMar>
                    <w:left w:w="108" w:type="dxa"/>
                    <w:right w:w="108" w:type="dxa"/>
                  </w:tcMar>
                </w:tcPr>
                <w:p w14:paraId="18450102"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2025 – I</w:t>
                  </w:r>
                </w:p>
              </w:tc>
            </w:tr>
            <w:tr w:rsidR="00C454A1" w:rsidRPr="00F8202F" w14:paraId="358257A5" w14:textId="77777777" w:rsidTr="001F3006">
              <w:trPr>
                <w:trHeight w:val="300"/>
                <w:jc w:val="center"/>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1DE8EC5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TERRORISMO</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0BBFC76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56</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5750C52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18</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50A85F1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20</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665564E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14</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750CC07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tcPr>
                <w:p w14:paraId="053F96A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14</w:t>
                  </w:r>
                </w:p>
              </w:tc>
              <w:tc>
                <w:tcPr>
                  <w:tcW w:w="960" w:type="dxa"/>
                  <w:tcBorders>
                    <w:top w:val="single" w:sz="8" w:space="0" w:color="auto"/>
                    <w:left w:val="single" w:sz="8" w:space="0" w:color="auto"/>
                    <w:bottom w:val="single" w:sz="8" w:space="0" w:color="auto"/>
                    <w:right w:val="single" w:sz="8" w:space="0" w:color="auto"/>
                  </w:tcBorders>
                  <w:tcMar>
                    <w:left w:w="108" w:type="dxa"/>
                    <w:right w:w="108" w:type="dxa"/>
                  </w:tcMar>
                </w:tcPr>
                <w:p w14:paraId="73844CC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w:t>
                  </w:r>
                </w:p>
              </w:tc>
            </w:tr>
            <w:tr w:rsidR="00C454A1" w:rsidRPr="00F8202F" w14:paraId="1DF9DF49" w14:textId="77777777" w:rsidTr="001F3006">
              <w:trPr>
                <w:trHeight w:val="300"/>
                <w:jc w:val="center"/>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6469176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VÍAS Y PUENTES DESTRUIDOS</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2EB3A8A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3D5AE20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629DA63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54FF7CD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6865995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tcPr>
                <w:p w14:paraId="1CB8E99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960" w:type="dxa"/>
                  <w:tcBorders>
                    <w:top w:val="single" w:sz="8" w:space="0" w:color="auto"/>
                    <w:left w:val="single" w:sz="8" w:space="0" w:color="auto"/>
                    <w:bottom w:val="single" w:sz="8" w:space="0" w:color="auto"/>
                    <w:right w:val="single" w:sz="8" w:space="0" w:color="auto"/>
                  </w:tcBorders>
                  <w:tcMar>
                    <w:left w:w="108" w:type="dxa"/>
                    <w:right w:w="108" w:type="dxa"/>
                  </w:tcMar>
                </w:tcPr>
                <w:p w14:paraId="7CE5FBC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r>
            <w:tr w:rsidR="00C454A1" w:rsidRPr="00F8202F" w14:paraId="56159CB3" w14:textId="77777777" w:rsidTr="001F3006">
              <w:trPr>
                <w:trHeight w:val="300"/>
                <w:jc w:val="center"/>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15F7B81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VOLADURA DE OLEODUCTOS</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B5DB8D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35883D2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469F24D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62540E0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4DAA69BF"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tcPr>
                <w:p w14:paraId="1DA7AA5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w:t>
                  </w:r>
                </w:p>
              </w:tc>
              <w:tc>
                <w:tcPr>
                  <w:tcW w:w="960" w:type="dxa"/>
                  <w:tcBorders>
                    <w:top w:val="single" w:sz="8" w:space="0" w:color="auto"/>
                    <w:left w:val="single" w:sz="8" w:space="0" w:color="auto"/>
                    <w:bottom w:val="single" w:sz="8" w:space="0" w:color="auto"/>
                    <w:right w:val="single" w:sz="8" w:space="0" w:color="auto"/>
                  </w:tcBorders>
                  <w:tcMar>
                    <w:left w:w="108" w:type="dxa"/>
                    <w:right w:w="108" w:type="dxa"/>
                  </w:tcMar>
                </w:tcPr>
                <w:p w14:paraId="443F93C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r>
            <w:tr w:rsidR="00C454A1" w:rsidRPr="00F8202F" w14:paraId="2ABD0C5F" w14:textId="77777777" w:rsidTr="001F3006">
              <w:trPr>
                <w:trHeight w:val="300"/>
                <w:jc w:val="center"/>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1629639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ASESINADOS FUERZA PÚBLICA</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CDE1BD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12</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7FDE5F8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110434EF"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696F7BC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74EC820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tcPr>
                <w:p w14:paraId="3044D5E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16</w:t>
                  </w:r>
                </w:p>
              </w:tc>
              <w:tc>
                <w:tcPr>
                  <w:tcW w:w="960" w:type="dxa"/>
                  <w:tcBorders>
                    <w:top w:val="single" w:sz="8" w:space="0" w:color="auto"/>
                    <w:left w:val="single" w:sz="8" w:space="0" w:color="auto"/>
                    <w:bottom w:val="single" w:sz="8" w:space="0" w:color="auto"/>
                    <w:right w:val="single" w:sz="8" w:space="0" w:color="auto"/>
                  </w:tcBorders>
                  <w:tcMar>
                    <w:left w:w="108" w:type="dxa"/>
                    <w:right w:w="108" w:type="dxa"/>
                  </w:tcMar>
                </w:tcPr>
                <w:p w14:paraId="5BCEE1E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w:t>
                  </w:r>
                </w:p>
              </w:tc>
            </w:tr>
            <w:tr w:rsidR="00C454A1" w:rsidRPr="00F8202F" w14:paraId="6BE5A306" w14:textId="77777777" w:rsidTr="001F3006">
              <w:trPr>
                <w:trHeight w:val="300"/>
                <w:jc w:val="center"/>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31906DD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HERIDOS FUERZA PÚBLICA</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0CD3402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79</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1F4FF61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29</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59A0FB3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11</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tcPr>
                <w:p w14:paraId="0FD1660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10</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6F443BF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tcPr>
                <w:p w14:paraId="27BC49C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15</w:t>
                  </w:r>
                </w:p>
              </w:tc>
              <w:tc>
                <w:tcPr>
                  <w:tcW w:w="960" w:type="dxa"/>
                  <w:tcBorders>
                    <w:top w:val="single" w:sz="8" w:space="0" w:color="auto"/>
                    <w:left w:val="single" w:sz="8" w:space="0" w:color="auto"/>
                    <w:bottom w:val="single" w:sz="8" w:space="0" w:color="auto"/>
                    <w:right w:val="single" w:sz="8" w:space="0" w:color="auto"/>
                  </w:tcBorders>
                  <w:tcMar>
                    <w:left w:w="108" w:type="dxa"/>
                    <w:right w:w="108" w:type="dxa"/>
                  </w:tcMar>
                </w:tcPr>
                <w:p w14:paraId="7D66CD7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w:t>
                  </w:r>
                </w:p>
              </w:tc>
            </w:tr>
          </w:tbl>
          <w:p w14:paraId="63AC17FC" w14:textId="77777777" w:rsidR="00C454A1" w:rsidRPr="00833016" w:rsidRDefault="00C454A1" w:rsidP="00881E6A">
            <w:pPr>
              <w:pStyle w:val="Prrafodelista"/>
              <w:ind w:left="360" w:right="272" w:hanging="90"/>
              <w:rPr>
                <w:rFonts w:eastAsia="Times New Roman" w:cs="Times New Roman"/>
                <w:lang w:val="es-ES"/>
              </w:rPr>
            </w:pPr>
          </w:p>
          <w:p w14:paraId="5C2113A9" w14:textId="77777777" w:rsidR="00C454A1" w:rsidRPr="00833016" w:rsidRDefault="00C454A1" w:rsidP="00881E6A">
            <w:pPr>
              <w:pStyle w:val="Prrafodelista"/>
              <w:ind w:left="270" w:right="272"/>
              <w:rPr>
                <w:rFonts w:eastAsia="Times New Roman" w:cs="Times New Roman"/>
                <w:lang w:val="es-ES"/>
              </w:rPr>
            </w:pPr>
            <w:r w:rsidRPr="00833016">
              <w:rPr>
                <w:rFonts w:eastAsia="Times New Roman" w:cs="Times New Roman"/>
                <w:lang w:val="es-ES"/>
              </w:rPr>
              <w:t>Por su parte, la UARIV aportó la siguiente información sobre los hechos victimizantes de los que tuvo</w:t>
            </w:r>
            <w:r>
              <w:rPr>
                <w:rFonts w:eastAsia="Times New Roman" w:cs="Times New Roman"/>
                <w:lang w:val="es-ES"/>
              </w:rPr>
              <w:t xml:space="preserve"> </w:t>
            </w:r>
            <w:r w:rsidRPr="00833016">
              <w:rPr>
                <w:rFonts w:eastAsia="Times New Roman" w:cs="Times New Roman"/>
                <w:lang w:val="es-ES"/>
              </w:rPr>
              <w:t>conocimiento desde 2022</w:t>
            </w:r>
            <w:r w:rsidRPr="00833016">
              <w:rPr>
                <w:rStyle w:val="Refdenotaalpie"/>
                <w:rFonts w:eastAsia="Times New Roman" w:cs="Times New Roman"/>
                <w:lang w:val="es-ES"/>
              </w:rPr>
              <w:footnoteReference w:id="472"/>
            </w:r>
            <w:r w:rsidRPr="00833016">
              <w:rPr>
                <w:rFonts w:eastAsia="Times New Roman" w:cs="Times New Roman"/>
                <w:lang w:val="es-ES"/>
              </w:rPr>
              <w:t>:</w:t>
            </w:r>
          </w:p>
          <w:p w14:paraId="7BFC108F" w14:textId="77777777" w:rsidR="00C454A1" w:rsidRDefault="00C454A1" w:rsidP="00881E6A">
            <w:pPr>
              <w:pStyle w:val="Prrafodelista"/>
              <w:ind w:left="360" w:right="272" w:hanging="90"/>
              <w:rPr>
                <w:rFonts w:eastAsia="Times New Roman" w:cs="Times New Roman"/>
                <w:lang w:val="es-ES"/>
              </w:rPr>
            </w:pPr>
          </w:p>
          <w:p w14:paraId="101439CF" w14:textId="77777777" w:rsidR="00C454A1" w:rsidRDefault="00C454A1" w:rsidP="00881E6A">
            <w:pPr>
              <w:pStyle w:val="Prrafodelista"/>
              <w:ind w:left="360" w:right="272" w:hanging="90"/>
              <w:rPr>
                <w:rFonts w:eastAsia="Times New Roman" w:cs="Times New Roman"/>
                <w:lang w:val="es-ES"/>
              </w:rPr>
            </w:pPr>
          </w:p>
          <w:p w14:paraId="72FA776A" w14:textId="77777777" w:rsidR="00C454A1" w:rsidRPr="00B84FB6" w:rsidRDefault="00C454A1" w:rsidP="00881E6A">
            <w:pPr>
              <w:pStyle w:val="Prrafodelista"/>
              <w:ind w:left="360" w:right="272" w:hanging="90"/>
              <w:jc w:val="center"/>
              <w:rPr>
                <w:rFonts w:eastAsia="Times New Roman" w:cs="Times New Roman"/>
                <w:i/>
                <w:iCs/>
                <w:sz w:val="20"/>
                <w:szCs w:val="20"/>
                <w:lang w:val="es-ES"/>
              </w:rPr>
            </w:pPr>
            <w:r w:rsidRPr="00B84FB6">
              <w:rPr>
                <w:rFonts w:eastAsia="Times New Roman" w:cs="Times New Roman"/>
                <w:i/>
                <w:iCs/>
                <w:sz w:val="20"/>
                <w:szCs w:val="20"/>
                <w:lang w:val="es-ES"/>
              </w:rPr>
              <w:t>Tabla 5: hechos victimizantes reportados p</w:t>
            </w:r>
            <w:r>
              <w:rPr>
                <w:rFonts w:eastAsia="Times New Roman" w:cs="Times New Roman"/>
                <w:i/>
                <w:iCs/>
                <w:sz w:val="20"/>
                <w:szCs w:val="20"/>
                <w:lang w:val="es-ES"/>
              </w:rPr>
              <w:t>or</w:t>
            </w:r>
            <w:r w:rsidRPr="00B84FB6">
              <w:rPr>
                <w:rFonts w:eastAsia="Times New Roman" w:cs="Times New Roman"/>
                <w:i/>
                <w:iCs/>
                <w:sz w:val="20"/>
                <w:szCs w:val="20"/>
                <w:lang w:val="es-ES"/>
              </w:rPr>
              <w:t xml:space="preserve"> la UARIV</w:t>
            </w:r>
          </w:p>
          <w:tbl>
            <w:tblPr>
              <w:tblStyle w:val="Tablaconcuadrcula"/>
              <w:tblW w:w="0" w:type="auto"/>
              <w:jc w:val="center"/>
              <w:tblLook w:val="06A0" w:firstRow="1" w:lastRow="0" w:firstColumn="1" w:lastColumn="0" w:noHBand="1" w:noVBand="1"/>
            </w:tblPr>
            <w:tblGrid>
              <w:gridCol w:w="4511"/>
              <w:gridCol w:w="4501"/>
              <w:gridCol w:w="4519"/>
            </w:tblGrid>
            <w:tr w:rsidR="00C454A1" w:rsidRPr="002954F2" w14:paraId="62B5D1E7" w14:textId="77777777" w:rsidTr="001F3006">
              <w:trPr>
                <w:trHeight w:val="300"/>
                <w:jc w:val="center"/>
              </w:trPr>
              <w:tc>
                <w:tcPr>
                  <w:tcW w:w="4830" w:type="dxa"/>
                  <w:shd w:val="clear" w:color="auto" w:fill="BFBFBF" w:themeFill="background1" w:themeFillShade="BF"/>
                  <w:vAlign w:val="center"/>
                </w:tcPr>
                <w:p w14:paraId="0DC406B6"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Hechos victimizantes</w:t>
                  </w:r>
                </w:p>
              </w:tc>
              <w:tc>
                <w:tcPr>
                  <w:tcW w:w="4830" w:type="dxa"/>
                  <w:shd w:val="clear" w:color="auto" w:fill="BFBFBF" w:themeFill="background1" w:themeFillShade="BF"/>
                  <w:vAlign w:val="center"/>
                </w:tcPr>
                <w:p w14:paraId="3442287E"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Lugar y fecha de los hechos</w:t>
                  </w:r>
                </w:p>
              </w:tc>
              <w:tc>
                <w:tcPr>
                  <w:tcW w:w="4830" w:type="dxa"/>
                  <w:shd w:val="clear" w:color="auto" w:fill="BFBFBF" w:themeFill="background1" w:themeFillShade="BF"/>
                  <w:vAlign w:val="center"/>
                </w:tcPr>
                <w:p w14:paraId="69184256"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Descripción</w:t>
                  </w:r>
                </w:p>
              </w:tc>
            </w:tr>
            <w:tr w:rsidR="00C454A1" w:rsidRPr="002954F2" w14:paraId="7D6847CF" w14:textId="77777777" w:rsidTr="001F3006">
              <w:trPr>
                <w:trHeight w:val="300"/>
                <w:jc w:val="center"/>
              </w:trPr>
              <w:tc>
                <w:tcPr>
                  <w:tcW w:w="4830" w:type="dxa"/>
                  <w:vAlign w:val="center"/>
                </w:tcPr>
                <w:p w14:paraId="7442840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Tres hechos masivos relacionados con desplazamientos. </w:t>
                  </w:r>
                </w:p>
              </w:tc>
              <w:tc>
                <w:tcPr>
                  <w:tcW w:w="4830" w:type="dxa"/>
                  <w:vAlign w:val="center"/>
                </w:tcPr>
                <w:p w14:paraId="36CEE23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Enero, marzo y mayo de 2022 en la región del Catatumbo, en los municipios de Teorama, Convención (vereda Casablanca) y El Tarra (Bello Horizonte). </w:t>
                  </w:r>
                </w:p>
              </w:tc>
              <w:tc>
                <w:tcPr>
                  <w:tcW w:w="4830" w:type="dxa"/>
                  <w:vAlign w:val="center"/>
                </w:tcPr>
                <w:p w14:paraId="39C95FA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Los desplazamientos se derivaron de enfrentamientos entre el ELN y el Ejército Nacional. Resultaron afectados 200 hogares, aproximadamente.</w:t>
                  </w:r>
                </w:p>
              </w:tc>
            </w:tr>
            <w:tr w:rsidR="00C454A1" w:rsidRPr="00F8202F" w14:paraId="4EAFA90D" w14:textId="77777777" w:rsidTr="001F3006">
              <w:trPr>
                <w:trHeight w:val="300"/>
                <w:jc w:val="center"/>
              </w:trPr>
              <w:tc>
                <w:tcPr>
                  <w:tcW w:w="4830" w:type="dxa"/>
                  <w:vAlign w:val="center"/>
                </w:tcPr>
                <w:p w14:paraId="2497D9D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Tres hechos masivos relacionados con desplazamientos.</w:t>
                  </w:r>
                </w:p>
              </w:tc>
              <w:tc>
                <w:tcPr>
                  <w:tcW w:w="4830" w:type="dxa"/>
                  <w:vAlign w:val="center"/>
                </w:tcPr>
                <w:p w14:paraId="708D00D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Julio y agosto de 2022 en el municipio de Teorama. </w:t>
                  </w:r>
                </w:p>
              </w:tc>
              <w:tc>
                <w:tcPr>
                  <w:tcW w:w="4830" w:type="dxa"/>
                  <w:vAlign w:val="center"/>
                </w:tcPr>
                <w:p w14:paraId="6C6736D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Los desplazamientos se derivaron de combates entre el ELN y el Ejército Nacional. Resultaron afectados 150 hogares, aproximadamente, así como bienes civiles como vivientes por el uso de artefactos explosivos.</w:t>
                  </w:r>
                </w:p>
              </w:tc>
            </w:tr>
            <w:tr w:rsidR="00C454A1" w:rsidRPr="002954F2" w14:paraId="564C3B86" w14:textId="77777777" w:rsidTr="001F3006">
              <w:trPr>
                <w:trHeight w:val="300"/>
                <w:jc w:val="center"/>
              </w:trPr>
              <w:tc>
                <w:tcPr>
                  <w:tcW w:w="4830" w:type="dxa"/>
                  <w:vAlign w:val="center"/>
                </w:tcPr>
                <w:p w14:paraId="43F5348F"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52 eventos de acciones armadas como actos terroristas, combates, emboscadas y retenciones. Además, se reportaron 23 homicidios y “se registraron 199 eventos en las noticias locales”. </w:t>
                  </w:r>
                </w:p>
              </w:tc>
              <w:tc>
                <w:tcPr>
                  <w:tcW w:w="4830" w:type="dxa"/>
                  <w:vAlign w:val="center"/>
                </w:tcPr>
                <w:p w14:paraId="30EE2DD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2022.</w:t>
                  </w:r>
                </w:p>
              </w:tc>
              <w:tc>
                <w:tcPr>
                  <w:tcW w:w="4830" w:type="dxa"/>
                  <w:vAlign w:val="center"/>
                </w:tcPr>
                <w:p w14:paraId="3C605290" w14:textId="77777777" w:rsidR="00C454A1" w:rsidRPr="002954F2" w:rsidRDefault="00C454A1" w:rsidP="00881E6A">
                  <w:pPr>
                    <w:ind w:right="272"/>
                    <w:rPr>
                      <w:rFonts w:eastAsia="Times New Roman" w:cs="Times New Roman"/>
                      <w:sz w:val="20"/>
                      <w:szCs w:val="20"/>
                      <w:lang w:val="es-ES"/>
                    </w:rPr>
                  </w:pPr>
                </w:p>
              </w:tc>
            </w:tr>
            <w:tr w:rsidR="00C454A1" w:rsidRPr="002954F2" w14:paraId="29CBB325" w14:textId="77777777" w:rsidTr="001F3006">
              <w:trPr>
                <w:trHeight w:val="300"/>
                <w:jc w:val="center"/>
              </w:trPr>
              <w:tc>
                <w:tcPr>
                  <w:tcW w:w="4830" w:type="dxa"/>
                  <w:vAlign w:val="center"/>
                </w:tcPr>
                <w:p w14:paraId="45945C0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lastRenderedPageBreak/>
                    <w:t>Dos hechos masivos relacionados con desplazamientos.</w:t>
                  </w:r>
                </w:p>
              </w:tc>
              <w:tc>
                <w:tcPr>
                  <w:tcW w:w="4830" w:type="dxa"/>
                  <w:vAlign w:val="center"/>
                </w:tcPr>
                <w:p w14:paraId="679B0B9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Abril de 2023 en la región del Catatumbo, en los municipios de El Tarra y Convención. </w:t>
                  </w:r>
                </w:p>
              </w:tc>
              <w:tc>
                <w:tcPr>
                  <w:tcW w:w="4830" w:type="dxa"/>
                  <w:vAlign w:val="center"/>
                </w:tcPr>
                <w:p w14:paraId="4217E57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Los desplazamientos se derivaron de enfrentamientos entre el ELN y el Ejército Nacional. Resultaron afectados alrededor de 317 hogares.</w:t>
                  </w:r>
                </w:p>
              </w:tc>
            </w:tr>
            <w:tr w:rsidR="00C454A1" w:rsidRPr="002954F2" w14:paraId="0A3E61DC" w14:textId="77777777" w:rsidTr="001F3006">
              <w:trPr>
                <w:trHeight w:val="300"/>
                <w:jc w:val="center"/>
              </w:trPr>
              <w:tc>
                <w:tcPr>
                  <w:tcW w:w="4830" w:type="dxa"/>
                  <w:vAlign w:val="center"/>
                </w:tcPr>
                <w:p w14:paraId="06A457E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Un desplazamiento masivo </w:t>
                  </w:r>
                </w:p>
              </w:tc>
              <w:tc>
                <w:tcPr>
                  <w:tcW w:w="4830" w:type="dxa"/>
                  <w:vAlign w:val="center"/>
                </w:tcPr>
                <w:p w14:paraId="69CCFB0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Segundo semestre de 2023 en Tibú. </w:t>
                  </w:r>
                </w:p>
              </w:tc>
              <w:tc>
                <w:tcPr>
                  <w:tcW w:w="4830" w:type="dxa"/>
                  <w:vAlign w:val="center"/>
                </w:tcPr>
                <w:p w14:paraId="77C6372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Los desplazamientos se derivaron de enfrentamientos entre el ELN y el Ejército Nacional. Resultaron afectados 84 hogares, aproximadamente.</w:t>
                  </w:r>
                </w:p>
              </w:tc>
            </w:tr>
            <w:tr w:rsidR="00C454A1" w:rsidRPr="002954F2" w14:paraId="0E2F8C3B" w14:textId="77777777" w:rsidTr="001F3006">
              <w:trPr>
                <w:trHeight w:val="300"/>
                <w:jc w:val="center"/>
              </w:trPr>
              <w:tc>
                <w:tcPr>
                  <w:tcW w:w="4830" w:type="dxa"/>
                  <w:vAlign w:val="center"/>
                </w:tcPr>
                <w:p w14:paraId="163CD91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19 eventos de acciones armadas como actos terroristas, combates, emboscadas y retenciones. Además, se reportaron 7 homicidios y “115 eventos en las noticias locales”. </w:t>
                  </w:r>
                </w:p>
              </w:tc>
              <w:tc>
                <w:tcPr>
                  <w:tcW w:w="4830" w:type="dxa"/>
                  <w:vAlign w:val="center"/>
                </w:tcPr>
                <w:p w14:paraId="3761FD1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2023.</w:t>
                  </w:r>
                </w:p>
              </w:tc>
              <w:tc>
                <w:tcPr>
                  <w:tcW w:w="4830" w:type="dxa"/>
                  <w:vAlign w:val="center"/>
                </w:tcPr>
                <w:p w14:paraId="4537F144" w14:textId="77777777" w:rsidR="00C454A1" w:rsidRPr="002954F2" w:rsidRDefault="00C454A1" w:rsidP="00881E6A">
                  <w:pPr>
                    <w:ind w:right="272"/>
                    <w:rPr>
                      <w:rFonts w:eastAsia="Times New Roman" w:cs="Times New Roman"/>
                      <w:sz w:val="20"/>
                      <w:szCs w:val="20"/>
                      <w:lang w:val="es-ES"/>
                    </w:rPr>
                  </w:pPr>
                </w:p>
              </w:tc>
            </w:tr>
            <w:tr w:rsidR="00C454A1" w:rsidRPr="002954F2" w14:paraId="3128EB76" w14:textId="77777777" w:rsidTr="001F3006">
              <w:trPr>
                <w:trHeight w:val="300"/>
                <w:jc w:val="center"/>
              </w:trPr>
              <w:tc>
                <w:tcPr>
                  <w:tcW w:w="4830" w:type="dxa"/>
                  <w:vAlign w:val="center"/>
                </w:tcPr>
                <w:p w14:paraId="512374B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Cuatro hechos masivos: tres relacionados con desplazamientos y uno con actos terroristas.</w:t>
                  </w:r>
                </w:p>
              </w:tc>
              <w:tc>
                <w:tcPr>
                  <w:tcW w:w="4830" w:type="dxa"/>
                  <w:vAlign w:val="center"/>
                </w:tcPr>
                <w:p w14:paraId="5840B28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Los desplazamientos ocurrieron en septiembre y octubre de 2024 en los municipios de Teorama y Sardinata. El acto terrorista en el mes de agosto de ese mismo año en el municipio de El Carmen.  </w:t>
                  </w:r>
                </w:p>
              </w:tc>
              <w:tc>
                <w:tcPr>
                  <w:tcW w:w="4830" w:type="dxa"/>
                  <w:vAlign w:val="center"/>
                </w:tcPr>
                <w:p w14:paraId="450D7AB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Los desplazamientos se derivaron de enfrentamientos entre el ELN y el Ejército Nacional. Estos afectaron alrededor de 142 hogares. El acto terrorista “consistió en un ataque dirigido a la estación de policía […], en cercanía de bienes civiles como la institución educativa y viviendas”. Por este hecho resultaron afectados 46 hogares.</w:t>
                  </w:r>
                </w:p>
              </w:tc>
            </w:tr>
            <w:tr w:rsidR="00C454A1" w:rsidRPr="002954F2" w14:paraId="275DCF5F" w14:textId="77777777" w:rsidTr="001F3006">
              <w:trPr>
                <w:trHeight w:val="300"/>
                <w:jc w:val="center"/>
              </w:trPr>
              <w:tc>
                <w:tcPr>
                  <w:tcW w:w="4830" w:type="dxa"/>
                  <w:vAlign w:val="center"/>
                </w:tcPr>
                <w:p w14:paraId="09DDDDD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18 eventos de acciones armadas como actos terroristas, combates, emboscadas y retenciones. Además, se reportaron 7 homicidios y “98 eventos en las noticias locales”. </w:t>
                  </w:r>
                </w:p>
              </w:tc>
              <w:tc>
                <w:tcPr>
                  <w:tcW w:w="4830" w:type="dxa"/>
                  <w:vAlign w:val="center"/>
                </w:tcPr>
                <w:p w14:paraId="1F936D8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2024.</w:t>
                  </w:r>
                </w:p>
              </w:tc>
              <w:tc>
                <w:tcPr>
                  <w:tcW w:w="4830" w:type="dxa"/>
                  <w:vAlign w:val="center"/>
                </w:tcPr>
                <w:p w14:paraId="75DC816B" w14:textId="77777777" w:rsidR="00C454A1" w:rsidRPr="002954F2" w:rsidRDefault="00C454A1" w:rsidP="00881E6A">
                  <w:pPr>
                    <w:ind w:right="272"/>
                    <w:rPr>
                      <w:rFonts w:eastAsia="Times New Roman" w:cs="Times New Roman"/>
                      <w:sz w:val="20"/>
                      <w:szCs w:val="20"/>
                      <w:lang w:val="es-ES"/>
                    </w:rPr>
                  </w:pPr>
                </w:p>
              </w:tc>
            </w:tr>
            <w:tr w:rsidR="00C454A1" w:rsidRPr="00F8202F" w14:paraId="470FE067" w14:textId="77777777" w:rsidTr="001F3006">
              <w:trPr>
                <w:trHeight w:val="300"/>
                <w:jc w:val="center"/>
              </w:trPr>
              <w:tc>
                <w:tcPr>
                  <w:tcW w:w="4830" w:type="dxa"/>
                  <w:vAlign w:val="center"/>
                </w:tcPr>
                <w:p w14:paraId="54E93FC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Desplazamientos, confinamientos, homicidios, lesiones personales y desapariciones. </w:t>
                  </w:r>
                </w:p>
              </w:tc>
              <w:tc>
                <w:tcPr>
                  <w:tcW w:w="4830" w:type="dxa"/>
                  <w:vAlign w:val="center"/>
                </w:tcPr>
                <w:p w14:paraId="133FE3E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Desde el 16 de enero de 2025 en distintos municipios del Catatumbo como Teorama, Tibú, El Tarra, Convención, Ábrego y San Calixto. </w:t>
                  </w:r>
                </w:p>
              </w:tc>
              <w:tc>
                <w:tcPr>
                  <w:tcW w:w="4830" w:type="dxa"/>
                  <w:vAlign w:val="center"/>
                </w:tcPr>
                <w:p w14:paraId="1517A48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Los </w:t>
                  </w:r>
                  <w:r w:rsidRPr="002954F2">
                    <w:rPr>
                      <w:rFonts w:eastAsia="Times New Roman" w:cs="Times New Roman"/>
                      <w:b/>
                      <w:sz w:val="20"/>
                      <w:szCs w:val="20"/>
                      <w:lang w:val="es-ES"/>
                    </w:rPr>
                    <w:t>enfrentamientos entre el ELN y el Frente 33 de las FARC</w:t>
                  </w:r>
                  <w:r w:rsidRPr="002954F2">
                    <w:rPr>
                      <w:rFonts w:eastAsia="Times New Roman" w:cs="Times New Roman"/>
                      <w:sz w:val="20"/>
                      <w:szCs w:val="20"/>
                      <w:lang w:val="es-ES"/>
                    </w:rPr>
                    <w:t xml:space="preserve"> han dejado “alrededor de 53 mil personas desplazadas, 31 mil personas confinadas, 52 homicidios de los cuales 5 corresponden a firmantes de paz y 2 a líderes sociales, 15 personas heridas y 9 firmantes reportados como desaparecidos”.</w:t>
                  </w:r>
                </w:p>
              </w:tc>
            </w:tr>
          </w:tbl>
          <w:p w14:paraId="4720B7F1" w14:textId="77777777" w:rsidR="00C454A1" w:rsidRPr="00833016" w:rsidRDefault="00C454A1" w:rsidP="00881E6A">
            <w:pPr>
              <w:pStyle w:val="Prrafodelista"/>
              <w:ind w:left="360" w:right="272" w:hanging="90"/>
              <w:rPr>
                <w:rFonts w:eastAsia="Times New Roman" w:cs="Times New Roman"/>
                <w:lang w:val="es-ES"/>
              </w:rPr>
            </w:pPr>
          </w:p>
          <w:p w14:paraId="4D3D814D" w14:textId="77777777" w:rsidR="00C454A1" w:rsidRPr="00833016" w:rsidRDefault="00C454A1" w:rsidP="00881E6A">
            <w:pPr>
              <w:pStyle w:val="Prrafodelista"/>
              <w:ind w:left="360" w:right="272"/>
              <w:rPr>
                <w:rFonts w:cs="Times New Roman"/>
                <w:lang w:val="es-ES"/>
              </w:rPr>
            </w:pPr>
            <w:r w:rsidRPr="00833016">
              <w:rPr>
                <w:rFonts w:eastAsia="Times New Roman" w:cs="Times New Roman"/>
                <w:lang w:val="es-ES"/>
              </w:rPr>
              <w:t xml:space="preserve">Además, la unidad relacionó el número total de víctimas en cada uno de los municipios que conforman la región del Catatumbo, la zona metropolitana de Cúcuta, así como los municipios de González y Río de Oro entre 2022 y 2024. Al respecto, explicó que el mayor número de víctimas incluidas en el RUV está </w:t>
            </w:r>
            <w:r>
              <w:rPr>
                <w:rFonts w:eastAsia="Times New Roman" w:cs="Times New Roman"/>
                <w:lang w:val="es-ES"/>
              </w:rPr>
              <w:t>asociado</w:t>
            </w:r>
            <w:r w:rsidRPr="00833016">
              <w:rPr>
                <w:rFonts w:eastAsia="Times New Roman" w:cs="Times New Roman"/>
                <w:lang w:val="es-ES"/>
              </w:rPr>
              <w:t xml:space="preserve"> a desplazamientos forzados en el municipio de Tibú.</w:t>
            </w:r>
          </w:p>
          <w:p w14:paraId="4B963E44" w14:textId="77777777" w:rsidR="00C454A1" w:rsidRPr="00833016" w:rsidRDefault="00C454A1" w:rsidP="00881E6A">
            <w:pPr>
              <w:pStyle w:val="Prrafodelista"/>
              <w:ind w:left="360" w:right="272" w:hanging="360"/>
              <w:rPr>
                <w:rFonts w:eastAsia="Times New Roman" w:cs="Times New Roman"/>
                <w:lang w:val="es-ES"/>
              </w:rPr>
            </w:pPr>
          </w:p>
          <w:p w14:paraId="5DDF81A1" w14:textId="77777777" w:rsidR="00C454A1" w:rsidRPr="00833016" w:rsidRDefault="00C454A1" w:rsidP="005F4A6F">
            <w:pPr>
              <w:pStyle w:val="Prrafodelista"/>
              <w:numPr>
                <w:ilvl w:val="0"/>
                <w:numId w:val="31"/>
              </w:numPr>
              <w:ind w:left="358" w:right="272"/>
              <w:rPr>
                <w:rFonts w:cs="Times New Roman"/>
                <w:lang w:val="es-ES"/>
              </w:rPr>
            </w:pPr>
            <w:r w:rsidRPr="002E2CF5">
              <w:rPr>
                <w:rFonts w:eastAsia="Times New Roman" w:cs="Times New Roman"/>
                <w:u w:val="single"/>
                <w:lang w:val="es-ES"/>
              </w:rPr>
              <w:t>Enfrentamientos entre grupos armados al margen de la ley y afectaciones a derechos humanos en la zona advertidos por la Defensoría del Pueblo o alguna entidad territorial</w:t>
            </w:r>
            <w:r w:rsidRPr="00833016">
              <w:rPr>
                <w:rFonts w:eastAsia="Times New Roman" w:cs="Times New Roman"/>
                <w:lang w:val="es-ES"/>
              </w:rPr>
              <w:t xml:space="preserve">. </w:t>
            </w:r>
            <w:r w:rsidRPr="00833016">
              <w:rPr>
                <w:rFonts w:cs="Times New Roman"/>
                <w:lang w:val="es-ES"/>
              </w:rPr>
              <w:t>La Consejería Comisionada de Paz y los ministerios de Defensa Nacional, del Interior, así como de Minas y Energía, hicieron referencia a las siguientes alertas tempranas emitidas por la Defensoría del Pueblo: 034 de 2020, 050 de 2020, 04 de 2021, 025 de 2021, 009 de 2023, 026 de 2023, 021 de 2024, 026 de 2024 y 027 de 2024</w:t>
            </w:r>
            <w:r w:rsidRPr="00833016">
              <w:rPr>
                <w:rStyle w:val="Refdenotaalpie"/>
                <w:rFonts w:cs="Times New Roman"/>
                <w:lang w:val="es-ES"/>
              </w:rPr>
              <w:footnoteReference w:id="473"/>
            </w:r>
            <w:r w:rsidRPr="00833016">
              <w:rPr>
                <w:rFonts w:cs="Times New Roman"/>
                <w:lang w:val="es-ES"/>
              </w:rPr>
              <w:t xml:space="preserve">. Señalaron que en las alertas tempranas emitidas entre 2020 y 2023, la Defensoría del Pueblo identificó como escenarios de riesgo, entre otros, </w:t>
            </w:r>
            <w:r w:rsidRPr="00717FC5">
              <w:rPr>
                <w:rFonts w:cs="Times New Roman"/>
                <w:i/>
                <w:iCs/>
                <w:lang w:val="es-ES"/>
              </w:rPr>
              <w:t>(i)</w:t>
            </w:r>
            <w:r w:rsidRPr="00833016">
              <w:rPr>
                <w:rFonts w:cs="Times New Roman"/>
                <w:lang w:val="es-ES"/>
              </w:rPr>
              <w:t xml:space="preserve"> la presencia y el accionar del ELN, </w:t>
            </w:r>
            <w:r w:rsidRPr="00717FC5">
              <w:rPr>
                <w:rFonts w:cs="Times New Roman"/>
                <w:i/>
                <w:iCs/>
                <w:lang w:val="es-ES"/>
              </w:rPr>
              <w:t>(ii)</w:t>
            </w:r>
            <w:r w:rsidRPr="00833016">
              <w:rPr>
                <w:rFonts w:cs="Times New Roman"/>
                <w:lang w:val="es-ES"/>
              </w:rPr>
              <w:t xml:space="preserve"> la confrontación entre el ELN y el EPL, </w:t>
            </w:r>
            <w:r w:rsidRPr="00717FC5">
              <w:rPr>
                <w:rFonts w:cs="Times New Roman"/>
                <w:i/>
                <w:iCs/>
                <w:lang w:val="es-ES"/>
              </w:rPr>
              <w:t>(iii)</w:t>
            </w:r>
            <w:r w:rsidRPr="00833016">
              <w:rPr>
                <w:rFonts w:cs="Times New Roman"/>
                <w:lang w:val="es-ES"/>
              </w:rPr>
              <w:t xml:space="preserve"> la disputa territorial entre el ELN y los Rastrojos para el control de la frontera con Venezuela; </w:t>
            </w:r>
            <w:r w:rsidRPr="00717FC5">
              <w:rPr>
                <w:rFonts w:cs="Times New Roman"/>
                <w:i/>
                <w:iCs/>
                <w:lang w:val="es-ES"/>
              </w:rPr>
              <w:t>(iv)</w:t>
            </w:r>
            <w:r w:rsidRPr="00833016">
              <w:rPr>
                <w:rFonts w:cs="Times New Roman"/>
                <w:lang w:val="es-ES"/>
              </w:rPr>
              <w:t xml:space="preserve"> la disputa entre las disidencias de las FARC – Frente 33 y la Segunda Marquetalia; </w:t>
            </w:r>
            <w:r>
              <w:rPr>
                <w:rFonts w:cs="Times New Roman"/>
                <w:lang w:val="es-ES"/>
              </w:rPr>
              <w:t xml:space="preserve">y </w:t>
            </w:r>
            <w:r w:rsidRPr="00717FC5">
              <w:rPr>
                <w:rFonts w:cs="Times New Roman"/>
                <w:i/>
                <w:iCs/>
                <w:lang w:val="es-ES"/>
              </w:rPr>
              <w:t xml:space="preserve">(v) </w:t>
            </w:r>
            <w:r w:rsidRPr="00833016">
              <w:rPr>
                <w:rFonts w:cs="Times New Roman"/>
                <w:lang w:val="es-ES"/>
              </w:rPr>
              <w:t>“la degradación en las prácticas violentas del EPL”, “la intención del ELN por convertirse en el grupo hegemónico de la región” y el fortalecimiento de las Disidencias de las FARC-EP. Además, en la Alerta Temprana 025 de 2021, la Defensoría habría “presagia[do] un riesgo para la población civil de los municipios de San Calixto y El Tarra, que se traduce en un riesgo de alcance regional de llegar a provocarse nuevas disputas, bien sea con el ELN o entre las mismas disidencias”. Por su parte, los escenarios de riesgo referidos en las tres alertas tempranas de 2024 se configuran por “i) la escalada violenta por parte del ELN; ii) el reacomodo del EPL, t</w:t>
            </w:r>
            <w:r w:rsidRPr="00833016">
              <w:rPr>
                <w:rFonts w:cs="Times New Roman"/>
                <w:b/>
                <w:lang w:val="es-ES"/>
              </w:rPr>
              <w:t>ras la confrontación que este grupo armado ha mantenido con el ELN desde el año 2018 en el Catatumbo</w:t>
            </w:r>
            <w:r w:rsidRPr="00833016">
              <w:rPr>
                <w:rFonts w:cs="Times New Roman"/>
                <w:lang w:val="es-ES"/>
              </w:rPr>
              <w:t xml:space="preserve">; y iii) las pretensiones de fortalecimiento y la expansión territorial de grupos disidentes de las FARC desde el Catatumbo, hacia municipios de Santander y el sur del Cesar”. A su vez, por “la presencia e influencia del ELN en la zona rural de San José de Cúcuta y el municipio de Puerto Santander; la creciente criminalidad organizada en San José de Cúcuta, Villa del Rosario y Los Patios, así como la presencia del Ejército Gaitanista de Colombia (EGC) y las facciones disidentes de las antiguas FARC-EP en San José de Cúcuta, Villa del Rosario y Los Patios”. </w:t>
            </w:r>
          </w:p>
          <w:p w14:paraId="627CEFE7" w14:textId="77777777" w:rsidR="00C454A1" w:rsidRPr="00833016" w:rsidRDefault="00C454A1" w:rsidP="00881E6A">
            <w:pPr>
              <w:pStyle w:val="Prrafodelista"/>
              <w:ind w:left="378" w:right="272"/>
              <w:rPr>
                <w:rFonts w:cs="Times New Roman"/>
                <w:lang w:val="es-ES"/>
              </w:rPr>
            </w:pPr>
          </w:p>
          <w:p w14:paraId="6E0C58C4" w14:textId="77777777" w:rsidR="00C454A1" w:rsidRPr="00833016" w:rsidRDefault="00C454A1" w:rsidP="00881E6A">
            <w:pPr>
              <w:pStyle w:val="Prrafodelista"/>
              <w:ind w:left="378" w:right="272"/>
              <w:rPr>
                <w:rFonts w:cs="Times New Roman"/>
                <w:lang w:val="es-ES"/>
              </w:rPr>
            </w:pPr>
            <w:r w:rsidRPr="00833016">
              <w:rPr>
                <w:rFonts w:cs="Times New Roman"/>
                <w:lang w:val="es-ES"/>
              </w:rPr>
              <w:lastRenderedPageBreak/>
              <w:t xml:space="preserve">Además, el MinInterior identificó como actores armados al ELN, a las fracciones disidentes de las antiguas FARC-EP, al Clan del Golfo, a algunos grupos residuales del EPL, a grupos armados de crimen organizado y a actores armados transnacionales. Asimismo, informó que, desde el 17 de enero de 2025, ha evidenciado los siguientes hechos victimizantes en contra de la población civil: desplazamientos forzados, amenazas, homicidios selectivos, presencia de municiones sin explosionar, trampas explosivas, </w:t>
            </w:r>
            <w:r>
              <w:rPr>
                <w:rFonts w:cs="Times New Roman"/>
                <w:lang w:val="es-ES"/>
              </w:rPr>
              <w:t xml:space="preserve">y </w:t>
            </w:r>
            <w:r w:rsidRPr="00833016">
              <w:rPr>
                <w:rFonts w:cs="Times New Roman"/>
                <w:lang w:val="es-ES"/>
              </w:rPr>
              <w:t>lesiones personales</w:t>
            </w:r>
            <w:r w:rsidRPr="00833016">
              <w:rPr>
                <w:rStyle w:val="Refdenotaalpie"/>
                <w:rFonts w:cs="Times New Roman"/>
                <w:lang w:val="es-ES"/>
              </w:rPr>
              <w:footnoteReference w:id="474"/>
            </w:r>
            <w:r w:rsidRPr="00833016">
              <w:rPr>
                <w:rFonts w:cs="Times New Roman"/>
                <w:lang w:val="es-ES"/>
              </w:rPr>
              <w:t xml:space="preserve">. </w:t>
            </w:r>
          </w:p>
          <w:p w14:paraId="6AB64DF6" w14:textId="77777777" w:rsidR="00C454A1" w:rsidRPr="00833016" w:rsidRDefault="00C454A1" w:rsidP="00881E6A">
            <w:pPr>
              <w:pStyle w:val="Prrafodelista"/>
              <w:ind w:left="378" w:right="272"/>
              <w:rPr>
                <w:rFonts w:cs="Times New Roman"/>
                <w:lang w:val="es-ES"/>
              </w:rPr>
            </w:pPr>
          </w:p>
          <w:p w14:paraId="6ED9D2D2" w14:textId="77777777" w:rsidR="00C454A1" w:rsidRPr="00833016" w:rsidRDefault="00C454A1" w:rsidP="00881E6A">
            <w:pPr>
              <w:pStyle w:val="Prrafodelista"/>
              <w:ind w:left="360" w:right="272"/>
              <w:rPr>
                <w:rFonts w:cs="Times New Roman"/>
                <w:lang w:val="es-ES"/>
              </w:rPr>
            </w:pPr>
            <w:r w:rsidRPr="00833016">
              <w:rPr>
                <w:rFonts w:cs="Times New Roman"/>
                <w:lang w:val="es-ES"/>
              </w:rPr>
              <w:t>En ese contexto, el MinDefensa relacionó las recomendaciones que ha hecho la Defensoría del Pueblo en sus alertas tempranas</w:t>
            </w:r>
            <w:r w:rsidRPr="00833016">
              <w:rPr>
                <w:rStyle w:val="Refdenotaalpie"/>
                <w:rFonts w:cs="Times New Roman"/>
                <w:lang w:val="es-ES"/>
              </w:rPr>
              <w:footnoteReference w:id="475"/>
            </w:r>
            <w:r w:rsidRPr="00833016">
              <w:rPr>
                <w:rFonts w:cs="Times New Roman"/>
                <w:lang w:val="es-ES"/>
              </w:rPr>
              <w:t xml:space="preserve"> y explicó que ha desplegado sus capacidades para cumplir con las recomendaciones. En particular, el ministerio</w:t>
            </w:r>
            <w:r w:rsidRPr="00833016">
              <w:rPr>
                <w:rStyle w:val="Refdenotaalpie"/>
                <w:rFonts w:cs="Times New Roman"/>
                <w:lang w:val="es-ES"/>
              </w:rPr>
              <w:footnoteReference w:id="476"/>
            </w:r>
            <w:r w:rsidRPr="00833016">
              <w:rPr>
                <w:rFonts w:cs="Times New Roman"/>
                <w:lang w:val="es-ES"/>
              </w:rPr>
              <w:t xml:space="preserve"> puso de presente que “[e]l Comando Específico de Norte de Santander cuenta con un componente militar de la Fuerza Aérea Colombiana y la Armada Nacional, quienes fortalecen las capacidades operativas de” algunas brigadas, grupos y comandos, “manteniendo su ofensiva contra las estructuras de los grupos armados organizados e ilegales, que se financian con las economías ilícitas y las actividades criminales”. Además, enlistó las actuaciones que han desplegado batallones, unidades militares, miembros del Gaula Militar, entre otros, como capacitaciones, consejos de seguridad, operaciones militares, estrategias, actividades de acción integral, </w:t>
            </w:r>
            <w:r>
              <w:rPr>
                <w:rFonts w:cs="Times New Roman"/>
                <w:lang w:val="es-ES"/>
              </w:rPr>
              <w:t xml:space="preserve">y </w:t>
            </w:r>
            <w:r w:rsidRPr="00833016">
              <w:rPr>
                <w:rFonts w:cs="Times New Roman"/>
                <w:lang w:val="es-ES"/>
              </w:rPr>
              <w:t xml:space="preserve">capturas. Todo esto, desde marzo de 2024. Asimismo, esta entidad manifestó que “[e]n desarrollo de operaciones de estabilidad, y con el propósito de restablecer las condiciones de seguridad para los habitantes de las veredas La Reforma y Paramillo, en Sardinata, […] soldados de la Trigésima Brigada, adelantan labores de Desminado Militar luego de verificar y ubicar minas antipersonales con el apoyo de la comunidad, que en su momento fueron instalados por grupos armados ilegales”. Agregó que, en Norte de Santander “fueron desplegados más de 200 uniformados de la Policía de inteligencia que hacen presencia en la región”. </w:t>
            </w:r>
          </w:p>
          <w:p w14:paraId="3579B72E" w14:textId="77777777" w:rsidR="00C454A1" w:rsidRPr="00833016" w:rsidRDefault="00C454A1" w:rsidP="00881E6A">
            <w:pPr>
              <w:pStyle w:val="Prrafodelista"/>
              <w:ind w:left="360" w:right="272"/>
              <w:rPr>
                <w:rFonts w:cs="Times New Roman"/>
                <w:lang w:val="es-ES"/>
              </w:rPr>
            </w:pPr>
          </w:p>
          <w:p w14:paraId="197520FA" w14:textId="77777777" w:rsidR="00C454A1" w:rsidRPr="00833016" w:rsidRDefault="00C454A1" w:rsidP="00881E6A">
            <w:pPr>
              <w:pStyle w:val="Prrafodelista"/>
              <w:ind w:left="360" w:right="272"/>
              <w:rPr>
                <w:rFonts w:cs="Times New Roman"/>
                <w:lang w:val="es-ES"/>
              </w:rPr>
            </w:pPr>
            <w:r w:rsidRPr="00833016">
              <w:rPr>
                <w:rFonts w:cs="Times New Roman"/>
                <w:lang w:val="es-ES"/>
              </w:rPr>
              <w:lastRenderedPageBreak/>
              <w:t xml:space="preserve">Luego, el MinDefensa relacionó las actividades que han desarrollado el </w:t>
            </w:r>
            <w:r>
              <w:rPr>
                <w:rFonts w:cs="Times New Roman"/>
                <w:lang w:val="es-ES"/>
              </w:rPr>
              <w:t>D</w:t>
            </w:r>
            <w:r w:rsidRPr="00833016">
              <w:rPr>
                <w:rFonts w:cs="Times New Roman"/>
                <w:lang w:val="es-ES"/>
              </w:rPr>
              <w:t>epartamento de Policía de Norte de Santander y sus estaciones en los municipios de El Carmen, El Tarra, La Playa, Ocaña, Ábrego, Teorama, San Calixto, Tibú y Convención, y en el Área metropolitana de Cúcuta</w:t>
            </w:r>
            <w:r w:rsidRPr="00833016">
              <w:rPr>
                <w:rStyle w:val="Refdenotaalpie"/>
                <w:rFonts w:cs="Times New Roman"/>
                <w:lang w:val="es-ES"/>
              </w:rPr>
              <w:footnoteReference w:id="477"/>
            </w:r>
            <w:r w:rsidRPr="00833016">
              <w:rPr>
                <w:rFonts w:cs="Times New Roman"/>
                <w:lang w:val="es-ES"/>
              </w:rPr>
              <w:t>. Por ejemplo, mencionó planes preventivos y disuasivos en las vías principales del municipio, registro y control de población, verificación de antecedentes, registros a personas y vehículos, instalación de comités de vigilancia, campañas de sensibilización y entrega de volantes en la comunidad con las líneas de atención para denunciar. También, mencionó la Directiva Operativa Transitoria 028/DIPON-JESEP de 1º de diciembre de 2024, en la que “se realiza un despliegue en el territorio nacional, a través de las rutas de atención para las comunidades, líderes/as sociales, firmantes de paz y defensores/as de derechos humanos que puedan estar inmersos en posibles vulneraciones a los derechos humanos”</w:t>
            </w:r>
            <w:r w:rsidRPr="00833016">
              <w:rPr>
                <w:rStyle w:val="Refdenotaalpie"/>
                <w:rFonts w:cs="Times New Roman"/>
                <w:lang w:val="es-ES"/>
              </w:rPr>
              <w:footnoteReference w:id="478"/>
            </w:r>
            <w:r w:rsidRPr="00833016">
              <w:rPr>
                <w:rFonts w:cs="Times New Roman"/>
                <w:lang w:val="es-ES"/>
              </w:rPr>
              <w:t xml:space="preserve">. </w:t>
            </w:r>
          </w:p>
          <w:p w14:paraId="3D7ED250" w14:textId="77777777" w:rsidR="00C454A1" w:rsidRPr="00833016" w:rsidRDefault="00C454A1" w:rsidP="00881E6A">
            <w:pPr>
              <w:pStyle w:val="Prrafodelista"/>
              <w:ind w:left="360" w:right="272"/>
              <w:rPr>
                <w:rFonts w:cs="Times New Roman"/>
                <w:lang w:val="es-ES"/>
              </w:rPr>
            </w:pPr>
          </w:p>
          <w:p w14:paraId="45572971" w14:textId="77777777" w:rsidR="00C454A1" w:rsidRPr="00833016" w:rsidRDefault="00C454A1" w:rsidP="00881E6A">
            <w:pPr>
              <w:pStyle w:val="Prrafodelista"/>
              <w:ind w:left="360" w:right="272"/>
              <w:rPr>
                <w:rFonts w:cs="Times New Roman"/>
                <w:lang w:val="es-ES"/>
              </w:rPr>
            </w:pPr>
            <w:r w:rsidRPr="00833016">
              <w:rPr>
                <w:rFonts w:cs="Times New Roman"/>
                <w:lang w:val="es-ES"/>
              </w:rPr>
              <w:t>La entidad agregó que, desde 2022, en los municipios que forman parte del Catatumbo y en el área metropolitana de Cúcuta han realizado “actividades focalizadas a la prevención, a favor de los Líderes/as Sociales”</w:t>
            </w:r>
            <w:r w:rsidRPr="00833016">
              <w:rPr>
                <w:rStyle w:val="Refdenotaalpie"/>
                <w:rFonts w:cs="Times New Roman"/>
                <w:lang w:val="es-ES"/>
              </w:rPr>
              <w:footnoteReference w:id="479"/>
            </w:r>
            <w:r w:rsidRPr="00833016">
              <w:rPr>
                <w:rFonts w:cs="Times New Roman"/>
                <w:lang w:val="es-ES"/>
              </w:rPr>
              <w:t>. Para dar cuenta de esta información, relacionó el número de actividades, programas y campañas, interlocuciones, activaciones de ruta, coordinaciones interagenciales y medidas de prevención dirigidas a líderes y defensores de derechos humanos durante 2023, 2024 y 2025. Adicionalmente, el Ministerio de Defensa Nacional explicó que “se han fortalecido las comisiones permanentes” del Cuerpo Élite</w:t>
            </w:r>
            <w:r w:rsidRPr="00833016">
              <w:rPr>
                <w:rStyle w:val="Refdenotaalpie"/>
                <w:rFonts w:cs="Times New Roman"/>
                <w:lang w:val="es-ES"/>
              </w:rPr>
              <w:footnoteReference w:id="480"/>
            </w:r>
            <w:r w:rsidRPr="00833016">
              <w:rPr>
                <w:rFonts w:cs="Times New Roman"/>
                <w:lang w:val="es-ES"/>
              </w:rPr>
              <w:t>.</w:t>
            </w:r>
          </w:p>
          <w:p w14:paraId="3BDDC0D9" w14:textId="77777777" w:rsidR="00C454A1" w:rsidRPr="00833016" w:rsidRDefault="00C454A1" w:rsidP="00881E6A">
            <w:pPr>
              <w:pStyle w:val="Prrafodelista"/>
              <w:ind w:left="360" w:right="272"/>
              <w:rPr>
                <w:rFonts w:cs="Times New Roman"/>
                <w:lang w:val="es-ES"/>
              </w:rPr>
            </w:pPr>
          </w:p>
          <w:p w14:paraId="453C14C8" w14:textId="77777777" w:rsidR="00C454A1" w:rsidRPr="00833016" w:rsidRDefault="00C454A1" w:rsidP="00881E6A">
            <w:pPr>
              <w:pStyle w:val="Prrafodelista"/>
              <w:ind w:left="360" w:right="272"/>
              <w:rPr>
                <w:rFonts w:cs="Times New Roman"/>
                <w:lang w:val="es-ES"/>
              </w:rPr>
            </w:pPr>
            <w:r w:rsidRPr="00833016">
              <w:rPr>
                <w:rFonts w:cs="Times New Roman"/>
                <w:lang w:val="es-ES"/>
              </w:rPr>
              <w:t xml:space="preserve">La Consejería Comisionada de Paz transcribió dos recomendaciones de las alertas tempranas 021 y 026 de 2024. En estas, la Defensoría recomendó </w:t>
            </w:r>
            <w:r w:rsidRPr="00AC42BF">
              <w:rPr>
                <w:rFonts w:cs="Times New Roman"/>
                <w:i/>
                <w:iCs/>
                <w:lang w:val="es-ES"/>
              </w:rPr>
              <w:t>(i)</w:t>
            </w:r>
            <w:r w:rsidRPr="00833016">
              <w:rPr>
                <w:rFonts w:cs="Times New Roman"/>
                <w:lang w:val="es-ES"/>
              </w:rPr>
              <w:t xml:space="preserve"> adelantar el llamado y seguimiento en la mesa de negociación ante los incumplimientos del cese al fuego que ponen en riesgo a la población civil, “así como la debida atención en los territorios objeto de amenaza que refuercen las acciones y ejecuten medidas de protección de manera preventiva ante </w:t>
            </w:r>
            <w:r w:rsidRPr="00833016">
              <w:rPr>
                <w:rFonts w:cs="Times New Roman"/>
                <w:lang w:val="es-ES"/>
              </w:rPr>
              <w:lastRenderedPageBreak/>
              <w:t>posibles incumplimientos futuros”</w:t>
            </w:r>
            <w:r w:rsidRPr="00833016">
              <w:rPr>
                <w:rStyle w:val="Refdenotaalpie"/>
                <w:rFonts w:cs="Times New Roman"/>
                <w:lang w:val="es-ES"/>
              </w:rPr>
              <w:footnoteReference w:id="481"/>
            </w:r>
            <w:r w:rsidRPr="00833016">
              <w:rPr>
                <w:rFonts w:cs="Times New Roman"/>
                <w:lang w:val="es-ES"/>
              </w:rPr>
              <w:t xml:space="preserve"> y </w:t>
            </w:r>
            <w:r w:rsidRPr="000E1F27">
              <w:rPr>
                <w:rFonts w:cs="Times New Roman"/>
                <w:i/>
                <w:iCs/>
                <w:lang w:val="es-ES"/>
              </w:rPr>
              <w:t>(ii)</w:t>
            </w:r>
            <w:r w:rsidRPr="00833016">
              <w:rPr>
                <w:rFonts w:cs="Times New Roman"/>
                <w:lang w:val="es-ES"/>
              </w:rPr>
              <w:t xml:space="preserve"> promover un acuerdo que extienda “los ceses de fuego a los mínimos humanitarios en favor del respeto a los Derechos Humanos de la población civil” e </w:t>
            </w:r>
            <w:r>
              <w:rPr>
                <w:rFonts w:cs="Times New Roman"/>
                <w:lang w:val="es-ES"/>
              </w:rPr>
              <w:t>introduzca</w:t>
            </w:r>
            <w:r w:rsidRPr="00833016">
              <w:rPr>
                <w:rFonts w:cs="Times New Roman"/>
                <w:lang w:val="es-ES"/>
              </w:rPr>
              <w:t xml:space="preserve"> el estricto acatamiento del DIH, en el marco de las mesas del diálogo con el ELN y el EMC de las FARC-EP con presencia en la subregión del Catatumbo</w:t>
            </w:r>
            <w:r w:rsidRPr="00833016">
              <w:rPr>
                <w:rStyle w:val="Refdenotaalpie"/>
                <w:rFonts w:cs="Times New Roman"/>
                <w:lang w:val="es-ES"/>
              </w:rPr>
              <w:footnoteReference w:id="482"/>
            </w:r>
            <w:r w:rsidRPr="00833016">
              <w:rPr>
                <w:rFonts w:cs="Times New Roman"/>
                <w:lang w:val="es-ES"/>
              </w:rPr>
              <w:t>. Al respecto, la consejería explicó que “socializó la exigencia permanente del respeto de los derechos de la población civil y la necesidad de mantener un canal en donde se señalen hechos específicos que permitan ser remitidos ante los canales correspondientes”</w:t>
            </w:r>
            <w:r w:rsidRPr="00833016">
              <w:rPr>
                <w:rStyle w:val="Refdenotaalpie"/>
                <w:rFonts w:cs="Times New Roman"/>
                <w:lang w:val="es-ES"/>
              </w:rPr>
              <w:footnoteReference w:id="483"/>
            </w:r>
            <w:r w:rsidRPr="00833016">
              <w:rPr>
                <w:rFonts w:cs="Times New Roman"/>
                <w:lang w:val="es-ES"/>
              </w:rPr>
              <w:t>. Agregó que el reporte de los posibles incumplimientos a lo pactado con los grupos con los que mantienen diálogos ha sido permanente, “con el fin de que se analice en el Mecanismo de Veeduría, Monitoreo y Verificación del Cese al fuego, para el caso de la Mesa de Diálogos que se adelanta con el Estado Mayor de los Bloques Gentil Duarte, Jorge Suarez Briceño y Frente Raúl Reyes, permitiendo hacer las recomendaciones correspondientes y se generen acciones tendientes al respeto de los derechos humanos en cumplimiento de los acuerdos”</w:t>
            </w:r>
            <w:r w:rsidRPr="00833016">
              <w:rPr>
                <w:rStyle w:val="Refdenotaalpie"/>
                <w:rFonts w:cs="Times New Roman"/>
                <w:lang w:val="es-ES"/>
              </w:rPr>
              <w:footnoteReference w:id="484"/>
            </w:r>
            <w:r w:rsidRPr="00833016">
              <w:rPr>
                <w:rFonts w:cs="Times New Roman"/>
                <w:lang w:val="es-ES"/>
              </w:rPr>
              <w:t xml:space="preserve">. </w:t>
            </w:r>
          </w:p>
          <w:p w14:paraId="2CF60F3B" w14:textId="77777777" w:rsidR="00C454A1" w:rsidRPr="00833016" w:rsidRDefault="00C454A1" w:rsidP="00881E6A">
            <w:pPr>
              <w:pStyle w:val="Prrafodelista"/>
              <w:ind w:left="360" w:right="272"/>
              <w:rPr>
                <w:rFonts w:cs="Times New Roman"/>
                <w:lang w:val="es-ES"/>
              </w:rPr>
            </w:pPr>
          </w:p>
          <w:p w14:paraId="76B3045A" w14:textId="77777777" w:rsidR="00C454A1" w:rsidRPr="00833016" w:rsidRDefault="00C454A1" w:rsidP="00881E6A">
            <w:pPr>
              <w:pStyle w:val="Prrafodelista"/>
              <w:ind w:left="360" w:right="272"/>
              <w:rPr>
                <w:rFonts w:cs="Times New Roman"/>
                <w:lang w:val="es-ES"/>
              </w:rPr>
            </w:pPr>
            <w:r w:rsidRPr="00833016">
              <w:rPr>
                <w:rFonts w:cs="Times New Roman"/>
                <w:lang w:val="es-ES"/>
              </w:rPr>
              <w:t xml:space="preserve">Además, respecto de una recomendación dirigida a grupo AICMA en la Alerta Temprana 026 de 2024, relacionó las actividades que ha desarrollado en 2024 y 2025. En particular, indicó que </w:t>
            </w:r>
            <w:r w:rsidRPr="00A3013B">
              <w:rPr>
                <w:rFonts w:cs="Times New Roman"/>
                <w:i/>
                <w:iCs/>
                <w:lang w:val="es-ES"/>
              </w:rPr>
              <w:t>(i)</w:t>
            </w:r>
            <w:r w:rsidRPr="00833016">
              <w:rPr>
                <w:rFonts w:cs="Times New Roman"/>
                <w:lang w:val="es-ES"/>
              </w:rPr>
              <w:t xml:space="preserve"> entre el 1º de enero de 2024 y el 2 de diciembre de 2024, en Norte de Santander se reportaron 753 actividades de “Educación en el Riesgo de Minas Antipersonal (ERM), de las cuales participaron 8.530 personas”</w:t>
            </w:r>
            <w:r w:rsidRPr="00833016">
              <w:rPr>
                <w:rStyle w:val="Refdenotaalpie"/>
                <w:rFonts w:cs="Times New Roman"/>
                <w:lang w:val="es-ES"/>
              </w:rPr>
              <w:footnoteReference w:id="485"/>
            </w:r>
            <w:r w:rsidRPr="00833016">
              <w:rPr>
                <w:rFonts w:cs="Times New Roman"/>
                <w:lang w:val="es-ES"/>
              </w:rPr>
              <w:t>, y 38 actividades en el Departamento de Cesar, de las que participaron 733 personas</w:t>
            </w:r>
            <w:r w:rsidRPr="00833016">
              <w:rPr>
                <w:rStyle w:val="Refdenotaalpie"/>
                <w:rFonts w:cs="Times New Roman"/>
                <w:lang w:val="es-ES"/>
              </w:rPr>
              <w:footnoteReference w:id="486"/>
            </w:r>
            <w:r w:rsidRPr="00833016">
              <w:rPr>
                <w:rFonts w:cs="Times New Roman"/>
                <w:lang w:val="es-ES"/>
              </w:rPr>
              <w:t xml:space="preserve">; </w:t>
            </w:r>
            <w:r w:rsidRPr="00883F3B">
              <w:rPr>
                <w:rFonts w:cs="Times New Roman"/>
                <w:i/>
                <w:iCs/>
                <w:lang w:val="es-ES"/>
              </w:rPr>
              <w:t>(ii)</w:t>
            </w:r>
            <w:r w:rsidRPr="00833016">
              <w:rPr>
                <w:rFonts w:cs="Times New Roman"/>
                <w:lang w:val="es-ES"/>
              </w:rPr>
              <w:t xml:space="preserve"> el 27 de enero de 2025 convocaron una reunión virtual con los operadores y socios que tienen áreas de trabajo en la región del Catatumbo, en la que socializaron el trabajo de “organizaciones del sector AICMA en respuesta a la emergencia humanitaria, destacando la entrega de mercados, kits de aseo, </w:t>
            </w:r>
            <w:r w:rsidRPr="00833016">
              <w:rPr>
                <w:rFonts w:cs="Times New Roman"/>
                <w:lang w:val="es-ES"/>
              </w:rPr>
              <w:lastRenderedPageBreak/>
              <w:t>insumos médicos y carpas”</w:t>
            </w:r>
            <w:r w:rsidRPr="00833016">
              <w:rPr>
                <w:rStyle w:val="Refdenotaalpie"/>
                <w:rFonts w:cs="Times New Roman"/>
                <w:lang w:val="es-ES"/>
              </w:rPr>
              <w:footnoteReference w:id="487"/>
            </w:r>
            <w:r w:rsidRPr="00833016">
              <w:rPr>
                <w:rFonts w:cs="Times New Roman"/>
                <w:lang w:val="es-ES"/>
              </w:rPr>
              <w:t>, la entrega de provisiones a víctimas, la “atención en salud” como “apoyo con primeros auxilios psicológicos y en el restablecimiento del contacto familiar”, monitoreo humanitario</w:t>
            </w:r>
            <w:r w:rsidRPr="00833016">
              <w:rPr>
                <w:rStyle w:val="Refdenotaalpie"/>
                <w:rFonts w:cs="Times New Roman"/>
                <w:lang w:val="es-ES"/>
              </w:rPr>
              <w:footnoteReference w:id="488"/>
            </w:r>
            <w:r w:rsidRPr="00833016">
              <w:rPr>
                <w:rFonts w:cs="Times New Roman"/>
                <w:lang w:val="es-ES"/>
              </w:rPr>
              <w:t>, entre otros. En todo caso, la entidad precisó que “se espera la respuesta de recursos para brindar atención complementaria en algunos municipios que presentan una baja cobertura en actividades preventivas”</w:t>
            </w:r>
            <w:r w:rsidRPr="00833016">
              <w:rPr>
                <w:rStyle w:val="Refdenotaalpie"/>
                <w:rFonts w:cs="Times New Roman"/>
                <w:lang w:val="es-ES"/>
              </w:rPr>
              <w:footnoteReference w:id="489"/>
            </w:r>
            <w:r w:rsidRPr="00833016">
              <w:rPr>
                <w:rFonts w:cs="Times New Roman"/>
                <w:lang w:val="es-ES"/>
              </w:rPr>
              <w:t>. Asimismo, explicó que, por la situación de orden público en la región del Catatumbo, “para el 2025, se solicitará al sector de la ERM, adelantar acciones que mitiguen los riesgos relacionados con la presencia y/o sospecha de artefactos explosivos”</w:t>
            </w:r>
            <w:r w:rsidRPr="00833016">
              <w:rPr>
                <w:rStyle w:val="Refdenotaalpie"/>
                <w:rFonts w:cs="Times New Roman"/>
                <w:lang w:val="es-ES"/>
              </w:rPr>
              <w:footnoteReference w:id="490"/>
            </w:r>
            <w:r w:rsidRPr="00833016">
              <w:rPr>
                <w:rFonts w:cs="Times New Roman"/>
                <w:lang w:val="es-ES"/>
              </w:rPr>
              <w:t xml:space="preserve">. </w:t>
            </w:r>
          </w:p>
          <w:p w14:paraId="4CBADA32" w14:textId="77777777" w:rsidR="00C454A1" w:rsidRPr="00833016" w:rsidRDefault="00C454A1" w:rsidP="00881E6A">
            <w:pPr>
              <w:pStyle w:val="Prrafodelista"/>
              <w:ind w:left="360" w:right="272"/>
              <w:rPr>
                <w:rFonts w:cs="Times New Roman"/>
                <w:lang w:val="es-ES"/>
              </w:rPr>
            </w:pPr>
          </w:p>
          <w:p w14:paraId="3751806A" w14:textId="77777777" w:rsidR="00C454A1" w:rsidRPr="00833016" w:rsidRDefault="00C454A1" w:rsidP="00881E6A">
            <w:pPr>
              <w:pStyle w:val="Prrafodelista"/>
              <w:ind w:left="360" w:right="272"/>
              <w:rPr>
                <w:rFonts w:eastAsia="Times New Roman" w:cs="Times New Roman"/>
                <w:lang w:val="es-ES"/>
              </w:rPr>
            </w:pPr>
            <w:r w:rsidRPr="00833016">
              <w:rPr>
                <w:rFonts w:cs="Times New Roman"/>
                <w:lang w:val="es-ES"/>
              </w:rPr>
              <w:t>El Ministerio de Minas y Energía (MinMinas) también mencionó algunas de las recomendaciones de las alertas tempranas 009 de 2023 y 026 de 2024, relacionadas con el sector. Entre otras, la Defensoría recomendó la implementación de estrategias para controlar y regular las actividades relacionadas con minería ilegal, la socialización de títulos mineros vigentes y de las solicitudes en trámite, la realización de programas de capacitación y formación a mineros y funcionarios públicos. En ese contexto, el ministerio explicó que “ha adelantado gestiones con plena observancia de los deberes ambientales y legales, con las que incentiva a que los mineros desarrollen los procedimientos que les corresponde para acceder a alguno de los mecanismos de formalización y los acompaña en el trámite ante la Autoridad Minera”</w:t>
            </w:r>
            <w:r w:rsidRPr="00833016">
              <w:rPr>
                <w:rStyle w:val="Refdenotaalpie"/>
                <w:rFonts w:cs="Times New Roman"/>
                <w:lang w:val="es-ES"/>
              </w:rPr>
              <w:footnoteReference w:id="491"/>
            </w:r>
            <w:r w:rsidRPr="00833016">
              <w:rPr>
                <w:rFonts w:cs="Times New Roman"/>
                <w:lang w:val="es-ES"/>
              </w:rPr>
              <w:t>. Además, resaltó las siguientes acciones de formalización</w:t>
            </w:r>
            <w:r w:rsidRPr="00833016">
              <w:rPr>
                <w:rStyle w:val="Refdenotaalpie"/>
                <w:rFonts w:cs="Times New Roman"/>
                <w:lang w:val="es-ES"/>
              </w:rPr>
              <w:footnoteReference w:id="492"/>
            </w:r>
            <w:r w:rsidRPr="00833016">
              <w:rPr>
                <w:rFonts w:cs="Times New Roman"/>
                <w:lang w:val="es-ES"/>
              </w:rPr>
              <w:t>:</w:t>
            </w:r>
          </w:p>
          <w:p w14:paraId="4CB82A97" w14:textId="77777777" w:rsidR="00C454A1" w:rsidRDefault="00C454A1" w:rsidP="00881E6A">
            <w:pPr>
              <w:pStyle w:val="Prrafodelista"/>
              <w:ind w:left="360" w:right="272" w:hanging="360"/>
              <w:rPr>
                <w:rFonts w:eastAsia="Times New Roman" w:cs="Times New Roman"/>
                <w:lang w:val="es-ES"/>
              </w:rPr>
            </w:pPr>
          </w:p>
          <w:p w14:paraId="5046B2A7" w14:textId="77777777" w:rsidR="00C454A1" w:rsidRPr="00532F8B" w:rsidRDefault="00C454A1" w:rsidP="00881E6A">
            <w:pPr>
              <w:pStyle w:val="Prrafodelista"/>
              <w:ind w:left="360" w:right="272" w:hanging="360"/>
              <w:jc w:val="center"/>
              <w:rPr>
                <w:rFonts w:eastAsia="Times New Roman" w:cs="Times New Roman"/>
                <w:sz w:val="20"/>
                <w:szCs w:val="20"/>
                <w:lang w:val="es-ES"/>
              </w:rPr>
            </w:pPr>
            <w:r w:rsidRPr="00B35E96">
              <w:rPr>
                <w:rFonts w:eastAsia="Times New Roman" w:cs="Times New Roman"/>
                <w:i/>
                <w:iCs/>
                <w:sz w:val="20"/>
                <w:szCs w:val="20"/>
                <w:lang w:val="es-ES"/>
              </w:rPr>
              <w:t>Tabla 6: acciones desarrolladas por el Min</w:t>
            </w:r>
            <w:r>
              <w:rPr>
                <w:rFonts w:eastAsia="Times New Roman" w:cs="Times New Roman"/>
                <w:i/>
                <w:iCs/>
                <w:sz w:val="20"/>
                <w:szCs w:val="20"/>
                <w:lang w:val="es-ES"/>
              </w:rPr>
              <w:t>Minas</w:t>
            </w:r>
            <w:r w:rsidRPr="00B35E96">
              <w:rPr>
                <w:rFonts w:eastAsia="Times New Roman" w:cs="Times New Roman"/>
                <w:i/>
                <w:iCs/>
                <w:sz w:val="20"/>
                <w:szCs w:val="20"/>
                <w:lang w:val="es-ES"/>
              </w:rPr>
              <w:t xml:space="preserve"> con base en las alertas tempranas 009 de 2023 y 026 de 2024</w:t>
            </w:r>
            <w:r>
              <w:rPr>
                <w:rFonts w:eastAsia="Times New Roman" w:cs="Times New Roman"/>
                <w:i/>
                <w:iCs/>
                <w:sz w:val="20"/>
                <w:szCs w:val="20"/>
                <w:lang w:val="es-ES"/>
              </w:rPr>
              <w:t xml:space="preserve">. </w:t>
            </w:r>
          </w:p>
          <w:tbl>
            <w:tblPr>
              <w:tblStyle w:val="Tablaconcuadrcula"/>
              <w:tblW w:w="0" w:type="auto"/>
              <w:jc w:val="center"/>
              <w:tblLook w:val="04A0" w:firstRow="1" w:lastRow="0" w:firstColumn="1" w:lastColumn="0" w:noHBand="0" w:noVBand="1"/>
            </w:tblPr>
            <w:tblGrid>
              <w:gridCol w:w="3262"/>
              <w:gridCol w:w="10269"/>
            </w:tblGrid>
            <w:tr w:rsidR="00C454A1" w:rsidRPr="004575F0" w14:paraId="4FBDFFE8" w14:textId="77777777" w:rsidTr="001F3006">
              <w:trPr>
                <w:trHeight w:val="300"/>
                <w:jc w:val="center"/>
              </w:trPr>
              <w:tc>
                <w:tcPr>
                  <w:tcW w:w="3398" w:type="dxa"/>
                  <w:shd w:val="clear" w:color="auto" w:fill="BFBFBF" w:themeFill="background1" w:themeFillShade="BF"/>
                  <w:vAlign w:val="center"/>
                </w:tcPr>
                <w:p w14:paraId="43409BAA" w14:textId="77777777" w:rsidR="00C454A1" w:rsidRPr="002954F2" w:rsidRDefault="00C454A1" w:rsidP="00881E6A">
                  <w:pPr>
                    <w:pStyle w:val="Prrafodelista"/>
                    <w:ind w:left="0" w:right="272"/>
                    <w:jc w:val="center"/>
                    <w:rPr>
                      <w:rFonts w:eastAsia="Times New Roman" w:cs="Times New Roman"/>
                      <w:b/>
                      <w:sz w:val="20"/>
                      <w:szCs w:val="20"/>
                      <w:lang w:val="es-ES"/>
                    </w:rPr>
                  </w:pPr>
                  <w:r w:rsidRPr="002954F2">
                    <w:rPr>
                      <w:rFonts w:eastAsia="Times New Roman" w:cs="Times New Roman"/>
                      <w:b/>
                      <w:sz w:val="20"/>
                      <w:szCs w:val="20"/>
                      <w:lang w:val="es-ES"/>
                    </w:rPr>
                    <w:t>Acción</w:t>
                  </w:r>
                </w:p>
              </w:tc>
              <w:tc>
                <w:tcPr>
                  <w:tcW w:w="10974" w:type="dxa"/>
                  <w:shd w:val="clear" w:color="auto" w:fill="BFBFBF" w:themeFill="background1" w:themeFillShade="BF"/>
                  <w:vAlign w:val="center"/>
                </w:tcPr>
                <w:p w14:paraId="20A0B149" w14:textId="77777777" w:rsidR="00C454A1" w:rsidRPr="002954F2" w:rsidRDefault="00C454A1" w:rsidP="00881E6A">
                  <w:pPr>
                    <w:pStyle w:val="Prrafodelista"/>
                    <w:ind w:left="0" w:right="272"/>
                    <w:jc w:val="center"/>
                    <w:rPr>
                      <w:rFonts w:eastAsia="Times New Roman" w:cs="Times New Roman"/>
                      <w:b/>
                      <w:sz w:val="20"/>
                      <w:szCs w:val="20"/>
                      <w:lang w:val="es-ES"/>
                    </w:rPr>
                  </w:pPr>
                  <w:r w:rsidRPr="002954F2">
                    <w:rPr>
                      <w:rFonts w:eastAsia="Times New Roman" w:cs="Times New Roman"/>
                      <w:b/>
                      <w:sz w:val="20"/>
                      <w:szCs w:val="20"/>
                      <w:lang w:val="es-ES"/>
                    </w:rPr>
                    <w:t>Descripción</w:t>
                  </w:r>
                </w:p>
              </w:tc>
            </w:tr>
            <w:tr w:rsidR="00C454A1" w:rsidRPr="00F8202F" w14:paraId="6FA980EE" w14:textId="77777777" w:rsidTr="001F3006">
              <w:trPr>
                <w:trHeight w:val="300"/>
                <w:jc w:val="center"/>
              </w:trPr>
              <w:tc>
                <w:tcPr>
                  <w:tcW w:w="3398" w:type="dxa"/>
                  <w:vAlign w:val="center"/>
                </w:tcPr>
                <w:p w14:paraId="470F3E93" w14:textId="77777777" w:rsidR="00C454A1" w:rsidRPr="002954F2" w:rsidRDefault="00C454A1" w:rsidP="00881E6A">
                  <w:pPr>
                    <w:pStyle w:val="Prrafodelista"/>
                    <w:ind w:left="0" w:right="272"/>
                    <w:rPr>
                      <w:rFonts w:eastAsia="Times New Roman" w:cs="Times New Roman"/>
                      <w:sz w:val="20"/>
                      <w:szCs w:val="20"/>
                      <w:lang w:val="es-ES"/>
                    </w:rPr>
                  </w:pPr>
                  <w:r w:rsidRPr="002954F2">
                    <w:rPr>
                      <w:rFonts w:eastAsia="Times New Roman" w:cs="Times New Roman"/>
                      <w:sz w:val="20"/>
                      <w:szCs w:val="20"/>
                      <w:lang w:val="es-ES"/>
                    </w:rPr>
                    <w:t>Formalización Minera en el Catatumbo</w:t>
                  </w:r>
                </w:p>
              </w:tc>
              <w:tc>
                <w:tcPr>
                  <w:tcW w:w="10974" w:type="dxa"/>
                  <w:vAlign w:val="center"/>
                </w:tcPr>
                <w:p w14:paraId="2EE05855" w14:textId="77777777" w:rsidR="00C454A1" w:rsidRPr="002954F2" w:rsidRDefault="00C454A1" w:rsidP="00881E6A">
                  <w:pPr>
                    <w:pStyle w:val="Prrafodelista"/>
                    <w:ind w:left="0" w:right="272"/>
                    <w:rPr>
                      <w:rFonts w:eastAsia="Times New Roman" w:cs="Times New Roman"/>
                      <w:sz w:val="20"/>
                      <w:szCs w:val="20"/>
                      <w:lang w:val="es-ES"/>
                    </w:rPr>
                  </w:pPr>
                  <w:r w:rsidRPr="002954F2">
                    <w:rPr>
                      <w:rFonts w:eastAsia="Times New Roman" w:cs="Times New Roman"/>
                      <w:sz w:val="20"/>
                      <w:szCs w:val="20"/>
                      <w:lang w:val="es-ES"/>
                    </w:rPr>
                    <w:t xml:space="preserve">“[H]ay 19 títulos mineros y 24 solicitudes vigentes de carbón”. </w:t>
                  </w:r>
                </w:p>
              </w:tc>
            </w:tr>
            <w:tr w:rsidR="00C454A1" w:rsidRPr="00F8202F" w14:paraId="5ED0DFA0" w14:textId="77777777" w:rsidTr="001F3006">
              <w:trPr>
                <w:trHeight w:val="300"/>
                <w:jc w:val="center"/>
              </w:trPr>
              <w:tc>
                <w:tcPr>
                  <w:tcW w:w="3398" w:type="dxa"/>
                  <w:vAlign w:val="center"/>
                </w:tcPr>
                <w:p w14:paraId="54C41250" w14:textId="77777777" w:rsidR="00C454A1" w:rsidRPr="002954F2" w:rsidRDefault="00C454A1" w:rsidP="00881E6A">
                  <w:pPr>
                    <w:pStyle w:val="Prrafodelista"/>
                    <w:ind w:left="0" w:right="272"/>
                    <w:rPr>
                      <w:rFonts w:eastAsia="Times New Roman" w:cs="Times New Roman"/>
                      <w:sz w:val="20"/>
                      <w:szCs w:val="20"/>
                      <w:lang w:val="es-ES"/>
                    </w:rPr>
                  </w:pPr>
                  <w:r w:rsidRPr="002954F2">
                    <w:rPr>
                      <w:rFonts w:eastAsia="Times New Roman" w:cs="Times New Roman"/>
                      <w:sz w:val="20"/>
                      <w:szCs w:val="20"/>
                      <w:lang w:val="es-ES"/>
                    </w:rPr>
                    <w:t>Trámites de formalización</w:t>
                  </w:r>
                </w:p>
              </w:tc>
              <w:tc>
                <w:tcPr>
                  <w:tcW w:w="10974" w:type="dxa"/>
                  <w:vAlign w:val="center"/>
                </w:tcPr>
                <w:p w14:paraId="00FF579D" w14:textId="77777777" w:rsidR="00C454A1" w:rsidRPr="002954F2" w:rsidRDefault="00C454A1" w:rsidP="00881E6A">
                  <w:pPr>
                    <w:pStyle w:val="Prrafodelista"/>
                    <w:ind w:left="0" w:right="272"/>
                    <w:rPr>
                      <w:rFonts w:eastAsia="Times New Roman" w:cs="Times New Roman"/>
                      <w:sz w:val="20"/>
                      <w:szCs w:val="20"/>
                      <w:lang w:val="es-ES"/>
                    </w:rPr>
                  </w:pPr>
                  <w:r w:rsidRPr="002954F2">
                    <w:rPr>
                      <w:rFonts w:eastAsia="Times New Roman" w:cs="Times New Roman"/>
                      <w:sz w:val="20"/>
                      <w:szCs w:val="20"/>
                      <w:lang w:val="es-ES"/>
                    </w:rPr>
                    <w:t xml:space="preserve">El 5 de octubre de 2022, en Tibú, se formalizaron 7 mineros “que corresponden a un contrato de concesión minera que yace de una solicitud de formalización para la minería tradicional”.  Además, entre agosto de 2022 y diciembre de 2025 “se está realizando el acompañamiento a 1591 mineros”. </w:t>
                  </w:r>
                </w:p>
              </w:tc>
            </w:tr>
            <w:tr w:rsidR="00C454A1" w:rsidRPr="00F8202F" w14:paraId="34FED6BF" w14:textId="77777777" w:rsidTr="001F3006">
              <w:trPr>
                <w:trHeight w:val="300"/>
                <w:jc w:val="center"/>
              </w:trPr>
              <w:tc>
                <w:tcPr>
                  <w:tcW w:w="3398" w:type="dxa"/>
                  <w:vAlign w:val="center"/>
                </w:tcPr>
                <w:p w14:paraId="0E1FE2CF" w14:textId="77777777" w:rsidR="00C454A1" w:rsidRPr="002954F2" w:rsidRDefault="00C454A1" w:rsidP="00881E6A">
                  <w:pPr>
                    <w:pStyle w:val="Prrafodelista"/>
                    <w:ind w:left="0" w:right="272"/>
                    <w:rPr>
                      <w:rFonts w:eastAsia="Times New Roman" w:cs="Times New Roman"/>
                      <w:sz w:val="20"/>
                      <w:szCs w:val="20"/>
                      <w:lang w:val="es-ES"/>
                    </w:rPr>
                  </w:pPr>
                  <w:r w:rsidRPr="002954F2">
                    <w:rPr>
                      <w:rFonts w:eastAsia="Times New Roman" w:cs="Times New Roman"/>
                      <w:sz w:val="20"/>
                      <w:szCs w:val="20"/>
                      <w:lang w:val="es-ES"/>
                    </w:rPr>
                    <w:lastRenderedPageBreak/>
                    <w:t>Acciones de formalización minera</w:t>
                  </w:r>
                </w:p>
              </w:tc>
              <w:tc>
                <w:tcPr>
                  <w:tcW w:w="10974" w:type="dxa"/>
                  <w:vAlign w:val="center"/>
                </w:tcPr>
                <w:p w14:paraId="784CCA6E" w14:textId="77777777" w:rsidR="00C454A1" w:rsidRPr="002954F2" w:rsidRDefault="00C454A1" w:rsidP="00881E6A">
                  <w:pPr>
                    <w:pStyle w:val="Prrafodelista"/>
                    <w:ind w:left="0" w:right="272"/>
                    <w:rPr>
                      <w:rFonts w:eastAsia="Times New Roman" w:cs="Times New Roman"/>
                      <w:sz w:val="20"/>
                      <w:szCs w:val="20"/>
                      <w:lang w:val="es-ES"/>
                    </w:rPr>
                  </w:pPr>
                  <w:r w:rsidRPr="002954F2">
                    <w:rPr>
                      <w:rFonts w:eastAsia="Times New Roman" w:cs="Times New Roman"/>
                      <w:sz w:val="20"/>
                      <w:szCs w:val="20"/>
                      <w:lang w:val="es-ES"/>
                    </w:rPr>
                    <w:t xml:space="preserve">El MinMinas explicó que </w:t>
                  </w:r>
                  <w:r w:rsidRPr="002954F2">
                    <w:rPr>
                      <w:rFonts w:eastAsia="Times New Roman" w:cs="Times New Roman"/>
                      <w:i/>
                      <w:iCs/>
                      <w:sz w:val="20"/>
                      <w:szCs w:val="20"/>
                      <w:lang w:val="es-ES"/>
                    </w:rPr>
                    <w:t>(i)</w:t>
                  </w:r>
                  <w:r w:rsidRPr="002954F2">
                    <w:rPr>
                      <w:rFonts w:eastAsia="Times New Roman" w:cs="Times New Roman"/>
                      <w:sz w:val="20"/>
                      <w:szCs w:val="20"/>
                      <w:lang w:val="es-ES"/>
                    </w:rPr>
                    <w:t xml:space="preserve"> en 2023, se desarrollaron “talleres de buenas prácticas mineras y ambientales en las que participaron 41 mineros de subsistencia” en los municipios de Pamplonita, Pamplona y Chinácota; </w:t>
                  </w:r>
                  <w:r w:rsidRPr="002954F2">
                    <w:rPr>
                      <w:rFonts w:eastAsia="Times New Roman" w:cs="Times New Roman"/>
                      <w:i/>
                      <w:iCs/>
                      <w:sz w:val="20"/>
                      <w:szCs w:val="20"/>
                      <w:lang w:val="es-ES"/>
                    </w:rPr>
                    <w:t>(ii)</w:t>
                  </w:r>
                  <w:r w:rsidRPr="002954F2">
                    <w:rPr>
                      <w:rFonts w:eastAsia="Times New Roman" w:cs="Times New Roman"/>
                      <w:sz w:val="20"/>
                      <w:szCs w:val="20"/>
                      <w:lang w:val="es-ES"/>
                    </w:rPr>
                    <w:t xml:space="preserve"> el 26 de junio de 2024, visitaron algunas veredas de Tibú y, desde el componente de formalización ha participado “en la mesa de trabajo […] sobre transformación económica, agroindustrial y reconversión productiva para el desarrollo endógeno del Catatumbo”; </w:t>
                  </w:r>
                  <w:r w:rsidRPr="002954F2">
                    <w:rPr>
                      <w:rFonts w:eastAsia="Times New Roman" w:cs="Times New Roman"/>
                      <w:i/>
                      <w:iCs/>
                      <w:sz w:val="20"/>
                      <w:szCs w:val="20"/>
                      <w:lang w:val="es-ES"/>
                    </w:rPr>
                    <w:t>(iii)</w:t>
                  </w:r>
                  <w:r w:rsidRPr="002954F2">
                    <w:rPr>
                      <w:rFonts w:eastAsia="Times New Roman" w:cs="Times New Roman"/>
                      <w:sz w:val="20"/>
                      <w:szCs w:val="20"/>
                      <w:lang w:val="es-ES"/>
                    </w:rPr>
                    <w:t xml:space="preserve"> el mismo 26 de junio, en Cúcuta, “se llevó a cabo una jornada de socialización en la que se presentó la normatividad vigente y aplicable para la minería de subsistencia”, y </w:t>
                  </w:r>
                  <w:r w:rsidRPr="002954F2">
                    <w:rPr>
                      <w:rFonts w:eastAsia="Times New Roman" w:cs="Times New Roman"/>
                      <w:i/>
                      <w:iCs/>
                      <w:sz w:val="20"/>
                      <w:szCs w:val="20"/>
                      <w:lang w:val="es-ES"/>
                    </w:rPr>
                    <w:t>(iv)</w:t>
                  </w:r>
                  <w:r w:rsidRPr="002954F2">
                    <w:rPr>
                      <w:rFonts w:eastAsia="Times New Roman" w:cs="Times New Roman"/>
                      <w:sz w:val="20"/>
                      <w:szCs w:val="20"/>
                      <w:lang w:val="es-ES"/>
                    </w:rPr>
                    <w:t xml:space="preserve"> el 4 de diciembre de 2024 adelantó una jornada de capacitación “en la que se socializó los aspectos técnicos y normativos de la minería de subsistencia”, entre otras. </w:t>
                  </w:r>
                </w:p>
              </w:tc>
            </w:tr>
          </w:tbl>
          <w:p w14:paraId="2F812FBC" w14:textId="77777777" w:rsidR="00C454A1" w:rsidRPr="00833016" w:rsidRDefault="00C454A1" w:rsidP="00881E6A">
            <w:pPr>
              <w:pStyle w:val="Prrafodelista"/>
              <w:ind w:left="360" w:right="272" w:hanging="360"/>
              <w:rPr>
                <w:rFonts w:eastAsia="Times New Roman" w:cs="Times New Roman"/>
                <w:lang w:val="es-ES"/>
              </w:rPr>
            </w:pPr>
          </w:p>
          <w:p w14:paraId="0A110AAE" w14:textId="77777777" w:rsidR="00C454A1" w:rsidRPr="00833016" w:rsidRDefault="00C454A1" w:rsidP="005F4A6F">
            <w:pPr>
              <w:pStyle w:val="Prrafodelista"/>
              <w:numPr>
                <w:ilvl w:val="0"/>
                <w:numId w:val="31"/>
              </w:numPr>
              <w:ind w:left="360" w:right="272"/>
              <w:rPr>
                <w:rFonts w:eastAsia="Times New Roman" w:cs="Times New Roman"/>
                <w:lang w:val="es-ES"/>
              </w:rPr>
            </w:pPr>
            <w:r w:rsidRPr="00CB7E0F">
              <w:rPr>
                <w:rFonts w:eastAsia="Times New Roman" w:cs="Times New Roman"/>
                <w:u w:val="single"/>
                <w:lang w:val="es-ES"/>
              </w:rPr>
              <w:t>Evolución de los ataques en contra de firmantes de paz y de líderes sociales en la zona, así como de los hechos victimizantes cometidos en contra de la población civil</w:t>
            </w:r>
            <w:r w:rsidRPr="00833016">
              <w:rPr>
                <w:rFonts w:eastAsia="Times New Roman" w:cs="Times New Roman"/>
                <w:lang w:val="es-ES"/>
              </w:rPr>
              <w:t>. El MinDefensa explicó que en los municipios de Río de Oro y de González “no se han registrado homicidios contra defensores de derechos humanos y firmantes de paz”</w:t>
            </w:r>
            <w:r w:rsidRPr="00833016">
              <w:rPr>
                <w:rStyle w:val="Refdenotaalpie"/>
                <w:rFonts w:eastAsia="Times New Roman" w:cs="Times New Roman"/>
                <w:lang w:val="es-ES"/>
              </w:rPr>
              <w:footnoteReference w:id="493"/>
            </w:r>
            <w:r w:rsidRPr="00833016">
              <w:rPr>
                <w:rFonts w:eastAsia="Times New Roman" w:cs="Times New Roman"/>
                <w:lang w:val="es-ES"/>
              </w:rPr>
              <w:t>. Además, remitió la siguiente información</w:t>
            </w:r>
            <w:r w:rsidRPr="00833016">
              <w:rPr>
                <w:rStyle w:val="Refdenotaalpie"/>
                <w:rFonts w:eastAsia="Times New Roman" w:cs="Times New Roman"/>
                <w:lang w:val="es-ES"/>
              </w:rPr>
              <w:footnoteReference w:id="494"/>
            </w:r>
            <w:r w:rsidRPr="00833016">
              <w:rPr>
                <w:rFonts w:eastAsia="Times New Roman" w:cs="Times New Roman"/>
                <w:lang w:val="es-ES"/>
              </w:rPr>
              <w:t>:</w:t>
            </w:r>
          </w:p>
          <w:p w14:paraId="4AD35E59" w14:textId="77777777" w:rsidR="00C454A1" w:rsidRDefault="00C454A1" w:rsidP="00881E6A">
            <w:pPr>
              <w:pStyle w:val="Prrafodelista"/>
              <w:ind w:left="360" w:right="272" w:hanging="360"/>
              <w:rPr>
                <w:rFonts w:cs="Times New Roman"/>
                <w:lang w:val="es-ES"/>
              </w:rPr>
            </w:pPr>
          </w:p>
          <w:p w14:paraId="29D74B75" w14:textId="77777777" w:rsidR="00C454A1" w:rsidRPr="00B23419" w:rsidRDefault="00C454A1" w:rsidP="00881E6A">
            <w:pPr>
              <w:pStyle w:val="Prrafodelista"/>
              <w:ind w:left="360" w:right="272" w:hanging="360"/>
              <w:jc w:val="center"/>
              <w:rPr>
                <w:rFonts w:cs="Times New Roman"/>
                <w:i/>
                <w:iCs/>
                <w:sz w:val="20"/>
                <w:szCs w:val="20"/>
                <w:lang w:val="es-ES"/>
              </w:rPr>
            </w:pPr>
            <w:r w:rsidRPr="00B23419">
              <w:rPr>
                <w:rFonts w:cs="Times New Roman"/>
                <w:i/>
                <w:iCs/>
                <w:sz w:val="20"/>
                <w:szCs w:val="20"/>
                <w:lang w:val="es-ES"/>
              </w:rPr>
              <w:t xml:space="preserve">Tabla 7: </w:t>
            </w:r>
            <w:r w:rsidRPr="00B23419">
              <w:rPr>
                <w:rFonts w:eastAsia="Times New Roman" w:cs="Times New Roman"/>
                <w:i/>
                <w:iCs/>
                <w:sz w:val="20"/>
                <w:szCs w:val="20"/>
                <w:lang w:val="es-ES"/>
              </w:rPr>
              <w:t>Información sobre afectaciones a población civil remitida por el MinDefensa</w:t>
            </w:r>
          </w:p>
          <w:tbl>
            <w:tblPr>
              <w:tblStyle w:val="Tablaconcuadrcula"/>
              <w:tblW w:w="0" w:type="auto"/>
              <w:jc w:val="center"/>
              <w:tblLook w:val="06A0" w:firstRow="1" w:lastRow="0" w:firstColumn="1" w:lastColumn="0" w:noHBand="1" w:noVBand="1"/>
            </w:tblPr>
            <w:tblGrid>
              <w:gridCol w:w="2535"/>
              <w:gridCol w:w="3300"/>
              <w:gridCol w:w="939"/>
              <w:gridCol w:w="939"/>
              <w:gridCol w:w="975"/>
              <w:gridCol w:w="930"/>
            </w:tblGrid>
            <w:tr w:rsidR="00C454A1" w:rsidRPr="00285AAD" w14:paraId="70703B02" w14:textId="77777777" w:rsidTr="001F3006">
              <w:trPr>
                <w:trHeight w:val="300"/>
                <w:jc w:val="center"/>
              </w:trPr>
              <w:tc>
                <w:tcPr>
                  <w:tcW w:w="2535" w:type="dxa"/>
                  <w:shd w:val="clear" w:color="auto" w:fill="BFBFBF" w:themeFill="background1" w:themeFillShade="BF"/>
                  <w:vAlign w:val="center"/>
                </w:tcPr>
                <w:p w14:paraId="43769A26"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Hecho victimizante</w:t>
                  </w:r>
                </w:p>
              </w:tc>
              <w:tc>
                <w:tcPr>
                  <w:tcW w:w="3300" w:type="dxa"/>
                  <w:shd w:val="clear" w:color="auto" w:fill="BFBFBF" w:themeFill="background1" w:themeFillShade="BF"/>
                  <w:vAlign w:val="center"/>
                </w:tcPr>
                <w:p w14:paraId="38048B0F"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Municipios</w:t>
                  </w:r>
                </w:p>
              </w:tc>
              <w:tc>
                <w:tcPr>
                  <w:tcW w:w="885" w:type="dxa"/>
                  <w:shd w:val="clear" w:color="auto" w:fill="BFBFBF" w:themeFill="background1" w:themeFillShade="BF"/>
                  <w:vAlign w:val="center"/>
                </w:tcPr>
                <w:p w14:paraId="21577D77"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2022</w:t>
                  </w:r>
                </w:p>
              </w:tc>
              <w:tc>
                <w:tcPr>
                  <w:tcW w:w="885" w:type="dxa"/>
                  <w:shd w:val="clear" w:color="auto" w:fill="BFBFBF" w:themeFill="background1" w:themeFillShade="BF"/>
                  <w:vAlign w:val="center"/>
                </w:tcPr>
                <w:p w14:paraId="34750EDB"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2023</w:t>
                  </w:r>
                </w:p>
              </w:tc>
              <w:tc>
                <w:tcPr>
                  <w:tcW w:w="975" w:type="dxa"/>
                  <w:shd w:val="clear" w:color="auto" w:fill="BFBFBF" w:themeFill="background1" w:themeFillShade="BF"/>
                  <w:vAlign w:val="center"/>
                </w:tcPr>
                <w:p w14:paraId="09C7AC1F"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2024</w:t>
                  </w:r>
                </w:p>
              </w:tc>
              <w:tc>
                <w:tcPr>
                  <w:tcW w:w="930" w:type="dxa"/>
                  <w:shd w:val="clear" w:color="auto" w:fill="BFBFBF" w:themeFill="background1" w:themeFillShade="BF"/>
                  <w:vAlign w:val="center"/>
                </w:tcPr>
                <w:p w14:paraId="4C22DC74"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2025</w:t>
                  </w:r>
                </w:p>
              </w:tc>
            </w:tr>
            <w:tr w:rsidR="00C454A1" w:rsidRPr="002954F2" w14:paraId="59877C76" w14:textId="77777777" w:rsidTr="001F3006">
              <w:trPr>
                <w:trHeight w:val="300"/>
                <w:jc w:val="center"/>
              </w:trPr>
              <w:tc>
                <w:tcPr>
                  <w:tcW w:w="2535" w:type="dxa"/>
                  <w:vAlign w:val="center"/>
                </w:tcPr>
                <w:p w14:paraId="1C94B902"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Afectaciones a defensores de derechos humanos</w:t>
                  </w:r>
                </w:p>
              </w:tc>
              <w:tc>
                <w:tcPr>
                  <w:tcW w:w="3300" w:type="dxa"/>
                  <w:vAlign w:val="center"/>
                </w:tcPr>
                <w:p w14:paraId="108A502E"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Tibú, Cúcuta, Convención El Tarra, Teorama, Sardinata y Ocaña</w:t>
                  </w:r>
                </w:p>
              </w:tc>
              <w:tc>
                <w:tcPr>
                  <w:tcW w:w="885" w:type="dxa"/>
                  <w:vAlign w:val="center"/>
                </w:tcPr>
                <w:p w14:paraId="2532AF02"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7</w:t>
                  </w:r>
                </w:p>
              </w:tc>
              <w:tc>
                <w:tcPr>
                  <w:tcW w:w="885" w:type="dxa"/>
                  <w:vAlign w:val="center"/>
                </w:tcPr>
                <w:p w14:paraId="24709F58"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6</w:t>
                  </w:r>
                </w:p>
              </w:tc>
              <w:tc>
                <w:tcPr>
                  <w:tcW w:w="975" w:type="dxa"/>
                  <w:vAlign w:val="center"/>
                </w:tcPr>
                <w:p w14:paraId="0F9DAE9D"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5</w:t>
                  </w:r>
                </w:p>
              </w:tc>
              <w:tc>
                <w:tcPr>
                  <w:tcW w:w="930" w:type="dxa"/>
                  <w:vAlign w:val="center"/>
                </w:tcPr>
                <w:p w14:paraId="2F4086FE"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3</w:t>
                  </w:r>
                </w:p>
              </w:tc>
            </w:tr>
            <w:tr w:rsidR="00C454A1" w:rsidRPr="00F8202F" w14:paraId="687544F1" w14:textId="77777777" w:rsidTr="001F3006">
              <w:trPr>
                <w:trHeight w:val="300"/>
                <w:jc w:val="center"/>
              </w:trPr>
              <w:tc>
                <w:tcPr>
                  <w:tcW w:w="2535" w:type="dxa"/>
                  <w:vAlign w:val="center"/>
                </w:tcPr>
                <w:p w14:paraId="3DBEB1EE"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Afectaciones a firmantes de paz</w:t>
                  </w:r>
                </w:p>
              </w:tc>
              <w:tc>
                <w:tcPr>
                  <w:tcW w:w="3300" w:type="dxa"/>
                  <w:vAlign w:val="center"/>
                </w:tcPr>
                <w:p w14:paraId="57BCC2FD"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Convención, Tibú, El Tarra, Ábrego y Teorama</w:t>
                  </w:r>
                </w:p>
              </w:tc>
              <w:tc>
                <w:tcPr>
                  <w:tcW w:w="885" w:type="dxa"/>
                  <w:vAlign w:val="center"/>
                </w:tcPr>
                <w:p w14:paraId="7F914158"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1</w:t>
                  </w:r>
                </w:p>
              </w:tc>
              <w:tc>
                <w:tcPr>
                  <w:tcW w:w="885" w:type="dxa"/>
                  <w:vAlign w:val="center"/>
                </w:tcPr>
                <w:p w14:paraId="0284BA38"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1</w:t>
                  </w:r>
                </w:p>
              </w:tc>
              <w:tc>
                <w:tcPr>
                  <w:tcW w:w="975" w:type="dxa"/>
                  <w:vAlign w:val="center"/>
                </w:tcPr>
                <w:p w14:paraId="38E8A387"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1</w:t>
                  </w:r>
                </w:p>
              </w:tc>
              <w:tc>
                <w:tcPr>
                  <w:tcW w:w="930" w:type="dxa"/>
                  <w:vAlign w:val="center"/>
                </w:tcPr>
                <w:p w14:paraId="4FD639D3"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6</w:t>
                  </w:r>
                </w:p>
              </w:tc>
            </w:tr>
            <w:tr w:rsidR="00C454A1" w:rsidRPr="00F8202F" w14:paraId="5502E669" w14:textId="77777777" w:rsidTr="001F3006">
              <w:trPr>
                <w:trHeight w:val="300"/>
                <w:jc w:val="center"/>
              </w:trPr>
              <w:tc>
                <w:tcPr>
                  <w:tcW w:w="2535" w:type="dxa"/>
                  <w:vAlign w:val="center"/>
                </w:tcPr>
                <w:p w14:paraId="75E2C3F7"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Extorsión</w:t>
                  </w:r>
                </w:p>
              </w:tc>
              <w:tc>
                <w:tcPr>
                  <w:tcW w:w="3300" w:type="dxa"/>
                  <w:vAlign w:val="center"/>
                </w:tcPr>
                <w:p w14:paraId="1784C295"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885" w:type="dxa"/>
                  <w:vAlign w:val="center"/>
                </w:tcPr>
                <w:p w14:paraId="5B299EAD"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340</w:t>
                  </w:r>
                </w:p>
              </w:tc>
              <w:tc>
                <w:tcPr>
                  <w:tcW w:w="885" w:type="dxa"/>
                  <w:vAlign w:val="center"/>
                </w:tcPr>
                <w:p w14:paraId="66B936CD"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575</w:t>
                  </w:r>
                </w:p>
              </w:tc>
              <w:tc>
                <w:tcPr>
                  <w:tcW w:w="975" w:type="dxa"/>
                  <w:vAlign w:val="center"/>
                </w:tcPr>
                <w:p w14:paraId="6A783C26"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443</w:t>
                  </w:r>
                </w:p>
              </w:tc>
              <w:tc>
                <w:tcPr>
                  <w:tcW w:w="930" w:type="dxa"/>
                  <w:vAlign w:val="center"/>
                </w:tcPr>
                <w:p w14:paraId="21A86A4E"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w:t>
                  </w:r>
                </w:p>
              </w:tc>
            </w:tr>
            <w:tr w:rsidR="00C454A1" w:rsidRPr="00F8202F" w14:paraId="4F367639" w14:textId="77777777" w:rsidTr="001F3006">
              <w:trPr>
                <w:trHeight w:val="300"/>
                <w:jc w:val="center"/>
              </w:trPr>
              <w:tc>
                <w:tcPr>
                  <w:tcW w:w="2535" w:type="dxa"/>
                  <w:vAlign w:val="center"/>
                </w:tcPr>
                <w:p w14:paraId="6B4E2D33"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Secuestro</w:t>
                  </w:r>
                </w:p>
              </w:tc>
              <w:tc>
                <w:tcPr>
                  <w:tcW w:w="3300" w:type="dxa"/>
                  <w:vAlign w:val="center"/>
                </w:tcPr>
                <w:p w14:paraId="3128DC50"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885" w:type="dxa"/>
                  <w:vAlign w:val="center"/>
                </w:tcPr>
                <w:p w14:paraId="0798BA5D"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33</w:t>
                  </w:r>
                </w:p>
              </w:tc>
              <w:tc>
                <w:tcPr>
                  <w:tcW w:w="885" w:type="dxa"/>
                  <w:vAlign w:val="center"/>
                </w:tcPr>
                <w:p w14:paraId="09323856"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47</w:t>
                  </w:r>
                </w:p>
              </w:tc>
              <w:tc>
                <w:tcPr>
                  <w:tcW w:w="975" w:type="dxa"/>
                  <w:vAlign w:val="center"/>
                </w:tcPr>
                <w:p w14:paraId="66A7F7B5"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48</w:t>
                  </w:r>
                </w:p>
              </w:tc>
              <w:tc>
                <w:tcPr>
                  <w:tcW w:w="930" w:type="dxa"/>
                  <w:vAlign w:val="center"/>
                </w:tcPr>
                <w:p w14:paraId="54D6CAFF"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w:t>
                  </w:r>
                </w:p>
              </w:tc>
            </w:tr>
            <w:tr w:rsidR="00C454A1" w:rsidRPr="00F8202F" w14:paraId="1D6EB4D0" w14:textId="77777777" w:rsidTr="001F3006">
              <w:trPr>
                <w:trHeight w:val="300"/>
                <w:jc w:val="center"/>
              </w:trPr>
              <w:tc>
                <w:tcPr>
                  <w:tcW w:w="2535" w:type="dxa"/>
                  <w:vAlign w:val="center"/>
                </w:tcPr>
                <w:p w14:paraId="77623D86"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Homicidio</w:t>
                  </w:r>
                </w:p>
              </w:tc>
              <w:tc>
                <w:tcPr>
                  <w:tcW w:w="3300" w:type="dxa"/>
                  <w:vAlign w:val="center"/>
                </w:tcPr>
                <w:p w14:paraId="0EDF2F33"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885" w:type="dxa"/>
                  <w:vAlign w:val="center"/>
                </w:tcPr>
                <w:p w14:paraId="23227233"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415</w:t>
                  </w:r>
                </w:p>
              </w:tc>
              <w:tc>
                <w:tcPr>
                  <w:tcW w:w="885" w:type="dxa"/>
                  <w:vAlign w:val="center"/>
                </w:tcPr>
                <w:p w14:paraId="7B83CA9E"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501</w:t>
                  </w:r>
                </w:p>
              </w:tc>
              <w:tc>
                <w:tcPr>
                  <w:tcW w:w="975" w:type="dxa"/>
                  <w:vAlign w:val="center"/>
                </w:tcPr>
                <w:p w14:paraId="0A01032B"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473</w:t>
                  </w:r>
                </w:p>
              </w:tc>
              <w:tc>
                <w:tcPr>
                  <w:tcW w:w="930" w:type="dxa"/>
                  <w:vAlign w:val="center"/>
                </w:tcPr>
                <w:p w14:paraId="63E32E29"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w:t>
                  </w:r>
                </w:p>
              </w:tc>
            </w:tr>
            <w:tr w:rsidR="00C454A1" w:rsidRPr="00F8202F" w14:paraId="32DAB1C0" w14:textId="77777777" w:rsidTr="001F3006">
              <w:trPr>
                <w:trHeight w:val="300"/>
                <w:jc w:val="center"/>
              </w:trPr>
              <w:tc>
                <w:tcPr>
                  <w:tcW w:w="2535" w:type="dxa"/>
                  <w:vAlign w:val="center"/>
                </w:tcPr>
                <w:p w14:paraId="3B1B41D7"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Lesiones personales</w:t>
                  </w:r>
                </w:p>
              </w:tc>
              <w:tc>
                <w:tcPr>
                  <w:tcW w:w="3300" w:type="dxa"/>
                  <w:vAlign w:val="center"/>
                </w:tcPr>
                <w:p w14:paraId="1FB9AA60"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 xml:space="preserve"> </w:t>
                  </w:r>
                </w:p>
              </w:tc>
              <w:tc>
                <w:tcPr>
                  <w:tcW w:w="885" w:type="dxa"/>
                  <w:vAlign w:val="center"/>
                </w:tcPr>
                <w:p w14:paraId="30C9F37A"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1.783</w:t>
                  </w:r>
                </w:p>
              </w:tc>
              <w:tc>
                <w:tcPr>
                  <w:tcW w:w="885" w:type="dxa"/>
                  <w:vAlign w:val="center"/>
                </w:tcPr>
                <w:p w14:paraId="4E8E578D"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1.974</w:t>
                  </w:r>
                </w:p>
              </w:tc>
              <w:tc>
                <w:tcPr>
                  <w:tcW w:w="975" w:type="dxa"/>
                  <w:vAlign w:val="center"/>
                </w:tcPr>
                <w:p w14:paraId="45C199F5"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1.508</w:t>
                  </w:r>
                </w:p>
              </w:tc>
              <w:tc>
                <w:tcPr>
                  <w:tcW w:w="930" w:type="dxa"/>
                  <w:vAlign w:val="center"/>
                </w:tcPr>
                <w:p w14:paraId="2F3C2EC3"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w:t>
                  </w:r>
                </w:p>
              </w:tc>
            </w:tr>
          </w:tbl>
          <w:p w14:paraId="0AE1F476" w14:textId="77777777" w:rsidR="00C454A1" w:rsidRPr="00B23419" w:rsidRDefault="00C454A1" w:rsidP="00881E6A">
            <w:pPr>
              <w:ind w:right="272"/>
              <w:rPr>
                <w:rFonts w:cs="Times New Roman"/>
                <w:lang w:val="es-ES"/>
              </w:rPr>
            </w:pPr>
          </w:p>
          <w:p w14:paraId="196C00F3" w14:textId="77777777" w:rsidR="00C454A1" w:rsidRPr="00833016" w:rsidRDefault="00C454A1" w:rsidP="00881E6A">
            <w:pPr>
              <w:ind w:left="450" w:right="272"/>
              <w:rPr>
                <w:rFonts w:eastAsia="Times New Roman" w:cs="Times New Roman"/>
                <w:lang w:val="es-ES"/>
              </w:rPr>
            </w:pPr>
            <w:r w:rsidRPr="00833016">
              <w:rPr>
                <w:rFonts w:eastAsia="Times New Roman" w:cs="Times New Roman"/>
                <w:lang w:val="es-ES"/>
              </w:rPr>
              <w:lastRenderedPageBreak/>
              <w:t>Además, en relación con las intenciones de ataque, el MinDefensa explicó que, en la región del Catatumbo, existía un pacto de no agresión entre el ELN y el GAO-R E-33. Sin embargo, el ELN inició una ofensiva en contra de la población civil, “aduciendo que con eso estaba afectando al GAO-R 33”</w:t>
            </w:r>
            <w:r w:rsidRPr="00833016">
              <w:rPr>
                <w:rStyle w:val="Refdenotaalpie"/>
                <w:rFonts w:eastAsia="Times New Roman" w:cs="Times New Roman"/>
                <w:lang w:val="es-ES"/>
              </w:rPr>
              <w:footnoteReference w:id="495"/>
            </w:r>
            <w:r w:rsidRPr="00833016">
              <w:rPr>
                <w:rFonts w:eastAsia="Times New Roman" w:cs="Times New Roman"/>
                <w:lang w:val="es-ES"/>
              </w:rPr>
              <w:t>. Esto, en el marco de las disputas por el control de las economías ilícitas en esa zona, así como el trabajo político organizativo</w:t>
            </w:r>
            <w:r w:rsidRPr="00833016">
              <w:rPr>
                <w:rStyle w:val="Refdenotaalpie"/>
                <w:rFonts w:eastAsia="Times New Roman" w:cs="Times New Roman"/>
                <w:lang w:val="es-ES"/>
              </w:rPr>
              <w:footnoteReference w:id="496"/>
            </w:r>
            <w:r w:rsidRPr="00833016">
              <w:rPr>
                <w:rFonts w:eastAsia="Times New Roman" w:cs="Times New Roman"/>
                <w:lang w:val="es-ES"/>
              </w:rPr>
              <w:t xml:space="preserve">. Al respecto, dicha entidad explicó que los objetivos de las intenciones de ataque serían los miembros del GAO-R E-33, los firmantes de paz, líderes sociales y los presidentes de las </w:t>
            </w:r>
            <w:r>
              <w:rPr>
                <w:rFonts w:eastAsia="Times New Roman" w:cs="Times New Roman"/>
                <w:lang w:val="es-ES"/>
              </w:rPr>
              <w:t>Juntas de Acción Comunal (</w:t>
            </w:r>
            <w:r w:rsidRPr="00833016">
              <w:rPr>
                <w:rFonts w:eastAsia="Times New Roman" w:cs="Times New Roman"/>
                <w:lang w:val="es-ES"/>
              </w:rPr>
              <w:t>JAC</w:t>
            </w:r>
            <w:r>
              <w:rPr>
                <w:rFonts w:eastAsia="Times New Roman" w:cs="Times New Roman"/>
                <w:lang w:val="es-ES"/>
              </w:rPr>
              <w:t>)</w:t>
            </w:r>
            <w:r w:rsidRPr="00833016">
              <w:rPr>
                <w:rFonts w:eastAsia="Times New Roman" w:cs="Times New Roman"/>
                <w:lang w:val="es-ES"/>
              </w:rPr>
              <w:t>. Dichos ataques se llevarían a cabo en los municipios de injerencia del GAO-R E-33, como Convención, Tibú, El Tarra, San Calixto, Teorama, Hacarí y Sardinata. Por su parte, la UARIV remitió la siguiente información respecto de los hechos victimizantes que sufrieron las personas incluidas en el RUV</w:t>
            </w:r>
            <w:r w:rsidRPr="00833016">
              <w:rPr>
                <w:rStyle w:val="Refdenotaalpie"/>
                <w:rFonts w:eastAsia="Times New Roman" w:cs="Times New Roman"/>
                <w:lang w:val="es-ES"/>
              </w:rPr>
              <w:footnoteReference w:id="497"/>
            </w:r>
            <w:r w:rsidRPr="00833016">
              <w:rPr>
                <w:rFonts w:eastAsia="Times New Roman" w:cs="Times New Roman"/>
                <w:lang w:val="es-ES"/>
              </w:rPr>
              <w:t>:</w:t>
            </w:r>
          </w:p>
          <w:p w14:paraId="5F6D38F3" w14:textId="77777777" w:rsidR="00C454A1" w:rsidRDefault="00C454A1" w:rsidP="00881E6A">
            <w:pPr>
              <w:ind w:left="450" w:right="272"/>
              <w:rPr>
                <w:rFonts w:eastAsia="Times New Roman" w:cs="Times New Roman"/>
                <w:lang w:val="es-ES"/>
              </w:rPr>
            </w:pPr>
          </w:p>
          <w:p w14:paraId="7C2EB7D6" w14:textId="77777777" w:rsidR="00C454A1" w:rsidRPr="00B23419" w:rsidRDefault="00C454A1" w:rsidP="00881E6A">
            <w:pPr>
              <w:ind w:left="450" w:right="272"/>
              <w:jc w:val="center"/>
              <w:rPr>
                <w:rFonts w:eastAsia="Times New Roman" w:cs="Times New Roman"/>
                <w:i/>
                <w:iCs/>
                <w:sz w:val="20"/>
                <w:szCs w:val="20"/>
                <w:lang w:val="es-ES"/>
              </w:rPr>
            </w:pPr>
            <w:r w:rsidRPr="00B23419">
              <w:rPr>
                <w:rFonts w:eastAsia="Times New Roman" w:cs="Times New Roman"/>
                <w:i/>
                <w:iCs/>
                <w:sz w:val="20"/>
                <w:szCs w:val="20"/>
                <w:lang w:val="es-ES"/>
              </w:rPr>
              <w:t>Tabla 8: Información sobre los hechos victimizantes en la zona remitida por la UARIV</w:t>
            </w:r>
          </w:p>
          <w:tbl>
            <w:tblPr>
              <w:tblStyle w:val="Tablaconcuadrcula"/>
              <w:tblW w:w="0" w:type="auto"/>
              <w:jc w:val="center"/>
              <w:tblLook w:val="06A0" w:firstRow="1" w:lastRow="0" w:firstColumn="1" w:lastColumn="0" w:noHBand="1" w:noVBand="1"/>
            </w:tblPr>
            <w:tblGrid>
              <w:gridCol w:w="2331"/>
              <w:gridCol w:w="4454"/>
              <w:gridCol w:w="1039"/>
              <w:gridCol w:w="975"/>
              <w:gridCol w:w="939"/>
              <w:gridCol w:w="975"/>
              <w:gridCol w:w="954"/>
              <w:gridCol w:w="975"/>
              <w:gridCol w:w="889"/>
            </w:tblGrid>
            <w:tr w:rsidR="00C454A1" w:rsidRPr="00B23419" w14:paraId="5944C1B1" w14:textId="77777777" w:rsidTr="001F3006">
              <w:trPr>
                <w:trHeight w:val="300"/>
                <w:jc w:val="center"/>
              </w:trPr>
              <w:tc>
                <w:tcPr>
                  <w:tcW w:w="2550" w:type="dxa"/>
                  <w:shd w:val="clear" w:color="auto" w:fill="BFBFBF" w:themeFill="background1" w:themeFillShade="BF"/>
                  <w:vAlign w:val="center"/>
                </w:tcPr>
                <w:p w14:paraId="274F8CB9"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Hecho victimizante</w:t>
                  </w:r>
                </w:p>
              </w:tc>
              <w:tc>
                <w:tcPr>
                  <w:tcW w:w="5625" w:type="dxa"/>
                  <w:shd w:val="clear" w:color="auto" w:fill="BFBFBF" w:themeFill="background1" w:themeFillShade="BF"/>
                  <w:vAlign w:val="center"/>
                </w:tcPr>
                <w:p w14:paraId="31D651FA"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Municipios</w:t>
                  </w:r>
                </w:p>
              </w:tc>
              <w:tc>
                <w:tcPr>
                  <w:tcW w:w="945" w:type="dxa"/>
                  <w:shd w:val="clear" w:color="auto" w:fill="BFBFBF" w:themeFill="background1" w:themeFillShade="BF"/>
                  <w:vAlign w:val="center"/>
                </w:tcPr>
                <w:p w14:paraId="0613A337"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 xml:space="preserve">2022 – I </w:t>
                  </w:r>
                </w:p>
              </w:tc>
              <w:tc>
                <w:tcPr>
                  <w:tcW w:w="990" w:type="dxa"/>
                  <w:shd w:val="clear" w:color="auto" w:fill="BFBFBF" w:themeFill="background1" w:themeFillShade="BF"/>
                  <w:vAlign w:val="center"/>
                </w:tcPr>
                <w:p w14:paraId="3A691BB8"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 xml:space="preserve">2022 – II </w:t>
                  </w:r>
                </w:p>
              </w:tc>
              <w:tc>
                <w:tcPr>
                  <w:tcW w:w="930" w:type="dxa"/>
                  <w:shd w:val="clear" w:color="auto" w:fill="BFBFBF" w:themeFill="background1" w:themeFillShade="BF"/>
                  <w:vAlign w:val="center"/>
                </w:tcPr>
                <w:p w14:paraId="6D593829"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 xml:space="preserve">2023 – I </w:t>
                  </w:r>
                </w:p>
              </w:tc>
              <w:tc>
                <w:tcPr>
                  <w:tcW w:w="990" w:type="dxa"/>
                  <w:shd w:val="clear" w:color="auto" w:fill="BFBFBF" w:themeFill="background1" w:themeFillShade="BF"/>
                  <w:vAlign w:val="center"/>
                </w:tcPr>
                <w:p w14:paraId="12CC6054"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 xml:space="preserve">2023 – II </w:t>
                  </w:r>
                </w:p>
              </w:tc>
              <w:tc>
                <w:tcPr>
                  <w:tcW w:w="960" w:type="dxa"/>
                  <w:shd w:val="clear" w:color="auto" w:fill="BFBFBF" w:themeFill="background1" w:themeFillShade="BF"/>
                  <w:vAlign w:val="center"/>
                </w:tcPr>
                <w:p w14:paraId="45982B7D"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 xml:space="preserve">2024 – I </w:t>
                  </w:r>
                </w:p>
              </w:tc>
              <w:tc>
                <w:tcPr>
                  <w:tcW w:w="990" w:type="dxa"/>
                  <w:shd w:val="clear" w:color="auto" w:fill="BFBFBF" w:themeFill="background1" w:themeFillShade="BF"/>
                  <w:vAlign w:val="center"/>
                </w:tcPr>
                <w:p w14:paraId="79C9445B"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 xml:space="preserve">2024 – II </w:t>
                  </w:r>
                </w:p>
              </w:tc>
              <w:tc>
                <w:tcPr>
                  <w:tcW w:w="870" w:type="dxa"/>
                  <w:shd w:val="clear" w:color="auto" w:fill="BFBFBF" w:themeFill="background1" w:themeFillShade="BF"/>
                  <w:vAlign w:val="center"/>
                </w:tcPr>
                <w:p w14:paraId="3950511E"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2025</w:t>
                  </w:r>
                </w:p>
              </w:tc>
            </w:tr>
            <w:tr w:rsidR="00C454A1" w:rsidRPr="002954F2" w14:paraId="485448EE" w14:textId="77777777" w:rsidTr="001F3006">
              <w:trPr>
                <w:trHeight w:val="300"/>
                <w:jc w:val="center"/>
              </w:trPr>
              <w:tc>
                <w:tcPr>
                  <w:tcW w:w="2550" w:type="dxa"/>
                  <w:vAlign w:val="center"/>
                </w:tcPr>
                <w:p w14:paraId="3DC77C51"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Ataques en contra de firmantes de paz y de líderes sociales</w:t>
                  </w:r>
                </w:p>
              </w:tc>
              <w:tc>
                <w:tcPr>
                  <w:tcW w:w="5625" w:type="dxa"/>
                  <w:vAlign w:val="center"/>
                </w:tcPr>
                <w:p w14:paraId="28F9012D"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Ábrego, Convención, El Carmen, El Tarra, Hacarí, Ocaña, San Calixto, Teorama, Tibú y Cúcuta</w:t>
                  </w:r>
                </w:p>
              </w:tc>
              <w:tc>
                <w:tcPr>
                  <w:tcW w:w="945" w:type="dxa"/>
                  <w:vAlign w:val="center"/>
                </w:tcPr>
                <w:p w14:paraId="73AED557"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16</w:t>
                  </w:r>
                </w:p>
              </w:tc>
              <w:tc>
                <w:tcPr>
                  <w:tcW w:w="990" w:type="dxa"/>
                  <w:vAlign w:val="center"/>
                </w:tcPr>
                <w:p w14:paraId="153B5B13"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9</w:t>
                  </w:r>
                </w:p>
              </w:tc>
              <w:tc>
                <w:tcPr>
                  <w:tcW w:w="930" w:type="dxa"/>
                  <w:vAlign w:val="center"/>
                </w:tcPr>
                <w:p w14:paraId="2121B41B"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15</w:t>
                  </w:r>
                </w:p>
              </w:tc>
              <w:tc>
                <w:tcPr>
                  <w:tcW w:w="990" w:type="dxa"/>
                  <w:vAlign w:val="center"/>
                </w:tcPr>
                <w:p w14:paraId="25073F3C"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19</w:t>
                  </w:r>
                </w:p>
              </w:tc>
              <w:tc>
                <w:tcPr>
                  <w:tcW w:w="960" w:type="dxa"/>
                  <w:vAlign w:val="center"/>
                </w:tcPr>
                <w:p w14:paraId="2211A8F4"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9</w:t>
                  </w:r>
                </w:p>
              </w:tc>
              <w:tc>
                <w:tcPr>
                  <w:tcW w:w="990" w:type="dxa"/>
                  <w:vAlign w:val="center"/>
                </w:tcPr>
                <w:p w14:paraId="1A8B6F69"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c>
                <w:tcPr>
                  <w:tcW w:w="870" w:type="dxa"/>
                  <w:vAlign w:val="center"/>
                </w:tcPr>
                <w:p w14:paraId="723DCFA8"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06EF731C" w14:textId="77777777" w:rsidTr="001F3006">
              <w:trPr>
                <w:trHeight w:val="300"/>
                <w:jc w:val="center"/>
              </w:trPr>
              <w:tc>
                <w:tcPr>
                  <w:tcW w:w="2550" w:type="dxa"/>
                  <w:vAlign w:val="center"/>
                </w:tcPr>
                <w:p w14:paraId="647EB7B0"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Amenaza</w:t>
                  </w:r>
                </w:p>
              </w:tc>
              <w:tc>
                <w:tcPr>
                  <w:tcW w:w="5625" w:type="dxa"/>
                  <w:vAlign w:val="center"/>
                </w:tcPr>
                <w:p w14:paraId="6C59C3FC"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Ábrego, Convención, El Carmen, El Tarra, Hacarí, La Playa, Ocaña, San Calixto, Sardinata, Teorama, Tibú, Cúcuta, El Zulia, Los patios, Puerto Santander, San Cayetano, Villa del Rosario, González y Río de Oro</w:t>
                  </w:r>
                </w:p>
              </w:tc>
              <w:tc>
                <w:tcPr>
                  <w:tcW w:w="945" w:type="dxa"/>
                  <w:vAlign w:val="center"/>
                </w:tcPr>
                <w:p w14:paraId="4AC08DB6"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1.866</w:t>
                  </w:r>
                </w:p>
              </w:tc>
              <w:tc>
                <w:tcPr>
                  <w:tcW w:w="990" w:type="dxa"/>
                  <w:vAlign w:val="center"/>
                </w:tcPr>
                <w:p w14:paraId="58096000"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1.986</w:t>
                  </w:r>
                </w:p>
              </w:tc>
              <w:tc>
                <w:tcPr>
                  <w:tcW w:w="930" w:type="dxa"/>
                  <w:vAlign w:val="center"/>
                </w:tcPr>
                <w:p w14:paraId="7AB4B484"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2.454</w:t>
                  </w:r>
                </w:p>
              </w:tc>
              <w:tc>
                <w:tcPr>
                  <w:tcW w:w="990" w:type="dxa"/>
                  <w:vAlign w:val="center"/>
                </w:tcPr>
                <w:p w14:paraId="017E27F7"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2.201</w:t>
                  </w:r>
                </w:p>
              </w:tc>
              <w:tc>
                <w:tcPr>
                  <w:tcW w:w="960" w:type="dxa"/>
                  <w:vAlign w:val="center"/>
                </w:tcPr>
                <w:p w14:paraId="5FCFD385"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1.947</w:t>
                  </w:r>
                </w:p>
              </w:tc>
              <w:tc>
                <w:tcPr>
                  <w:tcW w:w="990" w:type="dxa"/>
                  <w:vAlign w:val="center"/>
                </w:tcPr>
                <w:p w14:paraId="42F27646"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691</w:t>
                  </w:r>
                </w:p>
              </w:tc>
              <w:tc>
                <w:tcPr>
                  <w:tcW w:w="870" w:type="dxa"/>
                  <w:vAlign w:val="center"/>
                </w:tcPr>
                <w:p w14:paraId="6AB04261"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752C2C27" w14:textId="77777777" w:rsidTr="001F3006">
              <w:trPr>
                <w:trHeight w:val="300"/>
                <w:jc w:val="center"/>
              </w:trPr>
              <w:tc>
                <w:tcPr>
                  <w:tcW w:w="2550" w:type="dxa"/>
                  <w:vAlign w:val="center"/>
                </w:tcPr>
                <w:p w14:paraId="2B1FB3EB"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Secuestro</w:t>
                  </w:r>
                </w:p>
              </w:tc>
              <w:tc>
                <w:tcPr>
                  <w:tcW w:w="5625" w:type="dxa"/>
                  <w:vAlign w:val="center"/>
                </w:tcPr>
                <w:p w14:paraId="7A46016E"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Ábrego, Convención, El Tarra, Hacarí, La Playa, Ocaña, San Calixto, Sardinata, Teorama, Tibú, Cúcuta, El Zulia y Puerto Santander</w:t>
                  </w:r>
                </w:p>
              </w:tc>
              <w:tc>
                <w:tcPr>
                  <w:tcW w:w="945" w:type="dxa"/>
                  <w:vAlign w:val="center"/>
                </w:tcPr>
                <w:p w14:paraId="6AB1C89A"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19</w:t>
                  </w:r>
                </w:p>
              </w:tc>
              <w:tc>
                <w:tcPr>
                  <w:tcW w:w="990" w:type="dxa"/>
                  <w:vAlign w:val="center"/>
                </w:tcPr>
                <w:p w14:paraId="4169AEA9"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25</w:t>
                  </w:r>
                </w:p>
              </w:tc>
              <w:tc>
                <w:tcPr>
                  <w:tcW w:w="930" w:type="dxa"/>
                  <w:vAlign w:val="center"/>
                </w:tcPr>
                <w:p w14:paraId="0E5E66C2"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20</w:t>
                  </w:r>
                </w:p>
              </w:tc>
              <w:tc>
                <w:tcPr>
                  <w:tcW w:w="990" w:type="dxa"/>
                  <w:vAlign w:val="center"/>
                </w:tcPr>
                <w:p w14:paraId="5698E064"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66</w:t>
                  </w:r>
                </w:p>
              </w:tc>
              <w:tc>
                <w:tcPr>
                  <w:tcW w:w="960" w:type="dxa"/>
                  <w:vAlign w:val="center"/>
                </w:tcPr>
                <w:p w14:paraId="41E533D8"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34</w:t>
                  </w:r>
                </w:p>
              </w:tc>
              <w:tc>
                <w:tcPr>
                  <w:tcW w:w="990" w:type="dxa"/>
                  <w:vAlign w:val="center"/>
                </w:tcPr>
                <w:p w14:paraId="1102C54E"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7</w:t>
                  </w:r>
                </w:p>
              </w:tc>
              <w:tc>
                <w:tcPr>
                  <w:tcW w:w="870" w:type="dxa"/>
                  <w:vAlign w:val="center"/>
                </w:tcPr>
                <w:p w14:paraId="32580107"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07C32C22" w14:textId="77777777" w:rsidTr="001F3006">
              <w:trPr>
                <w:trHeight w:val="300"/>
                <w:jc w:val="center"/>
              </w:trPr>
              <w:tc>
                <w:tcPr>
                  <w:tcW w:w="2550" w:type="dxa"/>
                  <w:vAlign w:val="center"/>
                </w:tcPr>
                <w:p w14:paraId="3AA6C05D"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Acto terrorista, atentados, combates, hostigamientos y/o enfrentamientos</w:t>
                  </w:r>
                </w:p>
              </w:tc>
              <w:tc>
                <w:tcPr>
                  <w:tcW w:w="5625" w:type="dxa"/>
                  <w:vAlign w:val="center"/>
                </w:tcPr>
                <w:p w14:paraId="2A2E94B7"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 xml:space="preserve">Ábrego, Convención, El Carmen, El Tarra, Hacarí, La Playa, Ocaña, San Calixto, Sardinata, Teorama, Tibú, Cúcuta, El Zulia, Los Patios, Puerto Santander, San Cayetano, Villa del Rosario, Río de Oro </w:t>
                  </w:r>
                </w:p>
              </w:tc>
              <w:tc>
                <w:tcPr>
                  <w:tcW w:w="945" w:type="dxa"/>
                  <w:vAlign w:val="center"/>
                </w:tcPr>
                <w:p w14:paraId="580BFDA8"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188</w:t>
                  </w:r>
                </w:p>
              </w:tc>
              <w:tc>
                <w:tcPr>
                  <w:tcW w:w="990" w:type="dxa"/>
                  <w:vAlign w:val="center"/>
                </w:tcPr>
                <w:p w14:paraId="5F0EF351"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32</w:t>
                  </w:r>
                </w:p>
              </w:tc>
              <w:tc>
                <w:tcPr>
                  <w:tcW w:w="930" w:type="dxa"/>
                  <w:vAlign w:val="center"/>
                </w:tcPr>
                <w:p w14:paraId="5B9949BC"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64</w:t>
                  </w:r>
                </w:p>
              </w:tc>
              <w:tc>
                <w:tcPr>
                  <w:tcW w:w="990" w:type="dxa"/>
                  <w:vAlign w:val="center"/>
                </w:tcPr>
                <w:p w14:paraId="22AE8CF0"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47</w:t>
                  </w:r>
                </w:p>
              </w:tc>
              <w:tc>
                <w:tcPr>
                  <w:tcW w:w="960" w:type="dxa"/>
                  <w:vAlign w:val="center"/>
                </w:tcPr>
                <w:p w14:paraId="1D618C49"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6</w:t>
                  </w:r>
                </w:p>
              </w:tc>
              <w:tc>
                <w:tcPr>
                  <w:tcW w:w="990" w:type="dxa"/>
                  <w:vAlign w:val="center"/>
                </w:tcPr>
                <w:p w14:paraId="424F8FBB"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9</w:t>
                  </w:r>
                </w:p>
              </w:tc>
              <w:tc>
                <w:tcPr>
                  <w:tcW w:w="870" w:type="dxa"/>
                  <w:vAlign w:val="center"/>
                </w:tcPr>
                <w:p w14:paraId="0149D027"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4D3B5E4B" w14:textId="77777777" w:rsidTr="001F3006">
              <w:trPr>
                <w:trHeight w:val="300"/>
                <w:jc w:val="center"/>
              </w:trPr>
              <w:tc>
                <w:tcPr>
                  <w:tcW w:w="2550" w:type="dxa"/>
                  <w:vAlign w:val="center"/>
                </w:tcPr>
                <w:p w14:paraId="6580BE29"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lastRenderedPageBreak/>
                    <w:t xml:space="preserve">Homicidio </w:t>
                  </w:r>
                </w:p>
              </w:tc>
              <w:tc>
                <w:tcPr>
                  <w:tcW w:w="5625" w:type="dxa"/>
                  <w:vAlign w:val="center"/>
                </w:tcPr>
                <w:p w14:paraId="170C1DE0"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Ábrego, Convención, El Carmen, El Tarra, Hacarí, La Playa, Ocaña, San Calixto, Sardinata, Teorama, Tibú, Cúcuta, El Zulia, Puerto Santander, San Cayetano, Villa del Rosario, González y Río de Oro</w:t>
                  </w:r>
                </w:p>
              </w:tc>
              <w:tc>
                <w:tcPr>
                  <w:tcW w:w="945" w:type="dxa"/>
                  <w:vAlign w:val="center"/>
                </w:tcPr>
                <w:p w14:paraId="46E2D69E"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60</w:t>
                  </w:r>
                </w:p>
              </w:tc>
              <w:tc>
                <w:tcPr>
                  <w:tcW w:w="990" w:type="dxa"/>
                  <w:vAlign w:val="center"/>
                </w:tcPr>
                <w:p w14:paraId="075046BD"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35</w:t>
                  </w:r>
                </w:p>
              </w:tc>
              <w:tc>
                <w:tcPr>
                  <w:tcW w:w="930" w:type="dxa"/>
                  <w:vAlign w:val="center"/>
                </w:tcPr>
                <w:p w14:paraId="2DB6843F"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57</w:t>
                  </w:r>
                </w:p>
              </w:tc>
              <w:tc>
                <w:tcPr>
                  <w:tcW w:w="990" w:type="dxa"/>
                  <w:vAlign w:val="center"/>
                </w:tcPr>
                <w:p w14:paraId="4DFC3895"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53</w:t>
                  </w:r>
                </w:p>
              </w:tc>
              <w:tc>
                <w:tcPr>
                  <w:tcW w:w="960" w:type="dxa"/>
                  <w:vAlign w:val="center"/>
                </w:tcPr>
                <w:p w14:paraId="601381D8"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21</w:t>
                  </w:r>
                </w:p>
              </w:tc>
              <w:tc>
                <w:tcPr>
                  <w:tcW w:w="990" w:type="dxa"/>
                  <w:vAlign w:val="center"/>
                </w:tcPr>
                <w:p w14:paraId="676933E0"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c>
                <w:tcPr>
                  <w:tcW w:w="870" w:type="dxa"/>
                  <w:vAlign w:val="center"/>
                </w:tcPr>
                <w:p w14:paraId="49F8149B"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26FF1DBE" w14:textId="77777777" w:rsidTr="001F3006">
              <w:trPr>
                <w:trHeight w:val="300"/>
                <w:jc w:val="center"/>
              </w:trPr>
              <w:tc>
                <w:tcPr>
                  <w:tcW w:w="2550" w:type="dxa"/>
                  <w:vAlign w:val="center"/>
                </w:tcPr>
                <w:p w14:paraId="799D30DE"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Lesiones</w:t>
                  </w:r>
                </w:p>
              </w:tc>
              <w:tc>
                <w:tcPr>
                  <w:tcW w:w="5625" w:type="dxa"/>
                  <w:vAlign w:val="center"/>
                </w:tcPr>
                <w:p w14:paraId="1E68BBBF"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Ábrego, Convención, El Carmen, El Tarra, Hacarí, La Playa, Ocaña, San Calixto, Sardinata, Teorama, Tibú, Cúcuta, El Zulia, Puerto Santander, San Cayetano, Villa del Rosario y Río de Oro</w:t>
                  </w:r>
                </w:p>
              </w:tc>
              <w:tc>
                <w:tcPr>
                  <w:tcW w:w="945" w:type="dxa"/>
                  <w:vAlign w:val="center"/>
                </w:tcPr>
                <w:p w14:paraId="32F7550C"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80</w:t>
                  </w:r>
                </w:p>
              </w:tc>
              <w:tc>
                <w:tcPr>
                  <w:tcW w:w="990" w:type="dxa"/>
                  <w:vAlign w:val="center"/>
                </w:tcPr>
                <w:p w14:paraId="55866BD9"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26</w:t>
                  </w:r>
                </w:p>
              </w:tc>
              <w:tc>
                <w:tcPr>
                  <w:tcW w:w="930" w:type="dxa"/>
                  <w:vAlign w:val="center"/>
                </w:tcPr>
                <w:p w14:paraId="20E45068"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51</w:t>
                  </w:r>
                </w:p>
              </w:tc>
              <w:tc>
                <w:tcPr>
                  <w:tcW w:w="990" w:type="dxa"/>
                  <w:vAlign w:val="center"/>
                </w:tcPr>
                <w:p w14:paraId="71ED60D2"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26</w:t>
                  </w:r>
                </w:p>
              </w:tc>
              <w:tc>
                <w:tcPr>
                  <w:tcW w:w="960" w:type="dxa"/>
                  <w:vAlign w:val="center"/>
                </w:tcPr>
                <w:p w14:paraId="3AA85D96"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6</w:t>
                  </w:r>
                </w:p>
              </w:tc>
              <w:tc>
                <w:tcPr>
                  <w:tcW w:w="990" w:type="dxa"/>
                  <w:vAlign w:val="center"/>
                </w:tcPr>
                <w:p w14:paraId="681B22B9"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2</w:t>
                  </w:r>
                </w:p>
              </w:tc>
              <w:tc>
                <w:tcPr>
                  <w:tcW w:w="870" w:type="dxa"/>
                  <w:vAlign w:val="center"/>
                </w:tcPr>
                <w:p w14:paraId="74100E3D"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7E9ADB4A" w14:textId="77777777" w:rsidTr="001F3006">
              <w:trPr>
                <w:trHeight w:val="300"/>
                <w:jc w:val="center"/>
              </w:trPr>
              <w:tc>
                <w:tcPr>
                  <w:tcW w:w="2550" w:type="dxa"/>
                  <w:vAlign w:val="center"/>
                </w:tcPr>
                <w:p w14:paraId="2424C4F0"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Desplazamiento forzado</w:t>
                  </w:r>
                </w:p>
              </w:tc>
              <w:tc>
                <w:tcPr>
                  <w:tcW w:w="5625" w:type="dxa"/>
                  <w:vAlign w:val="center"/>
                </w:tcPr>
                <w:p w14:paraId="31A3E688"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Ábrego, Convención, El Carmen, El Tarra, Hacarí, La Playa, Ocaña, San Calixto, Sardinata, Teorama, Tibú, Cúcuta, El Zulia, Los Patios, Puerto Santander, San Cayetano, Villa del Rosario, González y Río de Oro</w:t>
                  </w:r>
                </w:p>
              </w:tc>
              <w:tc>
                <w:tcPr>
                  <w:tcW w:w="945" w:type="dxa"/>
                  <w:vAlign w:val="center"/>
                </w:tcPr>
                <w:p w14:paraId="77CFC3D9"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14.625</w:t>
                  </w:r>
                </w:p>
              </w:tc>
              <w:tc>
                <w:tcPr>
                  <w:tcW w:w="990" w:type="dxa"/>
                  <w:vAlign w:val="center"/>
                </w:tcPr>
                <w:p w14:paraId="789950DE"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9.566</w:t>
                  </w:r>
                </w:p>
              </w:tc>
              <w:tc>
                <w:tcPr>
                  <w:tcW w:w="930" w:type="dxa"/>
                  <w:vAlign w:val="center"/>
                </w:tcPr>
                <w:p w14:paraId="2CC04A5D"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9.806</w:t>
                  </w:r>
                </w:p>
              </w:tc>
              <w:tc>
                <w:tcPr>
                  <w:tcW w:w="990" w:type="dxa"/>
                  <w:vAlign w:val="center"/>
                </w:tcPr>
                <w:p w14:paraId="67F1930C"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8.331</w:t>
                  </w:r>
                </w:p>
              </w:tc>
              <w:tc>
                <w:tcPr>
                  <w:tcW w:w="960" w:type="dxa"/>
                  <w:vAlign w:val="center"/>
                </w:tcPr>
                <w:p w14:paraId="39A31537"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5.382</w:t>
                  </w:r>
                </w:p>
              </w:tc>
              <w:tc>
                <w:tcPr>
                  <w:tcW w:w="990" w:type="dxa"/>
                  <w:vAlign w:val="center"/>
                </w:tcPr>
                <w:p w14:paraId="4071C15D"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1.646</w:t>
                  </w:r>
                </w:p>
              </w:tc>
              <w:tc>
                <w:tcPr>
                  <w:tcW w:w="870" w:type="dxa"/>
                  <w:vAlign w:val="center"/>
                </w:tcPr>
                <w:p w14:paraId="6713D337"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r>
            <w:tr w:rsidR="00C454A1" w:rsidRPr="00F8202F" w14:paraId="556BA2AE" w14:textId="77777777" w:rsidTr="001F3006">
              <w:trPr>
                <w:trHeight w:val="300"/>
                <w:jc w:val="center"/>
              </w:trPr>
              <w:tc>
                <w:tcPr>
                  <w:tcW w:w="2550" w:type="dxa"/>
                  <w:vAlign w:val="center"/>
                </w:tcPr>
                <w:p w14:paraId="15DB9ED2"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Desaparición forzada</w:t>
                  </w:r>
                </w:p>
              </w:tc>
              <w:tc>
                <w:tcPr>
                  <w:tcW w:w="5625" w:type="dxa"/>
                  <w:vAlign w:val="center"/>
                </w:tcPr>
                <w:p w14:paraId="2568985C" w14:textId="77777777" w:rsidR="00C454A1" w:rsidRPr="002954F2" w:rsidRDefault="00C454A1" w:rsidP="00881E6A">
                  <w:pPr>
                    <w:tabs>
                      <w:tab w:val="center" w:pos="1512"/>
                    </w:tabs>
                    <w:ind w:right="272"/>
                    <w:rPr>
                      <w:rFonts w:eastAsia="Times New Roman" w:cs="Times New Roman"/>
                      <w:sz w:val="20"/>
                      <w:szCs w:val="20"/>
                      <w:lang w:val="es-ES"/>
                    </w:rPr>
                  </w:pPr>
                  <w:r w:rsidRPr="002954F2">
                    <w:rPr>
                      <w:rFonts w:eastAsia="Times New Roman" w:cs="Times New Roman"/>
                      <w:sz w:val="20"/>
                      <w:szCs w:val="20"/>
                      <w:lang w:val="es-ES"/>
                    </w:rPr>
                    <w:t>Convención, El Tarra, Hacarí, La Playa, Ocaña, Teorama, Tibú, Cúcuta, Villa del Rosario</w:t>
                  </w:r>
                </w:p>
              </w:tc>
              <w:tc>
                <w:tcPr>
                  <w:tcW w:w="945" w:type="dxa"/>
                  <w:vAlign w:val="center"/>
                </w:tcPr>
                <w:p w14:paraId="38A9D27F"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5</w:t>
                  </w:r>
                </w:p>
              </w:tc>
              <w:tc>
                <w:tcPr>
                  <w:tcW w:w="990" w:type="dxa"/>
                  <w:vAlign w:val="center"/>
                </w:tcPr>
                <w:p w14:paraId="65FD1A24"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7</w:t>
                  </w:r>
                </w:p>
              </w:tc>
              <w:tc>
                <w:tcPr>
                  <w:tcW w:w="930" w:type="dxa"/>
                  <w:vAlign w:val="center"/>
                </w:tcPr>
                <w:p w14:paraId="39E0C646"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4</w:t>
                  </w:r>
                </w:p>
              </w:tc>
              <w:tc>
                <w:tcPr>
                  <w:tcW w:w="990" w:type="dxa"/>
                  <w:vAlign w:val="center"/>
                </w:tcPr>
                <w:p w14:paraId="7F23342E"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7</w:t>
                  </w:r>
                </w:p>
              </w:tc>
              <w:tc>
                <w:tcPr>
                  <w:tcW w:w="960" w:type="dxa"/>
                  <w:vAlign w:val="center"/>
                </w:tcPr>
                <w:p w14:paraId="0495D73A"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c>
                <w:tcPr>
                  <w:tcW w:w="990" w:type="dxa"/>
                  <w:vAlign w:val="center"/>
                </w:tcPr>
                <w:p w14:paraId="036E9222" w14:textId="77777777" w:rsidR="00C454A1" w:rsidRPr="002954F2" w:rsidRDefault="00C454A1" w:rsidP="00881E6A">
                  <w:pPr>
                    <w:tabs>
                      <w:tab w:val="center" w:pos="1512"/>
                    </w:tabs>
                    <w:ind w:right="272"/>
                    <w:jc w:val="center"/>
                    <w:rPr>
                      <w:rFonts w:eastAsia="Times New Roman" w:cs="Times New Roman"/>
                      <w:sz w:val="20"/>
                      <w:szCs w:val="20"/>
                      <w:lang w:val="es-ES"/>
                    </w:rPr>
                  </w:pPr>
                  <w:r w:rsidRPr="002954F2">
                    <w:rPr>
                      <w:rFonts w:eastAsia="Times New Roman" w:cs="Times New Roman"/>
                      <w:sz w:val="20"/>
                      <w:szCs w:val="20"/>
                      <w:lang w:val="es-ES"/>
                    </w:rPr>
                    <w:t>-</w:t>
                  </w:r>
                </w:p>
              </w:tc>
              <w:tc>
                <w:tcPr>
                  <w:tcW w:w="870" w:type="dxa"/>
                  <w:vAlign w:val="center"/>
                </w:tcPr>
                <w:p w14:paraId="43E8CF75" w14:textId="77777777" w:rsidR="00C454A1" w:rsidRPr="002954F2" w:rsidRDefault="00C454A1" w:rsidP="00881E6A">
                  <w:pPr>
                    <w:tabs>
                      <w:tab w:val="center" w:pos="1512"/>
                    </w:tabs>
                    <w:ind w:right="272"/>
                    <w:jc w:val="center"/>
                    <w:rPr>
                      <w:rFonts w:eastAsia="Times New Roman" w:cs="Times New Roman"/>
                      <w:sz w:val="20"/>
                      <w:szCs w:val="20"/>
                      <w:lang w:val="es-ES"/>
                    </w:rPr>
                  </w:pPr>
                </w:p>
              </w:tc>
            </w:tr>
          </w:tbl>
          <w:p w14:paraId="1D4CCB9F" w14:textId="77777777" w:rsidR="00C454A1" w:rsidRPr="00833016" w:rsidRDefault="00C454A1" w:rsidP="00881E6A">
            <w:pPr>
              <w:ind w:left="360" w:right="272"/>
              <w:rPr>
                <w:rFonts w:cs="Times New Roman"/>
                <w:lang w:val="es-ES"/>
              </w:rPr>
            </w:pPr>
          </w:p>
          <w:p w14:paraId="262C6782" w14:textId="77777777" w:rsidR="00C454A1" w:rsidRPr="00833016" w:rsidRDefault="00C454A1" w:rsidP="00881E6A">
            <w:pPr>
              <w:tabs>
                <w:tab w:val="center" w:pos="1512"/>
              </w:tabs>
              <w:ind w:left="378" w:right="272"/>
              <w:rPr>
                <w:rFonts w:eastAsia="Times New Roman" w:cs="Times New Roman"/>
                <w:lang w:val="es-ES"/>
              </w:rPr>
            </w:pPr>
            <w:r w:rsidRPr="00833016">
              <w:rPr>
                <w:rFonts w:eastAsia="Times New Roman" w:cs="Times New Roman"/>
                <w:lang w:val="es-ES"/>
              </w:rPr>
              <w:t>En relación con los hechos constitutivos de desplazamiento forzado, la unidad explicó que identificó un aumento en la tendencia de solicitudes de inclusión en el RUV en enero de 2025, con ocasión de la emergencia humanitaria que enfrenta el Catatumbo</w:t>
            </w:r>
            <w:r w:rsidRPr="00833016">
              <w:rPr>
                <w:rStyle w:val="Refdenotaalpie"/>
                <w:rFonts w:eastAsia="Times New Roman" w:cs="Times New Roman"/>
                <w:lang w:val="es-ES"/>
              </w:rPr>
              <w:footnoteReference w:id="498"/>
            </w:r>
            <w:r w:rsidRPr="00833016">
              <w:rPr>
                <w:rFonts w:eastAsia="Times New Roman" w:cs="Times New Roman"/>
                <w:lang w:val="es-ES"/>
              </w:rPr>
              <w:t xml:space="preserve">. Sin embargo, no cuenta con un consolidado para la presente vigencia. Por lo demás, la entidad advirtió que la información no puede sumarse o totalizarse porque una persona puede estar incluida como víctima de varios hechos victimizantes. Asimismo, informó que no relacionó los datos sobre los hechos constitutivos de extorsión, por cuanto este hecho no es reconocido en el RUV. </w:t>
            </w:r>
          </w:p>
          <w:p w14:paraId="108BAA6A" w14:textId="77777777" w:rsidR="00C454A1" w:rsidRPr="00833016" w:rsidRDefault="00C454A1" w:rsidP="00881E6A">
            <w:pPr>
              <w:tabs>
                <w:tab w:val="center" w:pos="1512"/>
              </w:tabs>
              <w:ind w:left="378" w:right="272"/>
              <w:rPr>
                <w:rFonts w:eastAsia="Times New Roman" w:cs="Times New Roman"/>
                <w:lang w:val="es-ES"/>
              </w:rPr>
            </w:pPr>
            <w:r w:rsidRPr="00833016">
              <w:rPr>
                <w:rFonts w:eastAsia="Times New Roman" w:cs="Times New Roman"/>
                <w:lang w:val="es-ES"/>
              </w:rPr>
              <w:t xml:space="preserve"> </w:t>
            </w:r>
          </w:p>
          <w:p w14:paraId="59156339" w14:textId="77777777" w:rsidR="00C454A1" w:rsidRPr="00833016" w:rsidRDefault="00C454A1" w:rsidP="00881E6A">
            <w:pPr>
              <w:tabs>
                <w:tab w:val="center" w:pos="1512"/>
              </w:tabs>
              <w:ind w:left="378" w:right="272"/>
              <w:rPr>
                <w:rFonts w:eastAsia="Times New Roman" w:cs="Times New Roman"/>
                <w:lang w:val="es-ES"/>
              </w:rPr>
            </w:pPr>
            <w:r w:rsidRPr="00833016">
              <w:rPr>
                <w:rFonts w:eastAsia="Times New Roman" w:cs="Times New Roman"/>
                <w:lang w:val="es-ES"/>
              </w:rPr>
              <w:t xml:space="preserve">El MinInterior allegó información sobre las amenazas a líderes sociales y a defensores de derechos humanos, así como de los homicidios a líderes sociales y a firmantes del </w:t>
            </w:r>
            <w:r>
              <w:rPr>
                <w:rFonts w:eastAsia="Times New Roman" w:cs="Times New Roman"/>
                <w:lang w:val="es-ES"/>
              </w:rPr>
              <w:t>AFP</w:t>
            </w:r>
            <w:r w:rsidRPr="00833016">
              <w:rPr>
                <w:rStyle w:val="Refdenotaalpie"/>
                <w:rFonts w:eastAsia="Times New Roman" w:cs="Times New Roman"/>
                <w:lang w:val="es-ES"/>
              </w:rPr>
              <w:footnoteReference w:id="499"/>
            </w:r>
            <w:r w:rsidRPr="00833016">
              <w:rPr>
                <w:rFonts w:eastAsia="Times New Roman" w:cs="Times New Roman"/>
                <w:lang w:val="es-ES"/>
              </w:rPr>
              <w:t xml:space="preserve">. Esta información se sintetiza a continuación: </w:t>
            </w:r>
          </w:p>
          <w:p w14:paraId="248C5CD2" w14:textId="77777777" w:rsidR="00C454A1" w:rsidRDefault="00C454A1" w:rsidP="00881E6A">
            <w:pPr>
              <w:tabs>
                <w:tab w:val="center" w:pos="1512"/>
              </w:tabs>
              <w:ind w:left="378" w:right="272"/>
              <w:rPr>
                <w:rFonts w:eastAsia="Times New Roman" w:cs="Times New Roman"/>
                <w:lang w:val="es-ES"/>
              </w:rPr>
            </w:pPr>
          </w:p>
          <w:p w14:paraId="37D1B955" w14:textId="77777777" w:rsidR="00C454A1" w:rsidRPr="00087B3F" w:rsidRDefault="00C454A1" w:rsidP="00881E6A">
            <w:pPr>
              <w:tabs>
                <w:tab w:val="center" w:pos="1512"/>
              </w:tabs>
              <w:ind w:left="378" w:right="272"/>
              <w:jc w:val="center"/>
              <w:rPr>
                <w:rFonts w:eastAsia="Times New Roman" w:cs="Times New Roman"/>
                <w:i/>
                <w:iCs/>
                <w:sz w:val="20"/>
                <w:szCs w:val="20"/>
                <w:lang w:val="es-ES"/>
              </w:rPr>
            </w:pPr>
            <w:r w:rsidRPr="00087B3F">
              <w:rPr>
                <w:rFonts w:eastAsia="Times New Roman" w:cs="Times New Roman"/>
                <w:i/>
                <w:iCs/>
                <w:sz w:val="20"/>
                <w:szCs w:val="20"/>
                <w:lang w:val="es-ES"/>
              </w:rPr>
              <w:t>Tabla 9: Información sobre hechos victimizantes remitida por el MinInterior</w:t>
            </w:r>
          </w:p>
          <w:tbl>
            <w:tblPr>
              <w:tblStyle w:val="Tablaconcuadrcula"/>
              <w:tblW w:w="0" w:type="auto"/>
              <w:jc w:val="center"/>
              <w:tblLook w:val="06A0" w:firstRow="1" w:lastRow="0" w:firstColumn="1" w:lastColumn="0" w:noHBand="1" w:noVBand="1"/>
            </w:tblPr>
            <w:tblGrid>
              <w:gridCol w:w="3405"/>
              <w:gridCol w:w="6012"/>
              <w:gridCol w:w="889"/>
              <w:gridCol w:w="889"/>
              <w:gridCol w:w="889"/>
              <w:gridCol w:w="889"/>
            </w:tblGrid>
            <w:tr w:rsidR="00C454A1" w:rsidRPr="002954F2" w14:paraId="3D65BA09" w14:textId="77777777" w:rsidTr="001F3006">
              <w:trPr>
                <w:trHeight w:val="300"/>
                <w:jc w:val="center"/>
              </w:trPr>
              <w:tc>
                <w:tcPr>
                  <w:tcW w:w="3405" w:type="dxa"/>
                  <w:shd w:val="clear" w:color="auto" w:fill="BFBFBF" w:themeFill="background1" w:themeFillShade="BF"/>
                  <w:vAlign w:val="center"/>
                </w:tcPr>
                <w:p w14:paraId="03BFD1F1"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lastRenderedPageBreak/>
                    <w:t>Hecho victimizante y tipo de víctima</w:t>
                  </w:r>
                </w:p>
              </w:tc>
              <w:tc>
                <w:tcPr>
                  <w:tcW w:w="6012" w:type="dxa"/>
                  <w:shd w:val="clear" w:color="auto" w:fill="BFBFBF" w:themeFill="background1" w:themeFillShade="BF"/>
                  <w:vAlign w:val="center"/>
                </w:tcPr>
                <w:p w14:paraId="70E5B8C7"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Municipios</w:t>
                  </w:r>
                </w:p>
              </w:tc>
              <w:tc>
                <w:tcPr>
                  <w:tcW w:w="735" w:type="dxa"/>
                  <w:shd w:val="clear" w:color="auto" w:fill="BFBFBF" w:themeFill="background1" w:themeFillShade="BF"/>
                  <w:vAlign w:val="center"/>
                </w:tcPr>
                <w:p w14:paraId="37EEAD45"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2022</w:t>
                  </w:r>
                </w:p>
              </w:tc>
              <w:tc>
                <w:tcPr>
                  <w:tcW w:w="720" w:type="dxa"/>
                  <w:shd w:val="clear" w:color="auto" w:fill="BFBFBF" w:themeFill="background1" w:themeFillShade="BF"/>
                  <w:vAlign w:val="center"/>
                </w:tcPr>
                <w:p w14:paraId="5A79F706"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2023</w:t>
                  </w:r>
                </w:p>
              </w:tc>
              <w:tc>
                <w:tcPr>
                  <w:tcW w:w="690" w:type="dxa"/>
                  <w:shd w:val="clear" w:color="auto" w:fill="BFBFBF" w:themeFill="background1" w:themeFillShade="BF"/>
                  <w:vAlign w:val="center"/>
                </w:tcPr>
                <w:p w14:paraId="14067B8C"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2024</w:t>
                  </w:r>
                </w:p>
              </w:tc>
              <w:tc>
                <w:tcPr>
                  <w:tcW w:w="690" w:type="dxa"/>
                  <w:shd w:val="clear" w:color="auto" w:fill="BFBFBF" w:themeFill="background1" w:themeFillShade="BF"/>
                  <w:vAlign w:val="center"/>
                </w:tcPr>
                <w:p w14:paraId="57BE5F95" w14:textId="77777777" w:rsidR="00C454A1" w:rsidRPr="002954F2" w:rsidRDefault="00C454A1" w:rsidP="00881E6A">
                  <w:pPr>
                    <w:tabs>
                      <w:tab w:val="center" w:pos="1512"/>
                    </w:tabs>
                    <w:ind w:right="272"/>
                    <w:jc w:val="center"/>
                    <w:rPr>
                      <w:rFonts w:eastAsia="Times New Roman" w:cs="Times New Roman"/>
                      <w:b/>
                      <w:color w:val="000000" w:themeColor="text1"/>
                      <w:sz w:val="20"/>
                      <w:szCs w:val="20"/>
                      <w:lang w:val="es-ES"/>
                    </w:rPr>
                  </w:pPr>
                  <w:r w:rsidRPr="002954F2">
                    <w:rPr>
                      <w:rFonts w:eastAsia="Times New Roman" w:cs="Times New Roman"/>
                      <w:b/>
                      <w:color w:val="000000" w:themeColor="text1"/>
                      <w:sz w:val="20"/>
                      <w:szCs w:val="20"/>
                      <w:lang w:val="es-ES"/>
                    </w:rPr>
                    <w:t>2025</w:t>
                  </w:r>
                </w:p>
              </w:tc>
            </w:tr>
            <w:tr w:rsidR="00C454A1" w:rsidRPr="002954F2" w14:paraId="67D123B1" w14:textId="77777777" w:rsidTr="001F3006">
              <w:trPr>
                <w:trHeight w:val="300"/>
                <w:jc w:val="center"/>
              </w:trPr>
              <w:tc>
                <w:tcPr>
                  <w:tcW w:w="3405" w:type="dxa"/>
                  <w:vAlign w:val="center"/>
                </w:tcPr>
                <w:p w14:paraId="029EBC1F"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Amenaza en contra de líderes sociales y/o defensores de derechos humanos</w:t>
                  </w:r>
                  <w:r w:rsidRPr="002954F2">
                    <w:rPr>
                      <w:rStyle w:val="Refdenotaalpie"/>
                      <w:rFonts w:eastAsia="Times New Roman" w:cs="Times New Roman"/>
                      <w:sz w:val="20"/>
                      <w:szCs w:val="20"/>
                      <w:lang w:val="es-ES"/>
                    </w:rPr>
                    <w:footnoteReference w:id="500"/>
                  </w:r>
                  <w:r w:rsidRPr="002954F2">
                    <w:rPr>
                      <w:rFonts w:eastAsia="Times New Roman" w:cs="Times New Roman"/>
                      <w:sz w:val="20"/>
                      <w:szCs w:val="20"/>
                      <w:lang w:val="es-ES"/>
                    </w:rPr>
                    <w:t xml:space="preserve"> </w:t>
                  </w:r>
                </w:p>
              </w:tc>
              <w:tc>
                <w:tcPr>
                  <w:tcW w:w="6012" w:type="dxa"/>
                  <w:vAlign w:val="center"/>
                </w:tcPr>
                <w:p w14:paraId="1EA3A45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Ocaña, Tibú, El Tarra, San Calixto, Hacarí, Pamplona, Ábrego, Teorama, Salaza, El Carmen, Convención, Toledo, Sardinata, La Esperanza, Cachira, La Playa, Arboledas, Chinacota, La Gabarra, Cucutilla, Chitaga, Lourdes, Bochalema, Bucarasica, Ragonvalia, Guaimalito, VilllaCaro y La Playa</w:t>
                  </w:r>
                </w:p>
              </w:tc>
              <w:tc>
                <w:tcPr>
                  <w:tcW w:w="735" w:type="dxa"/>
                  <w:vAlign w:val="center"/>
                </w:tcPr>
                <w:p w14:paraId="06E558FC"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w:t>
                  </w:r>
                </w:p>
              </w:tc>
              <w:tc>
                <w:tcPr>
                  <w:tcW w:w="720" w:type="dxa"/>
                  <w:vAlign w:val="center"/>
                </w:tcPr>
                <w:p w14:paraId="279373D2"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83</w:t>
                  </w:r>
                </w:p>
              </w:tc>
              <w:tc>
                <w:tcPr>
                  <w:tcW w:w="690" w:type="dxa"/>
                  <w:vAlign w:val="center"/>
                </w:tcPr>
                <w:p w14:paraId="5ECF0293"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88</w:t>
                  </w:r>
                </w:p>
              </w:tc>
              <w:tc>
                <w:tcPr>
                  <w:tcW w:w="690" w:type="dxa"/>
                  <w:vAlign w:val="center"/>
                </w:tcPr>
                <w:p w14:paraId="46A29F96"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0CE4C6B2" w14:textId="77777777" w:rsidTr="001F3006">
              <w:trPr>
                <w:trHeight w:val="300"/>
                <w:jc w:val="center"/>
              </w:trPr>
              <w:tc>
                <w:tcPr>
                  <w:tcW w:w="3405" w:type="dxa"/>
                  <w:vAlign w:val="center"/>
                </w:tcPr>
                <w:p w14:paraId="5D53343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Homicidio de líderes sociales</w:t>
                  </w:r>
                </w:p>
              </w:tc>
              <w:tc>
                <w:tcPr>
                  <w:tcW w:w="6012" w:type="dxa"/>
                  <w:vAlign w:val="center"/>
                </w:tcPr>
                <w:p w14:paraId="5C06DF9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Convención, Cúcuta, El Tarra, Ocaña, Río de Oro, San Cayetano, Teorama, Tibú y Villa del Rosario</w:t>
                  </w:r>
                </w:p>
              </w:tc>
              <w:tc>
                <w:tcPr>
                  <w:tcW w:w="735" w:type="dxa"/>
                  <w:vAlign w:val="center"/>
                </w:tcPr>
                <w:p w14:paraId="0EBBC9B8"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3</w:t>
                  </w:r>
                </w:p>
              </w:tc>
              <w:tc>
                <w:tcPr>
                  <w:tcW w:w="720" w:type="dxa"/>
                  <w:vAlign w:val="center"/>
                </w:tcPr>
                <w:p w14:paraId="55365DFA"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4</w:t>
                  </w:r>
                </w:p>
              </w:tc>
              <w:tc>
                <w:tcPr>
                  <w:tcW w:w="690" w:type="dxa"/>
                  <w:vAlign w:val="center"/>
                </w:tcPr>
                <w:p w14:paraId="21C01A43"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7</w:t>
                  </w:r>
                </w:p>
              </w:tc>
              <w:tc>
                <w:tcPr>
                  <w:tcW w:w="690" w:type="dxa"/>
                  <w:vAlign w:val="center"/>
                </w:tcPr>
                <w:p w14:paraId="61BC3908"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3</w:t>
                  </w:r>
                </w:p>
              </w:tc>
            </w:tr>
            <w:tr w:rsidR="00C454A1" w:rsidRPr="00F8202F" w14:paraId="510897FF" w14:textId="77777777" w:rsidTr="001F3006">
              <w:trPr>
                <w:trHeight w:val="300"/>
                <w:jc w:val="center"/>
              </w:trPr>
              <w:tc>
                <w:tcPr>
                  <w:tcW w:w="3405" w:type="dxa"/>
                  <w:vAlign w:val="center"/>
                </w:tcPr>
                <w:p w14:paraId="3FA7458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Homicidio de firmantes de paz</w:t>
                  </w:r>
                </w:p>
              </w:tc>
              <w:tc>
                <w:tcPr>
                  <w:tcW w:w="6012" w:type="dxa"/>
                  <w:vAlign w:val="center"/>
                </w:tcPr>
                <w:p w14:paraId="0F22FBA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Ábrego, Convención, El Carmen, El Tarra, Teorama y Tibú</w:t>
                  </w:r>
                </w:p>
              </w:tc>
              <w:tc>
                <w:tcPr>
                  <w:tcW w:w="735" w:type="dxa"/>
                  <w:vAlign w:val="center"/>
                </w:tcPr>
                <w:p w14:paraId="4C1BE9B6"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720" w:type="dxa"/>
                  <w:vAlign w:val="center"/>
                </w:tcPr>
                <w:p w14:paraId="65E1DAFC"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690" w:type="dxa"/>
                  <w:vAlign w:val="center"/>
                </w:tcPr>
                <w:p w14:paraId="249AD6A8"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690" w:type="dxa"/>
                  <w:vAlign w:val="center"/>
                </w:tcPr>
                <w:p w14:paraId="6329AE17"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5</w:t>
                  </w:r>
                </w:p>
              </w:tc>
            </w:tr>
          </w:tbl>
          <w:p w14:paraId="51BC0434" w14:textId="77777777" w:rsidR="00C454A1" w:rsidRPr="00833016" w:rsidRDefault="00C454A1" w:rsidP="00881E6A">
            <w:pPr>
              <w:ind w:right="272"/>
              <w:rPr>
                <w:rFonts w:cs="Times New Roman"/>
                <w:lang w:val="es-ES"/>
              </w:rPr>
            </w:pPr>
          </w:p>
          <w:p w14:paraId="34FA0E51" w14:textId="77777777" w:rsidR="00C454A1" w:rsidRPr="00833016" w:rsidRDefault="00C454A1" w:rsidP="00881E6A">
            <w:pPr>
              <w:ind w:left="360" w:right="272"/>
              <w:rPr>
                <w:rFonts w:eastAsia="Aptos" w:cs="Times New Roman"/>
                <w:lang w:val="es-ES"/>
              </w:rPr>
            </w:pPr>
            <w:r w:rsidRPr="00833016">
              <w:rPr>
                <w:rFonts w:eastAsia="Times New Roman" w:cs="Times New Roman"/>
                <w:lang w:val="es-ES"/>
              </w:rPr>
              <w:t xml:space="preserve">Además, el MinInterior manifestó que, desde el inicio de la crisis en la región del Catatumbo y hasta el 3 de febrero de 2025, la población firmante del Acuerdo de Paz ha sido víctima de los siguientes hechos: </w:t>
            </w:r>
            <w:r w:rsidRPr="009726E0">
              <w:rPr>
                <w:rFonts w:eastAsia="Times New Roman" w:cs="Times New Roman"/>
                <w:i/>
                <w:iCs/>
                <w:lang w:val="es-ES"/>
              </w:rPr>
              <w:t>(i)</w:t>
            </w:r>
            <w:r w:rsidRPr="00833016">
              <w:rPr>
                <w:rFonts w:eastAsia="Times New Roman" w:cs="Times New Roman"/>
                <w:lang w:val="es-ES"/>
              </w:rPr>
              <w:t xml:space="preserve"> 6 homicidios, </w:t>
            </w:r>
            <w:r w:rsidRPr="009726E0">
              <w:rPr>
                <w:rFonts w:eastAsia="Times New Roman" w:cs="Times New Roman"/>
                <w:i/>
                <w:iCs/>
                <w:lang w:val="es-ES"/>
              </w:rPr>
              <w:t>(ii)</w:t>
            </w:r>
            <w:r w:rsidRPr="00833016">
              <w:rPr>
                <w:rFonts w:eastAsia="Times New Roman" w:cs="Times New Roman"/>
                <w:lang w:val="es-ES"/>
              </w:rPr>
              <w:t xml:space="preserve"> 9 personas en proceso de reincorporación desaparecidas y/o retenidas, </w:t>
            </w:r>
            <w:r w:rsidRPr="009726E0">
              <w:rPr>
                <w:rFonts w:eastAsia="Times New Roman" w:cs="Times New Roman"/>
                <w:i/>
                <w:iCs/>
                <w:lang w:val="es-ES"/>
              </w:rPr>
              <w:t>(iii)</w:t>
            </w:r>
            <w:r w:rsidRPr="00833016">
              <w:rPr>
                <w:rFonts w:eastAsia="Times New Roman" w:cs="Times New Roman"/>
                <w:lang w:val="es-ES"/>
              </w:rPr>
              <w:t xml:space="preserve"> 2 familiares de personas en proceso de reincorporación desaparecidos y/o retenidos, y </w:t>
            </w:r>
            <w:r w:rsidRPr="009726E0">
              <w:rPr>
                <w:rFonts w:eastAsia="Times New Roman" w:cs="Times New Roman"/>
                <w:i/>
                <w:iCs/>
                <w:lang w:val="es-ES"/>
              </w:rPr>
              <w:t>(iv)</w:t>
            </w:r>
            <w:r w:rsidRPr="00833016">
              <w:rPr>
                <w:rFonts w:eastAsia="Times New Roman" w:cs="Times New Roman"/>
                <w:lang w:val="es-ES"/>
              </w:rPr>
              <w:t xml:space="preserve"> 180 personas en proceso de reincorporación desplazadas y otros casos en revisión</w:t>
            </w:r>
            <w:r w:rsidRPr="00833016">
              <w:rPr>
                <w:rStyle w:val="Refdenotaalpie"/>
                <w:rFonts w:eastAsia="Times New Roman" w:cs="Times New Roman"/>
                <w:lang w:val="es-ES"/>
              </w:rPr>
              <w:footnoteReference w:id="501"/>
            </w:r>
            <w:r w:rsidRPr="00833016">
              <w:rPr>
                <w:rFonts w:eastAsia="Times New Roman" w:cs="Times New Roman"/>
                <w:lang w:val="es-ES"/>
              </w:rPr>
              <w:t>.</w:t>
            </w:r>
          </w:p>
          <w:p w14:paraId="78040194" w14:textId="77777777" w:rsidR="00C454A1" w:rsidRPr="00833016" w:rsidRDefault="00C454A1" w:rsidP="00881E6A">
            <w:pPr>
              <w:ind w:left="360" w:right="272"/>
              <w:rPr>
                <w:rFonts w:eastAsia="Times New Roman" w:cs="Times New Roman"/>
                <w:lang w:val="es-ES"/>
              </w:rPr>
            </w:pPr>
          </w:p>
          <w:p w14:paraId="4CBD87E5" w14:textId="77777777" w:rsidR="00C454A1" w:rsidRPr="00833016" w:rsidRDefault="00C454A1" w:rsidP="00881E6A">
            <w:pPr>
              <w:ind w:left="360" w:right="272"/>
              <w:rPr>
                <w:rFonts w:eastAsia="Times New Roman" w:cs="Times New Roman"/>
                <w:lang w:val="es-ES"/>
              </w:rPr>
            </w:pPr>
            <w:r w:rsidRPr="00833016">
              <w:rPr>
                <w:rFonts w:eastAsia="Times New Roman" w:cs="Times New Roman"/>
                <w:lang w:val="es-ES"/>
              </w:rPr>
              <w:t>El Ministerio de Justicia y del Derecho (MinJusticia) recopiló información de los datos abiertos de la Policía Nacional sobre los delitos de extorsión y de secuestro, cometidos en la zona desde 2022</w:t>
            </w:r>
            <w:r w:rsidRPr="00833016">
              <w:rPr>
                <w:rStyle w:val="Refdenotaalpie"/>
                <w:rFonts w:eastAsia="Times New Roman" w:cs="Times New Roman"/>
                <w:lang w:val="es-ES"/>
              </w:rPr>
              <w:footnoteReference w:id="502"/>
            </w:r>
            <w:r w:rsidRPr="00833016">
              <w:rPr>
                <w:rFonts w:eastAsia="Times New Roman" w:cs="Times New Roman"/>
                <w:lang w:val="es-ES"/>
              </w:rPr>
              <w:t>. El siguiente cuadro da cuenta de esa información:</w:t>
            </w:r>
          </w:p>
          <w:p w14:paraId="1E134338" w14:textId="77777777" w:rsidR="00C454A1" w:rsidRDefault="00C454A1" w:rsidP="00881E6A">
            <w:pPr>
              <w:ind w:left="360" w:right="272"/>
              <w:rPr>
                <w:rFonts w:eastAsia="Times New Roman" w:cs="Times New Roman"/>
                <w:lang w:val="es-ES"/>
              </w:rPr>
            </w:pPr>
          </w:p>
          <w:p w14:paraId="64068BD1" w14:textId="77777777" w:rsidR="00C454A1" w:rsidRPr="00D3783B" w:rsidRDefault="00C454A1" w:rsidP="00881E6A">
            <w:pPr>
              <w:ind w:left="360" w:right="272"/>
              <w:jc w:val="center"/>
              <w:rPr>
                <w:rFonts w:eastAsia="Times New Roman" w:cs="Times New Roman"/>
                <w:i/>
                <w:iCs/>
                <w:sz w:val="20"/>
                <w:szCs w:val="20"/>
                <w:lang w:val="es-ES"/>
              </w:rPr>
            </w:pPr>
            <w:r w:rsidRPr="00D3783B">
              <w:rPr>
                <w:rFonts w:eastAsia="Times New Roman" w:cs="Times New Roman"/>
                <w:i/>
                <w:iCs/>
                <w:sz w:val="20"/>
                <w:szCs w:val="20"/>
                <w:lang w:val="es-ES"/>
              </w:rPr>
              <w:t xml:space="preserve">Tabla 10: Información sobre los hechos victimizantes remitida por el </w:t>
            </w:r>
            <w:r>
              <w:rPr>
                <w:rFonts w:eastAsia="Times New Roman" w:cs="Times New Roman"/>
                <w:i/>
                <w:iCs/>
                <w:sz w:val="20"/>
                <w:szCs w:val="20"/>
                <w:lang w:val="es-ES"/>
              </w:rPr>
              <w:t>MinJusticia</w:t>
            </w:r>
          </w:p>
          <w:tbl>
            <w:tblPr>
              <w:tblStyle w:val="Tablaconcuadrcula"/>
              <w:tblW w:w="0" w:type="auto"/>
              <w:jc w:val="center"/>
              <w:tblLook w:val="06A0" w:firstRow="1" w:lastRow="0" w:firstColumn="1" w:lastColumn="0" w:noHBand="1" w:noVBand="1"/>
            </w:tblPr>
            <w:tblGrid>
              <w:gridCol w:w="2085"/>
              <w:gridCol w:w="4065"/>
              <w:gridCol w:w="939"/>
              <w:gridCol w:w="939"/>
              <w:gridCol w:w="939"/>
              <w:gridCol w:w="889"/>
            </w:tblGrid>
            <w:tr w:rsidR="00C454A1" w:rsidRPr="00D3783B" w14:paraId="6AE94FA7" w14:textId="77777777" w:rsidTr="001F3006">
              <w:trPr>
                <w:trHeight w:val="300"/>
                <w:jc w:val="center"/>
              </w:trPr>
              <w:tc>
                <w:tcPr>
                  <w:tcW w:w="2085" w:type="dxa"/>
                  <w:shd w:val="clear" w:color="auto" w:fill="BFBFBF" w:themeFill="background1" w:themeFillShade="BF"/>
                  <w:vAlign w:val="center"/>
                </w:tcPr>
                <w:p w14:paraId="6A2EADE9"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Hecho victimizante</w:t>
                  </w:r>
                </w:p>
              </w:tc>
              <w:tc>
                <w:tcPr>
                  <w:tcW w:w="4065" w:type="dxa"/>
                  <w:shd w:val="clear" w:color="auto" w:fill="BFBFBF" w:themeFill="background1" w:themeFillShade="BF"/>
                  <w:vAlign w:val="center"/>
                </w:tcPr>
                <w:p w14:paraId="1BD2AD72"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Municipios</w:t>
                  </w:r>
                </w:p>
              </w:tc>
              <w:tc>
                <w:tcPr>
                  <w:tcW w:w="870" w:type="dxa"/>
                  <w:shd w:val="clear" w:color="auto" w:fill="BFBFBF" w:themeFill="background1" w:themeFillShade="BF"/>
                  <w:vAlign w:val="center"/>
                </w:tcPr>
                <w:p w14:paraId="7C54B42B"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2022</w:t>
                  </w:r>
                </w:p>
              </w:tc>
              <w:tc>
                <w:tcPr>
                  <w:tcW w:w="870" w:type="dxa"/>
                  <w:shd w:val="clear" w:color="auto" w:fill="BFBFBF" w:themeFill="background1" w:themeFillShade="BF"/>
                  <w:vAlign w:val="center"/>
                </w:tcPr>
                <w:p w14:paraId="5890D9F1"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2023</w:t>
                  </w:r>
                </w:p>
              </w:tc>
              <w:tc>
                <w:tcPr>
                  <w:tcW w:w="795" w:type="dxa"/>
                  <w:shd w:val="clear" w:color="auto" w:fill="BFBFBF" w:themeFill="background1" w:themeFillShade="BF"/>
                  <w:vAlign w:val="center"/>
                </w:tcPr>
                <w:p w14:paraId="4805EA5C"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2024</w:t>
                  </w:r>
                </w:p>
              </w:tc>
              <w:tc>
                <w:tcPr>
                  <w:tcW w:w="825" w:type="dxa"/>
                  <w:shd w:val="clear" w:color="auto" w:fill="BFBFBF" w:themeFill="background1" w:themeFillShade="BF"/>
                  <w:vAlign w:val="center"/>
                </w:tcPr>
                <w:p w14:paraId="25FCB646"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2025</w:t>
                  </w:r>
                </w:p>
              </w:tc>
            </w:tr>
            <w:tr w:rsidR="00C454A1" w:rsidRPr="002954F2" w14:paraId="2909FFAB" w14:textId="77777777" w:rsidTr="001F3006">
              <w:trPr>
                <w:trHeight w:val="300"/>
                <w:jc w:val="center"/>
              </w:trPr>
              <w:tc>
                <w:tcPr>
                  <w:tcW w:w="2085" w:type="dxa"/>
                  <w:vAlign w:val="center"/>
                </w:tcPr>
                <w:p w14:paraId="13A1AAA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lastRenderedPageBreak/>
                    <w:t>Extorsión</w:t>
                  </w:r>
                </w:p>
              </w:tc>
              <w:tc>
                <w:tcPr>
                  <w:tcW w:w="4065" w:type="dxa"/>
                  <w:vAlign w:val="center"/>
                </w:tcPr>
                <w:p w14:paraId="3C1CEBF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Cúcuta, El Zulia, Los Patios, Puerto Santander, San Cayetano y Villa del Rosario</w:t>
                  </w:r>
                </w:p>
              </w:tc>
              <w:tc>
                <w:tcPr>
                  <w:tcW w:w="870" w:type="dxa"/>
                  <w:vAlign w:val="center"/>
                </w:tcPr>
                <w:p w14:paraId="3C94282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261</w:t>
                  </w:r>
                </w:p>
              </w:tc>
              <w:tc>
                <w:tcPr>
                  <w:tcW w:w="870" w:type="dxa"/>
                  <w:vAlign w:val="center"/>
                </w:tcPr>
                <w:p w14:paraId="1AD57BC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449</w:t>
                  </w:r>
                </w:p>
              </w:tc>
              <w:tc>
                <w:tcPr>
                  <w:tcW w:w="795" w:type="dxa"/>
                  <w:vAlign w:val="center"/>
                </w:tcPr>
                <w:p w14:paraId="0AFAFED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372</w:t>
                  </w:r>
                </w:p>
              </w:tc>
              <w:tc>
                <w:tcPr>
                  <w:tcW w:w="825" w:type="dxa"/>
                  <w:vAlign w:val="center"/>
                </w:tcPr>
                <w:p w14:paraId="5A0FBE7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w:t>
                  </w:r>
                  <w:r w:rsidRPr="002954F2">
                    <w:rPr>
                      <w:rStyle w:val="Refdenotaalpie"/>
                      <w:rFonts w:eastAsia="Times New Roman" w:cs="Times New Roman"/>
                      <w:sz w:val="20"/>
                      <w:szCs w:val="20"/>
                      <w:lang w:val="es-ES"/>
                    </w:rPr>
                    <w:footnoteReference w:id="503"/>
                  </w:r>
                </w:p>
              </w:tc>
            </w:tr>
            <w:tr w:rsidR="00C454A1" w:rsidRPr="002954F2" w14:paraId="15733F0D" w14:textId="77777777" w:rsidTr="001F3006">
              <w:trPr>
                <w:trHeight w:val="300"/>
                <w:jc w:val="center"/>
              </w:trPr>
              <w:tc>
                <w:tcPr>
                  <w:tcW w:w="2085" w:type="dxa"/>
                  <w:vAlign w:val="center"/>
                </w:tcPr>
                <w:p w14:paraId="7FA21E4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Extorsión</w:t>
                  </w:r>
                </w:p>
              </w:tc>
              <w:tc>
                <w:tcPr>
                  <w:tcW w:w="4065" w:type="dxa"/>
                  <w:vAlign w:val="center"/>
                </w:tcPr>
                <w:p w14:paraId="097198B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González, Río de Oro, Ábrego, Convención, El Carmen, El Tarra, Hacarí, La Playa Ocaña, San Calixto, Sardinata, Teorama y Tibú</w:t>
                  </w:r>
                </w:p>
              </w:tc>
              <w:tc>
                <w:tcPr>
                  <w:tcW w:w="870" w:type="dxa"/>
                  <w:vAlign w:val="center"/>
                </w:tcPr>
                <w:p w14:paraId="65FC5A0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81</w:t>
                  </w:r>
                </w:p>
              </w:tc>
              <w:tc>
                <w:tcPr>
                  <w:tcW w:w="870" w:type="dxa"/>
                  <w:vAlign w:val="center"/>
                </w:tcPr>
                <w:p w14:paraId="1D17A00F"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129</w:t>
                  </w:r>
                </w:p>
              </w:tc>
              <w:tc>
                <w:tcPr>
                  <w:tcW w:w="795" w:type="dxa"/>
                  <w:vAlign w:val="center"/>
                </w:tcPr>
                <w:p w14:paraId="2E64122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99</w:t>
                  </w:r>
                </w:p>
              </w:tc>
              <w:tc>
                <w:tcPr>
                  <w:tcW w:w="825" w:type="dxa"/>
                  <w:vAlign w:val="center"/>
                </w:tcPr>
                <w:p w14:paraId="501A211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w:t>
                  </w:r>
                  <w:r w:rsidRPr="002954F2">
                    <w:rPr>
                      <w:rStyle w:val="Refdenotaalpie"/>
                      <w:rFonts w:eastAsia="Times New Roman" w:cs="Times New Roman"/>
                      <w:sz w:val="20"/>
                      <w:szCs w:val="20"/>
                      <w:lang w:val="es-ES"/>
                    </w:rPr>
                    <w:footnoteReference w:id="504"/>
                  </w:r>
                </w:p>
              </w:tc>
            </w:tr>
            <w:tr w:rsidR="00C454A1" w:rsidRPr="002954F2" w14:paraId="5AD1F4D5" w14:textId="77777777" w:rsidTr="001F3006">
              <w:trPr>
                <w:trHeight w:val="300"/>
                <w:jc w:val="center"/>
              </w:trPr>
              <w:tc>
                <w:tcPr>
                  <w:tcW w:w="2085" w:type="dxa"/>
                  <w:vAlign w:val="center"/>
                </w:tcPr>
                <w:p w14:paraId="0146A03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Secuestro </w:t>
                  </w:r>
                </w:p>
              </w:tc>
              <w:tc>
                <w:tcPr>
                  <w:tcW w:w="4065" w:type="dxa"/>
                  <w:vAlign w:val="center"/>
                </w:tcPr>
                <w:p w14:paraId="0D7CB38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Cúcuta, El Zulia, Los Patios, San Cayetano y Villa del Rosario</w:t>
                  </w:r>
                </w:p>
              </w:tc>
              <w:tc>
                <w:tcPr>
                  <w:tcW w:w="870" w:type="dxa"/>
                  <w:vAlign w:val="center"/>
                </w:tcPr>
                <w:p w14:paraId="03FEE95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14</w:t>
                  </w:r>
                </w:p>
              </w:tc>
              <w:tc>
                <w:tcPr>
                  <w:tcW w:w="870" w:type="dxa"/>
                  <w:vAlign w:val="center"/>
                </w:tcPr>
                <w:p w14:paraId="654AFB5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15</w:t>
                  </w:r>
                </w:p>
              </w:tc>
              <w:tc>
                <w:tcPr>
                  <w:tcW w:w="795" w:type="dxa"/>
                  <w:vAlign w:val="center"/>
                </w:tcPr>
                <w:p w14:paraId="089958C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17</w:t>
                  </w:r>
                  <w:r w:rsidRPr="002954F2">
                    <w:rPr>
                      <w:rStyle w:val="Refdenotaalpie"/>
                      <w:rFonts w:eastAsia="Times New Roman" w:cs="Times New Roman"/>
                      <w:sz w:val="20"/>
                      <w:szCs w:val="20"/>
                      <w:lang w:val="es-ES"/>
                    </w:rPr>
                    <w:footnoteReference w:id="505"/>
                  </w:r>
                </w:p>
              </w:tc>
              <w:tc>
                <w:tcPr>
                  <w:tcW w:w="825" w:type="dxa"/>
                  <w:vAlign w:val="center"/>
                </w:tcPr>
                <w:p w14:paraId="7DEF27A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6DB1C00B" w14:textId="77777777" w:rsidTr="001F3006">
              <w:trPr>
                <w:trHeight w:val="300"/>
                <w:jc w:val="center"/>
              </w:trPr>
              <w:tc>
                <w:tcPr>
                  <w:tcW w:w="2085" w:type="dxa"/>
                  <w:vAlign w:val="center"/>
                </w:tcPr>
                <w:p w14:paraId="43AA794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Secuestro</w:t>
                  </w:r>
                </w:p>
              </w:tc>
              <w:tc>
                <w:tcPr>
                  <w:tcW w:w="4065" w:type="dxa"/>
                  <w:vAlign w:val="center"/>
                </w:tcPr>
                <w:p w14:paraId="7DFA7F5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González, Río de Oro, Ábrego, Convención, El Carmen, El Tarra, Hacarí, La Playa, Ocaña, San Calixto, Sardinata, Teorama y Tibú</w:t>
                  </w:r>
                </w:p>
              </w:tc>
              <w:tc>
                <w:tcPr>
                  <w:tcW w:w="870" w:type="dxa"/>
                  <w:vAlign w:val="center"/>
                </w:tcPr>
                <w:p w14:paraId="0DF4067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19</w:t>
                  </w:r>
                </w:p>
              </w:tc>
              <w:tc>
                <w:tcPr>
                  <w:tcW w:w="870" w:type="dxa"/>
                  <w:vAlign w:val="center"/>
                </w:tcPr>
                <w:p w14:paraId="65A8152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33</w:t>
                  </w:r>
                </w:p>
              </w:tc>
              <w:tc>
                <w:tcPr>
                  <w:tcW w:w="795" w:type="dxa"/>
                  <w:vAlign w:val="center"/>
                </w:tcPr>
                <w:p w14:paraId="7C40A64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40</w:t>
                  </w:r>
                  <w:r w:rsidRPr="002954F2">
                    <w:rPr>
                      <w:rStyle w:val="Refdenotaalpie"/>
                      <w:rFonts w:eastAsia="Times New Roman" w:cs="Times New Roman"/>
                      <w:sz w:val="20"/>
                      <w:szCs w:val="20"/>
                      <w:lang w:val="es-ES"/>
                    </w:rPr>
                    <w:footnoteReference w:id="506"/>
                  </w:r>
                </w:p>
              </w:tc>
              <w:tc>
                <w:tcPr>
                  <w:tcW w:w="825" w:type="dxa"/>
                  <w:vAlign w:val="center"/>
                </w:tcPr>
                <w:p w14:paraId="5736D5B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w:t>
                  </w:r>
                </w:p>
              </w:tc>
            </w:tr>
            <w:tr w:rsidR="00C454A1" w:rsidRPr="002954F2" w14:paraId="395A1DC2" w14:textId="77777777" w:rsidTr="001F3006">
              <w:trPr>
                <w:trHeight w:val="300"/>
                <w:jc w:val="center"/>
              </w:trPr>
              <w:tc>
                <w:tcPr>
                  <w:tcW w:w="2085" w:type="dxa"/>
                  <w:vAlign w:val="center"/>
                </w:tcPr>
                <w:p w14:paraId="57215BC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Homicidio</w:t>
                  </w:r>
                </w:p>
              </w:tc>
              <w:tc>
                <w:tcPr>
                  <w:tcW w:w="4065" w:type="dxa"/>
                  <w:vAlign w:val="center"/>
                </w:tcPr>
                <w:p w14:paraId="35CAF62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Cúcuta, El Zulia, Los Patios, Puerto Santander, San Cayetano y Villa del Rosario</w:t>
                  </w:r>
                </w:p>
              </w:tc>
              <w:tc>
                <w:tcPr>
                  <w:tcW w:w="870" w:type="dxa"/>
                  <w:vAlign w:val="center"/>
                </w:tcPr>
                <w:p w14:paraId="4652F31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407</w:t>
                  </w:r>
                </w:p>
              </w:tc>
              <w:tc>
                <w:tcPr>
                  <w:tcW w:w="870" w:type="dxa"/>
                  <w:vAlign w:val="center"/>
                </w:tcPr>
                <w:p w14:paraId="7745866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373</w:t>
                  </w:r>
                </w:p>
              </w:tc>
              <w:tc>
                <w:tcPr>
                  <w:tcW w:w="795" w:type="dxa"/>
                  <w:vAlign w:val="center"/>
                </w:tcPr>
                <w:p w14:paraId="4142530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381</w:t>
                  </w:r>
                </w:p>
              </w:tc>
              <w:tc>
                <w:tcPr>
                  <w:tcW w:w="825" w:type="dxa"/>
                  <w:vAlign w:val="center"/>
                </w:tcPr>
                <w:p w14:paraId="2878B23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17</w:t>
                  </w:r>
                  <w:r w:rsidRPr="002954F2">
                    <w:rPr>
                      <w:rStyle w:val="Refdenotaalpie"/>
                      <w:rFonts w:eastAsia="Times New Roman" w:cs="Times New Roman"/>
                      <w:sz w:val="20"/>
                      <w:szCs w:val="20"/>
                      <w:lang w:val="es-ES"/>
                    </w:rPr>
                    <w:footnoteReference w:id="507"/>
                  </w:r>
                </w:p>
              </w:tc>
            </w:tr>
            <w:tr w:rsidR="00C454A1" w:rsidRPr="002954F2" w14:paraId="6CCB8635" w14:textId="77777777" w:rsidTr="001F3006">
              <w:trPr>
                <w:trHeight w:val="300"/>
                <w:jc w:val="center"/>
              </w:trPr>
              <w:tc>
                <w:tcPr>
                  <w:tcW w:w="2085" w:type="dxa"/>
                  <w:vAlign w:val="center"/>
                </w:tcPr>
                <w:p w14:paraId="5134684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Homicidio</w:t>
                  </w:r>
                </w:p>
              </w:tc>
              <w:tc>
                <w:tcPr>
                  <w:tcW w:w="4065" w:type="dxa"/>
                  <w:vAlign w:val="center"/>
                </w:tcPr>
                <w:p w14:paraId="62914C9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González, Río de Oro, Ábrego, Convención, El Carmen, El Tarra, Hacarí, La Playa, Ocaña, San Calixto, Sardinata, Teorama y Tibú</w:t>
                  </w:r>
                </w:p>
              </w:tc>
              <w:tc>
                <w:tcPr>
                  <w:tcW w:w="870" w:type="dxa"/>
                  <w:vAlign w:val="center"/>
                </w:tcPr>
                <w:p w14:paraId="7B347D7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148</w:t>
                  </w:r>
                </w:p>
              </w:tc>
              <w:tc>
                <w:tcPr>
                  <w:tcW w:w="870" w:type="dxa"/>
                  <w:vAlign w:val="center"/>
                </w:tcPr>
                <w:p w14:paraId="27BF4AE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164</w:t>
                  </w:r>
                </w:p>
              </w:tc>
              <w:tc>
                <w:tcPr>
                  <w:tcW w:w="795" w:type="dxa"/>
                  <w:vAlign w:val="center"/>
                </w:tcPr>
                <w:p w14:paraId="70A94AC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118</w:t>
                  </w:r>
                </w:p>
              </w:tc>
              <w:tc>
                <w:tcPr>
                  <w:tcW w:w="825" w:type="dxa"/>
                  <w:vAlign w:val="center"/>
                </w:tcPr>
                <w:p w14:paraId="29A6530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43</w:t>
                  </w:r>
                  <w:r w:rsidRPr="002954F2">
                    <w:rPr>
                      <w:rStyle w:val="Refdenotaalpie"/>
                      <w:rFonts w:eastAsia="Times New Roman" w:cs="Times New Roman"/>
                      <w:sz w:val="20"/>
                      <w:szCs w:val="20"/>
                      <w:lang w:val="es-ES"/>
                    </w:rPr>
                    <w:footnoteReference w:id="508"/>
                  </w:r>
                </w:p>
              </w:tc>
            </w:tr>
            <w:tr w:rsidR="00C454A1" w:rsidRPr="002954F2" w14:paraId="402478FB" w14:textId="77777777" w:rsidTr="001F3006">
              <w:trPr>
                <w:trHeight w:val="300"/>
                <w:jc w:val="center"/>
              </w:trPr>
              <w:tc>
                <w:tcPr>
                  <w:tcW w:w="2085" w:type="dxa"/>
                  <w:vAlign w:val="center"/>
                </w:tcPr>
                <w:p w14:paraId="56E8A39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Lesiones personales</w:t>
                  </w:r>
                </w:p>
              </w:tc>
              <w:tc>
                <w:tcPr>
                  <w:tcW w:w="4065" w:type="dxa"/>
                  <w:vAlign w:val="center"/>
                </w:tcPr>
                <w:p w14:paraId="35D8363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Cúcuta, El Zulia, Los Patios, Puerto Santander, San Cayetano y Villa del Rosario</w:t>
                  </w:r>
                </w:p>
              </w:tc>
              <w:tc>
                <w:tcPr>
                  <w:tcW w:w="870" w:type="dxa"/>
                  <w:vAlign w:val="center"/>
                </w:tcPr>
                <w:p w14:paraId="42A4A07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1.415</w:t>
                  </w:r>
                </w:p>
              </w:tc>
              <w:tc>
                <w:tcPr>
                  <w:tcW w:w="870" w:type="dxa"/>
                  <w:vAlign w:val="center"/>
                </w:tcPr>
                <w:p w14:paraId="40ACCFD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1.656</w:t>
                  </w:r>
                </w:p>
              </w:tc>
              <w:tc>
                <w:tcPr>
                  <w:tcW w:w="795" w:type="dxa"/>
                  <w:vAlign w:val="center"/>
                </w:tcPr>
                <w:p w14:paraId="40AD75E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1.215</w:t>
                  </w:r>
                </w:p>
              </w:tc>
              <w:tc>
                <w:tcPr>
                  <w:tcW w:w="825" w:type="dxa"/>
                  <w:vAlign w:val="center"/>
                </w:tcPr>
                <w:p w14:paraId="59918EE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67</w:t>
                  </w:r>
                  <w:r w:rsidRPr="002954F2">
                    <w:rPr>
                      <w:rStyle w:val="Refdenotaalpie"/>
                      <w:rFonts w:eastAsia="Times New Roman" w:cs="Times New Roman"/>
                      <w:sz w:val="20"/>
                      <w:szCs w:val="20"/>
                      <w:lang w:val="es-ES"/>
                    </w:rPr>
                    <w:footnoteReference w:id="509"/>
                  </w:r>
                </w:p>
              </w:tc>
            </w:tr>
            <w:tr w:rsidR="00C454A1" w:rsidRPr="00F8202F" w14:paraId="44C3C948" w14:textId="77777777" w:rsidTr="001F3006">
              <w:trPr>
                <w:trHeight w:val="300"/>
                <w:jc w:val="center"/>
              </w:trPr>
              <w:tc>
                <w:tcPr>
                  <w:tcW w:w="2085" w:type="dxa"/>
                  <w:vAlign w:val="center"/>
                </w:tcPr>
                <w:p w14:paraId="5242041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Lesiones personales</w:t>
                  </w:r>
                </w:p>
              </w:tc>
              <w:tc>
                <w:tcPr>
                  <w:tcW w:w="4065" w:type="dxa"/>
                  <w:vAlign w:val="center"/>
                </w:tcPr>
                <w:p w14:paraId="49A37DB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González, Río de Oro, Ábrego, Convención, El Carmen, El Tarra, Hacarí, La Playa, Ocaña, San Calixto, Sardinata, Teorama y Tibú</w:t>
                  </w:r>
                </w:p>
              </w:tc>
              <w:tc>
                <w:tcPr>
                  <w:tcW w:w="870" w:type="dxa"/>
                  <w:vAlign w:val="center"/>
                </w:tcPr>
                <w:p w14:paraId="201B628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400</w:t>
                  </w:r>
                </w:p>
              </w:tc>
              <w:tc>
                <w:tcPr>
                  <w:tcW w:w="870" w:type="dxa"/>
                  <w:vAlign w:val="center"/>
                </w:tcPr>
                <w:p w14:paraId="55A0791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354</w:t>
                  </w:r>
                </w:p>
              </w:tc>
              <w:tc>
                <w:tcPr>
                  <w:tcW w:w="795" w:type="dxa"/>
                  <w:vAlign w:val="center"/>
                </w:tcPr>
                <w:p w14:paraId="085328B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332</w:t>
                  </w:r>
                </w:p>
              </w:tc>
              <w:tc>
                <w:tcPr>
                  <w:tcW w:w="825" w:type="dxa"/>
                  <w:vAlign w:val="center"/>
                </w:tcPr>
                <w:p w14:paraId="794E1D3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22</w:t>
                  </w:r>
                  <w:r w:rsidRPr="002954F2">
                    <w:rPr>
                      <w:rStyle w:val="Refdenotaalpie"/>
                      <w:rFonts w:eastAsia="Times New Roman" w:cs="Times New Roman"/>
                      <w:sz w:val="20"/>
                      <w:szCs w:val="20"/>
                      <w:lang w:val="es-ES"/>
                    </w:rPr>
                    <w:footnoteReference w:id="510"/>
                  </w:r>
                </w:p>
              </w:tc>
            </w:tr>
          </w:tbl>
          <w:p w14:paraId="260DA434" w14:textId="77777777" w:rsidR="00C454A1" w:rsidRPr="00833016" w:rsidRDefault="00C454A1" w:rsidP="00881E6A">
            <w:pPr>
              <w:ind w:right="272"/>
              <w:rPr>
                <w:rFonts w:eastAsia="Times New Roman" w:cs="Times New Roman"/>
                <w:lang w:val="es-ES"/>
              </w:rPr>
            </w:pPr>
          </w:p>
          <w:p w14:paraId="74611895" w14:textId="77777777" w:rsidR="00C454A1" w:rsidRPr="00833016" w:rsidRDefault="00C454A1" w:rsidP="00881E6A">
            <w:pPr>
              <w:ind w:left="270" w:right="272"/>
              <w:rPr>
                <w:rFonts w:eastAsia="Times New Roman" w:cs="Times New Roman"/>
                <w:lang w:val="es-ES"/>
              </w:rPr>
            </w:pPr>
            <w:r w:rsidRPr="00833016">
              <w:rPr>
                <w:rFonts w:eastAsia="Times New Roman" w:cs="Times New Roman"/>
                <w:lang w:val="es-ES"/>
              </w:rPr>
              <w:lastRenderedPageBreak/>
              <w:t>Por lo demás, esta entidad resaltó que, en 2024, la Policía Nacional neutralizó siete válvulas ilícitas, reportó la destrucción de 63 tanques de almacenamiento, el desmantelamiento de 22 refinerías y 76 piscinas, la inmovilización de 1784 vehículos y la captura de 24 personas involucradas con esas conductas delictivas. Por su parte, en 2025, neutralizó una válvula ilícita, destruyó dos tanques de almacenamiento, desmanteló una refinería y cinco piscinas, inmovilizó dos vehículos y capturó a una persona</w:t>
            </w:r>
            <w:r w:rsidRPr="00833016">
              <w:rPr>
                <w:rStyle w:val="Refdenotaalpie"/>
                <w:rFonts w:eastAsia="Times New Roman" w:cs="Times New Roman"/>
                <w:lang w:val="es-ES"/>
              </w:rPr>
              <w:footnoteReference w:id="511"/>
            </w:r>
            <w:r w:rsidRPr="00833016">
              <w:rPr>
                <w:rFonts w:eastAsia="Times New Roman" w:cs="Times New Roman"/>
                <w:lang w:val="es-ES"/>
              </w:rPr>
              <w:t>.</w:t>
            </w:r>
          </w:p>
          <w:p w14:paraId="4BF90716" w14:textId="77777777" w:rsidR="00C454A1" w:rsidRPr="00833016" w:rsidRDefault="00C454A1" w:rsidP="00881E6A">
            <w:pPr>
              <w:ind w:left="270" w:right="272"/>
              <w:rPr>
                <w:rFonts w:eastAsia="Times New Roman" w:cs="Times New Roman"/>
                <w:lang w:val="es-ES"/>
              </w:rPr>
            </w:pPr>
          </w:p>
          <w:p w14:paraId="2B91B3AE" w14:textId="77777777" w:rsidR="00C454A1" w:rsidRPr="00833016" w:rsidRDefault="00C454A1" w:rsidP="005F4A6F">
            <w:pPr>
              <w:pStyle w:val="Prrafodelista"/>
              <w:numPr>
                <w:ilvl w:val="0"/>
                <w:numId w:val="31"/>
              </w:numPr>
              <w:ind w:left="360" w:right="272"/>
              <w:rPr>
                <w:rFonts w:eastAsia="Times New Roman" w:cs="Times New Roman"/>
                <w:lang w:val="es-ES"/>
              </w:rPr>
            </w:pPr>
            <w:r w:rsidRPr="007D4F24">
              <w:rPr>
                <w:rFonts w:eastAsia="Times New Roman" w:cs="Times New Roman"/>
                <w:u w:val="single"/>
                <w:lang w:val="es-ES"/>
              </w:rPr>
              <w:t>Evolución de hectáreas afectadas con cultivos de uso ilícito en la zona</w:t>
            </w:r>
            <w:r w:rsidRPr="007D4F24">
              <w:rPr>
                <w:rFonts w:eastAsia="Times New Roman" w:cs="Times New Roman"/>
                <w:lang w:val="es-ES"/>
              </w:rPr>
              <w:t>. La Agencia de Renovación del Territorio y el MinJusticia aportaron la siguiente información, con base en el Sistema Integrado de Monitorio de Cultivos Ilícitos – SIMCI</w:t>
            </w:r>
            <w:r w:rsidRPr="00833016">
              <w:rPr>
                <w:rStyle w:val="Refdenotaalpie"/>
                <w:rFonts w:eastAsia="Times New Roman" w:cs="Times New Roman"/>
                <w:lang w:val="es-ES"/>
              </w:rPr>
              <w:footnoteReference w:id="512"/>
            </w:r>
            <w:r w:rsidRPr="00833016">
              <w:rPr>
                <w:rFonts w:eastAsia="Times New Roman" w:cs="Times New Roman"/>
                <w:lang w:val="es-ES"/>
              </w:rPr>
              <w:t>:</w:t>
            </w:r>
          </w:p>
          <w:p w14:paraId="0FA6E824" w14:textId="77777777" w:rsidR="00C454A1" w:rsidRDefault="00C454A1" w:rsidP="00881E6A">
            <w:pPr>
              <w:pStyle w:val="Prrafodelista"/>
              <w:ind w:left="360" w:right="272" w:hanging="360"/>
              <w:rPr>
                <w:rFonts w:cs="Times New Roman"/>
                <w:lang w:val="es-ES"/>
              </w:rPr>
            </w:pPr>
          </w:p>
          <w:p w14:paraId="11245CF6" w14:textId="77777777" w:rsidR="00C454A1" w:rsidRPr="00E70C73" w:rsidRDefault="00C454A1" w:rsidP="00881E6A">
            <w:pPr>
              <w:pStyle w:val="Prrafodelista"/>
              <w:ind w:left="360" w:right="272" w:hanging="360"/>
              <w:jc w:val="center"/>
              <w:rPr>
                <w:rFonts w:cs="Times New Roman"/>
                <w:i/>
                <w:iCs/>
                <w:sz w:val="20"/>
                <w:szCs w:val="20"/>
                <w:lang w:val="es-ES"/>
              </w:rPr>
            </w:pPr>
            <w:r w:rsidRPr="00E70C73">
              <w:rPr>
                <w:rFonts w:cs="Times New Roman"/>
                <w:i/>
                <w:iCs/>
                <w:sz w:val="20"/>
                <w:szCs w:val="20"/>
                <w:lang w:val="es-ES"/>
              </w:rPr>
              <w:t xml:space="preserve">Tabla 11: </w:t>
            </w:r>
            <w:r w:rsidRPr="00E70C73">
              <w:rPr>
                <w:rFonts w:eastAsia="Times New Roman" w:cs="Times New Roman"/>
                <w:i/>
                <w:iCs/>
                <w:sz w:val="20"/>
                <w:szCs w:val="20"/>
                <w:lang w:val="es-ES"/>
              </w:rPr>
              <w:t>Evolución de hectáreas afectadas con cultivos de uso ilícito en la región del Catatumbo</w:t>
            </w:r>
          </w:p>
          <w:tbl>
            <w:tblPr>
              <w:tblStyle w:val="Tablaconcuadrcula"/>
              <w:tblW w:w="0" w:type="auto"/>
              <w:jc w:val="center"/>
              <w:tblLook w:val="06A0" w:firstRow="1" w:lastRow="0" w:firstColumn="1" w:lastColumn="0" w:noHBand="1" w:noVBand="1"/>
            </w:tblPr>
            <w:tblGrid>
              <w:gridCol w:w="2042"/>
              <w:gridCol w:w="1150"/>
              <w:gridCol w:w="1146"/>
              <w:gridCol w:w="1412"/>
              <w:gridCol w:w="3084"/>
            </w:tblGrid>
            <w:tr w:rsidR="00C454A1" w:rsidRPr="00F8202F" w14:paraId="24B5CEB3" w14:textId="77777777" w:rsidTr="001F3006">
              <w:trPr>
                <w:trHeight w:val="300"/>
                <w:jc w:val="center"/>
              </w:trPr>
              <w:tc>
                <w:tcPr>
                  <w:tcW w:w="2042" w:type="dxa"/>
                  <w:shd w:val="clear" w:color="auto" w:fill="BFBFBF" w:themeFill="background1" w:themeFillShade="BF"/>
                  <w:vAlign w:val="center"/>
                </w:tcPr>
                <w:p w14:paraId="3B0EFF77"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Región y municipio</w:t>
                  </w:r>
                </w:p>
              </w:tc>
              <w:tc>
                <w:tcPr>
                  <w:tcW w:w="1150" w:type="dxa"/>
                  <w:shd w:val="clear" w:color="auto" w:fill="BFBFBF" w:themeFill="background1" w:themeFillShade="BF"/>
                  <w:vAlign w:val="center"/>
                </w:tcPr>
                <w:p w14:paraId="496B579D"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2022</w:t>
                  </w:r>
                </w:p>
              </w:tc>
              <w:tc>
                <w:tcPr>
                  <w:tcW w:w="1146" w:type="dxa"/>
                  <w:shd w:val="clear" w:color="auto" w:fill="BFBFBF" w:themeFill="background1" w:themeFillShade="BF"/>
                  <w:vAlign w:val="center"/>
                </w:tcPr>
                <w:p w14:paraId="360D04A4"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2023</w:t>
                  </w:r>
                </w:p>
              </w:tc>
              <w:tc>
                <w:tcPr>
                  <w:tcW w:w="1412" w:type="dxa"/>
                  <w:shd w:val="clear" w:color="auto" w:fill="BFBFBF" w:themeFill="background1" w:themeFillShade="BF"/>
                  <w:vAlign w:val="center"/>
                </w:tcPr>
                <w:p w14:paraId="2C77E2EB"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Cambio (ha)</w:t>
                  </w:r>
                </w:p>
              </w:tc>
              <w:tc>
                <w:tcPr>
                  <w:tcW w:w="3084" w:type="dxa"/>
                  <w:shd w:val="clear" w:color="auto" w:fill="BFBFBF" w:themeFill="background1" w:themeFillShade="BF"/>
                  <w:vAlign w:val="center"/>
                </w:tcPr>
                <w:p w14:paraId="0E4914F6"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Porcentaje de cambio 2022-2023</w:t>
                  </w:r>
                </w:p>
              </w:tc>
            </w:tr>
            <w:tr w:rsidR="00C454A1" w:rsidRPr="00F8202F" w14:paraId="19563770" w14:textId="77777777" w:rsidTr="001F3006">
              <w:trPr>
                <w:trHeight w:val="300"/>
                <w:jc w:val="center"/>
              </w:trPr>
              <w:tc>
                <w:tcPr>
                  <w:tcW w:w="8834" w:type="dxa"/>
                  <w:gridSpan w:val="5"/>
                  <w:vAlign w:val="center"/>
                </w:tcPr>
                <w:p w14:paraId="6DC77EBE"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Área metropolitana de Cúcuta</w:t>
                  </w:r>
                </w:p>
              </w:tc>
            </w:tr>
            <w:tr w:rsidR="00C454A1" w:rsidRPr="00F8202F" w14:paraId="11B887C1" w14:textId="77777777" w:rsidTr="001F3006">
              <w:trPr>
                <w:trHeight w:val="300"/>
                <w:jc w:val="center"/>
              </w:trPr>
              <w:tc>
                <w:tcPr>
                  <w:tcW w:w="2042" w:type="dxa"/>
                  <w:vAlign w:val="center"/>
                </w:tcPr>
                <w:p w14:paraId="1B99734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Cúcuta</w:t>
                  </w:r>
                </w:p>
              </w:tc>
              <w:tc>
                <w:tcPr>
                  <w:tcW w:w="1150" w:type="dxa"/>
                  <w:vAlign w:val="center"/>
                </w:tcPr>
                <w:p w14:paraId="68E7DEA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427</w:t>
                  </w:r>
                </w:p>
              </w:tc>
              <w:tc>
                <w:tcPr>
                  <w:tcW w:w="1146" w:type="dxa"/>
                  <w:vAlign w:val="center"/>
                </w:tcPr>
                <w:p w14:paraId="22559C8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493</w:t>
                  </w:r>
                </w:p>
              </w:tc>
              <w:tc>
                <w:tcPr>
                  <w:tcW w:w="1412" w:type="dxa"/>
                  <w:vAlign w:val="center"/>
                </w:tcPr>
                <w:p w14:paraId="496314E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66</w:t>
                  </w:r>
                </w:p>
              </w:tc>
              <w:tc>
                <w:tcPr>
                  <w:tcW w:w="3084" w:type="dxa"/>
                  <w:vAlign w:val="center"/>
                </w:tcPr>
                <w:p w14:paraId="7924BEC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15,4%</w:t>
                  </w:r>
                </w:p>
              </w:tc>
            </w:tr>
            <w:tr w:rsidR="00C454A1" w:rsidRPr="00F8202F" w14:paraId="1AA62C25" w14:textId="77777777" w:rsidTr="001F3006">
              <w:trPr>
                <w:trHeight w:val="300"/>
                <w:jc w:val="center"/>
              </w:trPr>
              <w:tc>
                <w:tcPr>
                  <w:tcW w:w="2042" w:type="dxa"/>
                  <w:vAlign w:val="center"/>
                </w:tcPr>
                <w:p w14:paraId="6F3CC37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El Zulia</w:t>
                  </w:r>
                </w:p>
              </w:tc>
              <w:tc>
                <w:tcPr>
                  <w:tcW w:w="1150" w:type="dxa"/>
                  <w:vAlign w:val="center"/>
                </w:tcPr>
                <w:p w14:paraId="0923899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199</w:t>
                  </w:r>
                </w:p>
              </w:tc>
              <w:tc>
                <w:tcPr>
                  <w:tcW w:w="1146" w:type="dxa"/>
                  <w:vAlign w:val="center"/>
                </w:tcPr>
                <w:p w14:paraId="33624C4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189</w:t>
                  </w:r>
                </w:p>
              </w:tc>
              <w:tc>
                <w:tcPr>
                  <w:tcW w:w="1412" w:type="dxa"/>
                  <w:vAlign w:val="center"/>
                </w:tcPr>
                <w:p w14:paraId="5D154B9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-10</w:t>
                  </w:r>
                </w:p>
              </w:tc>
              <w:tc>
                <w:tcPr>
                  <w:tcW w:w="3084" w:type="dxa"/>
                  <w:vAlign w:val="center"/>
                </w:tcPr>
                <w:p w14:paraId="1502774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-4,9%</w:t>
                  </w:r>
                </w:p>
              </w:tc>
            </w:tr>
            <w:tr w:rsidR="00C454A1" w:rsidRPr="00F8202F" w14:paraId="162F8D14" w14:textId="77777777" w:rsidTr="001F3006">
              <w:trPr>
                <w:trHeight w:val="300"/>
                <w:jc w:val="center"/>
              </w:trPr>
              <w:tc>
                <w:tcPr>
                  <w:tcW w:w="8834" w:type="dxa"/>
                  <w:gridSpan w:val="5"/>
                  <w:vAlign w:val="center"/>
                </w:tcPr>
                <w:p w14:paraId="73F84302"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Región del Catatumbo</w:t>
                  </w:r>
                </w:p>
              </w:tc>
            </w:tr>
            <w:tr w:rsidR="00C454A1" w:rsidRPr="00F8202F" w14:paraId="39AB6B15" w14:textId="77777777" w:rsidTr="001F3006">
              <w:trPr>
                <w:trHeight w:val="300"/>
                <w:jc w:val="center"/>
              </w:trPr>
              <w:tc>
                <w:tcPr>
                  <w:tcW w:w="2042" w:type="dxa"/>
                  <w:vAlign w:val="center"/>
                </w:tcPr>
                <w:p w14:paraId="3943FAB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Ábrego</w:t>
                  </w:r>
                </w:p>
              </w:tc>
              <w:tc>
                <w:tcPr>
                  <w:tcW w:w="1150" w:type="dxa"/>
                  <w:vAlign w:val="center"/>
                </w:tcPr>
                <w:p w14:paraId="7FF68FD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87</w:t>
                  </w:r>
                </w:p>
              </w:tc>
              <w:tc>
                <w:tcPr>
                  <w:tcW w:w="1146" w:type="dxa"/>
                  <w:vAlign w:val="center"/>
                </w:tcPr>
                <w:p w14:paraId="30F8A53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82</w:t>
                  </w:r>
                </w:p>
              </w:tc>
              <w:tc>
                <w:tcPr>
                  <w:tcW w:w="1412" w:type="dxa"/>
                  <w:vAlign w:val="center"/>
                </w:tcPr>
                <w:p w14:paraId="4DE5EEF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w:t>
                  </w:r>
                </w:p>
              </w:tc>
              <w:tc>
                <w:tcPr>
                  <w:tcW w:w="3084" w:type="dxa"/>
                  <w:vAlign w:val="center"/>
                </w:tcPr>
                <w:p w14:paraId="090C587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-5,8%</w:t>
                  </w:r>
                </w:p>
              </w:tc>
            </w:tr>
            <w:tr w:rsidR="00C454A1" w:rsidRPr="00F8202F" w14:paraId="0A70F813" w14:textId="77777777" w:rsidTr="001F3006">
              <w:trPr>
                <w:trHeight w:val="300"/>
                <w:jc w:val="center"/>
              </w:trPr>
              <w:tc>
                <w:tcPr>
                  <w:tcW w:w="2042" w:type="dxa"/>
                  <w:vAlign w:val="center"/>
                </w:tcPr>
                <w:p w14:paraId="0037DCE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Convención</w:t>
                  </w:r>
                </w:p>
              </w:tc>
              <w:tc>
                <w:tcPr>
                  <w:tcW w:w="1150" w:type="dxa"/>
                  <w:vAlign w:val="center"/>
                </w:tcPr>
                <w:p w14:paraId="7A2215F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1.915</w:t>
                  </w:r>
                </w:p>
              </w:tc>
              <w:tc>
                <w:tcPr>
                  <w:tcW w:w="1146" w:type="dxa"/>
                  <w:vAlign w:val="center"/>
                </w:tcPr>
                <w:p w14:paraId="08B2216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2.034</w:t>
                  </w:r>
                </w:p>
              </w:tc>
              <w:tc>
                <w:tcPr>
                  <w:tcW w:w="1412" w:type="dxa"/>
                  <w:vAlign w:val="center"/>
                </w:tcPr>
                <w:p w14:paraId="34B7CE1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120</w:t>
                  </w:r>
                </w:p>
              </w:tc>
              <w:tc>
                <w:tcPr>
                  <w:tcW w:w="3084" w:type="dxa"/>
                  <w:vAlign w:val="center"/>
                </w:tcPr>
                <w:p w14:paraId="0A69731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6,3%</w:t>
                  </w:r>
                </w:p>
              </w:tc>
            </w:tr>
            <w:tr w:rsidR="00C454A1" w:rsidRPr="00F8202F" w14:paraId="5618D037" w14:textId="77777777" w:rsidTr="001F3006">
              <w:trPr>
                <w:trHeight w:val="300"/>
                <w:jc w:val="center"/>
              </w:trPr>
              <w:tc>
                <w:tcPr>
                  <w:tcW w:w="2042" w:type="dxa"/>
                  <w:vAlign w:val="center"/>
                </w:tcPr>
                <w:p w14:paraId="2AE9A5A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El Carmen </w:t>
                  </w:r>
                </w:p>
              </w:tc>
              <w:tc>
                <w:tcPr>
                  <w:tcW w:w="1150" w:type="dxa"/>
                  <w:vAlign w:val="center"/>
                </w:tcPr>
                <w:p w14:paraId="6084CCB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818</w:t>
                  </w:r>
                </w:p>
              </w:tc>
              <w:tc>
                <w:tcPr>
                  <w:tcW w:w="1146" w:type="dxa"/>
                  <w:vAlign w:val="center"/>
                </w:tcPr>
                <w:p w14:paraId="61AE422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875</w:t>
                  </w:r>
                </w:p>
              </w:tc>
              <w:tc>
                <w:tcPr>
                  <w:tcW w:w="1412" w:type="dxa"/>
                  <w:vAlign w:val="center"/>
                </w:tcPr>
                <w:p w14:paraId="752D8CF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57</w:t>
                  </w:r>
                </w:p>
              </w:tc>
              <w:tc>
                <w:tcPr>
                  <w:tcW w:w="3084" w:type="dxa"/>
                  <w:vAlign w:val="center"/>
                </w:tcPr>
                <w:p w14:paraId="6F84D62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7,0%</w:t>
                  </w:r>
                </w:p>
              </w:tc>
            </w:tr>
            <w:tr w:rsidR="00C454A1" w:rsidRPr="00F8202F" w14:paraId="54BBA1AB" w14:textId="77777777" w:rsidTr="001F3006">
              <w:trPr>
                <w:trHeight w:val="300"/>
                <w:jc w:val="center"/>
              </w:trPr>
              <w:tc>
                <w:tcPr>
                  <w:tcW w:w="2042" w:type="dxa"/>
                  <w:vAlign w:val="center"/>
                </w:tcPr>
                <w:p w14:paraId="10F8A86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 xml:space="preserve">El Tarra </w:t>
                  </w:r>
                </w:p>
              </w:tc>
              <w:tc>
                <w:tcPr>
                  <w:tcW w:w="1150" w:type="dxa"/>
                  <w:vAlign w:val="center"/>
                </w:tcPr>
                <w:p w14:paraId="2E61F3E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6.390</w:t>
                  </w:r>
                </w:p>
              </w:tc>
              <w:tc>
                <w:tcPr>
                  <w:tcW w:w="1146" w:type="dxa"/>
                  <w:vAlign w:val="center"/>
                </w:tcPr>
                <w:p w14:paraId="7ED7A9E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6.864</w:t>
                  </w:r>
                </w:p>
              </w:tc>
              <w:tc>
                <w:tcPr>
                  <w:tcW w:w="1412" w:type="dxa"/>
                  <w:vAlign w:val="center"/>
                </w:tcPr>
                <w:p w14:paraId="329D145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474</w:t>
                  </w:r>
                </w:p>
              </w:tc>
              <w:tc>
                <w:tcPr>
                  <w:tcW w:w="3084" w:type="dxa"/>
                  <w:vAlign w:val="center"/>
                </w:tcPr>
                <w:p w14:paraId="4F218A1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7,4%</w:t>
                  </w:r>
                </w:p>
              </w:tc>
            </w:tr>
            <w:tr w:rsidR="00C454A1" w:rsidRPr="00F8202F" w14:paraId="2058D4FC" w14:textId="77777777" w:rsidTr="001F3006">
              <w:trPr>
                <w:trHeight w:val="300"/>
                <w:jc w:val="center"/>
              </w:trPr>
              <w:tc>
                <w:tcPr>
                  <w:tcW w:w="2042" w:type="dxa"/>
                  <w:vAlign w:val="center"/>
                </w:tcPr>
                <w:p w14:paraId="3D360CF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Hacarí</w:t>
                  </w:r>
                </w:p>
              </w:tc>
              <w:tc>
                <w:tcPr>
                  <w:tcW w:w="1150" w:type="dxa"/>
                  <w:vAlign w:val="center"/>
                </w:tcPr>
                <w:p w14:paraId="5D9D270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581</w:t>
                  </w:r>
                </w:p>
              </w:tc>
              <w:tc>
                <w:tcPr>
                  <w:tcW w:w="1146" w:type="dxa"/>
                  <w:vAlign w:val="center"/>
                </w:tcPr>
                <w:p w14:paraId="70EEADE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824</w:t>
                  </w:r>
                </w:p>
              </w:tc>
              <w:tc>
                <w:tcPr>
                  <w:tcW w:w="1412" w:type="dxa"/>
                  <w:vAlign w:val="center"/>
                </w:tcPr>
                <w:p w14:paraId="0F915A0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244</w:t>
                  </w:r>
                </w:p>
              </w:tc>
              <w:tc>
                <w:tcPr>
                  <w:tcW w:w="3084" w:type="dxa"/>
                  <w:vAlign w:val="center"/>
                </w:tcPr>
                <w:p w14:paraId="56373E2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41,9%</w:t>
                  </w:r>
                </w:p>
              </w:tc>
            </w:tr>
            <w:tr w:rsidR="00C454A1" w:rsidRPr="00F8202F" w14:paraId="71CCA41A" w14:textId="77777777" w:rsidTr="001F3006">
              <w:trPr>
                <w:trHeight w:val="300"/>
                <w:jc w:val="center"/>
              </w:trPr>
              <w:tc>
                <w:tcPr>
                  <w:tcW w:w="2042" w:type="dxa"/>
                  <w:vAlign w:val="center"/>
                </w:tcPr>
                <w:p w14:paraId="0AEF877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La Playa</w:t>
                  </w:r>
                </w:p>
              </w:tc>
              <w:tc>
                <w:tcPr>
                  <w:tcW w:w="1150" w:type="dxa"/>
                  <w:vAlign w:val="center"/>
                </w:tcPr>
                <w:p w14:paraId="222C916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27</w:t>
                  </w:r>
                </w:p>
              </w:tc>
              <w:tc>
                <w:tcPr>
                  <w:tcW w:w="1146" w:type="dxa"/>
                  <w:vAlign w:val="center"/>
                </w:tcPr>
                <w:p w14:paraId="22D23C7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30</w:t>
                  </w:r>
                </w:p>
              </w:tc>
              <w:tc>
                <w:tcPr>
                  <w:tcW w:w="1412" w:type="dxa"/>
                  <w:vAlign w:val="center"/>
                </w:tcPr>
                <w:p w14:paraId="7665546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w:t>
                  </w:r>
                </w:p>
              </w:tc>
              <w:tc>
                <w:tcPr>
                  <w:tcW w:w="3084" w:type="dxa"/>
                  <w:vAlign w:val="center"/>
                </w:tcPr>
                <w:p w14:paraId="2862CFD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10,9%</w:t>
                  </w:r>
                </w:p>
              </w:tc>
            </w:tr>
            <w:tr w:rsidR="00C454A1" w:rsidRPr="00F8202F" w14:paraId="0375A80B" w14:textId="77777777" w:rsidTr="001F3006">
              <w:trPr>
                <w:trHeight w:val="300"/>
                <w:jc w:val="center"/>
              </w:trPr>
              <w:tc>
                <w:tcPr>
                  <w:tcW w:w="2042" w:type="dxa"/>
                  <w:vAlign w:val="center"/>
                </w:tcPr>
                <w:p w14:paraId="52C0655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Ocaña</w:t>
                  </w:r>
                </w:p>
              </w:tc>
              <w:tc>
                <w:tcPr>
                  <w:tcW w:w="1150" w:type="dxa"/>
                  <w:vAlign w:val="center"/>
                </w:tcPr>
                <w:p w14:paraId="39FCAA0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16</w:t>
                  </w:r>
                </w:p>
              </w:tc>
              <w:tc>
                <w:tcPr>
                  <w:tcW w:w="1146" w:type="dxa"/>
                  <w:vAlign w:val="center"/>
                </w:tcPr>
                <w:p w14:paraId="2D1385D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9</w:t>
                  </w:r>
                </w:p>
              </w:tc>
              <w:tc>
                <w:tcPr>
                  <w:tcW w:w="1412" w:type="dxa"/>
                  <w:vAlign w:val="center"/>
                </w:tcPr>
                <w:p w14:paraId="610264E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-7</w:t>
                  </w:r>
                </w:p>
              </w:tc>
              <w:tc>
                <w:tcPr>
                  <w:tcW w:w="3084" w:type="dxa"/>
                  <w:vAlign w:val="center"/>
                </w:tcPr>
                <w:p w14:paraId="33E56C3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-43,3%</w:t>
                  </w:r>
                </w:p>
              </w:tc>
            </w:tr>
            <w:tr w:rsidR="00C454A1" w:rsidRPr="00F8202F" w14:paraId="219B653C" w14:textId="77777777" w:rsidTr="001F3006">
              <w:trPr>
                <w:trHeight w:val="300"/>
                <w:jc w:val="center"/>
              </w:trPr>
              <w:tc>
                <w:tcPr>
                  <w:tcW w:w="2042" w:type="dxa"/>
                  <w:vAlign w:val="center"/>
                </w:tcPr>
                <w:p w14:paraId="53BC5F9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San Calixto</w:t>
                  </w:r>
                </w:p>
              </w:tc>
              <w:tc>
                <w:tcPr>
                  <w:tcW w:w="1150" w:type="dxa"/>
                  <w:vAlign w:val="center"/>
                </w:tcPr>
                <w:p w14:paraId="7CAC53D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959</w:t>
                  </w:r>
                </w:p>
              </w:tc>
              <w:tc>
                <w:tcPr>
                  <w:tcW w:w="1146" w:type="dxa"/>
                  <w:vAlign w:val="center"/>
                </w:tcPr>
                <w:p w14:paraId="7A1A129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1.174</w:t>
                  </w:r>
                </w:p>
              </w:tc>
              <w:tc>
                <w:tcPr>
                  <w:tcW w:w="1412" w:type="dxa"/>
                  <w:vAlign w:val="center"/>
                </w:tcPr>
                <w:p w14:paraId="5548D5E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215</w:t>
                  </w:r>
                </w:p>
              </w:tc>
              <w:tc>
                <w:tcPr>
                  <w:tcW w:w="3084" w:type="dxa"/>
                  <w:vAlign w:val="center"/>
                </w:tcPr>
                <w:p w14:paraId="6642895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22,4%</w:t>
                  </w:r>
                </w:p>
              </w:tc>
            </w:tr>
            <w:tr w:rsidR="00C454A1" w:rsidRPr="00F8202F" w14:paraId="0467D0E9" w14:textId="77777777" w:rsidTr="001F3006">
              <w:trPr>
                <w:trHeight w:val="300"/>
                <w:jc w:val="center"/>
              </w:trPr>
              <w:tc>
                <w:tcPr>
                  <w:tcW w:w="2042" w:type="dxa"/>
                  <w:vAlign w:val="center"/>
                </w:tcPr>
                <w:p w14:paraId="6187831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lastRenderedPageBreak/>
                    <w:t>Sardinata</w:t>
                  </w:r>
                </w:p>
              </w:tc>
              <w:tc>
                <w:tcPr>
                  <w:tcW w:w="1150" w:type="dxa"/>
                  <w:vAlign w:val="center"/>
                </w:tcPr>
                <w:p w14:paraId="26BCF07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4.727</w:t>
                  </w:r>
                </w:p>
              </w:tc>
              <w:tc>
                <w:tcPr>
                  <w:tcW w:w="1146" w:type="dxa"/>
                  <w:vAlign w:val="center"/>
                </w:tcPr>
                <w:p w14:paraId="39618FF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4.300</w:t>
                  </w:r>
                </w:p>
              </w:tc>
              <w:tc>
                <w:tcPr>
                  <w:tcW w:w="1412" w:type="dxa"/>
                  <w:vAlign w:val="center"/>
                </w:tcPr>
                <w:p w14:paraId="6EDC0FC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-428</w:t>
                  </w:r>
                </w:p>
              </w:tc>
              <w:tc>
                <w:tcPr>
                  <w:tcW w:w="3084" w:type="dxa"/>
                  <w:vAlign w:val="center"/>
                </w:tcPr>
                <w:p w14:paraId="0B562F7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-9,0%</w:t>
                  </w:r>
                </w:p>
              </w:tc>
            </w:tr>
            <w:tr w:rsidR="00C454A1" w:rsidRPr="00F8202F" w14:paraId="450A3A96" w14:textId="77777777" w:rsidTr="001F3006">
              <w:trPr>
                <w:trHeight w:val="300"/>
                <w:jc w:val="center"/>
              </w:trPr>
              <w:tc>
                <w:tcPr>
                  <w:tcW w:w="2042" w:type="dxa"/>
                  <w:vAlign w:val="center"/>
                </w:tcPr>
                <w:p w14:paraId="1DC6249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Teorama</w:t>
                  </w:r>
                </w:p>
              </w:tc>
              <w:tc>
                <w:tcPr>
                  <w:tcW w:w="1150" w:type="dxa"/>
                  <w:vAlign w:val="center"/>
                </w:tcPr>
                <w:p w14:paraId="55771D5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3.790</w:t>
                  </w:r>
                </w:p>
              </w:tc>
              <w:tc>
                <w:tcPr>
                  <w:tcW w:w="1146" w:type="dxa"/>
                  <w:vAlign w:val="center"/>
                </w:tcPr>
                <w:p w14:paraId="55AE1E1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3.956</w:t>
                  </w:r>
                </w:p>
              </w:tc>
              <w:tc>
                <w:tcPr>
                  <w:tcW w:w="1412" w:type="dxa"/>
                  <w:vAlign w:val="center"/>
                </w:tcPr>
                <w:p w14:paraId="13C5907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166</w:t>
                  </w:r>
                </w:p>
              </w:tc>
              <w:tc>
                <w:tcPr>
                  <w:tcW w:w="3084" w:type="dxa"/>
                  <w:vAlign w:val="center"/>
                </w:tcPr>
                <w:p w14:paraId="1D43972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4,4%</w:t>
                  </w:r>
                </w:p>
              </w:tc>
            </w:tr>
            <w:tr w:rsidR="00C454A1" w:rsidRPr="00F8202F" w14:paraId="794CC389" w14:textId="77777777" w:rsidTr="001F3006">
              <w:trPr>
                <w:trHeight w:val="300"/>
                <w:jc w:val="center"/>
              </w:trPr>
              <w:tc>
                <w:tcPr>
                  <w:tcW w:w="2042" w:type="dxa"/>
                  <w:vAlign w:val="center"/>
                </w:tcPr>
                <w:p w14:paraId="347665A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Tibú</w:t>
                  </w:r>
                </w:p>
              </w:tc>
              <w:tc>
                <w:tcPr>
                  <w:tcW w:w="1150" w:type="dxa"/>
                  <w:vAlign w:val="center"/>
                </w:tcPr>
                <w:p w14:paraId="3D26BDB7"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22.082</w:t>
                  </w:r>
                </w:p>
              </w:tc>
              <w:tc>
                <w:tcPr>
                  <w:tcW w:w="1146" w:type="dxa"/>
                  <w:vAlign w:val="center"/>
                </w:tcPr>
                <w:p w14:paraId="1248ED99"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23.030</w:t>
                  </w:r>
                </w:p>
              </w:tc>
              <w:tc>
                <w:tcPr>
                  <w:tcW w:w="1412" w:type="dxa"/>
                  <w:vAlign w:val="center"/>
                </w:tcPr>
                <w:p w14:paraId="12CFD170"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948</w:t>
                  </w:r>
                </w:p>
              </w:tc>
              <w:tc>
                <w:tcPr>
                  <w:tcW w:w="3084" w:type="dxa"/>
                  <w:vAlign w:val="center"/>
                </w:tcPr>
                <w:p w14:paraId="49A27AC5"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4,3%</w:t>
                  </w:r>
                </w:p>
              </w:tc>
            </w:tr>
            <w:tr w:rsidR="00C454A1" w:rsidRPr="00F8202F" w14:paraId="552DB912" w14:textId="77777777" w:rsidTr="001F3006">
              <w:trPr>
                <w:trHeight w:val="300"/>
                <w:jc w:val="center"/>
              </w:trPr>
              <w:tc>
                <w:tcPr>
                  <w:tcW w:w="8834" w:type="dxa"/>
                  <w:gridSpan w:val="5"/>
                  <w:vAlign w:val="center"/>
                </w:tcPr>
                <w:p w14:paraId="10F65529"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Departamento del Cesar</w:t>
                  </w:r>
                </w:p>
              </w:tc>
            </w:tr>
            <w:tr w:rsidR="00C454A1" w:rsidRPr="00F8202F" w14:paraId="39EF51E8" w14:textId="77777777" w:rsidTr="001F3006">
              <w:trPr>
                <w:trHeight w:val="300"/>
                <w:jc w:val="center"/>
              </w:trPr>
              <w:tc>
                <w:tcPr>
                  <w:tcW w:w="2042" w:type="dxa"/>
                  <w:vAlign w:val="center"/>
                </w:tcPr>
                <w:p w14:paraId="5621C3B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González</w:t>
                  </w:r>
                </w:p>
              </w:tc>
              <w:tc>
                <w:tcPr>
                  <w:tcW w:w="1150" w:type="dxa"/>
                  <w:vAlign w:val="center"/>
                </w:tcPr>
                <w:p w14:paraId="685D93E6"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w:t>
                  </w:r>
                </w:p>
              </w:tc>
              <w:tc>
                <w:tcPr>
                  <w:tcW w:w="1146" w:type="dxa"/>
                  <w:vAlign w:val="center"/>
                </w:tcPr>
                <w:p w14:paraId="68FFD1A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0</w:t>
                  </w:r>
                </w:p>
              </w:tc>
              <w:tc>
                <w:tcPr>
                  <w:tcW w:w="1412" w:type="dxa"/>
                  <w:vAlign w:val="center"/>
                </w:tcPr>
                <w:p w14:paraId="391A80C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-8</w:t>
                  </w:r>
                </w:p>
              </w:tc>
              <w:tc>
                <w:tcPr>
                  <w:tcW w:w="3084" w:type="dxa"/>
                  <w:vAlign w:val="center"/>
                </w:tcPr>
                <w:p w14:paraId="48CB4A54"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-100,0%</w:t>
                  </w:r>
                </w:p>
              </w:tc>
            </w:tr>
            <w:tr w:rsidR="00C454A1" w:rsidRPr="00F8202F" w14:paraId="31E68DB5" w14:textId="77777777" w:rsidTr="001F3006">
              <w:trPr>
                <w:trHeight w:val="300"/>
                <w:jc w:val="center"/>
              </w:trPr>
              <w:tc>
                <w:tcPr>
                  <w:tcW w:w="2042" w:type="dxa"/>
                  <w:vAlign w:val="center"/>
                </w:tcPr>
                <w:p w14:paraId="2D25FF82"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Río de Oro</w:t>
                  </w:r>
                </w:p>
              </w:tc>
              <w:tc>
                <w:tcPr>
                  <w:tcW w:w="1150" w:type="dxa"/>
                  <w:vAlign w:val="center"/>
                </w:tcPr>
                <w:p w14:paraId="25C7E9F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No reporta</w:t>
                  </w:r>
                </w:p>
              </w:tc>
              <w:tc>
                <w:tcPr>
                  <w:tcW w:w="1146" w:type="dxa"/>
                  <w:vAlign w:val="center"/>
                </w:tcPr>
                <w:p w14:paraId="01680E2A"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No reporta</w:t>
                  </w:r>
                </w:p>
              </w:tc>
              <w:tc>
                <w:tcPr>
                  <w:tcW w:w="1412" w:type="dxa"/>
                  <w:vAlign w:val="center"/>
                </w:tcPr>
                <w:p w14:paraId="0FF41BC8"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No aplica</w:t>
                  </w:r>
                </w:p>
              </w:tc>
              <w:tc>
                <w:tcPr>
                  <w:tcW w:w="3084" w:type="dxa"/>
                  <w:vAlign w:val="center"/>
                </w:tcPr>
                <w:p w14:paraId="22DA75D1"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No aplica</w:t>
                  </w:r>
                </w:p>
              </w:tc>
            </w:tr>
          </w:tbl>
          <w:p w14:paraId="74D7327A" w14:textId="77777777" w:rsidR="00C454A1" w:rsidRPr="00833016" w:rsidRDefault="00C454A1" w:rsidP="00881E6A">
            <w:pPr>
              <w:pStyle w:val="Prrafodelista"/>
              <w:ind w:left="360" w:right="272" w:hanging="360"/>
              <w:jc w:val="center"/>
              <w:rPr>
                <w:rFonts w:eastAsia="Times New Roman" w:cs="Times New Roman"/>
                <w:sz w:val="20"/>
                <w:szCs w:val="20"/>
                <w:lang w:val="es-ES"/>
              </w:rPr>
            </w:pPr>
            <w:r w:rsidRPr="00833016">
              <w:rPr>
                <w:rFonts w:eastAsia="Times New Roman" w:cs="Times New Roman"/>
                <w:sz w:val="20"/>
                <w:szCs w:val="20"/>
                <w:lang w:val="es-ES"/>
              </w:rPr>
              <w:t>Fuente: Agencia de Renovación del Territorio y Ministerio de Justicia y del Derecho.</w:t>
            </w:r>
          </w:p>
          <w:p w14:paraId="7EB87315" w14:textId="77777777" w:rsidR="00C454A1" w:rsidRPr="00833016" w:rsidRDefault="00C454A1" w:rsidP="00881E6A">
            <w:pPr>
              <w:pStyle w:val="Prrafodelista"/>
              <w:ind w:left="360" w:right="272" w:hanging="360"/>
              <w:jc w:val="center"/>
              <w:rPr>
                <w:rFonts w:eastAsia="Times New Roman" w:cs="Times New Roman"/>
                <w:lang w:val="es-ES"/>
              </w:rPr>
            </w:pPr>
          </w:p>
          <w:p w14:paraId="0523DF7F" w14:textId="77777777" w:rsidR="00C454A1" w:rsidRPr="00833016" w:rsidRDefault="00C454A1" w:rsidP="00881E6A">
            <w:pPr>
              <w:pStyle w:val="Prrafodelista"/>
              <w:ind w:left="360" w:right="272"/>
              <w:rPr>
                <w:rFonts w:eastAsia="Times New Roman" w:cs="Times New Roman"/>
                <w:lang w:val="es-ES"/>
              </w:rPr>
            </w:pPr>
            <w:r w:rsidRPr="00833016">
              <w:rPr>
                <w:rFonts w:eastAsia="Times New Roman" w:cs="Times New Roman"/>
                <w:lang w:val="es-ES"/>
              </w:rPr>
              <w:t>Con base en lo anterior, la ART explicó, entre otras, que “los municipios que presentan disminuciones, con excepción de Sardinata, según información de campo son utilizados como corredores de las rutas del narcotráfico”</w:t>
            </w:r>
            <w:r w:rsidRPr="00833016">
              <w:rPr>
                <w:rStyle w:val="Refdenotaalpie"/>
                <w:rFonts w:eastAsia="Times New Roman" w:cs="Times New Roman"/>
                <w:lang w:val="es-ES"/>
              </w:rPr>
              <w:footnoteReference w:id="513"/>
            </w:r>
            <w:r w:rsidRPr="00833016">
              <w:rPr>
                <w:rFonts w:eastAsia="Times New Roman" w:cs="Times New Roman"/>
                <w:lang w:val="es-ES"/>
              </w:rPr>
              <w:t>. Por su parte, el MinJusticia puso de presente que, en 2022 y 2023, Norte de Santander ocupó el tercer lugar en los departamentos con más áreas sembradas de cultivos de coca y aportó 17% al total nacional en 2023. Esta entidad precisó que, desde 2019, fue identificado el enclave Catatumbo que, para 2023, continuó con la mayor área de cultivo de coca con un 29% de todos los enclaves. Además, aportó el 66% de ese producto al departamento. En particular, indicó que “[e]l 52% de los cultivos del departamento se concentró en Tibú, que con 23.029,7 [continúa] como el municipio con más hectáreas de cultivo de coca en el país. El Tarra ocupó el octavo lugar del Top 10 de los municipios con mayor cantidad de coca y ascendió una posición con respecto a 2023”</w:t>
            </w:r>
            <w:r w:rsidRPr="00833016">
              <w:rPr>
                <w:rStyle w:val="Refdenotaalpie"/>
                <w:rFonts w:eastAsia="Times New Roman" w:cs="Times New Roman"/>
                <w:lang w:val="es-ES"/>
              </w:rPr>
              <w:footnoteReference w:id="514"/>
            </w:r>
            <w:r w:rsidRPr="00833016">
              <w:rPr>
                <w:rFonts w:eastAsia="Times New Roman" w:cs="Times New Roman"/>
                <w:lang w:val="es-ES"/>
              </w:rPr>
              <w:t>. Por lo demás, esta entidad explicó que, “[a]l comparar las densidades de siembra con respecto a 2022, se incrementó la densidad del cultivo en estas zonas que hacen parte del enclave productivo Catatumbo”</w:t>
            </w:r>
            <w:r w:rsidRPr="00833016">
              <w:rPr>
                <w:rStyle w:val="Refdenotaalpie"/>
                <w:rFonts w:eastAsia="Times New Roman" w:cs="Times New Roman"/>
                <w:lang w:val="es-ES"/>
              </w:rPr>
              <w:footnoteReference w:id="515"/>
            </w:r>
            <w:r w:rsidRPr="00833016">
              <w:rPr>
                <w:rFonts w:eastAsia="Times New Roman" w:cs="Times New Roman"/>
                <w:lang w:val="es-ES"/>
              </w:rPr>
              <w:t xml:space="preserve">. </w:t>
            </w:r>
          </w:p>
          <w:p w14:paraId="4C41D025" w14:textId="77777777" w:rsidR="00C454A1" w:rsidRPr="00833016" w:rsidRDefault="00C454A1" w:rsidP="00881E6A">
            <w:pPr>
              <w:pStyle w:val="Prrafodelista"/>
              <w:ind w:left="360" w:right="272"/>
              <w:rPr>
                <w:rFonts w:eastAsia="Times New Roman" w:cs="Times New Roman"/>
                <w:lang w:val="es-ES"/>
              </w:rPr>
            </w:pPr>
          </w:p>
          <w:p w14:paraId="13DB0073" w14:textId="77777777" w:rsidR="00C454A1" w:rsidRPr="00833016" w:rsidRDefault="00C454A1" w:rsidP="005F4A6F">
            <w:pPr>
              <w:pStyle w:val="Prrafodelista"/>
              <w:numPr>
                <w:ilvl w:val="0"/>
                <w:numId w:val="31"/>
              </w:numPr>
              <w:ind w:left="360" w:right="272"/>
              <w:rPr>
                <w:rFonts w:eastAsia="Times New Roman" w:cs="Times New Roman"/>
                <w:lang w:val="es-ES"/>
              </w:rPr>
            </w:pPr>
            <w:r w:rsidRPr="00D7741F">
              <w:rPr>
                <w:rFonts w:eastAsia="Times New Roman" w:cs="Times New Roman"/>
                <w:u w:val="single"/>
                <w:lang w:val="es-ES"/>
              </w:rPr>
              <w:t>Acciones del ELN durante el cese al fuego bilateral</w:t>
            </w:r>
            <w:r w:rsidRPr="00833016">
              <w:rPr>
                <w:rFonts w:eastAsia="Times New Roman" w:cs="Times New Roman"/>
                <w:lang w:val="es-ES"/>
              </w:rPr>
              <w:t>. El MinDefensa describió 46 eventos</w:t>
            </w:r>
            <w:r w:rsidRPr="00833016">
              <w:rPr>
                <w:rStyle w:val="Refdenotaalpie"/>
                <w:rFonts w:eastAsia="Times New Roman" w:cs="Times New Roman"/>
                <w:lang w:val="es-ES"/>
              </w:rPr>
              <w:footnoteReference w:id="516"/>
            </w:r>
            <w:r w:rsidRPr="00833016">
              <w:rPr>
                <w:rFonts w:eastAsia="Times New Roman" w:cs="Times New Roman"/>
                <w:lang w:val="es-ES"/>
              </w:rPr>
              <w:t xml:space="preserve"> que se presentaron en el marco del cese al fuego bilateral con el ELN entre el 3 de agosto de 2023 y el 3 de agosto de 2024. Entre otros, la entidad puso de presente los siguientes: homicidios, extorsiones, secuestros, hurto, amenazas, acciones terroristas, </w:t>
            </w:r>
            <w:r w:rsidRPr="00833016">
              <w:rPr>
                <w:rFonts w:eastAsia="Times New Roman" w:cs="Times New Roman"/>
                <w:lang w:val="es-ES"/>
              </w:rPr>
              <w:lastRenderedPageBreak/>
              <w:t>hostigamiento a las fuerzas militares, presencia armada, retenes ilegales de vehículos y proselitismo. Sin embargo, no todos estos fueron atribuidos al ELN. Respecto de algunos de estos hechos, el ministerio no indicó quiénes habrían sido los sujetos activos; y, en relación con otros, adujo que, presuntamente, habría sido ese grupo.</w:t>
            </w:r>
          </w:p>
          <w:p w14:paraId="53ACE98F" w14:textId="77777777" w:rsidR="00C454A1" w:rsidRPr="00833016" w:rsidRDefault="00C454A1" w:rsidP="00881E6A">
            <w:pPr>
              <w:pStyle w:val="Prrafodelista"/>
              <w:ind w:left="360" w:right="272" w:hanging="360"/>
              <w:rPr>
                <w:rFonts w:eastAsia="Times New Roman" w:cs="Times New Roman"/>
                <w:lang w:val="es-ES"/>
              </w:rPr>
            </w:pPr>
            <w:r w:rsidRPr="00833016">
              <w:rPr>
                <w:rFonts w:eastAsia="Times New Roman" w:cs="Times New Roman"/>
                <w:lang w:val="es-ES"/>
              </w:rPr>
              <w:t xml:space="preserve"> </w:t>
            </w:r>
          </w:p>
          <w:p w14:paraId="2B88EC1E" w14:textId="77777777" w:rsidR="00C454A1" w:rsidRPr="00833016" w:rsidRDefault="00C454A1" w:rsidP="005F4A6F">
            <w:pPr>
              <w:pStyle w:val="Prrafodelista"/>
              <w:numPr>
                <w:ilvl w:val="0"/>
                <w:numId w:val="31"/>
              </w:numPr>
              <w:ind w:left="360" w:right="272"/>
              <w:rPr>
                <w:rFonts w:eastAsia="Times New Roman" w:cs="Times New Roman"/>
                <w:lang w:val="es-ES"/>
              </w:rPr>
            </w:pPr>
            <w:r w:rsidRPr="00F837EF">
              <w:rPr>
                <w:rFonts w:eastAsia="Times New Roman" w:cs="Times New Roman"/>
                <w:u w:val="single"/>
                <w:lang w:val="es-ES"/>
              </w:rPr>
              <w:t>Reconocimientos como representantes de grupos organizados al margen de la ley, de estructuras armadas organizadas de crimen de alto impacto y designaciones como gestores y promotores de paz</w:t>
            </w:r>
            <w:r w:rsidRPr="00833016">
              <w:rPr>
                <w:rFonts w:eastAsia="Times New Roman" w:cs="Times New Roman"/>
                <w:lang w:val="es-ES"/>
              </w:rPr>
              <w:t>. De un lado, la Consejería Comisionada de Paz informó que se han realizado 83 reconocimientos como miembros representantes de grupos y estructuras armados con l</w:t>
            </w:r>
            <w:r>
              <w:rPr>
                <w:rFonts w:eastAsia="Times New Roman" w:cs="Times New Roman"/>
                <w:lang w:val="es-ES"/>
              </w:rPr>
              <w:t>o</w:t>
            </w:r>
            <w:r w:rsidRPr="00833016">
              <w:rPr>
                <w:rFonts w:eastAsia="Times New Roman" w:cs="Times New Roman"/>
                <w:lang w:val="es-ES"/>
              </w:rPr>
              <w:t xml:space="preserve">s que el Gobierno nacional adelanta procesos de paz y que tienen presencia en la zona de la declaratoria del Estado de Conmoción Interior. Lo anterior, junto con la solicitud de suspensión de órdenes de captura, de conformidad con lo dispuesto por el artículo 8 de la Ley 418 de 1997. De esos 83 reconocimientos, 31 eran miembros del ELN; 30 del Estado Mayor de los Bloques Magdalena Medio comandante Gentil Duarte, comandante Jorge Briceño Suárez y Frente Raúl Reyes; 16 de la Segunda Marquetalia; y 6 de las Autodefensas Gaitanistas de Colombia, de los cuales 3 están vigentes. Sin embargo, mediante la Resolución 16 de 23 de enero de 2025, el presidente de la República retiró el reconocimiento de los integrantes del ELN. De otro lado, la consejería explicó que el presidente de la República ha designado 35 gestores de paz y 10 promotores de paz. Esos gestores y promotores se distribuyen de la siguiente manera: </w:t>
            </w:r>
            <w:r w:rsidRPr="006D0539">
              <w:rPr>
                <w:rFonts w:eastAsia="Times New Roman" w:cs="Times New Roman"/>
                <w:i/>
                <w:iCs/>
                <w:lang w:val="es-ES"/>
              </w:rPr>
              <w:t>(i)</w:t>
            </w:r>
            <w:r w:rsidRPr="00833016">
              <w:rPr>
                <w:rFonts w:eastAsia="Times New Roman" w:cs="Times New Roman"/>
                <w:lang w:val="es-ES"/>
              </w:rPr>
              <w:t xml:space="preserve"> un gestor vigente y 9 no vigentes del ELN; </w:t>
            </w:r>
            <w:r w:rsidRPr="006D0539">
              <w:rPr>
                <w:rFonts w:eastAsia="Times New Roman" w:cs="Times New Roman"/>
                <w:i/>
                <w:iCs/>
                <w:lang w:val="es-ES"/>
              </w:rPr>
              <w:t>(ii)</w:t>
            </w:r>
            <w:r w:rsidRPr="00833016">
              <w:rPr>
                <w:rFonts w:eastAsia="Times New Roman" w:cs="Times New Roman"/>
                <w:lang w:val="es-ES"/>
              </w:rPr>
              <w:t xml:space="preserve"> 10 promotores del ELN; y </w:t>
            </w:r>
            <w:r w:rsidRPr="006D0539">
              <w:rPr>
                <w:rFonts w:eastAsia="Times New Roman" w:cs="Times New Roman"/>
                <w:i/>
                <w:iCs/>
                <w:lang w:val="es-ES"/>
              </w:rPr>
              <w:t>(iii)</w:t>
            </w:r>
            <w:r w:rsidRPr="00833016">
              <w:rPr>
                <w:rFonts w:eastAsia="Times New Roman" w:cs="Times New Roman"/>
                <w:lang w:val="es-ES"/>
              </w:rPr>
              <w:t xml:space="preserve"> 5 gestores vigentes y 20 no vigentes del Estado Mayor de los Bloques mencionados, de los cuales solo uno se encuentra en libertad.</w:t>
            </w:r>
          </w:p>
          <w:p w14:paraId="3ED6F438" w14:textId="77777777" w:rsidR="00C454A1" w:rsidRPr="00833016" w:rsidRDefault="00C454A1" w:rsidP="00881E6A">
            <w:pPr>
              <w:pStyle w:val="Prrafodelista"/>
              <w:ind w:left="360" w:right="272" w:hanging="360"/>
              <w:rPr>
                <w:rFonts w:eastAsia="Times New Roman" w:cs="Times New Roman"/>
                <w:lang w:val="es-ES"/>
              </w:rPr>
            </w:pPr>
            <w:r w:rsidRPr="00833016">
              <w:rPr>
                <w:rFonts w:eastAsia="Times New Roman" w:cs="Times New Roman"/>
                <w:lang w:val="es-ES"/>
              </w:rPr>
              <w:t xml:space="preserve"> </w:t>
            </w:r>
          </w:p>
          <w:p w14:paraId="5763E075" w14:textId="77777777" w:rsidR="00C454A1" w:rsidRPr="00833016" w:rsidRDefault="00C454A1" w:rsidP="005F4A6F">
            <w:pPr>
              <w:pStyle w:val="Prrafodelista"/>
              <w:numPr>
                <w:ilvl w:val="0"/>
                <w:numId w:val="31"/>
              </w:numPr>
              <w:ind w:left="360" w:right="272"/>
              <w:rPr>
                <w:rFonts w:eastAsia="Times New Roman" w:cs="Times New Roman"/>
                <w:lang w:val="es-ES"/>
              </w:rPr>
            </w:pPr>
            <w:r w:rsidRPr="0053410C">
              <w:rPr>
                <w:rFonts w:eastAsia="Times New Roman" w:cs="Times New Roman"/>
                <w:u w:val="single"/>
                <w:lang w:val="es-ES"/>
              </w:rPr>
              <w:t>Eventos de alteración al orden público</w:t>
            </w:r>
            <w:r w:rsidRPr="00833016">
              <w:rPr>
                <w:rFonts w:eastAsia="Times New Roman" w:cs="Times New Roman"/>
                <w:lang w:val="es-ES"/>
              </w:rPr>
              <w:t>. El MinDefensa envió la siguiente información</w:t>
            </w:r>
            <w:r w:rsidRPr="00833016">
              <w:rPr>
                <w:rStyle w:val="Refdenotaalpie"/>
                <w:rFonts w:eastAsia="Times New Roman" w:cs="Times New Roman"/>
                <w:lang w:val="es-ES"/>
              </w:rPr>
              <w:footnoteReference w:id="517"/>
            </w:r>
            <w:r w:rsidRPr="00833016">
              <w:rPr>
                <w:rFonts w:eastAsia="Times New Roman" w:cs="Times New Roman"/>
                <w:lang w:val="es-ES"/>
              </w:rPr>
              <w:t>:</w:t>
            </w:r>
          </w:p>
          <w:p w14:paraId="2DA6D9B9" w14:textId="77777777" w:rsidR="00C454A1" w:rsidRDefault="00C454A1" w:rsidP="00881E6A">
            <w:pPr>
              <w:pStyle w:val="Prrafodelista"/>
              <w:ind w:left="360" w:right="272" w:hanging="360"/>
              <w:rPr>
                <w:rFonts w:eastAsia="Times New Roman" w:cs="Times New Roman"/>
                <w:lang w:val="es-ES"/>
              </w:rPr>
            </w:pPr>
          </w:p>
          <w:p w14:paraId="74FB534A" w14:textId="77777777" w:rsidR="00C454A1" w:rsidRPr="00E70C73" w:rsidRDefault="00C454A1" w:rsidP="00881E6A">
            <w:pPr>
              <w:pStyle w:val="Prrafodelista"/>
              <w:ind w:left="360" w:right="272" w:hanging="360"/>
              <w:jc w:val="center"/>
              <w:rPr>
                <w:rFonts w:eastAsia="Times New Roman" w:cs="Times New Roman"/>
                <w:i/>
                <w:iCs/>
                <w:sz w:val="20"/>
                <w:szCs w:val="20"/>
                <w:lang w:val="es-ES"/>
              </w:rPr>
            </w:pPr>
            <w:r w:rsidRPr="00E70C73">
              <w:rPr>
                <w:rFonts w:eastAsia="Times New Roman" w:cs="Times New Roman"/>
                <w:i/>
                <w:iCs/>
                <w:sz w:val="20"/>
                <w:szCs w:val="20"/>
                <w:lang w:val="es-ES"/>
              </w:rPr>
              <w:t>Tabla 12: Eventos de alteración al orden público en la región del Catatumbo reportados por MinDefensa</w:t>
            </w:r>
          </w:p>
          <w:tbl>
            <w:tblPr>
              <w:tblStyle w:val="Tablaconcuadrcula"/>
              <w:tblW w:w="0" w:type="auto"/>
              <w:jc w:val="center"/>
              <w:tblLook w:val="06A0" w:firstRow="1" w:lastRow="0" w:firstColumn="1" w:lastColumn="0" w:noHBand="1" w:noVBand="1"/>
            </w:tblPr>
            <w:tblGrid>
              <w:gridCol w:w="2340"/>
              <w:gridCol w:w="990"/>
              <w:gridCol w:w="955"/>
              <w:gridCol w:w="955"/>
              <w:gridCol w:w="990"/>
              <w:gridCol w:w="955"/>
              <w:gridCol w:w="1020"/>
              <w:gridCol w:w="955"/>
            </w:tblGrid>
            <w:tr w:rsidR="00C454A1" w:rsidRPr="00F8202F" w14:paraId="3E66AFC5" w14:textId="77777777" w:rsidTr="001F3006">
              <w:trPr>
                <w:trHeight w:val="300"/>
                <w:jc w:val="center"/>
              </w:trPr>
              <w:tc>
                <w:tcPr>
                  <w:tcW w:w="2340" w:type="dxa"/>
                  <w:shd w:val="clear" w:color="auto" w:fill="BFBFBF" w:themeFill="background1" w:themeFillShade="BF"/>
                  <w:vAlign w:val="center"/>
                </w:tcPr>
                <w:p w14:paraId="68B729DA"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Etiquetas de fila</w:t>
                  </w:r>
                </w:p>
              </w:tc>
              <w:tc>
                <w:tcPr>
                  <w:tcW w:w="990" w:type="dxa"/>
                  <w:shd w:val="clear" w:color="auto" w:fill="BFBFBF" w:themeFill="background1" w:themeFillShade="BF"/>
                  <w:vAlign w:val="center"/>
                </w:tcPr>
                <w:p w14:paraId="55CD86A8"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2022-I</w:t>
                  </w:r>
                </w:p>
              </w:tc>
              <w:tc>
                <w:tcPr>
                  <w:tcW w:w="930" w:type="dxa"/>
                  <w:shd w:val="clear" w:color="auto" w:fill="BFBFBF" w:themeFill="background1" w:themeFillShade="BF"/>
                  <w:vAlign w:val="center"/>
                </w:tcPr>
                <w:p w14:paraId="48B3BB8A"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2022-II</w:t>
                  </w:r>
                </w:p>
              </w:tc>
              <w:tc>
                <w:tcPr>
                  <w:tcW w:w="930" w:type="dxa"/>
                  <w:shd w:val="clear" w:color="auto" w:fill="BFBFBF" w:themeFill="background1" w:themeFillShade="BF"/>
                  <w:vAlign w:val="center"/>
                </w:tcPr>
                <w:p w14:paraId="322E752D"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2023-I</w:t>
                  </w:r>
                </w:p>
              </w:tc>
              <w:tc>
                <w:tcPr>
                  <w:tcW w:w="990" w:type="dxa"/>
                  <w:shd w:val="clear" w:color="auto" w:fill="BFBFBF" w:themeFill="background1" w:themeFillShade="BF"/>
                  <w:vAlign w:val="center"/>
                </w:tcPr>
                <w:p w14:paraId="3B52033C"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2023-II</w:t>
                  </w:r>
                </w:p>
              </w:tc>
              <w:tc>
                <w:tcPr>
                  <w:tcW w:w="930" w:type="dxa"/>
                  <w:shd w:val="clear" w:color="auto" w:fill="BFBFBF" w:themeFill="background1" w:themeFillShade="BF"/>
                  <w:vAlign w:val="center"/>
                </w:tcPr>
                <w:p w14:paraId="5452DE00"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2024-I</w:t>
                  </w:r>
                </w:p>
              </w:tc>
              <w:tc>
                <w:tcPr>
                  <w:tcW w:w="1020" w:type="dxa"/>
                  <w:shd w:val="clear" w:color="auto" w:fill="BFBFBF" w:themeFill="background1" w:themeFillShade="BF"/>
                  <w:vAlign w:val="center"/>
                </w:tcPr>
                <w:p w14:paraId="0A1B919A"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2024-II</w:t>
                  </w:r>
                </w:p>
              </w:tc>
              <w:tc>
                <w:tcPr>
                  <w:tcW w:w="945" w:type="dxa"/>
                  <w:shd w:val="clear" w:color="auto" w:fill="BFBFBF" w:themeFill="background1" w:themeFillShade="BF"/>
                  <w:vAlign w:val="center"/>
                </w:tcPr>
                <w:p w14:paraId="5EAD6E20" w14:textId="77777777" w:rsidR="00C454A1" w:rsidRPr="002954F2" w:rsidRDefault="00C454A1" w:rsidP="00881E6A">
                  <w:pPr>
                    <w:ind w:right="272"/>
                    <w:jc w:val="center"/>
                    <w:rPr>
                      <w:rFonts w:eastAsia="Times New Roman" w:cs="Times New Roman"/>
                      <w:b/>
                      <w:sz w:val="20"/>
                      <w:szCs w:val="20"/>
                      <w:lang w:val="es-ES"/>
                    </w:rPr>
                  </w:pPr>
                  <w:r w:rsidRPr="002954F2">
                    <w:rPr>
                      <w:rFonts w:eastAsia="Times New Roman" w:cs="Times New Roman"/>
                      <w:b/>
                      <w:sz w:val="20"/>
                      <w:szCs w:val="20"/>
                      <w:lang w:val="es-ES"/>
                    </w:rPr>
                    <w:t>2025-I</w:t>
                  </w:r>
                </w:p>
              </w:tc>
            </w:tr>
            <w:tr w:rsidR="00C454A1" w:rsidRPr="00F8202F" w14:paraId="5F4525A4" w14:textId="77777777" w:rsidTr="001F3006">
              <w:trPr>
                <w:trHeight w:val="300"/>
                <w:jc w:val="center"/>
              </w:trPr>
              <w:tc>
                <w:tcPr>
                  <w:tcW w:w="2340" w:type="dxa"/>
                  <w:vAlign w:val="center"/>
                </w:tcPr>
                <w:p w14:paraId="0471F2DC"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Terrorismo</w:t>
                  </w:r>
                </w:p>
              </w:tc>
              <w:tc>
                <w:tcPr>
                  <w:tcW w:w="990" w:type="dxa"/>
                  <w:vAlign w:val="center"/>
                </w:tcPr>
                <w:p w14:paraId="227E90AE"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56</w:t>
                  </w:r>
                </w:p>
              </w:tc>
              <w:tc>
                <w:tcPr>
                  <w:tcW w:w="930" w:type="dxa"/>
                  <w:vAlign w:val="center"/>
                </w:tcPr>
                <w:p w14:paraId="6C8123DF"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18</w:t>
                  </w:r>
                </w:p>
              </w:tc>
              <w:tc>
                <w:tcPr>
                  <w:tcW w:w="930" w:type="dxa"/>
                  <w:vAlign w:val="center"/>
                </w:tcPr>
                <w:p w14:paraId="314A18D9"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20</w:t>
                  </w:r>
                </w:p>
              </w:tc>
              <w:tc>
                <w:tcPr>
                  <w:tcW w:w="990" w:type="dxa"/>
                  <w:vAlign w:val="center"/>
                </w:tcPr>
                <w:p w14:paraId="02A819F9"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14</w:t>
                  </w:r>
                </w:p>
              </w:tc>
              <w:tc>
                <w:tcPr>
                  <w:tcW w:w="930" w:type="dxa"/>
                  <w:vAlign w:val="center"/>
                </w:tcPr>
                <w:p w14:paraId="05F91078"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1020" w:type="dxa"/>
                  <w:vAlign w:val="center"/>
                </w:tcPr>
                <w:p w14:paraId="3EF9891D"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14</w:t>
                  </w:r>
                </w:p>
              </w:tc>
              <w:tc>
                <w:tcPr>
                  <w:tcW w:w="945" w:type="dxa"/>
                  <w:vAlign w:val="center"/>
                </w:tcPr>
                <w:p w14:paraId="060DECE1"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r>
            <w:tr w:rsidR="00C454A1" w:rsidRPr="00F8202F" w14:paraId="71269F74" w14:textId="77777777" w:rsidTr="001F3006">
              <w:trPr>
                <w:trHeight w:val="300"/>
                <w:jc w:val="center"/>
              </w:trPr>
              <w:tc>
                <w:tcPr>
                  <w:tcW w:w="2340" w:type="dxa"/>
                  <w:vAlign w:val="center"/>
                </w:tcPr>
                <w:p w14:paraId="7AC1DD5D"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Vías y puentes destruidos</w:t>
                  </w:r>
                </w:p>
              </w:tc>
              <w:tc>
                <w:tcPr>
                  <w:tcW w:w="990" w:type="dxa"/>
                  <w:vAlign w:val="center"/>
                </w:tcPr>
                <w:p w14:paraId="7A56425A"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2</w:t>
                  </w:r>
                </w:p>
              </w:tc>
              <w:tc>
                <w:tcPr>
                  <w:tcW w:w="930" w:type="dxa"/>
                  <w:vAlign w:val="center"/>
                </w:tcPr>
                <w:p w14:paraId="5A3C636A" w14:textId="77777777" w:rsidR="00C454A1" w:rsidRPr="002954F2" w:rsidRDefault="00C454A1" w:rsidP="00881E6A">
                  <w:pPr>
                    <w:pStyle w:val="Prrafodelista"/>
                    <w:ind w:right="272"/>
                    <w:rPr>
                      <w:rFonts w:eastAsia="Times New Roman" w:cs="Times New Roman"/>
                      <w:sz w:val="20"/>
                      <w:szCs w:val="20"/>
                      <w:lang w:val="es-ES"/>
                    </w:rPr>
                  </w:pPr>
                </w:p>
              </w:tc>
              <w:tc>
                <w:tcPr>
                  <w:tcW w:w="930" w:type="dxa"/>
                  <w:vAlign w:val="center"/>
                </w:tcPr>
                <w:p w14:paraId="59BEC8ED" w14:textId="77777777" w:rsidR="00C454A1" w:rsidRPr="002954F2" w:rsidRDefault="00C454A1" w:rsidP="00881E6A">
                  <w:pPr>
                    <w:pStyle w:val="Prrafodelista"/>
                    <w:ind w:right="272"/>
                    <w:rPr>
                      <w:rFonts w:eastAsia="Times New Roman" w:cs="Times New Roman"/>
                      <w:sz w:val="20"/>
                      <w:szCs w:val="20"/>
                      <w:lang w:val="es-ES"/>
                    </w:rPr>
                  </w:pPr>
                </w:p>
              </w:tc>
              <w:tc>
                <w:tcPr>
                  <w:tcW w:w="990" w:type="dxa"/>
                  <w:vAlign w:val="center"/>
                </w:tcPr>
                <w:p w14:paraId="072F09C3" w14:textId="77777777" w:rsidR="00C454A1" w:rsidRPr="002954F2" w:rsidRDefault="00C454A1" w:rsidP="00881E6A">
                  <w:pPr>
                    <w:pStyle w:val="Prrafodelista"/>
                    <w:ind w:right="272"/>
                    <w:rPr>
                      <w:rFonts w:eastAsia="Times New Roman" w:cs="Times New Roman"/>
                      <w:sz w:val="20"/>
                      <w:szCs w:val="20"/>
                      <w:lang w:val="es-ES"/>
                    </w:rPr>
                  </w:pPr>
                </w:p>
              </w:tc>
              <w:tc>
                <w:tcPr>
                  <w:tcW w:w="930" w:type="dxa"/>
                  <w:vAlign w:val="center"/>
                </w:tcPr>
                <w:p w14:paraId="32963344" w14:textId="77777777" w:rsidR="00C454A1" w:rsidRPr="002954F2" w:rsidRDefault="00C454A1" w:rsidP="00881E6A">
                  <w:pPr>
                    <w:pStyle w:val="Prrafodelista"/>
                    <w:ind w:right="272"/>
                    <w:rPr>
                      <w:rFonts w:eastAsia="Times New Roman" w:cs="Times New Roman"/>
                      <w:sz w:val="20"/>
                      <w:szCs w:val="20"/>
                      <w:lang w:val="es-ES"/>
                    </w:rPr>
                  </w:pPr>
                </w:p>
              </w:tc>
              <w:tc>
                <w:tcPr>
                  <w:tcW w:w="1020" w:type="dxa"/>
                  <w:vAlign w:val="center"/>
                </w:tcPr>
                <w:p w14:paraId="47397EBC" w14:textId="77777777" w:rsidR="00C454A1" w:rsidRPr="002954F2" w:rsidRDefault="00C454A1" w:rsidP="00881E6A">
                  <w:pPr>
                    <w:pStyle w:val="Prrafodelista"/>
                    <w:ind w:right="272"/>
                    <w:rPr>
                      <w:rFonts w:eastAsia="Times New Roman" w:cs="Times New Roman"/>
                      <w:sz w:val="20"/>
                      <w:szCs w:val="20"/>
                      <w:lang w:val="es-ES"/>
                    </w:rPr>
                  </w:pPr>
                </w:p>
              </w:tc>
              <w:tc>
                <w:tcPr>
                  <w:tcW w:w="945" w:type="dxa"/>
                  <w:vAlign w:val="center"/>
                </w:tcPr>
                <w:p w14:paraId="03BFD3A2" w14:textId="77777777" w:rsidR="00C454A1" w:rsidRPr="002954F2" w:rsidRDefault="00C454A1" w:rsidP="00881E6A">
                  <w:pPr>
                    <w:pStyle w:val="Prrafodelista"/>
                    <w:ind w:right="272"/>
                    <w:rPr>
                      <w:rFonts w:eastAsia="Times New Roman" w:cs="Times New Roman"/>
                      <w:sz w:val="20"/>
                      <w:szCs w:val="20"/>
                      <w:lang w:val="es-ES"/>
                    </w:rPr>
                  </w:pPr>
                </w:p>
              </w:tc>
            </w:tr>
            <w:tr w:rsidR="00C454A1" w:rsidRPr="00F8202F" w14:paraId="0D74B2CB" w14:textId="77777777" w:rsidTr="001F3006">
              <w:trPr>
                <w:trHeight w:val="300"/>
                <w:jc w:val="center"/>
              </w:trPr>
              <w:tc>
                <w:tcPr>
                  <w:tcW w:w="2340" w:type="dxa"/>
                  <w:vAlign w:val="center"/>
                </w:tcPr>
                <w:p w14:paraId="71C0086B"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lastRenderedPageBreak/>
                    <w:t>Voladuras de oleoductos</w:t>
                  </w:r>
                </w:p>
              </w:tc>
              <w:tc>
                <w:tcPr>
                  <w:tcW w:w="990" w:type="dxa"/>
                  <w:vAlign w:val="center"/>
                </w:tcPr>
                <w:p w14:paraId="6F0FE4A2"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3</w:t>
                  </w:r>
                </w:p>
              </w:tc>
              <w:tc>
                <w:tcPr>
                  <w:tcW w:w="930" w:type="dxa"/>
                  <w:vAlign w:val="center"/>
                </w:tcPr>
                <w:p w14:paraId="4FC30D1E"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2</w:t>
                  </w:r>
                </w:p>
              </w:tc>
              <w:tc>
                <w:tcPr>
                  <w:tcW w:w="930" w:type="dxa"/>
                  <w:vAlign w:val="center"/>
                </w:tcPr>
                <w:p w14:paraId="08DB11E4"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 xml:space="preserve"> </w:t>
                  </w:r>
                </w:p>
              </w:tc>
              <w:tc>
                <w:tcPr>
                  <w:tcW w:w="990" w:type="dxa"/>
                  <w:vAlign w:val="center"/>
                </w:tcPr>
                <w:p w14:paraId="574A1112"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4</w:t>
                  </w:r>
                </w:p>
              </w:tc>
              <w:tc>
                <w:tcPr>
                  <w:tcW w:w="930" w:type="dxa"/>
                  <w:vAlign w:val="center"/>
                </w:tcPr>
                <w:p w14:paraId="4F7DD70D"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 xml:space="preserve"> </w:t>
                  </w:r>
                </w:p>
              </w:tc>
              <w:tc>
                <w:tcPr>
                  <w:tcW w:w="1020" w:type="dxa"/>
                  <w:vAlign w:val="center"/>
                </w:tcPr>
                <w:p w14:paraId="29AFDCB3"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4</w:t>
                  </w:r>
                </w:p>
              </w:tc>
              <w:tc>
                <w:tcPr>
                  <w:tcW w:w="945" w:type="dxa"/>
                  <w:vAlign w:val="center"/>
                </w:tcPr>
                <w:p w14:paraId="5AB283BC" w14:textId="77777777" w:rsidR="00C454A1" w:rsidRPr="002954F2" w:rsidRDefault="00C454A1" w:rsidP="00881E6A">
                  <w:pPr>
                    <w:ind w:right="272"/>
                    <w:jc w:val="center"/>
                    <w:rPr>
                      <w:rFonts w:eastAsia="Times New Roman" w:cs="Times New Roman"/>
                      <w:sz w:val="20"/>
                      <w:szCs w:val="20"/>
                      <w:lang w:val="es-ES"/>
                    </w:rPr>
                  </w:pPr>
                </w:p>
              </w:tc>
            </w:tr>
            <w:tr w:rsidR="00C454A1" w:rsidRPr="00F8202F" w14:paraId="4653F56E" w14:textId="77777777" w:rsidTr="001F3006">
              <w:trPr>
                <w:trHeight w:val="300"/>
                <w:jc w:val="center"/>
              </w:trPr>
              <w:tc>
                <w:tcPr>
                  <w:tcW w:w="2340" w:type="dxa"/>
                  <w:vAlign w:val="center"/>
                </w:tcPr>
                <w:p w14:paraId="50FBD403"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Asesinatos Fuerza Pública</w:t>
                  </w:r>
                </w:p>
              </w:tc>
              <w:tc>
                <w:tcPr>
                  <w:tcW w:w="990" w:type="dxa"/>
                  <w:vAlign w:val="center"/>
                </w:tcPr>
                <w:p w14:paraId="68014EC1"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12</w:t>
                  </w:r>
                </w:p>
              </w:tc>
              <w:tc>
                <w:tcPr>
                  <w:tcW w:w="930" w:type="dxa"/>
                  <w:vAlign w:val="center"/>
                </w:tcPr>
                <w:p w14:paraId="15372FE3"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5</w:t>
                  </w:r>
                </w:p>
              </w:tc>
              <w:tc>
                <w:tcPr>
                  <w:tcW w:w="930" w:type="dxa"/>
                  <w:vAlign w:val="center"/>
                </w:tcPr>
                <w:p w14:paraId="0134CEEA"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8</w:t>
                  </w:r>
                </w:p>
              </w:tc>
              <w:tc>
                <w:tcPr>
                  <w:tcW w:w="990" w:type="dxa"/>
                  <w:vAlign w:val="center"/>
                </w:tcPr>
                <w:p w14:paraId="61F2AA5E"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3</w:t>
                  </w:r>
                </w:p>
              </w:tc>
              <w:tc>
                <w:tcPr>
                  <w:tcW w:w="930" w:type="dxa"/>
                  <w:vAlign w:val="center"/>
                </w:tcPr>
                <w:p w14:paraId="357EBD4E"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c>
                <w:tcPr>
                  <w:tcW w:w="1020" w:type="dxa"/>
                  <w:vAlign w:val="center"/>
                </w:tcPr>
                <w:p w14:paraId="5A312084"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16</w:t>
                  </w:r>
                </w:p>
              </w:tc>
              <w:tc>
                <w:tcPr>
                  <w:tcW w:w="945" w:type="dxa"/>
                  <w:vAlign w:val="center"/>
                </w:tcPr>
                <w:p w14:paraId="29B95739"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r>
            <w:tr w:rsidR="00C454A1" w:rsidRPr="00F8202F" w14:paraId="4BF867DB" w14:textId="77777777" w:rsidTr="001F3006">
              <w:trPr>
                <w:trHeight w:val="300"/>
                <w:jc w:val="center"/>
              </w:trPr>
              <w:tc>
                <w:tcPr>
                  <w:tcW w:w="2340" w:type="dxa"/>
                  <w:vAlign w:val="center"/>
                </w:tcPr>
                <w:p w14:paraId="1DFB60FE" w14:textId="77777777" w:rsidR="00C454A1" w:rsidRPr="002954F2" w:rsidRDefault="00C454A1" w:rsidP="00881E6A">
                  <w:pPr>
                    <w:ind w:right="272"/>
                    <w:rPr>
                      <w:rFonts w:eastAsia="Times New Roman" w:cs="Times New Roman"/>
                      <w:sz w:val="20"/>
                      <w:szCs w:val="20"/>
                      <w:lang w:val="es-ES"/>
                    </w:rPr>
                  </w:pPr>
                  <w:r w:rsidRPr="002954F2">
                    <w:rPr>
                      <w:rFonts w:eastAsia="Times New Roman" w:cs="Times New Roman"/>
                      <w:sz w:val="20"/>
                      <w:szCs w:val="20"/>
                      <w:lang w:val="es-ES"/>
                    </w:rPr>
                    <w:t>Heridos Fuerza Pública</w:t>
                  </w:r>
                </w:p>
              </w:tc>
              <w:tc>
                <w:tcPr>
                  <w:tcW w:w="990" w:type="dxa"/>
                  <w:vAlign w:val="center"/>
                </w:tcPr>
                <w:p w14:paraId="4FC4B68E"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79</w:t>
                  </w:r>
                </w:p>
              </w:tc>
              <w:tc>
                <w:tcPr>
                  <w:tcW w:w="930" w:type="dxa"/>
                  <w:vAlign w:val="center"/>
                </w:tcPr>
                <w:p w14:paraId="489C4DF6"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29</w:t>
                  </w:r>
                </w:p>
              </w:tc>
              <w:tc>
                <w:tcPr>
                  <w:tcW w:w="930" w:type="dxa"/>
                  <w:vAlign w:val="center"/>
                </w:tcPr>
                <w:p w14:paraId="2F67B12E"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11</w:t>
                  </w:r>
                </w:p>
              </w:tc>
              <w:tc>
                <w:tcPr>
                  <w:tcW w:w="990" w:type="dxa"/>
                  <w:vAlign w:val="center"/>
                </w:tcPr>
                <w:p w14:paraId="3805113F"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10</w:t>
                  </w:r>
                </w:p>
              </w:tc>
              <w:tc>
                <w:tcPr>
                  <w:tcW w:w="930" w:type="dxa"/>
                  <w:vAlign w:val="center"/>
                </w:tcPr>
                <w:p w14:paraId="35736811"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 xml:space="preserve"> </w:t>
                  </w:r>
                </w:p>
              </w:tc>
              <w:tc>
                <w:tcPr>
                  <w:tcW w:w="1020" w:type="dxa"/>
                  <w:vAlign w:val="center"/>
                </w:tcPr>
                <w:p w14:paraId="276C2746"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15</w:t>
                  </w:r>
                </w:p>
              </w:tc>
              <w:tc>
                <w:tcPr>
                  <w:tcW w:w="945" w:type="dxa"/>
                  <w:vAlign w:val="center"/>
                </w:tcPr>
                <w:p w14:paraId="7B2B6CC3" w14:textId="77777777" w:rsidR="00C454A1" w:rsidRPr="002954F2" w:rsidRDefault="00C454A1" w:rsidP="00881E6A">
                  <w:pPr>
                    <w:ind w:right="272"/>
                    <w:jc w:val="center"/>
                    <w:rPr>
                      <w:rFonts w:eastAsia="Times New Roman" w:cs="Times New Roman"/>
                      <w:sz w:val="20"/>
                      <w:szCs w:val="20"/>
                      <w:lang w:val="es-ES"/>
                    </w:rPr>
                  </w:pPr>
                  <w:r w:rsidRPr="002954F2">
                    <w:rPr>
                      <w:rFonts w:eastAsia="Times New Roman" w:cs="Times New Roman"/>
                      <w:sz w:val="20"/>
                      <w:szCs w:val="20"/>
                      <w:lang w:val="es-ES"/>
                    </w:rPr>
                    <w:t>1</w:t>
                  </w:r>
                </w:p>
              </w:tc>
            </w:tr>
          </w:tbl>
          <w:p w14:paraId="13B50F82" w14:textId="77777777" w:rsidR="00C454A1" w:rsidRPr="00833016" w:rsidRDefault="00C454A1" w:rsidP="00881E6A">
            <w:pPr>
              <w:pStyle w:val="Prrafodelista"/>
              <w:ind w:left="360" w:right="272" w:hanging="360"/>
              <w:rPr>
                <w:rFonts w:eastAsia="Times New Roman" w:cs="Times New Roman"/>
                <w:lang w:val="es-ES"/>
              </w:rPr>
            </w:pPr>
          </w:p>
          <w:tbl>
            <w:tblPr>
              <w:tblStyle w:val="Tablaconcuadrcula"/>
              <w:tblW w:w="0" w:type="auto"/>
              <w:jc w:val="center"/>
              <w:tblLook w:val="06A0" w:firstRow="1" w:lastRow="0" w:firstColumn="1" w:lastColumn="0" w:noHBand="1" w:noVBand="1"/>
            </w:tblPr>
            <w:tblGrid>
              <w:gridCol w:w="1901"/>
              <w:gridCol w:w="955"/>
              <w:gridCol w:w="1035"/>
              <w:gridCol w:w="975"/>
              <w:gridCol w:w="955"/>
              <w:gridCol w:w="960"/>
              <w:gridCol w:w="1065"/>
              <w:gridCol w:w="1020"/>
            </w:tblGrid>
            <w:tr w:rsidR="00C454A1" w:rsidRPr="00F8202F" w14:paraId="68BB58BE" w14:textId="77777777" w:rsidTr="001F3006">
              <w:trPr>
                <w:trHeight w:val="300"/>
                <w:jc w:val="center"/>
              </w:trPr>
              <w:tc>
                <w:tcPr>
                  <w:tcW w:w="1901" w:type="dxa"/>
                  <w:shd w:val="clear" w:color="auto" w:fill="BFBFBF" w:themeFill="background1" w:themeFillShade="BF"/>
                  <w:vAlign w:val="center"/>
                </w:tcPr>
                <w:p w14:paraId="2420A4A0"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Etiquetas de fila</w:t>
                  </w:r>
                </w:p>
              </w:tc>
              <w:tc>
                <w:tcPr>
                  <w:tcW w:w="900" w:type="dxa"/>
                  <w:shd w:val="clear" w:color="auto" w:fill="BFBFBF" w:themeFill="background1" w:themeFillShade="BF"/>
                  <w:vAlign w:val="center"/>
                </w:tcPr>
                <w:p w14:paraId="13586306"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2022-I</w:t>
                  </w:r>
                </w:p>
              </w:tc>
              <w:tc>
                <w:tcPr>
                  <w:tcW w:w="1035" w:type="dxa"/>
                  <w:shd w:val="clear" w:color="auto" w:fill="BFBFBF" w:themeFill="background1" w:themeFillShade="BF"/>
                  <w:vAlign w:val="center"/>
                </w:tcPr>
                <w:p w14:paraId="40DB88F0"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2022-II</w:t>
                  </w:r>
                </w:p>
              </w:tc>
              <w:tc>
                <w:tcPr>
                  <w:tcW w:w="975" w:type="dxa"/>
                  <w:shd w:val="clear" w:color="auto" w:fill="BFBFBF" w:themeFill="background1" w:themeFillShade="BF"/>
                  <w:vAlign w:val="center"/>
                </w:tcPr>
                <w:p w14:paraId="41213C06"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2023-I</w:t>
                  </w:r>
                </w:p>
              </w:tc>
              <w:tc>
                <w:tcPr>
                  <w:tcW w:w="945" w:type="dxa"/>
                  <w:shd w:val="clear" w:color="auto" w:fill="BFBFBF" w:themeFill="background1" w:themeFillShade="BF"/>
                  <w:vAlign w:val="center"/>
                </w:tcPr>
                <w:p w14:paraId="33088E0B"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2023-II</w:t>
                  </w:r>
                </w:p>
              </w:tc>
              <w:tc>
                <w:tcPr>
                  <w:tcW w:w="960" w:type="dxa"/>
                  <w:shd w:val="clear" w:color="auto" w:fill="BFBFBF" w:themeFill="background1" w:themeFillShade="BF"/>
                  <w:vAlign w:val="center"/>
                </w:tcPr>
                <w:p w14:paraId="6A3E09FF"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2024-I</w:t>
                  </w:r>
                </w:p>
              </w:tc>
              <w:tc>
                <w:tcPr>
                  <w:tcW w:w="1065" w:type="dxa"/>
                  <w:shd w:val="clear" w:color="auto" w:fill="BFBFBF" w:themeFill="background1" w:themeFillShade="BF"/>
                  <w:vAlign w:val="center"/>
                </w:tcPr>
                <w:p w14:paraId="691258D8"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2024-II</w:t>
                  </w:r>
                </w:p>
              </w:tc>
              <w:tc>
                <w:tcPr>
                  <w:tcW w:w="1020" w:type="dxa"/>
                  <w:shd w:val="clear" w:color="auto" w:fill="BFBFBF" w:themeFill="background1" w:themeFillShade="BF"/>
                  <w:vAlign w:val="center"/>
                </w:tcPr>
                <w:p w14:paraId="7FE7552B"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2025-I</w:t>
                  </w:r>
                </w:p>
              </w:tc>
            </w:tr>
            <w:tr w:rsidR="00C454A1" w:rsidRPr="00F8202F" w14:paraId="6ACB732A" w14:textId="77777777" w:rsidTr="001F3006">
              <w:trPr>
                <w:trHeight w:val="300"/>
                <w:jc w:val="center"/>
              </w:trPr>
              <w:tc>
                <w:tcPr>
                  <w:tcW w:w="1901" w:type="dxa"/>
                  <w:vAlign w:val="center"/>
                </w:tcPr>
                <w:p w14:paraId="76485041"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Combates</w:t>
                  </w:r>
                </w:p>
              </w:tc>
              <w:tc>
                <w:tcPr>
                  <w:tcW w:w="900" w:type="dxa"/>
                  <w:vAlign w:val="center"/>
                </w:tcPr>
                <w:p w14:paraId="4F3BC8A5"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55</w:t>
                  </w:r>
                </w:p>
              </w:tc>
              <w:tc>
                <w:tcPr>
                  <w:tcW w:w="1035" w:type="dxa"/>
                  <w:vAlign w:val="center"/>
                </w:tcPr>
                <w:p w14:paraId="438D45AC"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16</w:t>
                  </w:r>
                </w:p>
              </w:tc>
              <w:tc>
                <w:tcPr>
                  <w:tcW w:w="975" w:type="dxa"/>
                  <w:vAlign w:val="center"/>
                </w:tcPr>
                <w:p w14:paraId="1DB6A842"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20</w:t>
                  </w:r>
                </w:p>
              </w:tc>
              <w:tc>
                <w:tcPr>
                  <w:tcW w:w="945" w:type="dxa"/>
                  <w:vAlign w:val="center"/>
                </w:tcPr>
                <w:p w14:paraId="0361BE7A"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11</w:t>
                  </w:r>
                </w:p>
              </w:tc>
              <w:tc>
                <w:tcPr>
                  <w:tcW w:w="960" w:type="dxa"/>
                  <w:vAlign w:val="center"/>
                </w:tcPr>
                <w:p w14:paraId="57D50145"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4</w:t>
                  </w:r>
                </w:p>
              </w:tc>
              <w:tc>
                <w:tcPr>
                  <w:tcW w:w="1065" w:type="dxa"/>
                  <w:vAlign w:val="center"/>
                </w:tcPr>
                <w:p w14:paraId="219EA1B0"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26</w:t>
                  </w:r>
                </w:p>
              </w:tc>
              <w:tc>
                <w:tcPr>
                  <w:tcW w:w="1020" w:type="dxa"/>
                  <w:vAlign w:val="center"/>
                </w:tcPr>
                <w:p w14:paraId="5DADACCF"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3</w:t>
                  </w:r>
                </w:p>
              </w:tc>
            </w:tr>
            <w:tr w:rsidR="00C454A1" w:rsidRPr="00F8202F" w14:paraId="1D7DC103" w14:textId="77777777" w:rsidTr="001F3006">
              <w:trPr>
                <w:trHeight w:val="300"/>
                <w:jc w:val="center"/>
              </w:trPr>
              <w:tc>
                <w:tcPr>
                  <w:tcW w:w="1901" w:type="dxa"/>
                  <w:vAlign w:val="center"/>
                </w:tcPr>
                <w:p w14:paraId="1A0DF6AA"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Enfrentamientos</w:t>
                  </w:r>
                </w:p>
              </w:tc>
              <w:tc>
                <w:tcPr>
                  <w:tcW w:w="900" w:type="dxa"/>
                  <w:vAlign w:val="center"/>
                </w:tcPr>
                <w:p w14:paraId="24BC9A85"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0</w:t>
                  </w:r>
                </w:p>
              </w:tc>
              <w:tc>
                <w:tcPr>
                  <w:tcW w:w="1035" w:type="dxa"/>
                  <w:vAlign w:val="center"/>
                </w:tcPr>
                <w:p w14:paraId="7280B415"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0</w:t>
                  </w:r>
                </w:p>
              </w:tc>
              <w:tc>
                <w:tcPr>
                  <w:tcW w:w="975" w:type="dxa"/>
                  <w:vAlign w:val="center"/>
                </w:tcPr>
                <w:p w14:paraId="4E898CAE"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0</w:t>
                  </w:r>
                </w:p>
              </w:tc>
              <w:tc>
                <w:tcPr>
                  <w:tcW w:w="945" w:type="dxa"/>
                  <w:vAlign w:val="center"/>
                </w:tcPr>
                <w:p w14:paraId="0DE6BD37"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0</w:t>
                  </w:r>
                </w:p>
              </w:tc>
              <w:tc>
                <w:tcPr>
                  <w:tcW w:w="960" w:type="dxa"/>
                  <w:vAlign w:val="center"/>
                </w:tcPr>
                <w:p w14:paraId="67F59DD3"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0</w:t>
                  </w:r>
                </w:p>
              </w:tc>
              <w:tc>
                <w:tcPr>
                  <w:tcW w:w="1065" w:type="dxa"/>
                  <w:vAlign w:val="center"/>
                </w:tcPr>
                <w:p w14:paraId="54B4A65B"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0</w:t>
                  </w:r>
                </w:p>
              </w:tc>
              <w:tc>
                <w:tcPr>
                  <w:tcW w:w="1020" w:type="dxa"/>
                  <w:vAlign w:val="center"/>
                </w:tcPr>
                <w:p w14:paraId="315ED0D1"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12</w:t>
                  </w:r>
                </w:p>
              </w:tc>
            </w:tr>
          </w:tbl>
          <w:p w14:paraId="7C6256D2" w14:textId="77777777" w:rsidR="00C454A1" w:rsidRPr="00833016" w:rsidRDefault="00C454A1" w:rsidP="00881E6A">
            <w:pPr>
              <w:ind w:left="360" w:right="272"/>
              <w:rPr>
                <w:rFonts w:eastAsia="Times New Roman" w:cs="Times New Roman"/>
                <w:lang w:val="es-ES"/>
              </w:rPr>
            </w:pPr>
          </w:p>
          <w:p w14:paraId="63A9A21C" w14:textId="77777777" w:rsidR="00C454A1" w:rsidRPr="00833016" w:rsidRDefault="00C454A1" w:rsidP="00881E6A">
            <w:pPr>
              <w:ind w:left="360" w:right="272"/>
              <w:rPr>
                <w:rFonts w:eastAsia="Times New Roman" w:cs="Times New Roman"/>
                <w:lang w:val="es-ES"/>
              </w:rPr>
            </w:pPr>
            <w:r w:rsidRPr="00833016">
              <w:rPr>
                <w:rFonts w:eastAsia="Times New Roman" w:cs="Times New Roman"/>
                <w:lang w:val="es-ES"/>
              </w:rPr>
              <w:t>Respecto de esa información, la entidad aclaró que los enfrentamientos registrados en enero de 2025 se presentaron únicamente entre el GAO ELN y el GAO-R E-33. Por tanto, hasta el momento, no vinculaba</w:t>
            </w:r>
            <w:r>
              <w:rPr>
                <w:rFonts w:eastAsia="Times New Roman" w:cs="Times New Roman"/>
                <w:lang w:val="es-ES"/>
              </w:rPr>
              <w:t>n</w:t>
            </w:r>
            <w:r w:rsidRPr="00833016">
              <w:rPr>
                <w:rFonts w:eastAsia="Times New Roman" w:cs="Times New Roman"/>
                <w:lang w:val="es-ES"/>
              </w:rPr>
              <w:t xml:space="preserve"> a otros grupos. Además, estos enfrentamientos solo se han presentado en la región del Catatumbo. Según los reportes del Ejército Nacional, esos enfrentamientos iniciaron el 16 de enero en el municipio de Teorama.</w:t>
            </w:r>
          </w:p>
          <w:p w14:paraId="7DBCF4B2" w14:textId="77777777" w:rsidR="00C454A1" w:rsidRPr="00833016" w:rsidRDefault="00C454A1" w:rsidP="00881E6A">
            <w:pPr>
              <w:pStyle w:val="Prrafodelista"/>
              <w:ind w:left="360" w:right="272" w:hanging="360"/>
              <w:rPr>
                <w:rFonts w:eastAsia="Times New Roman" w:cs="Times New Roman"/>
                <w:lang w:val="es-ES"/>
              </w:rPr>
            </w:pPr>
          </w:p>
          <w:p w14:paraId="5504396A" w14:textId="77777777" w:rsidR="00C454A1" w:rsidRPr="00833016" w:rsidRDefault="00C454A1" w:rsidP="005F4A6F">
            <w:pPr>
              <w:pStyle w:val="Prrafodelista"/>
              <w:numPr>
                <w:ilvl w:val="0"/>
                <w:numId w:val="31"/>
              </w:numPr>
              <w:ind w:left="360" w:right="272"/>
              <w:rPr>
                <w:rFonts w:eastAsia="Times New Roman" w:cs="Times New Roman"/>
                <w:lang w:val="es-ES"/>
              </w:rPr>
            </w:pPr>
            <w:r w:rsidRPr="00801E15">
              <w:rPr>
                <w:rFonts w:eastAsia="Times New Roman" w:cs="Times New Roman"/>
                <w:u w:val="single"/>
                <w:lang w:val="es-ES"/>
              </w:rPr>
              <w:t>Daños a bienes protegidos y al ambiente en la zona</w:t>
            </w:r>
            <w:r w:rsidRPr="00833016">
              <w:rPr>
                <w:rFonts w:eastAsia="Times New Roman" w:cs="Times New Roman"/>
                <w:lang w:val="es-ES"/>
              </w:rPr>
              <w:t>. El Ministerio de Ambiente (MinAmbiente) remitió información relacionada con los daños al medioambiente, los bienes protegidos que han sido afectados, los responsables, las consecuencias y las medidas que ha adoptado el Gobierno nacional para afrontar esas consecuencias.</w:t>
            </w:r>
          </w:p>
          <w:p w14:paraId="1E1B6EF4" w14:textId="77777777" w:rsidR="00C454A1" w:rsidRPr="00833016" w:rsidRDefault="00C454A1" w:rsidP="00881E6A">
            <w:pPr>
              <w:pStyle w:val="Prrafodelista"/>
              <w:ind w:left="360" w:right="272" w:hanging="360"/>
              <w:rPr>
                <w:rFonts w:eastAsia="Times New Roman" w:cs="Times New Roman"/>
                <w:lang w:val="es-ES"/>
              </w:rPr>
            </w:pPr>
          </w:p>
          <w:p w14:paraId="1D7C3925" w14:textId="77777777" w:rsidR="00C454A1" w:rsidRPr="00833016" w:rsidRDefault="00C454A1" w:rsidP="005F4A6F">
            <w:pPr>
              <w:pStyle w:val="Prrafodelista"/>
              <w:numPr>
                <w:ilvl w:val="0"/>
                <w:numId w:val="28"/>
              </w:numPr>
              <w:ind w:right="272"/>
              <w:rPr>
                <w:rFonts w:eastAsia="Times New Roman" w:cs="Times New Roman"/>
                <w:lang w:val="es-ES"/>
              </w:rPr>
            </w:pPr>
            <w:r w:rsidRPr="002F0BDE">
              <w:rPr>
                <w:rFonts w:eastAsia="Times New Roman" w:cs="Times New Roman"/>
                <w:i/>
                <w:iCs/>
                <w:lang w:val="es-ES"/>
              </w:rPr>
              <w:t>Daños a bienes protegidos y al ambiente</w:t>
            </w:r>
            <w:r w:rsidRPr="00833016">
              <w:rPr>
                <w:rFonts w:eastAsia="Times New Roman" w:cs="Times New Roman"/>
                <w:lang w:val="es-ES"/>
              </w:rPr>
              <w:t>. El IDEAM ha identificado al municipio de Tibú como núcleo de deforestación en el periodo comprendido entre enero y septiembre de 2024. La causa directa de la deforestación es la expansión de los cultivos de uso ilícito</w:t>
            </w:r>
            <w:r w:rsidRPr="00833016">
              <w:rPr>
                <w:rStyle w:val="Refdenotaalpie"/>
                <w:rFonts w:eastAsia="Times New Roman" w:cs="Times New Roman"/>
                <w:lang w:val="es-ES"/>
              </w:rPr>
              <w:footnoteReference w:id="518"/>
            </w:r>
            <w:r w:rsidRPr="00833016">
              <w:rPr>
                <w:rFonts w:eastAsia="Times New Roman" w:cs="Times New Roman"/>
                <w:lang w:val="es-ES"/>
              </w:rPr>
              <w:t>. Esto implica una afectación al ambiente como bien protegido, así como a los recursos naturales renovables, la cual “se puede ver agravada con ocasión de la intensificación del conflicto armado en la región y de los factores desencadenantes de la deforestación”</w:t>
            </w:r>
            <w:r w:rsidRPr="00833016">
              <w:rPr>
                <w:rStyle w:val="Refdenotaalpie"/>
                <w:rFonts w:eastAsia="Times New Roman" w:cs="Times New Roman"/>
                <w:lang w:val="es-ES"/>
              </w:rPr>
              <w:footnoteReference w:id="519"/>
            </w:r>
            <w:r w:rsidRPr="00833016">
              <w:rPr>
                <w:rFonts w:eastAsia="Times New Roman" w:cs="Times New Roman"/>
                <w:lang w:val="es-ES"/>
              </w:rPr>
              <w:t xml:space="preserve">. Además, con base en la información aportada por la Autoridad Nacional de Licencias Ambientales (ANLA), el ministerio identificó </w:t>
            </w:r>
            <w:r w:rsidRPr="00833016">
              <w:rPr>
                <w:rFonts w:eastAsia="Times New Roman" w:cs="Times New Roman"/>
                <w:lang w:val="es-ES"/>
              </w:rPr>
              <w:lastRenderedPageBreak/>
              <w:t>daños a bienes protegidos y al ambiente, asociados a los siguientes hechos atribuibles a terceros en contra de la infraestructura petrolera:</w:t>
            </w:r>
          </w:p>
          <w:p w14:paraId="41A90440" w14:textId="77777777" w:rsidR="00C454A1" w:rsidRPr="00833016" w:rsidRDefault="00C454A1" w:rsidP="00881E6A">
            <w:pPr>
              <w:pStyle w:val="Prrafodelista"/>
              <w:ind w:right="272"/>
              <w:rPr>
                <w:rFonts w:eastAsia="Times New Roman" w:cs="Times New Roman"/>
                <w:lang w:val="es-ES"/>
              </w:rPr>
            </w:pPr>
          </w:p>
          <w:p w14:paraId="0C14F3DA" w14:textId="77777777" w:rsidR="00C454A1" w:rsidRPr="00833016" w:rsidRDefault="00C454A1" w:rsidP="005F4A6F">
            <w:pPr>
              <w:pStyle w:val="Prrafodelista"/>
              <w:numPr>
                <w:ilvl w:val="0"/>
                <w:numId w:val="27"/>
              </w:numPr>
              <w:ind w:right="272"/>
              <w:rPr>
                <w:rFonts w:eastAsia="Times New Roman" w:cs="Times New Roman"/>
                <w:lang w:val="es-ES"/>
              </w:rPr>
            </w:pPr>
            <w:r w:rsidRPr="00833016">
              <w:rPr>
                <w:rFonts w:eastAsia="Times New Roman" w:cs="Times New Roman"/>
                <w:lang w:val="es-ES"/>
              </w:rPr>
              <w:t>El 18 de enero de 2025, a las 4:20 de la mañana, explotó un artefacto cerca al sector puente de tabla. Además, encontraron otro artefacto explosivo sin detonar “sobre la vía que comunica a la vereda de Caño Mono, con avisos alusivos al ELN e informando la presente del artefacto explosivo”</w:t>
            </w:r>
            <w:r w:rsidRPr="00833016">
              <w:rPr>
                <w:rStyle w:val="Refdenotaalpie"/>
                <w:rFonts w:eastAsia="Times New Roman" w:cs="Times New Roman"/>
                <w:lang w:val="es-ES"/>
              </w:rPr>
              <w:footnoteReference w:id="520"/>
            </w:r>
            <w:r w:rsidRPr="00833016">
              <w:rPr>
                <w:rFonts w:eastAsia="Times New Roman" w:cs="Times New Roman"/>
                <w:lang w:val="es-ES"/>
              </w:rPr>
              <w:t>.</w:t>
            </w:r>
          </w:p>
          <w:p w14:paraId="1ADBBB8D" w14:textId="77777777" w:rsidR="00C454A1" w:rsidRPr="00833016" w:rsidRDefault="00C454A1" w:rsidP="005F4A6F">
            <w:pPr>
              <w:pStyle w:val="Prrafodelista"/>
              <w:numPr>
                <w:ilvl w:val="0"/>
                <w:numId w:val="27"/>
              </w:numPr>
              <w:ind w:right="272"/>
              <w:rPr>
                <w:rFonts w:eastAsia="Times New Roman" w:cs="Times New Roman"/>
                <w:lang w:val="es-ES"/>
              </w:rPr>
            </w:pPr>
            <w:r w:rsidRPr="00833016">
              <w:rPr>
                <w:rFonts w:eastAsia="Times New Roman" w:cs="Times New Roman"/>
                <w:lang w:val="es-ES"/>
              </w:rPr>
              <w:t>El 15 de enero de 2025, CENIT recibió el reporte de la pérdida de contención del oleoducto. Según la inspección, dicha pérdida ocurrió “por atentado terrorista a través de explosivos”.</w:t>
            </w:r>
          </w:p>
          <w:p w14:paraId="7AB6E364" w14:textId="77777777" w:rsidR="00C454A1" w:rsidRPr="00833016" w:rsidRDefault="00C454A1" w:rsidP="005F4A6F">
            <w:pPr>
              <w:pStyle w:val="Prrafodelista"/>
              <w:numPr>
                <w:ilvl w:val="0"/>
                <w:numId w:val="27"/>
              </w:numPr>
              <w:ind w:right="272"/>
              <w:rPr>
                <w:rFonts w:eastAsia="Times New Roman" w:cs="Times New Roman"/>
                <w:lang w:val="es-ES"/>
              </w:rPr>
            </w:pPr>
            <w:r w:rsidRPr="00833016">
              <w:rPr>
                <w:rFonts w:eastAsia="Times New Roman" w:cs="Times New Roman"/>
                <w:lang w:val="es-ES"/>
              </w:rPr>
              <w:t>El 3 de febrero de 2025 se reportó un evento de “terceros voluntarios con afectación ambiental de suelo y vegetación tipo pasto bajo por evento Válvula Ilícita de la línea de producción del pozo T-293 en Campo Tibú”</w:t>
            </w:r>
            <w:r w:rsidRPr="00833016">
              <w:rPr>
                <w:rStyle w:val="Refdenotaalpie"/>
                <w:rFonts w:eastAsia="Times New Roman" w:cs="Times New Roman"/>
                <w:lang w:val="es-ES"/>
              </w:rPr>
              <w:footnoteReference w:id="521"/>
            </w:r>
            <w:r w:rsidRPr="00833016">
              <w:rPr>
                <w:rFonts w:eastAsia="Times New Roman" w:cs="Times New Roman"/>
                <w:lang w:val="es-ES"/>
              </w:rPr>
              <w:t>.</w:t>
            </w:r>
          </w:p>
          <w:p w14:paraId="553E64FE" w14:textId="77777777" w:rsidR="00C454A1" w:rsidRPr="00833016" w:rsidRDefault="00C454A1" w:rsidP="00881E6A">
            <w:pPr>
              <w:pStyle w:val="Prrafodelista"/>
              <w:ind w:right="272"/>
              <w:rPr>
                <w:rFonts w:eastAsia="Times New Roman" w:cs="Times New Roman"/>
                <w:lang w:val="es-ES"/>
              </w:rPr>
            </w:pPr>
          </w:p>
          <w:p w14:paraId="55B5533E" w14:textId="77777777" w:rsidR="00C454A1" w:rsidRPr="00833016" w:rsidRDefault="00C454A1" w:rsidP="00881E6A">
            <w:pPr>
              <w:ind w:left="630" w:right="272"/>
              <w:rPr>
                <w:rFonts w:eastAsia="Times New Roman" w:cs="Times New Roman"/>
                <w:lang w:val="es-ES"/>
              </w:rPr>
            </w:pPr>
            <w:r w:rsidRPr="00833016">
              <w:rPr>
                <w:rFonts w:eastAsia="Times New Roman" w:cs="Times New Roman"/>
                <w:lang w:val="es-ES"/>
              </w:rPr>
              <w:t>En términos similares, la Corponor hizo referencia a los atentados al oleoducto Caño Limón Coveñas. Al respecto, explicó que estos “son de alto impacto ambiental, […] de carácter progresivo y residual persistente, con pasivos ambientales que van en aumento teniendo en cuenta que desde hace más de 40 años […] este ducto ha sufrido más de 1600 atentados, de los cuales por lo menos un 40% […] han ocurrido en Norte de Santander y específicamente con mayor incidencia en la cuenta del Río Catatumbo”</w:t>
            </w:r>
            <w:r w:rsidRPr="00833016">
              <w:rPr>
                <w:rStyle w:val="Refdenotaalpie"/>
                <w:rFonts w:eastAsia="Times New Roman" w:cs="Times New Roman"/>
                <w:lang w:val="es-ES"/>
              </w:rPr>
              <w:footnoteReference w:id="522"/>
            </w:r>
            <w:r w:rsidRPr="00833016">
              <w:rPr>
                <w:rFonts w:eastAsia="Times New Roman" w:cs="Times New Roman"/>
                <w:lang w:val="es-ES"/>
              </w:rPr>
              <w:t>. Como consecuencia, estos atentados han afectado los recursos hídricos, de fauna y flora, así como a la comunidad, “poniendo en riesgo la supervivencia de especies en estos ecosistemas, por contaminación con hidrocarburos, limitando los usos del agua para consumo humano de Municipios como Cúcuta y Tibú, con afectaciones al Parque Natural Catatumbo Barí y la etnia Motrilón Bari que tiene presencia en gran parte del territorio”</w:t>
            </w:r>
            <w:r w:rsidRPr="00833016">
              <w:rPr>
                <w:rStyle w:val="Refdenotaalpie"/>
                <w:rFonts w:eastAsia="Times New Roman" w:cs="Times New Roman"/>
                <w:lang w:val="es-ES"/>
              </w:rPr>
              <w:footnoteReference w:id="523"/>
            </w:r>
            <w:r w:rsidRPr="00833016">
              <w:rPr>
                <w:rFonts w:eastAsia="Times New Roman" w:cs="Times New Roman"/>
                <w:lang w:val="es-ES"/>
              </w:rPr>
              <w:t xml:space="preserve">. Además, tienen efectos negativos en la calidad </w:t>
            </w:r>
            <w:r w:rsidRPr="00833016">
              <w:rPr>
                <w:rFonts w:eastAsia="Times New Roman" w:cs="Times New Roman"/>
                <w:lang w:val="es-ES"/>
              </w:rPr>
              <w:lastRenderedPageBreak/>
              <w:t>del aire y de la atmósfera. Esta corporación envió un reporte de los incidentes ilícitos en el oleoducto, ocurridos desde el 15 de enero de 2019 y hasta el 22 de agosto de 2024</w:t>
            </w:r>
            <w:r w:rsidRPr="00833016">
              <w:rPr>
                <w:rStyle w:val="Refdenotaalpie"/>
                <w:rFonts w:eastAsia="Times New Roman" w:cs="Times New Roman"/>
                <w:lang w:val="es-ES"/>
              </w:rPr>
              <w:footnoteReference w:id="524"/>
            </w:r>
            <w:r w:rsidRPr="00833016">
              <w:rPr>
                <w:rFonts w:eastAsia="Times New Roman" w:cs="Times New Roman"/>
                <w:lang w:val="es-ES"/>
              </w:rPr>
              <w:t xml:space="preserve">. De estos, cuatro ocurrieron en 2022, uno en 2023 y uno en 2024.  </w:t>
            </w:r>
          </w:p>
          <w:p w14:paraId="28474BBD" w14:textId="77777777" w:rsidR="00C454A1" w:rsidRPr="00833016" w:rsidRDefault="00C454A1" w:rsidP="00881E6A">
            <w:pPr>
              <w:ind w:left="630" w:right="272"/>
              <w:rPr>
                <w:rFonts w:eastAsia="Times New Roman" w:cs="Times New Roman"/>
                <w:lang w:val="es-ES"/>
              </w:rPr>
            </w:pPr>
          </w:p>
          <w:p w14:paraId="52315FCF" w14:textId="77777777" w:rsidR="00C454A1" w:rsidRPr="00833016" w:rsidRDefault="00C454A1" w:rsidP="00881E6A">
            <w:pPr>
              <w:ind w:left="630" w:right="272"/>
              <w:rPr>
                <w:rFonts w:eastAsia="Times New Roman" w:cs="Times New Roman"/>
                <w:lang w:val="es-ES"/>
              </w:rPr>
            </w:pPr>
            <w:r w:rsidRPr="00833016">
              <w:rPr>
                <w:rFonts w:eastAsia="Times New Roman" w:cs="Times New Roman"/>
                <w:lang w:val="es-ES"/>
              </w:rPr>
              <w:t>Además, Corponor mencionó la minería ilegal y sus efectos en los bienes protegidos y el medioambiente. Explicó que “[e]ste tipo de estructuras artesanales provocan graves impactos en el medio ambiente, debido al uso indiscriminado de químicos que perturban el equilibrio y la sustentabilidad del ecosistema”</w:t>
            </w:r>
            <w:r w:rsidRPr="00833016">
              <w:rPr>
                <w:rStyle w:val="Refdenotaalpie"/>
                <w:rFonts w:eastAsia="Times New Roman" w:cs="Times New Roman"/>
                <w:lang w:val="es-ES"/>
              </w:rPr>
              <w:footnoteReference w:id="525"/>
            </w:r>
            <w:r w:rsidRPr="00833016">
              <w:rPr>
                <w:rFonts w:eastAsia="Times New Roman" w:cs="Times New Roman"/>
                <w:lang w:val="es-ES"/>
              </w:rPr>
              <w:t>. En particular, la corporación se refirió a actividades de explotación ilícita de yacimientos mineros y otros materiales que ocurrieron el 4 de agosto y el 26 de noviembre de 2023, así como el 4 de febrero de 2024. Al parecer, estos habrían sido realizados por miembros el ELN</w:t>
            </w:r>
            <w:r w:rsidRPr="00833016">
              <w:rPr>
                <w:rStyle w:val="Refdenotaalpie"/>
                <w:rFonts w:eastAsia="Times New Roman" w:cs="Times New Roman"/>
                <w:lang w:val="es-ES"/>
              </w:rPr>
              <w:footnoteReference w:id="526"/>
            </w:r>
            <w:r w:rsidRPr="00833016">
              <w:rPr>
                <w:rFonts w:eastAsia="Times New Roman" w:cs="Times New Roman"/>
                <w:lang w:val="es-ES"/>
              </w:rPr>
              <w:t>.</w:t>
            </w:r>
          </w:p>
          <w:p w14:paraId="4B357359" w14:textId="77777777" w:rsidR="00C454A1" w:rsidRPr="00833016" w:rsidRDefault="00C454A1" w:rsidP="00881E6A">
            <w:pPr>
              <w:ind w:left="630" w:right="272"/>
              <w:rPr>
                <w:rFonts w:eastAsia="Times New Roman" w:cs="Times New Roman"/>
                <w:lang w:val="es-ES"/>
              </w:rPr>
            </w:pPr>
          </w:p>
          <w:p w14:paraId="5C96ED6E" w14:textId="77777777" w:rsidR="00C454A1" w:rsidRPr="00833016" w:rsidRDefault="00C454A1" w:rsidP="00881E6A">
            <w:pPr>
              <w:ind w:left="630" w:right="272"/>
              <w:rPr>
                <w:rFonts w:eastAsia="Times New Roman" w:cs="Times New Roman"/>
                <w:lang w:val="es-ES"/>
              </w:rPr>
            </w:pPr>
            <w:r w:rsidRPr="00833016">
              <w:rPr>
                <w:rFonts w:eastAsia="Times New Roman" w:cs="Times New Roman"/>
                <w:lang w:val="es-ES"/>
              </w:rPr>
              <w:t xml:space="preserve">El MinAmbiente también identificó otros daños al medioambiente, con fundamento en la información remitida por la Corporación Autónoma Regional del Cesar (Corpocesar) y Corponor, a saber: la afectación a la flora por la tala indiscriminada, por incendios asociados con actividades productivas que se desarrollan en la región y daño a los recursos hídricos. Una de las denuncias que recibió Corpocesar en 2024 correspondió al derrame de hidrocarburos transportados de manera ilegal en Río de Oro. </w:t>
            </w:r>
          </w:p>
          <w:p w14:paraId="251F7578" w14:textId="77777777" w:rsidR="00C454A1" w:rsidRPr="00833016" w:rsidRDefault="00C454A1" w:rsidP="00881E6A">
            <w:pPr>
              <w:ind w:right="272"/>
              <w:rPr>
                <w:rFonts w:eastAsia="Times New Roman" w:cs="Times New Roman"/>
                <w:lang w:val="es-ES"/>
              </w:rPr>
            </w:pPr>
          </w:p>
          <w:p w14:paraId="42EA54A2" w14:textId="77777777" w:rsidR="00C454A1" w:rsidRPr="00833016" w:rsidRDefault="00C454A1" w:rsidP="005F4A6F">
            <w:pPr>
              <w:pStyle w:val="Prrafodelista"/>
              <w:numPr>
                <w:ilvl w:val="0"/>
                <w:numId w:val="28"/>
              </w:numPr>
              <w:ind w:right="272"/>
              <w:rPr>
                <w:rFonts w:eastAsia="Times New Roman" w:cs="Times New Roman"/>
                <w:lang w:val="es-ES"/>
              </w:rPr>
            </w:pPr>
            <w:r w:rsidRPr="002F0BDE">
              <w:rPr>
                <w:rFonts w:eastAsia="Times New Roman" w:cs="Times New Roman"/>
                <w:i/>
                <w:iCs/>
                <w:lang w:val="es-ES"/>
              </w:rPr>
              <w:t>Bienes protegidos afectados</w:t>
            </w:r>
            <w:r w:rsidRPr="00833016">
              <w:rPr>
                <w:rFonts w:eastAsia="Times New Roman" w:cs="Times New Roman"/>
                <w:lang w:val="es-ES"/>
              </w:rPr>
              <w:t xml:space="preserve">. De conformidad con la información remitida por distintos actores del sector, el ministerio identificó los siguientes bienes afectados: los bosques naturales de la región del Catatumbo por la deforestación y fragmentación de ecosistemas, incluyendo el PNN Catatumbo Barí, el suelo, la flora, la fauna, el recurso hídrico, las áreas húmedas y el aire. En concreto, según Corponor, hechos como la “voladura de oleoducto Caño Limó Coveñas” afectan “de manera directa […] los recursos naturales, aire, agua, flora, fauna, recurso </w:t>
            </w:r>
            <w:r w:rsidRPr="00833016">
              <w:rPr>
                <w:rFonts w:eastAsia="Times New Roman" w:cs="Times New Roman"/>
                <w:lang w:val="es-ES"/>
              </w:rPr>
              <w:lastRenderedPageBreak/>
              <w:t>hidrobiológico, infraestructura de acueductos y de carácter social, a la comunidad de las actividades de agricultura, ganadería y pesca de subsistencia”</w:t>
            </w:r>
            <w:r w:rsidRPr="00833016">
              <w:rPr>
                <w:rStyle w:val="Refdenotaalpie"/>
                <w:rFonts w:eastAsia="Times New Roman" w:cs="Times New Roman"/>
                <w:lang w:val="es-ES"/>
              </w:rPr>
              <w:footnoteReference w:id="527"/>
            </w:r>
            <w:r w:rsidRPr="00833016">
              <w:rPr>
                <w:rFonts w:eastAsia="Times New Roman" w:cs="Times New Roman"/>
                <w:lang w:val="es-ES"/>
              </w:rPr>
              <w:t>. Respecto de la minería ilegal, esta corporación señaló que atenta contra la “flora por la tala” y afecta, de manera indiscriminada, los “árboles para la explotación ilegal de minerales”. Además, contamina “las fuentes de agua que abastecen a los habitantes de la zona”, la fauna y “el recurso aire”</w:t>
            </w:r>
            <w:r w:rsidRPr="00833016">
              <w:rPr>
                <w:rStyle w:val="Refdenotaalpie"/>
                <w:rFonts w:eastAsia="Times New Roman" w:cs="Times New Roman"/>
                <w:lang w:val="es-ES"/>
              </w:rPr>
              <w:footnoteReference w:id="528"/>
            </w:r>
            <w:r w:rsidRPr="00833016">
              <w:rPr>
                <w:rFonts w:eastAsia="Times New Roman" w:cs="Times New Roman"/>
                <w:lang w:val="es-ES"/>
              </w:rPr>
              <w:t>.</w:t>
            </w:r>
          </w:p>
          <w:p w14:paraId="32BDB51A" w14:textId="77777777" w:rsidR="00C454A1" w:rsidRPr="00833016" w:rsidRDefault="00C454A1" w:rsidP="00881E6A">
            <w:pPr>
              <w:pStyle w:val="Prrafodelista"/>
              <w:ind w:right="272"/>
              <w:rPr>
                <w:rFonts w:eastAsia="Times New Roman" w:cs="Times New Roman"/>
                <w:lang w:val="es-ES"/>
              </w:rPr>
            </w:pPr>
          </w:p>
          <w:p w14:paraId="32D96FA7" w14:textId="77777777" w:rsidR="00C454A1" w:rsidRPr="00833016" w:rsidRDefault="00C454A1" w:rsidP="005F4A6F">
            <w:pPr>
              <w:pStyle w:val="Prrafodelista"/>
              <w:numPr>
                <w:ilvl w:val="0"/>
                <w:numId w:val="28"/>
              </w:numPr>
              <w:ind w:right="272"/>
              <w:rPr>
                <w:rFonts w:eastAsia="Times New Roman" w:cs="Times New Roman"/>
                <w:lang w:val="es-ES"/>
              </w:rPr>
            </w:pPr>
            <w:r w:rsidRPr="002F0BDE">
              <w:rPr>
                <w:rFonts w:eastAsia="Times New Roman" w:cs="Times New Roman"/>
                <w:i/>
                <w:iCs/>
                <w:lang w:val="es-ES"/>
              </w:rPr>
              <w:t>Responsables de los daños</w:t>
            </w:r>
            <w:r w:rsidRPr="00833016">
              <w:rPr>
                <w:rFonts w:eastAsia="Times New Roman" w:cs="Times New Roman"/>
                <w:lang w:val="es-ES"/>
              </w:rPr>
              <w:t>. Con base en la información que recibió de otras entidades, el ministerio indicó que “la amenaza de deforestación por cultivos de uso ilícito” tiene como actor principal a los “grupos al margen de la ley y los narcotraficantes que incentivan y regulan la actividad” y, “en segundo nivel se encuentran los campesinos y las comunidades indígenas que de manera forzada deben ingresar en la lógica económica que hay en la región”</w:t>
            </w:r>
            <w:r w:rsidRPr="00833016">
              <w:rPr>
                <w:rStyle w:val="Refdenotaalpie"/>
                <w:rFonts w:eastAsia="Times New Roman" w:cs="Times New Roman"/>
                <w:lang w:val="es-ES"/>
              </w:rPr>
              <w:footnoteReference w:id="529"/>
            </w:r>
            <w:r w:rsidRPr="00833016">
              <w:rPr>
                <w:rFonts w:eastAsia="Times New Roman" w:cs="Times New Roman"/>
                <w:lang w:val="es-ES"/>
              </w:rPr>
              <w:t>. Manifestó que, según Corponor, los hechos en contra del oleoducto Caño Limón Coveñas son atribuibles a “grupos armados al margen de la ley, llámense disidencias de las FARC, ELN, Pelusos, etc.”; y aquellos de minería ilegal al “ELN Frente Camilo Torres Restrepo”</w:t>
            </w:r>
            <w:r w:rsidRPr="00833016">
              <w:rPr>
                <w:rStyle w:val="Refdenotaalpie"/>
                <w:rFonts w:eastAsia="Times New Roman" w:cs="Times New Roman"/>
                <w:lang w:val="es-ES"/>
              </w:rPr>
              <w:footnoteReference w:id="530"/>
            </w:r>
            <w:r w:rsidRPr="00833016">
              <w:rPr>
                <w:rFonts w:eastAsia="Times New Roman" w:cs="Times New Roman"/>
                <w:lang w:val="es-ES"/>
              </w:rPr>
              <w:t>.</w:t>
            </w:r>
          </w:p>
          <w:p w14:paraId="5A9D1EE7" w14:textId="77777777" w:rsidR="00C454A1" w:rsidRPr="00833016" w:rsidRDefault="00C454A1" w:rsidP="00881E6A">
            <w:pPr>
              <w:pStyle w:val="Prrafodelista"/>
              <w:ind w:right="272"/>
              <w:rPr>
                <w:rFonts w:eastAsia="Times New Roman" w:cs="Times New Roman"/>
                <w:lang w:val="es-ES"/>
              </w:rPr>
            </w:pPr>
          </w:p>
          <w:p w14:paraId="58B75776" w14:textId="77777777" w:rsidR="00C454A1" w:rsidRPr="00833016" w:rsidRDefault="00C454A1" w:rsidP="005F4A6F">
            <w:pPr>
              <w:pStyle w:val="Prrafodelista"/>
              <w:numPr>
                <w:ilvl w:val="0"/>
                <w:numId w:val="28"/>
              </w:numPr>
              <w:ind w:right="272"/>
              <w:rPr>
                <w:rFonts w:eastAsia="Times New Roman" w:cs="Times New Roman"/>
                <w:lang w:val="es-ES"/>
              </w:rPr>
            </w:pPr>
            <w:r w:rsidRPr="00DB72F5">
              <w:rPr>
                <w:rFonts w:eastAsia="Times New Roman" w:cs="Times New Roman"/>
                <w:i/>
                <w:iCs/>
                <w:lang w:val="es-ES"/>
              </w:rPr>
              <w:t>Consecuencias de los daños</w:t>
            </w:r>
            <w:r w:rsidRPr="00833016">
              <w:rPr>
                <w:rFonts w:eastAsia="Times New Roman" w:cs="Times New Roman"/>
                <w:lang w:val="es-ES"/>
              </w:rPr>
              <w:t xml:space="preserve">. En primer lugar, en relación con el PNN Catatumbo Barí y su zona de influencia, los principales impactos de los cultivos ilícitos “son la deforestación y fragmentación de ecosistemas, la depredación del recurso pesquero, erosión en especial en las zonas de ladera y el subsecuente aporte de cargas químicas y de sedimentos a los cursos de agua; asociado a la pérdida de diversidad y el desplazamiento de especies de fauna a otros sectores no intervenidos. En términos sociales se agudiza el conflicto armado y por ende se generan procesos sociales que conllevan a la descomposición social tanto de colonos campesinos, como </w:t>
            </w:r>
            <w:r w:rsidRPr="00833016">
              <w:rPr>
                <w:rFonts w:eastAsia="Times New Roman" w:cs="Times New Roman"/>
                <w:lang w:val="es-ES"/>
              </w:rPr>
              <w:lastRenderedPageBreak/>
              <w:t>de indígenas, que terminan perdiendo sus costumbres tradicionales y su cultura”</w:t>
            </w:r>
            <w:r w:rsidRPr="00833016">
              <w:rPr>
                <w:rStyle w:val="Refdenotaalpie"/>
                <w:rFonts w:eastAsia="Times New Roman" w:cs="Times New Roman"/>
                <w:lang w:val="es-ES"/>
              </w:rPr>
              <w:footnoteReference w:id="531"/>
            </w:r>
            <w:r w:rsidRPr="00833016">
              <w:rPr>
                <w:rFonts w:eastAsia="Times New Roman" w:cs="Times New Roman"/>
                <w:lang w:val="es-ES"/>
              </w:rPr>
              <w:t>. En segundo lugar, con base en información de la JEP, manifestó que “las acciones en contra de la infraestructura petrolera como oleoductos y gaseoductos son una de las principales causas del derramamiento de crudo a ríos, quebradas y cuerpos de agua que proveen este recurso a los asentamientos humanos, trayendo como consecuencia grandes repercusiones ambientales”</w:t>
            </w:r>
            <w:r w:rsidRPr="00833016">
              <w:rPr>
                <w:rStyle w:val="Refdenotaalpie"/>
                <w:rFonts w:eastAsia="Times New Roman" w:cs="Times New Roman"/>
                <w:lang w:val="es-ES"/>
              </w:rPr>
              <w:footnoteReference w:id="532"/>
            </w:r>
            <w:r w:rsidRPr="00833016">
              <w:rPr>
                <w:rFonts w:eastAsia="Times New Roman" w:cs="Times New Roman"/>
                <w:lang w:val="es-ES"/>
              </w:rPr>
              <w:t>. En tercer lugar, y con fundamento en un capítulo del Informe Final de la Comisión de la Verdad, indicó que “las acciones bélicas, como los bombardeos y ataques a oleoductos, ha impactado gravemente la salud de los ecosistemas y las comunidades que dependen de ellos. Los derrames de crudo son considerados catastróficos y han provocado contaminación de fuentes hídricas superficiales y subterráneas y la desestabilización en sus sedimentos y nutrientes, filtración de crudo e hidrocarburos en el suelo, pérdida de cobertura vegetal, afectaciones a la fauna por la destrucción de nichos ecológicos, entre otros impactos”</w:t>
            </w:r>
            <w:r w:rsidRPr="00833016">
              <w:rPr>
                <w:rStyle w:val="Refdenotaalpie"/>
                <w:rFonts w:eastAsia="Times New Roman" w:cs="Times New Roman"/>
                <w:lang w:val="es-ES"/>
              </w:rPr>
              <w:footnoteReference w:id="533"/>
            </w:r>
            <w:r w:rsidRPr="00833016">
              <w:rPr>
                <w:rFonts w:eastAsia="Times New Roman" w:cs="Times New Roman"/>
                <w:lang w:val="es-ES"/>
              </w:rPr>
              <w:t>. En cuarto lugar, adujo que, según Corpocesar, los daños “han consistido en [la] tala indiscriminada y contaminación del recurso hídrico trayendo como consecuencias daños en la capa vegetal, contaminación, enfermedades, entre otros”</w:t>
            </w:r>
            <w:r w:rsidRPr="00833016">
              <w:rPr>
                <w:rStyle w:val="Refdenotaalpie"/>
                <w:rFonts w:eastAsia="Times New Roman" w:cs="Times New Roman"/>
                <w:lang w:val="es-ES"/>
              </w:rPr>
              <w:footnoteReference w:id="534"/>
            </w:r>
            <w:r w:rsidRPr="00833016">
              <w:rPr>
                <w:rFonts w:eastAsia="Times New Roman" w:cs="Times New Roman"/>
                <w:lang w:val="es-ES"/>
              </w:rPr>
              <w:t>.</w:t>
            </w:r>
          </w:p>
          <w:p w14:paraId="0CA33804" w14:textId="77777777" w:rsidR="00C454A1" w:rsidRPr="00833016" w:rsidRDefault="00C454A1" w:rsidP="00881E6A">
            <w:pPr>
              <w:pStyle w:val="Prrafodelista"/>
              <w:ind w:right="272"/>
              <w:rPr>
                <w:rFonts w:eastAsia="Times New Roman" w:cs="Times New Roman"/>
                <w:lang w:val="es-ES"/>
              </w:rPr>
            </w:pPr>
          </w:p>
          <w:p w14:paraId="6CA8A560" w14:textId="77777777" w:rsidR="00C454A1" w:rsidRPr="00833016" w:rsidRDefault="00C454A1" w:rsidP="00881E6A">
            <w:pPr>
              <w:ind w:left="720" w:right="272"/>
              <w:rPr>
                <w:rFonts w:eastAsia="Times New Roman" w:cs="Times New Roman"/>
                <w:lang w:val="es-ES"/>
              </w:rPr>
            </w:pPr>
            <w:r w:rsidRPr="00833016">
              <w:rPr>
                <w:rFonts w:eastAsia="Times New Roman" w:cs="Times New Roman"/>
                <w:lang w:val="es-ES"/>
              </w:rPr>
              <w:t xml:space="preserve">Finalmente, y con base en la información de Corponor, la “[v]oladura de oleducto Caño Limón Coveñas” ha causado daños </w:t>
            </w:r>
            <w:r w:rsidRPr="00074137">
              <w:rPr>
                <w:rFonts w:eastAsia="Times New Roman" w:cs="Times New Roman"/>
                <w:i/>
                <w:iCs/>
                <w:lang w:val="es-ES"/>
              </w:rPr>
              <w:t>(i)</w:t>
            </w:r>
            <w:r w:rsidRPr="00833016">
              <w:rPr>
                <w:rFonts w:eastAsia="Times New Roman" w:cs="Times New Roman"/>
                <w:lang w:val="es-ES"/>
              </w:rPr>
              <w:t xml:space="preserve"> a la calidad del recurso hídrico, “lo que genera mortandad de peces […]” y altera “la cadena trófica”</w:t>
            </w:r>
            <w:r w:rsidRPr="00833016">
              <w:rPr>
                <w:rStyle w:val="Refdenotaalpie"/>
                <w:rFonts w:eastAsia="Times New Roman" w:cs="Times New Roman"/>
                <w:lang w:val="es-ES"/>
              </w:rPr>
              <w:footnoteReference w:id="535"/>
            </w:r>
            <w:r w:rsidRPr="00833016">
              <w:rPr>
                <w:rFonts w:eastAsia="Times New Roman" w:cs="Times New Roman"/>
                <w:lang w:val="es-ES"/>
              </w:rPr>
              <w:t>;</w:t>
            </w:r>
            <w:r>
              <w:rPr>
                <w:rFonts w:eastAsia="Times New Roman" w:cs="Times New Roman"/>
                <w:lang w:val="es-ES"/>
              </w:rPr>
              <w:t xml:space="preserve"> y</w:t>
            </w:r>
            <w:r w:rsidRPr="00833016">
              <w:rPr>
                <w:rFonts w:eastAsia="Times New Roman" w:cs="Times New Roman"/>
                <w:lang w:val="es-ES"/>
              </w:rPr>
              <w:t xml:space="preserve"> </w:t>
            </w:r>
            <w:r w:rsidRPr="00074137">
              <w:rPr>
                <w:rFonts w:eastAsia="Times New Roman" w:cs="Times New Roman"/>
                <w:i/>
                <w:iCs/>
                <w:lang w:val="es-ES"/>
              </w:rPr>
              <w:t>(ii)</w:t>
            </w:r>
            <w:r w:rsidRPr="00833016">
              <w:rPr>
                <w:rFonts w:eastAsia="Times New Roman" w:cs="Times New Roman"/>
                <w:lang w:val="es-ES"/>
              </w:rPr>
              <w:t xml:space="preserve"> a la flora, en tanto que reduce “los procesos de transpiración, respiración, fotosíntesis y reproducción” de la vegetación, lo que provoca la “pérdida de capa vegetal, desplazamiento de especies animales en su entorno al igual que graves impactos” en ellos</w:t>
            </w:r>
            <w:r w:rsidRPr="00833016">
              <w:rPr>
                <w:rStyle w:val="Refdenotaalpie"/>
                <w:rFonts w:eastAsia="Times New Roman" w:cs="Times New Roman"/>
                <w:lang w:val="es-ES"/>
              </w:rPr>
              <w:footnoteReference w:id="536"/>
            </w:r>
            <w:r w:rsidRPr="00833016">
              <w:rPr>
                <w:rFonts w:eastAsia="Times New Roman" w:cs="Times New Roman"/>
                <w:lang w:val="es-ES"/>
              </w:rPr>
              <w:t xml:space="preserve">. Además, algunas aves “alcanzadas por el hidrocarburo” </w:t>
            </w:r>
            <w:r w:rsidRPr="00833016">
              <w:rPr>
                <w:rFonts w:eastAsia="Times New Roman" w:cs="Times New Roman"/>
                <w:lang w:val="es-ES"/>
              </w:rPr>
              <w:lastRenderedPageBreak/>
              <w:t>pueden morir, “por lo que sus vidas se ponen en riesgo”</w:t>
            </w:r>
            <w:r w:rsidRPr="00833016">
              <w:rPr>
                <w:rStyle w:val="Refdenotaalpie"/>
                <w:rFonts w:eastAsia="Times New Roman" w:cs="Times New Roman"/>
                <w:lang w:val="es-ES"/>
              </w:rPr>
              <w:footnoteReference w:id="537"/>
            </w:r>
            <w:r w:rsidRPr="00833016">
              <w:rPr>
                <w:rFonts w:eastAsia="Times New Roman" w:cs="Times New Roman"/>
                <w:lang w:val="es-ES"/>
              </w:rPr>
              <w:t xml:space="preserve"> y los mamíferos también pueden sufrir daños irreversibles. Todo lo anterior puede ocasionar, a largo plazo, la pérdida de “especies nativas en el recurso hídrico”, “pérdida de cobertura vegetal por los incendios que se generan con las explosiones</w:t>
            </w:r>
            <w:r w:rsidRPr="00833016">
              <w:rPr>
                <w:rFonts w:eastAsia="Times New Roman" w:cs="Times New Roman"/>
                <w:color w:val="000000" w:themeColor="text1"/>
                <w:lang w:val="es-ES"/>
              </w:rPr>
              <w:t xml:space="preserve"> </w:t>
            </w:r>
            <w:r w:rsidRPr="00833016">
              <w:rPr>
                <w:rFonts w:eastAsia="Times New Roman" w:cs="Times New Roman"/>
                <w:lang w:val="es-ES"/>
              </w:rPr>
              <w:t>afectado las asociación naturales de aves, mamíferos, la limitación temporal de aprovechamiento del recursos hídrico para consumo humano de acueductos Municipales y veredales, limitación de actividades agrícolas, pecuarias, afectación del Parque Natural Catatumbo Bari, afectación de la comunidad del resguardo Motilón Barí, en sus actividades ancestrales y de recolección de alimentos”</w:t>
            </w:r>
            <w:r w:rsidRPr="00833016">
              <w:rPr>
                <w:rStyle w:val="Refdenotaalpie"/>
                <w:rFonts w:eastAsia="Times New Roman" w:cs="Times New Roman"/>
                <w:lang w:val="es-ES"/>
              </w:rPr>
              <w:footnoteReference w:id="538"/>
            </w:r>
            <w:r w:rsidRPr="00833016">
              <w:rPr>
                <w:rFonts w:eastAsia="Times New Roman" w:cs="Times New Roman"/>
                <w:lang w:val="es-ES"/>
              </w:rPr>
              <w:t>. Respecto de la minería ilegal, la corporación indicó que provoca “graves impactos en el medio ambiente, debido al uso indiscriminado de químicos que perturban el equilibrio y la sustentabilidad del ecosistema”</w:t>
            </w:r>
            <w:r w:rsidRPr="00833016">
              <w:rPr>
                <w:rStyle w:val="Refdenotaalpie"/>
                <w:rFonts w:eastAsia="Times New Roman" w:cs="Times New Roman"/>
                <w:lang w:val="es-ES"/>
              </w:rPr>
              <w:footnoteReference w:id="539"/>
            </w:r>
            <w:r w:rsidRPr="00833016">
              <w:rPr>
                <w:rFonts w:eastAsia="Times New Roman" w:cs="Times New Roman"/>
                <w:lang w:val="es-ES"/>
              </w:rPr>
              <w:t xml:space="preserve">. </w:t>
            </w:r>
          </w:p>
          <w:p w14:paraId="1CDD4F5C" w14:textId="77777777" w:rsidR="00C454A1" w:rsidRPr="00833016" w:rsidRDefault="00C454A1" w:rsidP="00881E6A">
            <w:pPr>
              <w:pStyle w:val="Prrafodelista"/>
              <w:ind w:right="272"/>
              <w:rPr>
                <w:rFonts w:eastAsia="Times New Roman" w:cs="Times New Roman"/>
                <w:lang w:val="es-ES"/>
              </w:rPr>
            </w:pPr>
          </w:p>
          <w:p w14:paraId="713A3D15" w14:textId="77777777" w:rsidR="00C454A1" w:rsidRPr="00833016" w:rsidRDefault="00C454A1" w:rsidP="005F4A6F">
            <w:pPr>
              <w:pStyle w:val="Prrafodelista"/>
              <w:numPr>
                <w:ilvl w:val="0"/>
                <w:numId w:val="28"/>
              </w:numPr>
              <w:ind w:right="272"/>
              <w:rPr>
                <w:rFonts w:eastAsia="Times New Roman" w:cs="Times New Roman"/>
                <w:lang w:val="es-ES"/>
              </w:rPr>
            </w:pPr>
            <w:r w:rsidRPr="00DD44CC">
              <w:rPr>
                <w:rFonts w:eastAsia="Times New Roman" w:cs="Times New Roman"/>
                <w:i/>
                <w:iCs/>
                <w:lang w:val="es-ES"/>
              </w:rPr>
              <w:t>Medidas adoptadas por el Gobierno nacional</w:t>
            </w:r>
            <w:r w:rsidRPr="00833016">
              <w:rPr>
                <w:rFonts w:eastAsia="Times New Roman" w:cs="Times New Roman"/>
                <w:lang w:val="es-ES"/>
              </w:rPr>
              <w:t>. De un lado, el MinAmbiente explicó que la ANLA “realiza el control y seguimiento al 100% de las contingencias ambientales aplicando el ‘Protocolo de seguimiento y control a la atención ante contingencias ambientales, realizada por los titulares de proyectos obras o actividades, viabilizados por la ANLA’ SL-PT-02 […], el cual establece los criterios, decisiones, actividades, roles, responsabilidades y recomendaciones para los directivos y colaboradores de la ANLA en situaciones de contingencias, con el fin de garantizar que la Autoridad pueda verificar los hechos y las medidas ambientales implementadas para corregir las contingencias ambientales ocurridas”</w:t>
            </w:r>
            <w:r w:rsidRPr="00833016">
              <w:rPr>
                <w:rStyle w:val="Refdenotaalpie"/>
                <w:rFonts w:eastAsia="Times New Roman" w:cs="Times New Roman"/>
                <w:lang w:val="es-ES"/>
              </w:rPr>
              <w:footnoteReference w:id="540"/>
            </w:r>
            <w:r w:rsidRPr="00833016">
              <w:rPr>
                <w:rFonts w:eastAsia="Times New Roman" w:cs="Times New Roman"/>
                <w:lang w:val="es-ES"/>
              </w:rPr>
              <w:t>. Además, “elevó la consulta al Grupo de regionalización y Centro de Monitoreo de la Subdirección de Instrumentos Permisos y Tramites Ambientales. Este Grupo elaboró un diagnóstico de condiciones socioambientales de la Región del Catatumbo, el cual contiene la información general del área de revisión”</w:t>
            </w:r>
            <w:r w:rsidRPr="00833016">
              <w:rPr>
                <w:rStyle w:val="Refdenotaalpie"/>
                <w:rFonts w:eastAsia="Times New Roman" w:cs="Times New Roman"/>
                <w:lang w:val="es-ES"/>
              </w:rPr>
              <w:footnoteReference w:id="541"/>
            </w:r>
            <w:r w:rsidRPr="00833016">
              <w:rPr>
                <w:rFonts w:eastAsia="Times New Roman" w:cs="Times New Roman"/>
                <w:lang w:val="es-ES"/>
              </w:rPr>
              <w:t xml:space="preserve">, así como los instrumentos de planificación de la región, la </w:t>
            </w:r>
            <w:r w:rsidRPr="00833016">
              <w:rPr>
                <w:rFonts w:eastAsia="Times New Roman" w:cs="Times New Roman"/>
                <w:lang w:val="es-ES"/>
              </w:rPr>
              <w:lastRenderedPageBreak/>
              <w:t>jerarquización de impactos ambientales, entre otros. De otro lado, Corpocesar señaló que “ha desarrollado mesas de trabajo conjunta con los municipios de Río de Oro y González, en las cuales se han concertado acciones orientadas a la restauración a través de la siembra de especies nativas, desarrollo de proyectos orientados a la construcción de cocinas ecológicas y huertos leñeros, sin embargo, es preciso resaltar que dicho accionar se ha visto limitado por la presencia de grupos armados al margen de la Ley, que han impedido en algunos casos que se ejerza nuestra labor como máxima autoridad ambiental en el Departamento del Cesar, por los casos antes señalados”</w:t>
            </w:r>
            <w:r w:rsidRPr="00833016">
              <w:rPr>
                <w:rStyle w:val="Refdenotaalpie"/>
                <w:rFonts w:eastAsia="Times New Roman" w:cs="Times New Roman"/>
                <w:lang w:val="es-ES"/>
              </w:rPr>
              <w:footnoteReference w:id="542"/>
            </w:r>
            <w:r w:rsidRPr="00833016">
              <w:rPr>
                <w:rFonts w:eastAsia="Times New Roman" w:cs="Times New Roman"/>
                <w:lang w:val="es-ES"/>
              </w:rPr>
              <w:t xml:space="preserve">. </w:t>
            </w:r>
          </w:p>
          <w:p w14:paraId="62464577" w14:textId="77777777" w:rsidR="00C454A1" w:rsidRPr="00833016" w:rsidRDefault="00C454A1" w:rsidP="00881E6A">
            <w:pPr>
              <w:ind w:left="787" w:right="272"/>
              <w:rPr>
                <w:rFonts w:eastAsia="Times New Roman" w:cs="Times New Roman"/>
                <w:lang w:val="es-ES"/>
              </w:rPr>
            </w:pPr>
            <w:r w:rsidRPr="00833016">
              <w:rPr>
                <w:rFonts w:eastAsia="Times New Roman" w:cs="Times New Roman"/>
                <w:lang w:val="es-ES"/>
              </w:rPr>
              <w:t xml:space="preserve"> </w:t>
            </w:r>
          </w:p>
          <w:p w14:paraId="3CE3C35E" w14:textId="77777777" w:rsidR="00C454A1" w:rsidRPr="00833016" w:rsidRDefault="00C454A1" w:rsidP="00881E6A">
            <w:pPr>
              <w:ind w:left="720" w:right="272"/>
              <w:rPr>
                <w:rFonts w:eastAsia="Times New Roman" w:cs="Times New Roman"/>
                <w:lang w:val="es-ES"/>
              </w:rPr>
            </w:pPr>
            <w:r w:rsidRPr="00833016">
              <w:rPr>
                <w:rFonts w:eastAsia="Times New Roman" w:cs="Times New Roman"/>
                <w:lang w:val="es-ES"/>
              </w:rPr>
              <w:t>Finalmente, Corponor</w:t>
            </w:r>
            <w:r w:rsidRPr="00833016">
              <w:rPr>
                <w:rStyle w:val="Refdenotaalpie"/>
                <w:rFonts w:eastAsia="Times New Roman" w:cs="Times New Roman"/>
                <w:lang w:val="es-ES"/>
              </w:rPr>
              <w:footnoteReference w:id="543"/>
            </w:r>
            <w:r w:rsidRPr="00833016">
              <w:rPr>
                <w:rFonts w:eastAsia="Times New Roman" w:cs="Times New Roman"/>
                <w:lang w:val="es-ES"/>
              </w:rPr>
              <w:t xml:space="preserve"> explicó que, en relación con la “Voladura de oleoducto Caño Limón Coveñas”, Las fuerzas militares y de Policía, así como la Fiscalía General de la Nación, “han actuado en el apoyo para la atención, salvaguarda y Seguridad para que el personal técnico, operativo y equipos, realicen la respectiva atención de las emergencias, la reparación del ducto y limpieza de áreas afectadas, así como las investigaciones para determinar responsables y su judicialización”. Por su parte, CENIT, como operadora, “cuando las condiciones de seguridad lo permiten, realiza las actividades de atención, reparación y limpieza de las áreas afectadas, de manera coordinada con las autoridades ambientales en este caso, la […] ANLA, […] quien con el apoyo de la Autoridad Ambiental Regional CORPONOR hace seguimiento a la implementación del Plan de Emergencias y Contingencias, para derrames de hidrocarburos y sustancias peligrosas, lo que permite posteriormente iniciar los procesos sancionatorios si hubiera lugar”. Respecto de la minería legal indicó que las medidas corresponden a la “Presencia y control del Ejército Nacional para contrarrestar las actividades de estos grupos”.</w:t>
            </w:r>
          </w:p>
          <w:p w14:paraId="08CABE86" w14:textId="77777777" w:rsidR="00C454A1" w:rsidRPr="00833016" w:rsidRDefault="00C454A1" w:rsidP="00881E6A">
            <w:pPr>
              <w:ind w:right="272"/>
              <w:rPr>
                <w:rFonts w:eastAsia="Times New Roman" w:cs="Times New Roman"/>
                <w:lang w:val="es-ES"/>
              </w:rPr>
            </w:pPr>
          </w:p>
          <w:p w14:paraId="64FBD832" w14:textId="77777777" w:rsidR="00C454A1" w:rsidRPr="00833016" w:rsidRDefault="00C454A1" w:rsidP="00881E6A">
            <w:pPr>
              <w:ind w:right="272"/>
              <w:rPr>
                <w:rFonts w:eastAsia="Times New Roman" w:cs="Times New Roman"/>
                <w:b/>
                <w:lang w:val="es-ES"/>
              </w:rPr>
            </w:pPr>
            <w:r w:rsidRPr="00833016">
              <w:rPr>
                <w:rFonts w:eastAsia="Times New Roman" w:cs="Times New Roman"/>
                <w:b/>
                <w:i/>
                <w:lang w:val="es-ES"/>
              </w:rPr>
              <w:t>Presupuesto valorativo</w:t>
            </w:r>
            <w:r w:rsidRPr="00833016">
              <w:rPr>
                <w:rFonts w:eastAsia="Times New Roman" w:cs="Times New Roman"/>
                <w:b/>
                <w:lang w:val="es-ES"/>
              </w:rPr>
              <w:t>.</w:t>
            </w:r>
          </w:p>
          <w:p w14:paraId="2CA1D4E0" w14:textId="77777777" w:rsidR="00C454A1" w:rsidRPr="00833016" w:rsidRDefault="00C454A1" w:rsidP="00881E6A">
            <w:pPr>
              <w:ind w:right="272"/>
              <w:rPr>
                <w:rFonts w:eastAsia="Times New Roman" w:cs="Times New Roman"/>
                <w:lang w:val="es-ES"/>
              </w:rPr>
            </w:pPr>
          </w:p>
          <w:p w14:paraId="57705FA1" w14:textId="77777777" w:rsidR="00C454A1" w:rsidRPr="00E02A2A" w:rsidRDefault="00C454A1" w:rsidP="005F4A6F">
            <w:pPr>
              <w:pStyle w:val="Prrafodelista"/>
              <w:numPr>
                <w:ilvl w:val="0"/>
                <w:numId w:val="26"/>
              </w:numPr>
              <w:ind w:left="360" w:right="272"/>
              <w:rPr>
                <w:rFonts w:eastAsia="Times New Roman" w:cs="Times New Roman"/>
                <w:lang w:val="es-ES"/>
              </w:rPr>
            </w:pPr>
            <w:r w:rsidRPr="00833016">
              <w:rPr>
                <w:rFonts w:eastAsia="Times New Roman" w:cs="Times New Roman"/>
                <w:lang w:val="es-ES"/>
              </w:rPr>
              <w:lastRenderedPageBreak/>
              <w:t>El DAPRE explicó las razones por las que el Gobierno nacional concluyó que la intensificación d</w:t>
            </w:r>
            <w:r w:rsidRPr="00E02A2A">
              <w:rPr>
                <w:rFonts w:eastAsia="Times New Roman" w:cs="Times New Roman"/>
                <w:lang w:val="es-ES"/>
              </w:rPr>
              <w:t>e</w:t>
            </w:r>
            <w:r>
              <w:rPr>
                <w:rFonts w:eastAsia="Times New Roman" w:cs="Times New Roman"/>
                <w:lang w:val="es-ES"/>
              </w:rPr>
              <w:t xml:space="preserve"> </w:t>
            </w:r>
            <w:r w:rsidRPr="00E02A2A">
              <w:rPr>
                <w:rFonts w:eastAsia="Times New Roman" w:cs="Times New Roman"/>
                <w:lang w:val="es-ES"/>
              </w:rPr>
              <w:t>l</w:t>
            </w:r>
            <w:r>
              <w:rPr>
                <w:rFonts w:eastAsia="Times New Roman" w:cs="Times New Roman"/>
                <w:lang w:val="es-ES"/>
              </w:rPr>
              <w:t>a perturbación del</w:t>
            </w:r>
            <w:r w:rsidRPr="00E02A2A">
              <w:rPr>
                <w:rFonts w:eastAsia="Times New Roman" w:cs="Times New Roman"/>
                <w:lang w:val="es-ES"/>
              </w:rPr>
              <w:t xml:space="preserve"> orden público puede calificarse como “grave” (art. 213 CP). De un lado, indicó que en el Decreto 062 de 2025 el Gobierno puso de presente que en la región del Catatumbo hacen presencia el ELN, los GAO</w:t>
            </w:r>
            <w:r>
              <w:rPr>
                <w:rFonts w:eastAsia="Times New Roman" w:cs="Times New Roman"/>
                <w:lang w:val="es-ES"/>
              </w:rPr>
              <w:t>R</w:t>
            </w:r>
            <w:r w:rsidRPr="00E02A2A">
              <w:rPr>
                <w:rFonts w:eastAsia="Times New Roman" w:cs="Times New Roman"/>
                <w:lang w:val="es-ES"/>
              </w:rPr>
              <w:t xml:space="preserve"> Segunda Marquetalia y Estado Mayor Central, así como el GDO los “Pelusos”; y que el Clan del Golfo intenta ingresar a ese territorio. Además, en dicho decreto, manifestó que dichas organizaciones tenían “un pacto para la repartición de los negocios ilícitos [...] y para la entrada de compradores al territorio, que tuvo vigencia” hasta finales de 2024</w:t>
            </w:r>
            <w:r w:rsidRPr="00833016">
              <w:rPr>
                <w:rStyle w:val="Refdenotaalpie"/>
                <w:rFonts w:eastAsia="Times New Roman" w:cs="Times New Roman"/>
                <w:lang w:val="es-ES"/>
              </w:rPr>
              <w:footnoteReference w:id="544"/>
            </w:r>
            <w:r w:rsidRPr="00E02A2A">
              <w:rPr>
                <w:rFonts w:eastAsia="Times New Roman" w:cs="Times New Roman"/>
                <w:lang w:val="es-ES"/>
              </w:rPr>
              <w:t>. La ruptura de ese acuerdo implicó que, a comienzos de 2025, iniciara una confrontación entre esos grupos “y a que el ELN adelantara una imprevisible y violenta ofensiva contra las instituciones, la población civil, líderes sociales y, especialmente, firmantes del acuerdo final de paz en la región del Catatumbo. Esto, a su vez, ha generado una grave e incontrolada crisis humanitaria en dicha región y en los territorios colindantes, es decir, en el área metropolitana de Cúcuta y los municipios de Río de Oro y Gonzáles del departamento del Cesar”</w:t>
            </w:r>
            <w:r w:rsidRPr="00833016">
              <w:rPr>
                <w:rStyle w:val="Refdenotaalpie"/>
                <w:rFonts w:eastAsia="Times New Roman" w:cs="Times New Roman"/>
                <w:lang w:val="es-ES"/>
              </w:rPr>
              <w:footnoteReference w:id="545"/>
            </w:r>
            <w:r w:rsidRPr="00E02A2A">
              <w:rPr>
                <w:rFonts w:eastAsia="Times New Roman" w:cs="Times New Roman"/>
                <w:lang w:val="es-ES"/>
              </w:rPr>
              <w:t>.</w:t>
            </w:r>
          </w:p>
          <w:p w14:paraId="0D117D8E" w14:textId="77777777" w:rsidR="00C454A1" w:rsidRPr="00833016" w:rsidRDefault="00C454A1" w:rsidP="00881E6A">
            <w:pPr>
              <w:pStyle w:val="Prrafodelista"/>
              <w:ind w:left="360" w:right="272" w:hanging="360"/>
              <w:rPr>
                <w:rFonts w:eastAsia="Times New Roman" w:cs="Times New Roman"/>
                <w:lang w:val="es-ES"/>
              </w:rPr>
            </w:pPr>
          </w:p>
          <w:p w14:paraId="730A70CC" w14:textId="77777777" w:rsidR="00C454A1" w:rsidRPr="00833016" w:rsidRDefault="00C454A1" w:rsidP="00881E6A">
            <w:pPr>
              <w:ind w:left="270" w:right="272"/>
              <w:rPr>
                <w:rFonts w:eastAsia="Times New Roman" w:cs="Times New Roman"/>
                <w:lang w:val="es-ES"/>
              </w:rPr>
            </w:pPr>
            <w:r w:rsidRPr="00833016">
              <w:rPr>
                <w:rFonts w:eastAsia="Times New Roman" w:cs="Times New Roman"/>
                <w:lang w:val="es-ES"/>
              </w:rPr>
              <w:t>De otro lado, el departamento administrativo hizo referencia a la respuesta del MinDefensa, según el cual, la perturbación del orden público en esa región es “grave” por el incremento desproporcionado de homicidios, lesiones personales, desapariciones forzadas, desplazamientos forzados masivos y confinamientos de sectores de la población</w:t>
            </w:r>
            <w:r w:rsidRPr="00833016">
              <w:rPr>
                <w:rStyle w:val="Refdenotaalpie"/>
                <w:rFonts w:eastAsia="Times New Roman" w:cs="Times New Roman"/>
                <w:lang w:val="es-ES"/>
              </w:rPr>
              <w:footnoteReference w:id="546"/>
            </w:r>
            <w:r w:rsidRPr="00833016">
              <w:rPr>
                <w:rFonts w:eastAsia="Times New Roman" w:cs="Times New Roman"/>
                <w:lang w:val="es-ES"/>
              </w:rPr>
              <w:t>. Según dicho ministerio, desde 2022, “es la primera ocasión en la que se presentan confrontaciones entre el ELN y el GAO</w:t>
            </w:r>
            <w:r>
              <w:rPr>
                <w:rFonts w:eastAsia="Times New Roman" w:cs="Times New Roman"/>
                <w:lang w:val="es-ES"/>
              </w:rPr>
              <w:t>R</w:t>
            </w:r>
            <w:r w:rsidRPr="00833016">
              <w:rPr>
                <w:rFonts w:eastAsia="Times New Roman" w:cs="Times New Roman"/>
                <w:lang w:val="es-ES"/>
              </w:rPr>
              <w:t xml:space="preserve"> E-33. Esto se presenta en un contexto de convergencia de economías ilícitas que benefician las finanzas de ambos GAO mediante la dinamización del narcotráfico, la extorsión a multinacionales, minas de carbón y contrabando”</w:t>
            </w:r>
            <w:r w:rsidRPr="00833016">
              <w:rPr>
                <w:rStyle w:val="Refdenotaalpie"/>
                <w:rFonts w:eastAsia="Times New Roman" w:cs="Times New Roman"/>
                <w:lang w:val="es-ES"/>
              </w:rPr>
              <w:footnoteReference w:id="547"/>
            </w:r>
            <w:r w:rsidRPr="00833016">
              <w:rPr>
                <w:rFonts w:eastAsia="Times New Roman" w:cs="Times New Roman"/>
                <w:lang w:val="es-ES"/>
              </w:rPr>
              <w:t xml:space="preserve">. En ese contexto, la entidad indicó que, desde el 16 de enero de 2025, han ocurrido </w:t>
            </w:r>
            <w:r w:rsidRPr="00CB143B">
              <w:rPr>
                <w:rFonts w:eastAsia="Times New Roman" w:cs="Times New Roman"/>
                <w:i/>
                <w:iCs/>
                <w:lang w:val="es-ES"/>
              </w:rPr>
              <w:t>(i)</w:t>
            </w:r>
            <w:r w:rsidRPr="00833016">
              <w:rPr>
                <w:rFonts w:eastAsia="Times New Roman" w:cs="Times New Roman"/>
                <w:lang w:val="es-ES"/>
              </w:rPr>
              <w:t xml:space="preserve"> 52 homicidios, de los cuales 5 corresponden a firmantes de paz, 2 a líderes sociales, 41 a particulares y 4 a menores de edad; </w:t>
            </w:r>
            <w:r w:rsidRPr="00CB143B">
              <w:rPr>
                <w:rFonts w:eastAsia="Times New Roman" w:cs="Times New Roman"/>
                <w:i/>
                <w:iCs/>
                <w:lang w:val="es-ES"/>
              </w:rPr>
              <w:t>(ii)</w:t>
            </w:r>
            <w:r w:rsidRPr="00833016">
              <w:rPr>
                <w:rFonts w:eastAsia="Times New Roman" w:cs="Times New Roman"/>
                <w:lang w:val="es-ES"/>
              </w:rPr>
              <w:t xml:space="preserve"> 15 lesiones personales; </w:t>
            </w:r>
            <w:r w:rsidRPr="00CB143B">
              <w:rPr>
                <w:rFonts w:eastAsia="Times New Roman" w:cs="Times New Roman"/>
                <w:i/>
                <w:iCs/>
                <w:lang w:val="es-ES"/>
              </w:rPr>
              <w:t>(iii)</w:t>
            </w:r>
            <w:r w:rsidRPr="00833016">
              <w:rPr>
                <w:rFonts w:eastAsia="Times New Roman" w:cs="Times New Roman"/>
                <w:lang w:val="es-ES"/>
              </w:rPr>
              <w:t xml:space="preserve"> 53.361 desplazamientos forzados, cifra que “supera el total de desplazados de </w:t>
            </w:r>
            <w:r w:rsidRPr="00833016">
              <w:rPr>
                <w:rFonts w:eastAsia="Times New Roman" w:cs="Times New Roman"/>
                <w:lang w:val="es-ES"/>
              </w:rPr>
              <w:lastRenderedPageBreak/>
              <w:t>2024”</w:t>
            </w:r>
            <w:r w:rsidRPr="00833016">
              <w:rPr>
                <w:rStyle w:val="Refdenotaalpie"/>
                <w:rFonts w:eastAsia="Times New Roman" w:cs="Times New Roman"/>
                <w:lang w:val="es-ES"/>
              </w:rPr>
              <w:footnoteReference w:id="548"/>
            </w:r>
            <w:r w:rsidRPr="00833016">
              <w:rPr>
                <w:rFonts w:eastAsia="Times New Roman" w:cs="Times New Roman"/>
                <w:lang w:val="es-ES"/>
              </w:rPr>
              <w:t xml:space="preserve">; </w:t>
            </w:r>
            <w:r w:rsidRPr="00CB143B">
              <w:rPr>
                <w:rFonts w:eastAsia="Times New Roman" w:cs="Times New Roman"/>
                <w:i/>
                <w:iCs/>
                <w:lang w:val="es-ES"/>
              </w:rPr>
              <w:t>(iv)</w:t>
            </w:r>
            <w:r w:rsidRPr="00833016">
              <w:rPr>
                <w:rFonts w:eastAsia="Times New Roman" w:cs="Times New Roman"/>
                <w:lang w:val="es-ES"/>
              </w:rPr>
              <w:t xml:space="preserve"> 30.908 confinados y </w:t>
            </w:r>
            <w:r w:rsidRPr="00CB143B">
              <w:rPr>
                <w:rFonts w:eastAsia="Times New Roman" w:cs="Times New Roman"/>
                <w:i/>
                <w:iCs/>
                <w:lang w:val="es-ES"/>
              </w:rPr>
              <w:t>(v)</w:t>
            </w:r>
            <w:r w:rsidRPr="00833016">
              <w:rPr>
                <w:rFonts w:eastAsia="Times New Roman" w:cs="Times New Roman"/>
                <w:lang w:val="es-ES"/>
              </w:rPr>
              <w:t xml:space="preserve"> 6.081 personas en alojamientos temporales. En particular, respecto de los desplazamientos forzados, el Ministerio de Defensa agregó que “el número de desplazados reportados por el PMU en el municipio de Cúcuta es de 24.435, lo que representa el 45,7% del total de desplazados en los municipios delimitados por el Decreto de conmoción interior, lo cual, además de sobrepasar la capacidad de las autoridades locales y nacionales, ha generado intranquilidad y zozobra a la población civil que reside en esa región”</w:t>
            </w:r>
            <w:r w:rsidRPr="00833016">
              <w:rPr>
                <w:rStyle w:val="Refdenotaalpie"/>
                <w:rFonts w:eastAsia="Times New Roman" w:cs="Times New Roman"/>
                <w:lang w:val="es-ES"/>
              </w:rPr>
              <w:footnoteReference w:id="549"/>
            </w:r>
            <w:r w:rsidRPr="00833016">
              <w:rPr>
                <w:rFonts w:eastAsia="Times New Roman" w:cs="Times New Roman"/>
                <w:lang w:val="es-ES"/>
              </w:rPr>
              <w:t>. Respecto de los homicidios, explicó que los 52 que se concentraron en 19 días representan el 21% del total de homicidios de 2023 y 2024. El ministerio agregó que la forma en que se ha desatado la violencia, “la cual no se caracterizó por ataques a personas en armas sino a líderes sociales y firmantes de paz, estigmatizándolos públicamente como afines a una estructura armada, generó un temor generalizado, zozobra y miedo que conllevó a desplazamientos masivos” y un alto número de homicidios en solo 19 días</w:t>
            </w:r>
            <w:r w:rsidRPr="00833016">
              <w:rPr>
                <w:rStyle w:val="Refdenotaalpie"/>
                <w:rFonts w:eastAsia="Times New Roman" w:cs="Times New Roman"/>
                <w:lang w:val="es-ES"/>
              </w:rPr>
              <w:footnoteReference w:id="550"/>
            </w:r>
            <w:r w:rsidRPr="00833016">
              <w:rPr>
                <w:rFonts w:eastAsia="Times New Roman" w:cs="Times New Roman"/>
                <w:lang w:val="es-ES"/>
              </w:rPr>
              <w:t xml:space="preserve">. </w:t>
            </w:r>
          </w:p>
          <w:p w14:paraId="7296357F" w14:textId="77777777" w:rsidR="00C454A1" w:rsidRPr="00833016" w:rsidRDefault="00C454A1" w:rsidP="00881E6A">
            <w:pPr>
              <w:pStyle w:val="Prrafodelista"/>
              <w:ind w:left="360" w:right="272" w:hanging="360"/>
              <w:rPr>
                <w:rFonts w:eastAsia="Times New Roman" w:cs="Times New Roman"/>
                <w:lang w:val="es-ES"/>
              </w:rPr>
            </w:pPr>
          </w:p>
          <w:p w14:paraId="078F3EDA" w14:textId="77777777" w:rsidR="00C454A1" w:rsidRPr="00833016" w:rsidRDefault="00C454A1" w:rsidP="005F4A6F">
            <w:pPr>
              <w:pStyle w:val="Prrafodelista"/>
              <w:numPr>
                <w:ilvl w:val="0"/>
                <w:numId w:val="26"/>
              </w:numPr>
              <w:ind w:left="360" w:right="272"/>
              <w:rPr>
                <w:rFonts w:eastAsia="Times New Roman" w:cs="Times New Roman"/>
                <w:lang w:val="es-ES"/>
              </w:rPr>
            </w:pPr>
            <w:r w:rsidRPr="00833016">
              <w:rPr>
                <w:rFonts w:eastAsia="Times New Roman" w:cs="Times New Roman"/>
                <w:lang w:val="es-ES"/>
              </w:rPr>
              <w:t xml:space="preserve">El DAPRE explicó que los criterios con base en los cuales el Gobierno nacional delimitó el ámbito territorial del Decreto 62 de 2025 fueron los siguientes: </w:t>
            </w:r>
          </w:p>
          <w:p w14:paraId="1D6AF276" w14:textId="77777777" w:rsidR="00C454A1" w:rsidRDefault="00C454A1" w:rsidP="00881E6A">
            <w:pPr>
              <w:pStyle w:val="Prrafodelista"/>
              <w:ind w:left="360" w:right="272"/>
              <w:rPr>
                <w:rFonts w:eastAsia="Times New Roman" w:cs="Times New Roman"/>
                <w:lang w:val="es-ES"/>
              </w:rPr>
            </w:pPr>
          </w:p>
          <w:p w14:paraId="2AE4545D" w14:textId="77777777" w:rsidR="00C454A1" w:rsidRPr="00CB4685" w:rsidRDefault="00C454A1" w:rsidP="00881E6A">
            <w:pPr>
              <w:pStyle w:val="Prrafodelista"/>
              <w:ind w:left="360" w:right="272"/>
              <w:jc w:val="center"/>
              <w:rPr>
                <w:rFonts w:eastAsia="Times New Roman" w:cs="Times New Roman"/>
                <w:i/>
                <w:iCs/>
                <w:sz w:val="20"/>
                <w:szCs w:val="20"/>
                <w:lang w:val="es-ES"/>
              </w:rPr>
            </w:pPr>
            <w:r w:rsidRPr="00CB4685">
              <w:rPr>
                <w:rFonts w:eastAsia="Times New Roman" w:cs="Times New Roman"/>
                <w:i/>
                <w:iCs/>
                <w:sz w:val="20"/>
                <w:szCs w:val="20"/>
                <w:lang w:val="es-ES"/>
              </w:rPr>
              <w:t>Tabla 13: criterios empleados por el Gobierno nacional para la delimitación territorial del decreto Legislativo 62 de 2025</w:t>
            </w:r>
          </w:p>
          <w:tbl>
            <w:tblPr>
              <w:tblStyle w:val="Tablaconcuadrcula"/>
              <w:tblW w:w="14372" w:type="dxa"/>
              <w:jc w:val="center"/>
              <w:tblLook w:val="04A0" w:firstRow="1" w:lastRow="0" w:firstColumn="1" w:lastColumn="0" w:noHBand="0" w:noVBand="1"/>
            </w:tblPr>
            <w:tblGrid>
              <w:gridCol w:w="3352"/>
              <w:gridCol w:w="11020"/>
            </w:tblGrid>
            <w:tr w:rsidR="00C454A1" w:rsidRPr="00B64577" w14:paraId="75B4FF03" w14:textId="77777777" w:rsidTr="001F3006">
              <w:trPr>
                <w:trHeight w:val="300"/>
                <w:jc w:val="center"/>
              </w:trPr>
              <w:tc>
                <w:tcPr>
                  <w:tcW w:w="3352" w:type="dxa"/>
                  <w:shd w:val="clear" w:color="auto" w:fill="BFBFBF" w:themeFill="background1" w:themeFillShade="BF"/>
                  <w:vAlign w:val="center"/>
                </w:tcPr>
                <w:p w14:paraId="14852FCE" w14:textId="77777777" w:rsidR="00C454A1" w:rsidRPr="00833016" w:rsidRDefault="00C454A1" w:rsidP="00881E6A">
                  <w:pPr>
                    <w:pStyle w:val="Prrafodelista"/>
                    <w:ind w:left="0" w:right="272"/>
                    <w:jc w:val="center"/>
                    <w:rPr>
                      <w:rFonts w:eastAsia="Times New Roman" w:cs="Times New Roman"/>
                      <w:b/>
                      <w:sz w:val="20"/>
                      <w:szCs w:val="20"/>
                      <w:lang w:val="es-ES"/>
                    </w:rPr>
                  </w:pPr>
                  <w:r w:rsidRPr="00833016">
                    <w:rPr>
                      <w:rFonts w:eastAsia="Times New Roman" w:cs="Times New Roman"/>
                      <w:b/>
                      <w:sz w:val="20"/>
                      <w:szCs w:val="20"/>
                      <w:lang w:val="es-ES"/>
                    </w:rPr>
                    <w:t>Criterio</w:t>
                  </w:r>
                </w:p>
              </w:tc>
              <w:tc>
                <w:tcPr>
                  <w:tcW w:w="11020" w:type="dxa"/>
                  <w:shd w:val="clear" w:color="auto" w:fill="BFBFBF" w:themeFill="background1" w:themeFillShade="BF"/>
                  <w:vAlign w:val="center"/>
                </w:tcPr>
                <w:p w14:paraId="5487B845" w14:textId="77777777" w:rsidR="00C454A1" w:rsidRPr="00833016" w:rsidRDefault="00C454A1" w:rsidP="00881E6A">
                  <w:pPr>
                    <w:pStyle w:val="Prrafodelista"/>
                    <w:ind w:left="0" w:right="272"/>
                    <w:jc w:val="center"/>
                    <w:rPr>
                      <w:rFonts w:eastAsia="Times New Roman" w:cs="Times New Roman"/>
                      <w:b/>
                      <w:sz w:val="20"/>
                      <w:szCs w:val="20"/>
                      <w:lang w:val="es-ES"/>
                    </w:rPr>
                  </w:pPr>
                  <w:r w:rsidRPr="00833016">
                    <w:rPr>
                      <w:rFonts w:eastAsia="Times New Roman" w:cs="Times New Roman"/>
                      <w:b/>
                      <w:sz w:val="20"/>
                      <w:szCs w:val="20"/>
                      <w:lang w:val="es-ES"/>
                    </w:rPr>
                    <w:t>Descripción</w:t>
                  </w:r>
                </w:p>
              </w:tc>
            </w:tr>
            <w:tr w:rsidR="00C454A1" w:rsidRPr="00F8202F" w14:paraId="15900D1C" w14:textId="77777777" w:rsidTr="001F3006">
              <w:trPr>
                <w:trHeight w:val="300"/>
                <w:jc w:val="center"/>
              </w:trPr>
              <w:tc>
                <w:tcPr>
                  <w:tcW w:w="3352" w:type="dxa"/>
                  <w:vAlign w:val="center"/>
                </w:tcPr>
                <w:p w14:paraId="3BA80F06"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Escalamiento de hostilidades en la subregión del Catatumbo y el área metropolitana de Cúcuta</w:t>
                  </w:r>
                </w:p>
              </w:tc>
              <w:tc>
                <w:tcPr>
                  <w:tcW w:w="11020" w:type="dxa"/>
                  <w:vAlign w:val="center"/>
                </w:tcPr>
                <w:p w14:paraId="3955399D"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Según el Ministerio de Defensa Nacional, desde 2022 es la primera vez “que se presentan confrontaciones entre el ELN y el GAO-r E-33</w:t>
                  </w:r>
                  <w:r w:rsidRPr="00833016">
                    <w:rPr>
                      <w:rStyle w:val="Refdenotaalpie"/>
                      <w:rFonts w:eastAsia="Times New Roman" w:cs="Times New Roman"/>
                      <w:sz w:val="20"/>
                      <w:szCs w:val="20"/>
                      <w:lang w:val="es-ES"/>
                    </w:rPr>
                    <w:footnoteReference w:id="551"/>
                  </w:r>
                  <w:r w:rsidRPr="00833016">
                    <w:rPr>
                      <w:rFonts w:eastAsia="Times New Roman" w:cs="Times New Roman"/>
                      <w:sz w:val="20"/>
                      <w:szCs w:val="20"/>
                      <w:lang w:val="es-ES"/>
                    </w:rPr>
                    <w:t>.</w:t>
                  </w:r>
                </w:p>
              </w:tc>
            </w:tr>
            <w:tr w:rsidR="00C454A1" w:rsidRPr="00F8202F" w14:paraId="58D40140" w14:textId="77777777" w:rsidTr="001F3006">
              <w:trPr>
                <w:trHeight w:val="300"/>
                <w:jc w:val="center"/>
              </w:trPr>
              <w:tc>
                <w:tcPr>
                  <w:tcW w:w="3352" w:type="dxa"/>
                  <w:vAlign w:val="center"/>
                </w:tcPr>
                <w:p w14:paraId="5253B32D"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Incremento de los cultivos ilícitos y, en particular, de coca</w:t>
                  </w:r>
                </w:p>
              </w:tc>
              <w:tc>
                <w:tcPr>
                  <w:tcW w:w="11020" w:type="dxa"/>
                  <w:vAlign w:val="center"/>
                </w:tcPr>
                <w:p w14:paraId="700DB48A"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De conformidad con la información suministrada por el Ministerio de Justicia y del Derecho, “los cultivos ilícitos especialmente de hoja de coca han venido incrementando según el último informe (2023) del […] SIMCI, representando un incentivo perverso para la disputa por el control de la droga entre los grupos armados organizados. En octubre de 2024, el GAOr 33 reactivó la compra de past</w:t>
                  </w:r>
                  <w:r>
                    <w:rPr>
                      <w:rFonts w:eastAsia="Times New Roman" w:cs="Times New Roman"/>
                      <w:sz w:val="20"/>
                      <w:szCs w:val="20"/>
                      <w:lang w:val="es-ES"/>
                    </w:rPr>
                    <w:t>a</w:t>
                  </w:r>
                  <w:r w:rsidRPr="00833016">
                    <w:rPr>
                      <w:rFonts w:eastAsia="Times New Roman" w:cs="Times New Roman"/>
                      <w:sz w:val="20"/>
                      <w:szCs w:val="20"/>
                      <w:lang w:val="es-ES"/>
                    </w:rPr>
                    <w:t xml:space="preserve"> y base de coca, ejerciendo competencia en un mercado que hasta el momento había estado monopolizado por el ELN”</w:t>
                  </w:r>
                  <w:r w:rsidRPr="00833016">
                    <w:rPr>
                      <w:rStyle w:val="Refdenotaalpie"/>
                      <w:rFonts w:eastAsia="Times New Roman" w:cs="Times New Roman"/>
                      <w:sz w:val="20"/>
                      <w:szCs w:val="20"/>
                      <w:lang w:val="es-ES"/>
                    </w:rPr>
                    <w:footnoteReference w:id="552"/>
                  </w:r>
                  <w:r w:rsidRPr="00833016">
                    <w:rPr>
                      <w:rFonts w:eastAsia="Times New Roman" w:cs="Times New Roman"/>
                      <w:sz w:val="20"/>
                      <w:szCs w:val="20"/>
                      <w:lang w:val="es-ES"/>
                    </w:rPr>
                    <w:t xml:space="preserve">. </w:t>
                  </w:r>
                </w:p>
              </w:tc>
            </w:tr>
            <w:tr w:rsidR="00C454A1" w:rsidRPr="00F8202F" w14:paraId="63D5C2F0" w14:textId="77777777" w:rsidTr="001F3006">
              <w:trPr>
                <w:trHeight w:val="300"/>
                <w:jc w:val="center"/>
              </w:trPr>
              <w:tc>
                <w:tcPr>
                  <w:tcW w:w="3352" w:type="dxa"/>
                  <w:vAlign w:val="center"/>
                </w:tcPr>
                <w:p w14:paraId="5840DC79"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lastRenderedPageBreak/>
                    <w:t>Ataques a la población civil, en particular a líderes sociales en la región del Catatumbo y el área metropolitana de Cúcuta</w:t>
                  </w:r>
                </w:p>
              </w:tc>
              <w:tc>
                <w:tcPr>
                  <w:tcW w:w="11020" w:type="dxa"/>
                  <w:vAlign w:val="center"/>
                </w:tcPr>
                <w:p w14:paraId="4B570132"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 xml:space="preserve">Según el Ministerio de Defensa Nacional, de los 52 homicidios ocurridos en 2025, 25 se registraron en Tibú, 21 en Teorama, 4 en El Tarra, 1 en El Tarra y 1 en San Calixto; y de las 15 lesiones personales, 5 ocurrieron en Tibú, 3 en Teorama, 3 en San Calixto, 1 en Convención y 3 en El Tarra. Además, con base en la información relacionada en el numeral i </w:t>
                  </w:r>
                  <w:r w:rsidRPr="00833016">
                    <w:rPr>
                      <w:rFonts w:eastAsia="Times New Roman" w:cs="Times New Roman"/>
                      <w:i/>
                      <w:iCs/>
                      <w:sz w:val="20"/>
                      <w:szCs w:val="20"/>
                      <w:lang w:val="es-ES"/>
                    </w:rPr>
                    <w:t>supra</w:t>
                  </w:r>
                  <w:r w:rsidRPr="00833016">
                    <w:rPr>
                      <w:rFonts w:eastAsia="Times New Roman" w:cs="Times New Roman"/>
                      <w:sz w:val="20"/>
                      <w:szCs w:val="20"/>
                      <w:lang w:val="es-ES"/>
                    </w:rPr>
                    <w:t>, concluyó que “la perturbación del orden público en la región del Catatumbo es extraordinaria y grave”</w:t>
                  </w:r>
                  <w:r w:rsidRPr="00833016">
                    <w:rPr>
                      <w:rStyle w:val="Refdenotaalpie"/>
                      <w:rFonts w:eastAsia="Times New Roman" w:cs="Times New Roman"/>
                      <w:sz w:val="20"/>
                      <w:szCs w:val="20"/>
                      <w:lang w:val="es-ES"/>
                    </w:rPr>
                    <w:footnoteReference w:id="553"/>
                  </w:r>
                  <w:r w:rsidRPr="00833016">
                    <w:rPr>
                      <w:rFonts w:eastAsia="Times New Roman" w:cs="Times New Roman"/>
                      <w:sz w:val="20"/>
                      <w:szCs w:val="20"/>
                      <w:lang w:val="es-ES"/>
                    </w:rPr>
                    <w:t>.</w:t>
                  </w:r>
                </w:p>
              </w:tc>
            </w:tr>
            <w:tr w:rsidR="00C454A1" w:rsidRPr="00F8202F" w14:paraId="6007D255" w14:textId="77777777" w:rsidTr="001F3006">
              <w:trPr>
                <w:trHeight w:val="300"/>
                <w:jc w:val="center"/>
              </w:trPr>
              <w:tc>
                <w:tcPr>
                  <w:tcW w:w="3352" w:type="dxa"/>
                  <w:vAlign w:val="center"/>
                </w:tcPr>
                <w:p w14:paraId="1AA460FC"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Presencia y accionar del ELN y confrontación violenta entre ese actor armado y el EPL</w:t>
                  </w:r>
                </w:p>
              </w:tc>
              <w:tc>
                <w:tcPr>
                  <w:tcW w:w="11020" w:type="dxa"/>
                  <w:vAlign w:val="center"/>
                </w:tcPr>
                <w:p w14:paraId="2F295753"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El DAPRE se remitió a la página 5 del oficio suscrito por el Ministerio de Defensa, en la que indicó que desde 2022 han ocurrido 21 homicidios a líderes sociales en la subregión del Catatumbo y en el Área Metropolitana de Cúcuta, y 9 homicidios en contra de firmantes de paz. Además, este ministerio comparó las afectaciones a defensores de derechos humanos y firmantes de paz entre 2022 y 2025. Asimismo, aseguró que “las afectaciones de la actividad criminal de los GAOs, principalmente del ELN, se ha[n] dirigido en contra de la población civil y de manera especial hacia firmantes de paz y líderes sociales”</w:t>
                  </w:r>
                  <w:r w:rsidRPr="00833016">
                    <w:rPr>
                      <w:rStyle w:val="Refdenotaalpie"/>
                      <w:rFonts w:eastAsia="Times New Roman" w:cs="Times New Roman"/>
                      <w:sz w:val="20"/>
                      <w:szCs w:val="20"/>
                      <w:lang w:val="es-ES"/>
                    </w:rPr>
                    <w:footnoteReference w:id="554"/>
                  </w:r>
                  <w:r w:rsidRPr="00833016">
                    <w:rPr>
                      <w:rFonts w:eastAsia="Times New Roman" w:cs="Times New Roman"/>
                      <w:sz w:val="20"/>
                      <w:szCs w:val="20"/>
                      <w:lang w:val="es-ES"/>
                    </w:rPr>
                    <w:t>. También, el ministerio relacionó las alertas tempranas en las que, desde 2020, la Defensoría del Pueblo ha identificado riesgos en distintos municipios relevantes, entre otras, por la confluencia del ELN, el EPL y disidencias de las FARC-EP (</w:t>
                  </w:r>
                  <w:r w:rsidRPr="00833016">
                    <w:rPr>
                      <w:rFonts w:eastAsia="Times New Roman" w:cs="Times New Roman"/>
                      <w:i/>
                      <w:sz w:val="20"/>
                      <w:szCs w:val="20"/>
                      <w:lang w:val="es-ES"/>
                    </w:rPr>
                    <w:t>supra</w:t>
                  </w:r>
                  <w:r w:rsidRPr="00833016">
                    <w:rPr>
                      <w:rFonts w:eastAsia="Times New Roman" w:cs="Times New Roman"/>
                      <w:sz w:val="20"/>
                      <w:szCs w:val="20"/>
                      <w:lang w:val="es-ES"/>
                    </w:rPr>
                    <w:t xml:space="preserve"> numeral </w:t>
                  </w:r>
                  <w:r w:rsidRPr="008A26EA">
                    <w:rPr>
                      <w:rFonts w:eastAsia="Times New Roman" w:cs="Times New Roman"/>
                      <w:i/>
                      <w:iCs/>
                      <w:sz w:val="20"/>
                      <w:szCs w:val="20"/>
                      <w:lang w:val="es-ES"/>
                    </w:rPr>
                    <w:t>iv</w:t>
                  </w:r>
                  <w:r w:rsidRPr="00833016">
                    <w:rPr>
                      <w:rFonts w:eastAsia="Times New Roman" w:cs="Times New Roman"/>
                      <w:sz w:val="20"/>
                      <w:szCs w:val="20"/>
                      <w:lang w:val="es-ES"/>
                    </w:rPr>
                    <w:t xml:space="preserve"> del presupuesto fáctico).  </w:t>
                  </w:r>
                </w:p>
              </w:tc>
            </w:tr>
            <w:tr w:rsidR="00C454A1" w:rsidRPr="00F8202F" w14:paraId="515B2212" w14:textId="77777777" w:rsidTr="001F3006">
              <w:trPr>
                <w:trHeight w:val="300"/>
                <w:jc w:val="center"/>
              </w:trPr>
              <w:tc>
                <w:tcPr>
                  <w:tcW w:w="3352" w:type="dxa"/>
                  <w:vAlign w:val="center"/>
                </w:tcPr>
                <w:p w14:paraId="271CF626"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Aumento “alarmante” del desplazamiento de la población que habita en esas zonas</w:t>
                  </w:r>
                </w:p>
              </w:tc>
              <w:tc>
                <w:tcPr>
                  <w:tcW w:w="11020" w:type="dxa"/>
                  <w:vAlign w:val="center"/>
                </w:tcPr>
                <w:p w14:paraId="1D1BDF88"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Según el Ministerio de Defensa, los enfrentamientos no se han caracterizado por “ataques a personas en armas sino a líderes sociales y firmantes de paz, estigmatizándolos públicamente como afines a una estructura armada”, lo que “generó un temor generalizado, zozobra y miedo que conllevó a desplazamientos masivos […]”</w:t>
                  </w:r>
                  <w:r w:rsidRPr="00833016">
                    <w:rPr>
                      <w:rStyle w:val="Refdenotaalpie"/>
                      <w:rFonts w:eastAsia="Times New Roman" w:cs="Times New Roman"/>
                      <w:sz w:val="20"/>
                      <w:szCs w:val="20"/>
                      <w:lang w:val="es-ES"/>
                    </w:rPr>
                    <w:footnoteReference w:id="555"/>
                  </w:r>
                  <w:r w:rsidRPr="00833016">
                    <w:rPr>
                      <w:rFonts w:eastAsia="Times New Roman" w:cs="Times New Roman"/>
                      <w:sz w:val="20"/>
                      <w:szCs w:val="20"/>
                      <w:lang w:val="es-ES"/>
                    </w:rPr>
                    <w:t>. Además, “la crisis en el Catatumbo se ha escalado en los últimos meses, ya que se están presentado enfrentamientos constantes entre grupos armados que disputan el control territorial, lo cual general que la población se encuentre atrapada en medio de la violencia, sin acceso a recursos básicos y con un aumento alarmante de los desplazamientos forzados”</w:t>
                  </w:r>
                  <w:r w:rsidRPr="00833016">
                    <w:rPr>
                      <w:rStyle w:val="Refdenotaalpie"/>
                      <w:rFonts w:eastAsia="Times New Roman" w:cs="Times New Roman"/>
                      <w:sz w:val="20"/>
                      <w:szCs w:val="20"/>
                      <w:lang w:val="es-ES"/>
                    </w:rPr>
                    <w:footnoteReference w:id="556"/>
                  </w:r>
                  <w:r w:rsidRPr="00833016">
                    <w:rPr>
                      <w:rFonts w:eastAsia="Times New Roman" w:cs="Times New Roman"/>
                      <w:sz w:val="20"/>
                      <w:szCs w:val="20"/>
                      <w:lang w:val="es-ES"/>
                    </w:rPr>
                    <w:t xml:space="preserve">. </w:t>
                  </w:r>
                </w:p>
              </w:tc>
            </w:tr>
            <w:tr w:rsidR="00C454A1" w:rsidRPr="00F8202F" w14:paraId="1F6DDE98" w14:textId="77777777" w:rsidTr="001F3006">
              <w:trPr>
                <w:trHeight w:val="300"/>
                <w:jc w:val="center"/>
              </w:trPr>
              <w:tc>
                <w:tcPr>
                  <w:tcW w:w="3352" w:type="dxa"/>
                  <w:vAlign w:val="center"/>
                </w:tcPr>
                <w:p w14:paraId="3036F930"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Desbordamiento de la capacidad de las instituciones para garantizar el orden público, la estabilidad institucional, la seguridad del Estado y la convivencia ciudadana</w:t>
                  </w:r>
                </w:p>
              </w:tc>
              <w:tc>
                <w:tcPr>
                  <w:tcW w:w="11020" w:type="dxa"/>
                  <w:vAlign w:val="center"/>
                </w:tcPr>
                <w:p w14:paraId="48026873" w14:textId="77777777" w:rsidR="00C454A1" w:rsidRPr="00833016" w:rsidRDefault="00C454A1" w:rsidP="00881E6A">
                  <w:pPr>
                    <w:pStyle w:val="Prrafodelista"/>
                    <w:ind w:left="0" w:right="272"/>
                    <w:rPr>
                      <w:rFonts w:eastAsia="Times New Roman" w:cs="Times New Roman"/>
                      <w:sz w:val="20"/>
                      <w:szCs w:val="20"/>
                      <w:lang w:val="es-ES"/>
                    </w:rPr>
                  </w:pPr>
                  <w:r w:rsidRPr="00833016">
                    <w:rPr>
                      <w:rFonts w:eastAsia="Times New Roman" w:cs="Times New Roman"/>
                      <w:sz w:val="20"/>
                      <w:szCs w:val="20"/>
                      <w:lang w:val="es-ES"/>
                    </w:rPr>
                    <w:t>El Ministerio de Defensa explicó que “[e]l recrudecimiento de las acciones violentas del ELN y el GAO-R E-33, manifestado en los enfrentamientos armados, homicidios selectivos, amenazas a líderes sociales y desplazamientos forzados masivos, desborda la capacidad de las instituciones para garantizar el orden público, la estabilidad institucional, la seguridad del Estado y la convivencia ciudadana”</w:t>
                  </w:r>
                  <w:r w:rsidRPr="00833016">
                    <w:rPr>
                      <w:rStyle w:val="Refdenotaalpie"/>
                      <w:rFonts w:eastAsia="Times New Roman" w:cs="Times New Roman"/>
                      <w:sz w:val="20"/>
                      <w:szCs w:val="20"/>
                      <w:lang w:val="es-ES"/>
                    </w:rPr>
                    <w:footnoteReference w:id="557"/>
                  </w:r>
                  <w:r w:rsidRPr="00833016">
                    <w:rPr>
                      <w:rFonts w:eastAsia="Times New Roman" w:cs="Times New Roman"/>
                      <w:sz w:val="20"/>
                      <w:szCs w:val="20"/>
                      <w:lang w:val="es-ES"/>
                    </w:rPr>
                    <w:t xml:space="preserve">. </w:t>
                  </w:r>
                </w:p>
              </w:tc>
            </w:tr>
          </w:tbl>
          <w:p w14:paraId="55012663" w14:textId="77777777" w:rsidR="00C454A1" w:rsidRPr="00833016" w:rsidRDefault="00C454A1" w:rsidP="00881E6A">
            <w:pPr>
              <w:pStyle w:val="Prrafodelista"/>
              <w:ind w:left="360" w:right="272"/>
              <w:rPr>
                <w:rFonts w:eastAsia="Times New Roman" w:cs="Times New Roman"/>
                <w:lang w:val="es-ES"/>
              </w:rPr>
            </w:pPr>
          </w:p>
          <w:p w14:paraId="282A9482" w14:textId="77777777" w:rsidR="00C454A1" w:rsidRPr="00833016" w:rsidRDefault="00C454A1" w:rsidP="00881E6A">
            <w:pPr>
              <w:pStyle w:val="Prrafodelista"/>
              <w:ind w:left="360" w:right="272"/>
              <w:rPr>
                <w:rFonts w:eastAsia="Times New Roman" w:cs="Times New Roman"/>
                <w:lang w:val="es-ES"/>
              </w:rPr>
            </w:pPr>
            <w:r w:rsidRPr="00833016">
              <w:rPr>
                <w:rFonts w:eastAsia="Times New Roman" w:cs="Times New Roman"/>
                <w:lang w:val="es-ES"/>
              </w:rPr>
              <w:t xml:space="preserve">Por lo demás, el departamento administrativo </w:t>
            </w:r>
            <w:r>
              <w:rPr>
                <w:rFonts w:eastAsia="Times New Roman" w:cs="Times New Roman"/>
                <w:lang w:val="es-ES"/>
              </w:rPr>
              <w:t>precisó cómo ha evolucionado</w:t>
            </w:r>
            <w:r w:rsidRPr="00833016">
              <w:rPr>
                <w:rFonts w:eastAsia="Times New Roman" w:cs="Times New Roman"/>
                <w:lang w:val="es-ES"/>
              </w:rPr>
              <w:t xml:space="preserve"> la intensificación de los enfrentamientos, de las hostilidades contra los firmantes de paz, el aumento de los homicidios y el incremento exponencial de desplazados en la información allegada por el Ministerio de Defensa Nacional. En relación con lo </w:t>
            </w:r>
            <w:r w:rsidRPr="00833016">
              <w:rPr>
                <w:rFonts w:eastAsia="Times New Roman" w:cs="Times New Roman"/>
                <w:lang w:val="es-ES"/>
              </w:rPr>
              <w:lastRenderedPageBreak/>
              <w:t>primero, el DAPRE reiteró que entre enero de 2022 y diciembre de 2024 “no se presentaron enfrentamientos entre los grupos armados ilegales” y, “en tan solo 19 días se han registrado 12 enfrentamientos”</w:t>
            </w:r>
            <w:r w:rsidRPr="00833016">
              <w:rPr>
                <w:rStyle w:val="Refdenotaalpie"/>
                <w:rFonts w:eastAsia="Times New Roman" w:cs="Times New Roman"/>
                <w:lang w:val="es-ES"/>
              </w:rPr>
              <w:footnoteReference w:id="558"/>
            </w:r>
            <w:r w:rsidRPr="00833016">
              <w:rPr>
                <w:rFonts w:eastAsia="Times New Roman" w:cs="Times New Roman"/>
                <w:lang w:val="es-ES"/>
              </w:rPr>
              <w:t>. Respecto de lo segundo, explicó que, “mientras que entre el 1º de enero de 2023 y el 31 de diciembre de 2024, solo un firmante de paz había sido atacado, en 2025, hasta antes de la declaratoria del estado de conmoción interior, se había atacado a 6 firmantes de paz”</w:t>
            </w:r>
            <w:r w:rsidRPr="00833016">
              <w:rPr>
                <w:rStyle w:val="Refdenotaalpie"/>
                <w:rFonts w:eastAsia="Times New Roman" w:cs="Times New Roman"/>
                <w:lang w:val="es-ES"/>
              </w:rPr>
              <w:footnoteReference w:id="559"/>
            </w:r>
            <w:r w:rsidRPr="00833016">
              <w:rPr>
                <w:rFonts w:eastAsia="Times New Roman" w:cs="Times New Roman"/>
                <w:lang w:val="es-ES"/>
              </w:rPr>
              <w:t>. Sobre lo tercero, indicó que, entre el 16 de enero y el 3 de febrero de 2025, ocurrieron 52 homicidios. Finalmente, en relación con lo cuarto, insistió en que, entre el 16 de enero y el 3 de febrero de 2025 se registraron 56.361 desplazamientos forzados. “Esta cifra supera el total de desplazamientos en dicha zona durante el año 2024”</w:t>
            </w:r>
            <w:r w:rsidRPr="00833016">
              <w:rPr>
                <w:rStyle w:val="Refdenotaalpie"/>
                <w:rFonts w:eastAsia="Times New Roman" w:cs="Times New Roman"/>
                <w:lang w:val="es-ES"/>
              </w:rPr>
              <w:footnoteReference w:id="560"/>
            </w:r>
            <w:r w:rsidRPr="00833016">
              <w:rPr>
                <w:rFonts w:eastAsia="Times New Roman" w:cs="Times New Roman"/>
                <w:lang w:val="es-ES"/>
              </w:rPr>
              <w:t xml:space="preserve">. </w:t>
            </w:r>
          </w:p>
          <w:p w14:paraId="04901253" w14:textId="77777777" w:rsidR="00C454A1" w:rsidRPr="00833016" w:rsidRDefault="00C454A1" w:rsidP="00881E6A">
            <w:pPr>
              <w:pStyle w:val="Prrafodelista"/>
              <w:ind w:left="360" w:right="272"/>
              <w:rPr>
                <w:rFonts w:eastAsia="Times New Roman" w:cs="Times New Roman"/>
                <w:lang w:val="es-ES"/>
              </w:rPr>
            </w:pPr>
          </w:p>
          <w:p w14:paraId="261BBE7D" w14:textId="77777777" w:rsidR="00C454A1" w:rsidRPr="00833016" w:rsidRDefault="00C454A1" w:rsidP="005F4A6F">
            <w:pPr>
              <w:pStyle w:val="Prrafodelista"/>
              <w:numPr>
                <w:ilvl w:val="0"/>
                <w:numId w:val="30"/>
              </w:numPr>
              <w:ind w:left="362" w:right="272" w:hanging="142"/>
              <w:rPr>
                <w:rFonts w:eastAsia="Times New Roman" w:cs="Times New Roman"/>
                <w:lang w:val="es-ES"/>
              </w:rPr>
            </w:pPr>
            <w:r w:rsidRPr="00833016">
              <w:rPr>
                <w:rFonts w:eastAsia="Times New Roman" w:cs="Times New Roman"/>
                <w:lang w:val="es-ES"/>
              </w:rPr>
              <w:t>De un lado, el DAPRE expuso las razones por las que la perturbación al orden público en la zona respecto de la que el Gobierno nacional decreto el Estado de Conmoción Interior implica un riesgo a la estabilidad institucional, a la seguridad del Estado y a la convivencia ciudadana. Según el Ministerio de Defensa, “desde 2022 y hasta inicios de 2025, el accionar de los grupos armados ilegales asentados en la región del Catatumbo se concentraba en acciones directas contra la fuerza pública”, que no en contra de la “población civil, líderes sociales” ni firmantes del acuerdo de paz</w:t>
            </w:r>
            <w:r w:rsidRPr="00833016">
              <w:rPr>
                <w:rStyle w:val="Refdenotaalpie"/>
                <w:rFonts w:eastAsia="Times New Roman" w:cs="Times New Roman"/>
                <w:lang w:val="es-ES"/>
              </w:rPr>
              <w:footnoteReference w:id="561"/>
            </w:r>
            <w:r w:rsidRPr="00833016">
              <w:rPr>
                <w:rFonts w:eastAsia="Times New Roman" w:cs="Times New Roman"/>
                <w:lang w:val="es-ES"/>
              </w:rPr>
              <w:t>. Tampoco se presentaban confrontaciones entre los grupos ilegales. Sin embargo, por el rompimiento de los acuerdos entre los grupos armados al margen de la ley, “a inicios de 2025 se desató una fuerte confrontación entre tales grupos, en la que el ELN adelantó una imprevisible y violenta ofensiva contra la población civil, líderes sociales y, especialmente, contra los firmantes del acuerdo final de paz en la región del Catatumbo”</w:t>
            </w:r>
            <w:r w:rsidRPr="00833016">
              <w:rPr>
                <w:rStyle w:val="Refdenotaalpie"/>
                <w:rFonts w:eastAsia="Times New Roman" w:cs="Times New Roman"/>
                <w:lang w:val="es-ES"/>
              </w:rPr>
              <w:footnoteReference w:id="562"/>
            </w:r>
            <w:r w:rsidRPr="00833016">
              <w:rPr>
                <w:rFonts w:eastAsia="Times New Roman" w:cs="Times New Roman"/>
                <w:lang w:val="es-ES"/>
              </w:rPr>
              <w:t xml:space="preserve">. Esto “generó una grave e incontrolada alteración del orden público y en los territorios colindantes”, a saber: el área metropolitana de Cúcuta y en los municipios de Río de Oro y Gonzáles. En ese contexto, la entidad explicó que los hechos </w:t>
            </w:r>
            <w:r w:rsidRPr="00833016">
              <w:rPr>
                <w:rFonts w:eastAsia="Times New Roman" w:cs="Times New Roman"/>
                <w:lang w:val="es-ES"/>
              </w:rPr>
              <w:lastRenderedPageBreak/>
              <w:t xml:space="preserve">desbordan la capacidad del Estado para garantizar el orden público, la estabilidad institucional, la seguridad del Estado y la convivencia ciudadana. </w:t>
            </w:r>
          </w:p>
          <w:p w14:paraId="11678E11" w14:textId="77777777" w:rsidR="00C454A1" w:rsidRPr="00833016" w:rsidRDefault="00C454A1" w:rsidP="00881E6A">
            <w:pPr>
              <w:pStyle w:val="Prrafodelista"/>
              <w:ind w:left="362" w:right="272"/>
              <w:rPr>
                <w:rFonts w:eastAsia="Times New Roman" w:cs="Times New Roman"/>
                <w:lang w:val="es-ES"/>
              </w:rPr>
            </w:pPr>
          </w:p>
          <w:p w14:paraId="4CC1CEAF" w14:textId="77777777" w:rsidR="00C454A1" w:rsidRPr="00833016" w:rsidRDefault="00C454A1" w:rsidP="005F4A6F">
            <w:pPr>
              <w:pStyle w:val="Prrafodelista"/>
              <w:numPr>
                <w:ilvl w:val="0"/>
                <w:numId w:val="35"/>
              </w:numPr>
              <w:ind w:right="272"/>
              <w:rPr>
                <w:rFonts w:eastAsia="Times New Roman" w:cs="Times New Roman"/>
                <w:lang w:val="es-ES"/>
              </w:rPr>
            </w:pPr>
            <w:r w:rsidRPr="00260C67">
              <w:rPr>
                <w:rFonts w:eastAsia="Times New Roman" w:cs="Times New Roman"/>
                <w:i/>
                <w:iCs/>
                <w:lang w:val="es-ES"/>
              </w:rPr>
              <w:t>Seguridad del Estado</w:t>
            </w:r>
            <w:r w:rsidRPr="00833016">
              <w:rPr>
                <w:rFonts w:eastAsia="Times New Roman" w:cs="Times New Roman"/>
                <w:lang w:val="es-ES"/>
              </w:rPr>
              <w:t>. La entidad señaló que la intensificación de las acciones del ELN amenaza, de manera directa, esa seguridad, “dado que se trata [de] la zona de frontera más grande del territorio nacional”</w:t>
            </w:r>
            <w:r w:rsidRPr="00833016">
              <w:rPr>
                <w:rStyle w:val="Refdenotaalpie"/>
                <w:rFonts w:eastAsia="Times New Roman" w:cs="Times New Roman"/>
                <w:lang w:val="es-ES"/>
              </w:rPr>
              <w:footnoteReference w:id="563"/>
            </w:r>
            <w:r w:rsidRPr="00833016">
              <w:rPr>
                <w:rFonts w:eastAsia="Times New Roman" w:cs="Times New Roman"/>
                <w:lang w:val="es-ES"/>
              </w:rPr>
              <w:t>. Agregó que la capacidad del ELN para realizar ataques coordinados como los del 16 de enero de 2025 “pone en riesgo la integridad territorial y la soberanía nacional”</w:t>
            </w:r>
            <w:r w:rsidRPr="00833016">
              <w:rPr>
                <w:rStyle w:val="Refdenotaalpie"/>
                <w:rFonts w:eastAsia="Times New Roman" w:cs="Times New Roman"/>
                <w:lang w:val="es-ES"/>
              </w:rPr>
              <w:footnoteReference w:id="564"/>
            </w:r>
            <w:r w:rsidRPr="00833016">
              <w:rPr>
                <w:rFonts w:eastAsia="Times New Roman" w:cs="Times New Roman"/>
                <w:lang w:val="es-ES"/>
              </w:rPr>
              <w:t>. También, adujo que la situación de la región del Catatumbo “puede […] desestabilizar la frontera con Venezuela, generando un flujo de migrantes, armas y combatientes, lo que dificulta ejercer un control efectivo de la frontera”</w:t>
            </w:r>
            <w:r w:rsidRPr="00833016">
              <w:rPr>
                <w:rStyle w:val="Refdenotaalpie"/>
                <w:rFonts w:eastAsia="Times New Roman" w:cs="Times New Roman"/>
                <w:lang w:val="es-ES"/>
              </w:rPr>
              <w:footnoteReference w:id="565"/>
            </w:r>
            <w:r w:rsidRPr="00833016">
              <w:rPr>
                <w:rFonts w:eastAsia="Times New Roman" w:cs="Times New Roman"/>
                <w:lang w:val="es-ES"/>
              </w:rPr>
              <w:t>.</w:t>
            </w:r>
          </w:p>
          <w:p w14:paraId="4222E55E" w14:textId="77777777" w:rsidR="00C454A1" w:rsidRPr="00833016" w:rsidRDefault="00C454A1" w:rsidP="00881E6A">
            <w:pPr>
              <w:pStyle w:val="Prrafodelista"/>
              <w:ind w:right="272"/>
              <w:rPr>
                <w:rFonts w:eastAsia="Times New Roman" w:cs="Times New Roman"/>
                <w:lang w:val="es-ES"/>
              </w:rPr>
            </w:pPr>
          </w:p>
          <w:p w14:paraId="4FC6202A" w14:textId="77777777" w:rsidR="00C454A1" w:rsidRPr="00833016" w:rsidRDefault="00C454A1" w:rsidP="005F4A6F">
            <w:pPr>
              <w:pStyle w:val="Prrafodelista"/>
              <w:numPr>
                <w:ilvl w:val="0"/>
                <w:numId w:val="35"/>
              </w:numPr>
              <w:ind w:right="272"/>
              <w:rPr>
                <w:rFonts w:eastAsia="Times New Roman" w:cs="Times New Roman"/>
                <w:lang w:val="es-ES"/>
              </w:rPr>
            </w:pPr>
            <w:r w:rsidRPr="00260C67">
              <w:rPr>
                <w:rFonts w:eastAsia="Times New Roman" w:cs="Times New Roman"/>
                <w:i/>
                <w:iCs/>
                <w:lang w:val="es-ES"/>
              </w:rPr>
              <w:t>Estabilidad institucional</w:t>
            </w:r>
            <w:r w:rsidRPr="00833016">
              <w:rPr>
                <w:rFonts w:eastAsia="Times New Roman" w:cs="Times New Roman"/>
                <w:lang w:val="es-ES"/>
              </w:rPr>
              <w:t>. El ministerio señaló que los hechos que han ocurrido desde el 16 de enero de 2025 en la región del Catatumbo, los cuales han afectados otros municipios de la zona, “desataron una inusitada alteración al orden público”</w:t>
            </w:r>
            <w:r w:rsidRPr="00833016">
              <w:rPr>
                <w:rStyle w:val="Refdenotaalpie"/>
                <w:rFonts w:eastAsia="Times New Roman" w:cs="Times New Roman"/>
                <w:lang w:val="es-ES"/>
              </w:rPr>
              <w:footnoteReference w:id="566"/>
            </w:r>
            <w:r w:rsidRPr="00833016">
              <w:rPr>
                <w:rFonts w:eastAsia="Times New Roman" w:cs="Times New Roman"/>
                <w:lang w:val="es-ES"/>
              </w:rPr>
              <w:t>. Si bien los grupos armados han estado presentes en la región, “no se tiene registro de un nivel de violencia dirigido hacia la población civil, lo que desató un desplazamiento masivo en las magnitudes señaladas”</w:t>
            </w:r>
            <w:r w:rsidRPr="00833016">
              <w:rPr>
                <w:rStyle w:val="Refdenotaalpie"/>
                <w:rFonts w:eastAsia="Times New Roman" w:cs="Times New Roman"/>
                <w:lang w:val="es-ES"/>
              </w:rPr>
              <w:footnoteReference w:id="567"/>
            </w:r>
            <w:r w:rsidRPr="00833016">
              <w:rPr>
                <w:rFonts w:eastAsia="Times New Roman" w:cs="Times New Roman"/>
                <w:lang w:val="es-ES"/>
              </w:rPr>
              <w:t xml:space="preserve">. Este comportamiento demuestra la intensificación y la variación del </w:t>
            </w:r>
            <w:r w:rsidRPr="00833016">
              <w:rPr>
                <w:rFonts w:eastAsia="Times New Roman" w:cs="Times New Roman"/>
                <w:i/>
                <w:lang w:val="es-ES"/>
              </w:rPr>
              <w:t>modus operandi</w:t>
            </w:r>
            <w:r w:rsidRPr="00833016">
              <w:rPr>
                <w:rFonts w:eastAsia="Times New Roman" w:cs="Times New Roman"/>
                <w:lang w:val="es-ES"/>
              </w:rPr>
              <w:t>, así como el recrudecimiento de la violencia en la que la población civil resulta más afectada. La entidad reconoció que los actos terroristas se han presentado en la historia del país y, en particular, en esta región. Pese a esto, resaltó que “el hecho significativo que denota la particularidad de este evento es el número de homicidios selectivos contra líderes sociales, firmantes de paz y los ataques a sus familias […], así como el confinamiento y desplazamiento”</w:t>
            </w:r>
            <w:r w:rsidRPr="00833016">
              <w:rPr>
                <w:rStyle w:val="Refdenotaalpie"/>
                <w:rFonts w:eastAsia="Times New Roman" w:cs="Times New Roman"/>
                <w:lang w:val="es-ES"/>
              </w:rPr>
              <w:footnoteReference w:id="568"/>
            </w:r>
            <w:r w:rsidRPr="00833016">
              <w:rPr>
                <w:rFonts w:eastAsia="Times New Roman" w:cs="Times New Roman"/>
                <w:lang w:val="es-ES"/>
              </w:rPr>
              <w:t xml:space="preserve">. En su criterio, esto demuestra la </w:t>
            </w:r>
            <w:r w:rsidRPr="00833016">
              <w:rPr>
                <w:rFonts w:eastAsia="Times New Roman" w:cs="Times New Roman"/>
                <w:i/>
                <w:lang w:val="es-ES"/>
              </w:rPr>
              <w:t xml:space="preserve">alta </w:t>
            </w:r>
            <w:r w:rsidRPr="00833016">
              <w:rPr>
                <w:rFonts w:eastAsia="Times New Roman" w:cs="Times New Roman"/>
                <w:lang w:val="es-ES"/>
              </w:rPr>
              <w:t xml:space="preserve">capacidad desestabilizadora de los grupos armados </w:t>
            </w:r>
            <w:r w:rsidRPr="00833016">
              <w:rPr>
                <w:rFonts w:eastAsia="Times New Roman" w:cs="Times New Roman"/>
                <w:lang w:val="es-ES"/>
              </w:rPr>
              <w:lastRenderedPageBreak/>
              <w:t xml:space="preserve">organizados. Por lo demás, reiteró que se desbordó la capacidad del Estado para garantizar la seguridad y la tranquilidad a la población civil. </w:t>
            </w:r>
          </w:p>
          <w:p w14:paraId="7ECCBD00" w14:textId="77777777" w:rsidR="00C454A1" w:rsidRPr="00833016" w:rsidRDefault="00C454A1" w:rsidP="00881E6A">
            <w:pPr>
              <w:pStyle w:val="Prrafodelista"/>
              <w:ind w:right="272"/>
              <w:rPr>
                <w:rFonts w:eastAsia="Times New Roman" w:cs="Times New Roman"/>
                <w:lang w:val="es-ES"/>
              </w:rPr>
            </w:pPr>
          </w:p>
          <w:p w14:paraId="0F7BAFB9" w14:textId="77777777" w:rsidR="00C454A1" w:rsidRPr="00833016" w:rsidRDefault="00C454A1" w:rsidP="005F4A6F">
            <w:pPr>
              <w:pStyle w:val="Prrafodelista"/>
              <w:numPr>
                <w:ilvl w:val="0"/>
                <w:numId w:val="35"/>
              </w:numPr>
              <w:ind w:right="272"/>
              <w:rPr>
                <w:rFonts w:eastAsia="Times New Roman" w:cs="Times New Roman"/>
                <w:lang w:val="es-ES"/>
              </w:rPr>
            </w:pPr>
            <w:r w:rsidRPr="00260C67">
              <w:rPr>
                <w:rFonts w:eastAsia="Times New Roman" w:cs="Times New Roman"/>
                <w:i/>
                <w:iCs/>
                <w:lang w:val="es-ES"/>
              </w:rPr>
              <w:t>Convivencia ciudadana</w:t>
            </w:r>
            <w:r w:rsidRPr="00833016">
              <w:rPr>
                <w:rFonts w:eastAsia="Times New Roman" w:cs="Times New Roman"/>
                <w:lang w:val="es-ES"/>
              </w:rPr>
              <w:t>. Los 12 enfrentamientos en 19 días durante el 2025 y los ataques selectivos a líderes sociales y firmantes de acuerdo de paz, “generaron una situación de permanente zozobra, miedo e inseguridad, afectando la vida cotidiana de la población y el ejercicio de derechos y libertades”</w:t>
            </w:r>
            <w:r w:rsidRPr="00833016">
              <w:rPr>
                <w:rStyle w:val="Refdenotaalpie"/>
                <w:rFonts w:eastAsia="Times New Roman" w:cs="Times New Roman"/>
                <w:lang w:val="es-ES"/>
              </w:rPr>
              <w:footnoteReference w:id="569"/>
            </w:r>
            <w:r w:rsidRPr="00833016">
              <w:rPr>
                <w:rFonts w:eastAsia="Times New Roman" w:cs="Times New Roman"/>
                <w:lang w:val="es-ES"/>
              </w:rPr>
              <w:t xml:space="preserve">. </w:t>
            </w:r>
          </w:p>
          <w:p w14:paraId="17111677" w14:textId="77777777" w:rsidR="00C454A1" w:rsidRPr="00833016" w:rsidRDefault="00C454A1" w:rsidP="00881E6A">
            <w:pPr>
              <w:ind w:right="272"/>
              <w:rPr>
                <w:rFonts w:eastAsia="Times New Roman" w:cs="Times New Roman"/>
                <w:lang w:val="es-ES"/>
              </w:rPr>
            </w:pPr>
          </w:p>
          <w:p w14:paraId="059786EF" w14:textId="77777777" w:rsidR="00C454A1" w:rsidRPr="00833016" w:rsidRDefault="00C454A1" w:rsidP="00881E6A">
            <w:pPr>
              <w:ind w:left="362" w:right="272"/>
              <w:rPr>
                <w:rFonts w:eastAsia="Times New Roman" w:cs="Times New Roman"/>
                <w:lang w:val="es-ES"/>
              </w:rPr>
            </w:pPr>
            <w:r w:rsidRPr="00833016">
              <w:rPr>
                <w:rFonts w:eastAsia="Times New Roman" w:cs="Times New Roman"/>
                <w:lang w:val="es-ES"/>
              </w:rPr>
              <w:t>De otro lado, el DAPRE aportó la siguiente información sobre la intensificación del accionar violento del ELN u otros GAO o GDO y el riesgo de afectación inminente y concreta a determinados sectores y servicios:</w:t>
            </w:r>
          </w:p>
          <w:p w14:paraId="21203F0A" w14:textId="77777777" w:rsidR="00C454A1" w:rsidRDefault="00C454A1" w:rsidP="00881E6A">
            <w:pPr>
              <w:ind w:left="362" w:right="272"/>
              <w:rPr>
                <w:rFonts w:eastAsia="Times New Roman" w:cs="Times New Roman"/>
                <w:lang w:val="es-ES"/>
              </w:rPr>
            </w:pPr>
          </w:p>
          <w:p w14:paraId="6D1F2FA8" w14:textId="77777777" w:rsidR="00C454A1" w:rsidRPr="00C950DC" w:rsidRDefault="00C454A1" w:rsidP="00881E6A">
            <w:pPr>
              <w:ind w:left="362" w:right="272"/>
              <w:jc w:val="center"/>
              <w:rPr>
                <w:rFonts w:eastAsia="Times New Roman" w:cs="Times New Roman"/>
                <w:i/>
                <w:iCs/>
                <w:sz w:val="20"/>
                <w:szCs w:val="20"/>
                <w:lang w:val="es-ES"/>
              </w:rPr>
            </w:pPr>
            <w:r w:rsidRPr="00C950DC">
              <w:rPr>
                <w:rFonts w:eastAsia="Times New Roman" w:cs="Times New Roman"/>
                <w:i/>
                <w:iCs/>
                <w:sz w:val="20"/>
                <w:szCs w:val="20"/>
                <w:lang w:val="es-ES"/>
              </w:rPr>
              <w:t>Tabla 14: Intensificación del accionar de los grupos armados al margen de la ley</w:t>
            </w:r>
          </w:p>
          <w:tbl>
            <w:tblPr>
              <w:tblStyle w:val="Tablaconcuadrcula"/>
              <w:tblW w:w="14376" w:type="dxa"/>
              <w:tblInd w:w="356" w:type="dxa"/>
              <w:tblLook w:val="04A0" w:firstRow="1" w:lastRow="0" w:firstColumn="1" w:lastColumn="0" w:noHBand="0" w:noVBand="1"/>
            </w:tblPr>
            <w:tblGrid>
              <w:gridCol w:w="2140"/>
              <w:gridCol w:w="12236"/>
            </w:tblGrid>
            <w:tr w:rsidR="00C454A1" w:rsidRPr="00C950DC" w14:paraId="2ECC3F2A" w14:textId="77777777" w:rsidTr="001F3006">
              <w:trPr>
                <w:trHeight w:val="300"/>
              </w:trPr>
              <w:tc>
                <w:tcPr>
                  <w:tcW w:w="2140" w:type="dxa"/>
                  <w:shd w:val="clear" w:color="auto" w:fill="BFBFBF" w:themeFill="background1" w:themeFillShade="BF"/>
                  <w:vAlign w:val="center"/>
                </w:tcPr>
                <w:p w14:paraId="607435BE"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bCs/>
                      <w:sz w:val="20"/>
                      <w:szCs w:val="20"/>
                      <w:lang w:val="es-ES"/>
                    </w:rPr>
                    <w:t>Sector y/o servicio</w:t>
                  </w:r>
                </w:p>
              </w:tc>
              <w:tc>
                <w:tcPr>
                  <w:tcW w:w="12236" w:type="dxa"/>
                  <w:shd w:val="clear" w:color="auto" w:fill="BFBFBF" w:themeFill="background1" w:themeFillShade="BF"/>
                  <w:vAlign w:val="center"/>
                </w:tcPr>
                <w:p w14:paraId="653EA1A6"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Descripción</w:t>
                  </w:r>
                </w:p>
              </w:tc>
            </w:tr>
            <w:tr w:rsidR="00C454A1" w:rsidRPr="00F8202F" w14:paraId="7A2C3BAB" w14:textId="77777777" w:rsidTr="001F3006">
              <w:trPr>
                <w:trHeight w:val="300"/>
              </w:trPr>
              <w:tc>
                <w:tcPr>
                  <w:tcW w:w="2140" w:type="dxa"/>
                  <w:vAlign w:val="center"/>
                </w:tcPr>
                <w:p w14:paraId="6C9FEA46"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Prestación de servicios públicos, infraestructura energética vial de la región, “especialmente en el oleoducto</w:t>
                  </w:r>
                </w:p>
                <w:p w14:paraId="4DEB6C3A"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Caño Limón - Coveñas, vías nacionales como el eje vial Ocaña Cúcuta y Ocaña-</w:t>
                  </w:r>
                </w:p>
                <w:p w14:paraId="5BA3BD04"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Aguachica, subestaciones de energía y torres de comunicaciones, puentes y</w:t>
                  </w:r>
                </w:p>
                <w:p w14:paraId="33973B63"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lastRenderedPageBreak/>
                    <w:t>edificaciones públicas y privadas”, así como las operaciones del sector hidrocarburos y, en concreto, la producción y transporte de petróleo y gas en la cuenta del Catatumbo.</w:t>
                  </w:r>
                </w:p>
              </w:tc>
              <w:tc>
                <w:tcPr>
                  <w:tcW w:w="12236" w:type="dxa"/>
                  <w:vAlign w:val="center"/>
                </w:tcPr>
                <w:p w14:paraId="4BCE253F"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lastRenderedPageBreak/>
                    <w:t>El DAPRE se remitió a la respuesta del Ministerio de Minas y Energía</w:t>
                  </w:r>
                  <w:r w:rsidRPr="00833016">
                    <w:rPr>
                      <w:rStyle w:val="Refdenotaalpie"/>
                      <w:rFonts w:eastAsia="Times New Roman" w:cs="Times New Roman"/>
                      <w:sz w:val="20"/>
                      <w:szCs w:val="20"/>
                      <w:lang w:val="es-ES"/>
                    </w:rPr>
                    <w:footnoteReference w:id="570"/>
                  </w:r>
                  <w:r w:rsidRPr="00833016">
                    <w:rPr>
                      <w:rFonts w:eastAsia="Times New Roman" w:cs="Times New Roman"/>
                      <w:sz w:val="20"/>
                      <w:szCs w:val="20"/>
                      <w:lang w:val="es-ES"/>
                    </w:rPr>
                    <w:t xml:space="preserve">. Al respecto, el ministerio explicó que, durante 2024, se presentaron 45 ataques al oleoducto Caño Limón Coveñas. Estos afectaron “la capacidad de transporte y sus derivados en la región, exponiendo la infraestructura crítica, a los trabajadores y a población civil a riesgos permanentes”. De hecho, desde el 21 de agosto de 2024, “el bombeo” en el tramo Banadía-Ayacucho está suspendido por los ataques terroristas sufridos por el sistema. Al respecto, CENIT informó que las labores que adelantaba para garantizar la infraestructura fueron suspendidas “hasta que se garanticen las condiciones de seguridad en el territorio que no comprometan la integridad física de sus funcionarios y contratistas”. El 15 de enero de 2025, terceros desconocidos atentaron en contra del oleoducto en la vereda La Selva, municipio de Bochalema. Además, la entidad advirtió sobre la instalación de válvulas ilícitas en el Poliducto Pozos Colorados - Galán, lo cual demuestra un desvío sistemático de hidrocarburos para actividades ilícitas de estructuras criminales organizadas. El 18 de enero de 2025 “se presentó afectación a la subestación Oru [...] que es atendida desde la subestación Tibú, dejando sin servicio a 2.910 usuarios”. Sin embargo, “se desconoce el motivo de la falla, pero dadas las condiciones de orden público en el territorio se requiere el acompañamiento de la fuerza pública” para desplazarse a la zona, conocer el estado y adelantar las reparaciones necesarias. </w:t>
                  </w:r>
                </w:p>
                <w:p w14:paraId="3E77CB63" w14:textId="77777777" w:rsidR="00C454A1" w:rsidRPr="00833016" w:rsidRDefault="00C454A1" w:rsidP="00881E6A">
                  <w:pPr>
                    <w:ind w:right="272"/>
                    <w:rPr>
                      <w:rFonts w:eastAsia="Times New Roman" w:cs="Times New Roman"/>
                      <w:sz w:val="20"/>
                      <w:szCs w:val="20"/>
                      <w:lang w:val="es-ES"/>
                    </w:rPr>
                  </w:pPr>
                </w:p>
                <w:p w14:paraId="14C26537"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 xml:space="preserve">Según el ministerio, la presencia de grupos armados al margen de la ley en “zonas como Tibú, Sardinata y Oripaya ha generado restricciones de movilidad, dificultado el mantenimiento y operación de sistemas de distribución de hidrocarburos y gas”. Además, los ataques recurrentes en contra del oleoducto “han comprometido la integridad de la infraestructura energética, facilitando el acceso ilegal a recursos esenciales para la financiación y operación de grupos armados ilegales”. A su vez, indicó que la “generación de energía eléctrica se ha visto muy afectada, teniendo en cuenta que la termoeléctrica [...] cuenta con dos plantas generadores las cuales consumen aproximadamente 540.000 Ton/Año incluyendo 100.000 Ton que se </w:t>
                  </w:r>
                  <w:r w:rsidRPr="00833016">
                    <w:rPr>
                      <w:rFonts w:eastAsia="Times New Roman" w:cs="Times New Roman"/>
                      <w:sz w:val="20"/>
                      <w:szCs w:val="20"/>
                      <w:lang w:val="es-ES"/>
                    </w:rPr>
                    <w:lastRenderedPageBreak/>
                    <w:t xml:space="preserve">encuentran en reserva”. Agregó que diariamente se compran alrededor de 3.000 toneladas de carbón térmico, de las cuales el 80% provienen de la zona nororiental (Tibú, Sardinata y El Zulia), y el 20% del sur del departamento. Actualmente reciben alrededor de 500 toneladas diarias. </w:t>
                  </w:r>
                </w:p>
                <w:p w14:paraId="00B1B711" w14:textId="77777777" w:rsidR="00C454A1" w:rsidRPr="00833016" w:rsidRDefault="00C454A1" w:rsidP="00881E6A">
                  <w:pPr>
                    <w:ind w:right="272"/>
                    <w:rPr>
                      <w:rFonts w:eastAsia="Times New Roman" w:cs="Times New Roman"/>
                      <w:sz w:val="20"/>
                      <w:szCs w:val="20"/>
                      <w:lang w:val="es-ES"/>
                    </w:rPr>
                  </w:pPr>
                </w:p>
                <w:p w14:paraId="3CC8B09D"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 xml:space="preserve">Por lo demás, la entidad puso de presente que, según reportes de la Policía Nacional, el 2024 neutralizaron 7 válvulas ilícitas, destruyeron 63 tanques de almacenamiento, desmantelaron 22 refinerías y 22 piscinas, inmovilizaron 1.784 vehículos y capturaron 24 personas. En 2025, neutralizaron una válvula ilícita, destruyeron 2 tanques de almacenamiento, desmantelaron una refinería y 5 piscinas, inmovilizaron 2 vehículos y realizaron una captura. </w:t>
                  </w:r>
                </w:p>
              </w:tc>
            </w:tr>
            <w:tr w:rsidR="00C454A1" w:rsidRPr="00F8202F" w14:paraId="43926FDD" w14:textId="77777777" w:rsidTr="001F3006">
              <w:trPr>
                <w:trHeight w:val="300"/>
              </w:trPr>
              <w:tc>
                <w:tcPr>
                  <w:tcW w:w="2140" w:type="dxa"/>
                  <w:vAlign w:val="center"/>
                </w:tcPr>
                <w:p w14:paraId="0DFA031D"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lastRenderedPageBreak/>
                    <w:t>Servicios de notariado y registro</w:t>
                  </w:r>
                </w:p>
              </w:tc>
              <w:tc>
                <w:tcPr>
                  <w:tcW w:w="12236" w:type="dxa"/>
                  <w:vAlign w:val="center"/>
                </w:tcPr>
                <w:p w14:paraId="4B5629E7"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departamento administrativo se remitió al oficio de la Superintendencia de Notariado y Registro (SNR)</w:t>
                  </w:r>
                  <w:r w:rsidRPr="00833016">
                    <w:rPr>
                      <w:rStyle w:val="Refdenotaalpie"/>
                      <w:rFonts w:eastAsia="Times New Roman" w:cs="Times New Roman"/>
                      <w:sz w:val="20"/>
                      <w:szCs w:val="20"/>
                      <w:lang w:val="es-ES"/>
                    </w:rPr>
                    <w:footnoteReference w:id="571"/>
                  </w:r>
                  <w:r w:rsidRPr="00833016">
                    <w:rPr>
                      <w:rFonts w:eastAsia="Times New Roman" w:cs="Times New Roman"/>
                      <w:sz w:val="20"/>
                      <w:szCs w:val="20"/>
                      <w:lang w:val="es-ES"/>
                    </w:rPr>
                    <w:t xml:space="preserve">. La superintendencia explicó que, debido a la situación de orden público que se ha presentado en la región del Catatumbo y por solicitud de los notarios, autorizó “la suspensión de la prestación del servicio público notarial” y la fijación de horarios especiales. Lo anterior, con la finalidad de mantener la estabilidad institucional y la prestación del servicio, así como de “minimizar los riesgos a los que se ve expuesta la ciudadanía, el notario mismo y sus trabajadores”. La entidad relacionó las fechas de suspensión y los horarios especiales de atención de las notarías de El Tarra, Hacarí, Convención, El Carmen, y de Teorama, así como los actos administrativos por medio del cual adoptó esas decisiones. Por lo demás, puso de presente que, el 17 de enero de 2025, una representante de los notarios solicitó evaluar la posibilidad de otorgar subsidios a los notarios que se han visto afectados por la situación de orden público en la región. Al respecto, la SNR indicó que esta solicitud está en estudio y mencionó que el Fondo Cuenta previsto por la Ley 29 de 1973 tiene como propósitos, entre otros, los subsidios a notarías afectadas por catástrofes o calamidades derivadas de fuerza mayor o caso fortuito.    </w:t>
                  </w:r>
                </w:p>
              </w:tc>
            </w:tr>
            <w:tr w:rsidR="00C454A1" w:rsidRPr="00F8202F" w14:paraId="53B2F1BF" w14:textId="77777777" w:rsidTr="001F3006">
              <w:trPr>
                <w:trHeight w:val="300"/>
              </w:trPr>
              <w:tc>
                <w:tcPr>
                  <w:tcW w:w="2140" w:type="dxa"/>
                  <w:vAlign w:val="center"/>
                </w:tcPr>
                <w:p w14:paraId="63DA4F2B"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Acceso a la justicia</w:t>
                  </w:r>
                </w:p>
              </w:tc>
              <w:tc>
                <w:tcPr>
                  <w:tcW w:w="12236" w:type="dxa"/>
                  <w:vAlign w:val="center"/>
                </w:tcPr>
                <w:p w14:paraId="491C1550"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Ministerio de Justicia y del Derecho</w:t>
                  </w:r>
                  <w:r w:rsidRPr="00833016">
                    <w:rPr>
                      <w:rStyle w:val="Refdenotaalpie"/>
                      <w:rFonts w:eastAsia="Times New Roman" w:cs="Times New Roman"/>
                      <w:sz w:val="20"/>
                      <w:szCs w:val="20"/>
                      <w:lang w:val="es-ES"/>
                    </w:rPr>
                    <w:footnoteReference w:id="572"/>
                  </w:r>
                  <w:r w:rsidRPr="00833016">
                    <w:rPr>
                      <w:rFonts w:eastAsia="Times New Roman" w:cs="Times New Roman"/>
                      <w:sz w:val="20"/>
                      <w:szCs w:val="20"/>
                      <w:lang w:val="es-ES"/>
                    </w:rPr>
                    <w:t xml:space="preserve"> hizo un recuento de los hechos ocurridos en la zona objeto del Estado de Conmoción Interior. En ese contexto, indicó que “los habitantes de gran parte de los municipios objeto de la declaratoria de conmoción interior tendrán dificultades para acceder, con el lleno de las garantías constitucionales y legales, a una atención por parte de dichas autoridades”. En particular, se refirió al caso de las comisarías de familia, habida cuenta de que “se ha reducido o restringido la posibilidad de prestación de los servicios en condiciones de normalidad, presencialidad, y han obligado a los funcionarios a restringir la atención presencial a la comunidad y la implementación de medidas, y reducir su accionar a mínimos que eviten los riesgos del personal”. Al respecto, la entidad manifestó que se ha comunicado con algunos comisarios de familia que operan en la zona y advirtió “la afectación institucional en la oferta de servicios”, aunado a las “limitaciones de capacidad técnica y logística de las alcaldías para mitigar las restricciones a la oferta institucional presencial en materia de acceso a justicia y protección de [NNA]”. En todo caso, la SNR advirtió que, pese a que existen medidas que facilitan el acceso a la justicia sin la presencia física, el Gobierno considera “que es palmario que una situación con las características de aquellas presentes en la región del Catatumbo afecta su pleno ejercicio”.</w:t>
                  </w:r>
                </w:p>
                <w:p w14:paraId="556A7F18" w14:textId="77777777" w:rsidR="00C454A1" w:rsidRPr="00833016" w:rsidRDefault="00C454A1" w:rsidP="00881E6A">
                  <w:pPr>
                    <w:ind w:right="272"/>
                    <w:rPr>
                      <w:rFonts w:eastAsia="Times New Roman" w:cs="Times New Roman"/>
                      <w:sz w:val="20"/>
                      <w:szCs w:val="20"/>
                      <w:lang w:val="es-ES"/>
                    </w:rPr>
                  </w:pPr>
                </w:p>
                <w:p w14:paraId="719A9E2C"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 xml:space="preserve">El ministerio también mencionó los juzgados presentes en los municipios objeto de la declaratoria de conmoción interior. Explicó que los municipios más afectados forman parte del círculo judicial de Ocaña, que cuenta con 24 juzgados que pertenecen a la jurisdicción ordinaria y 2 administrativos. </w:t>
                  </w:r>
                  <w:r w:rsidRPr="00833016">
                    <w:rPr>
                      <w:rFonts w:eastAsia="Times New Roman" w:cs="Times New Roman"/>
                      <w:sz w:val="20"/>
                      <w:szCs w:val="20"/>
                      <w:lang w:val="es-ES"/>
                    </w:rPr>
                    <w:lastRenderedPageBreak/>
                    <w:t>Además, los municipios de Tibú y Sardinata, que forman parte del Distrito Judicial de Cúcuta, cuentan cada uno con un juzgado promiscuo. Luego, el Ministerio de Justicia describió la oferta general de los servicios de justicia alternativa y, en particular, el volumen de casos atendidos por casas de justicia y centros de convivencia ciudadana. Explicó que “el Centro de Convivencia Ciudadana de Tibú es el de mayor afluencia y [...] la asesoría en el programa de víctimas es el de mayor interés por sus usuarios”. Además, analizó las solicitudes entre enero de 2024 y 2025 en las casas de justicia y en los centros de convivencia de la Región del Catatumbo y de Villa del Rosario. Sobre esto, encontró “la disminución a 0 en el número de atenciones en el Centro de Convivencia de Tibú y el aumento de las mismas en Villa del Rosario”.</w:t>
                  </w:r>
                </w:p>
              </w:tc>
            </w:tr>
            <w:tr w:rsidR="00C454A1" w:rsidRPr="00F8202F" w14:paraId="0EB68434" w14:textId="77777777" w:rsidTr="001F3006">
              <w:trPr>
                <w:trHeight w:val="300"/>
              </w:trPr>
              <w:tc>
                <w:tcPr>
                  <w:tcW w:w="2140" w:type="dxa"/>
                  <w:vAlign w:val="center"/>
                </w:tcPr>
                <w:p w14:paraId="12F11EA8"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lastRenderedPageBreak/>
                    <w:t xml:space="preserve">Educación </w:t>
                  </w:r>
                </w:p>
              </w:tc>
              <w:tc>
                <w:tcPr>
                  <w:tcW w:w="12236" w:type="dxa"/>
                  <w:vAlign w:val="center"/>
                </w:tcPr>
                <w:p w14:paraId="4731C695"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Ministerio de Educación Nacional</w:t>
                  </w:r>
                  <w:r w:rsidRPr="00833016">
                    <w:rPr>
                      <w:rStyle w:val="Refdenotaalpie"/>
                      <w:rFonts w:eastAsia="Times New Roman" w:cs="Times New Roman"/>
                      <w:sz w:val="20"/>
                      <w:szCs w:val="20"/>
                      <w:lang w:val="es-ES"/>
                    </w:rPr>
                    <w:footnoteReference w:id="573"/>
                  </w:r>
                  <w:r w:rsidRPr="00833016">
                    <w:rPr>
                      <w:rFonts w:eastAsia="Times New Roman" w:cs="Times New Roman"/>
                      <w:sz w:val="20"/>
                      <w:szCs w:val="20"/>
                      <w:lang w:val="es-ES"/>
                    </w:rPr>
                    <w:t xml:space="preserve"> enumeró las afectaciones por los hechos asociados al decreto de declaratoria. </w:t>
                  </w:r>
                  <w:r w:rsidRPr="00833016">
                    <w:rPr>
                      <w:rFonts w:eastAsia="Times New Roman" w:cs="Times New Roman"/>
                      <w:sz w:val="20"/>
                      <w:szCs w:val="20"/>
                      <w:u w:val="single"/>
                      <w:lang w:val="es-ES"/>
                    </w:rPr>
                    <w:t>Primero</w:t>
                  </w:r>
                  <w:r w:rsidRPr="00833016">
                    <w:rPr>
                      <w:rFonts w:eastAsia="Times New Roman" w:cs="Times New Roman"/>
                      <w:sz w:val="20"/>
                      <w:szCs w:val="20"/>
                      <w:lang w:val="es-ES"/>
                    </w:rPr>
                    <w:t xml:space="preserve">, explicó que, mediante la Resolución 210 de 17 de enero de 2025, la Secretaría de Educación de Norte de Santander modificó el calendario académico en Tibú, El Tarra, Teorama, Convención, Hacarí, San Calixto y en la zona rural de El Carmen, Ábrego, La Playa y Sardinata. Entre otras, dicha resolución se basó en la “situación sobreviniente de conocimiento público, que afecta el orden público y fundamentalmente la vida, la dignidad y la seguridad de los [NNA], personal docente, administrativo y directivo docente”. </w:t>
                  </w:r>
                  <w:r w:rsidRPr="00833016">
                    <w:rPr>
                      <w:rFonts w:eastAsia="Times New Roman" w:cs="Times New Roman"/>
                      <w:sz w:val="20"/>
                      <w:szCs w:val="20"/>
                      <w:u w:val="single"/>
                      <w:lang w:val="es-ES"/>
                    </w:rPr>
                    <w:t>Segundo</w:t>
                  </w:r>
                  <w:r w:rsidRPr="00833016">
                    <w:rPr>
                      <w:rFonts w:eastAsia="Times New Roman" w:cs="Times New Roman"/>
                      <w:sz w:val="20"/>
                      <w:szCs w:val="20"/>
                      <w:lang w:val="es-ES"/>
                    </w:rPr>
                    <w:t xml:space="preserve">, mencionó que, por medio de la Circular 15 de 24 de enero de 2025, la Secretaría de Educación de Norte de Santander dictó “orientaciones para la gestión de la crisis de orden público y sus afectaciones en el sector educativo”. Entre otras, convocó el inicio de labores académicas presenciales, de manera gradual y progresiva. Esta circular tuvo como fundamento, entre otras, los hechos de alteración de orden público presentados desde el 15 de enero de 2025. </w:t>
                  </w:r>
                  <w:r w:rsidRPr="00833016">
                    <w:rPr>
                      <w:rFonts w:eastAsia="Times New Roman" w:cs="Times New Roman"/>
                      <w:sz w:val="20"/>
                      <w:szCs w:val="20"/>
                      <w:u w:val="single"/>
                      <w:lang w:val="es-ES"/>
                    </w:rPr>
                    <w:t>Tercero</w:t>
                  </w:r>
                  <w:r w:rsidRPr="00833016">
                    <w:rPr>
                      <w:rFonts w:eastAsia="Times New Roman" w:cs="Times New Roman"/>
                      <w:sz w:val="20"/>
                      <w:szCs w:val="20"/>
                      <w:lang w:val="es-ES"/>
                    </w:rPr>
                    <w:t>, en el contexto anterior, el ministerio envió información sobre los siguientes aspectos relacionados con la Secretaría de Educación de Norte de Santander:</w:t>
                  </w:r>
                </w:p>
                <w:p w14:paraId="5B9C1AC5" w14:textId="77777777" w:rsidR="00C454A1" w:rsidRPr="00833016" w:rsidRDefault="00C454A1" w:rsidP="005F4A6F">
                  <w:pPr>
                    <w:pStyle w:val="Prrafodelista"/>
                    <w:numPr>
                      <w:ilvl w:val="0"/>
                      <w:numId w:val="42"/>
                    </w:numPr>
                    <w:ind w:left="360" w:right="272"/>
                    <w:rPr>
                      <w:rFonts w:eastAsia="Times New Roman" w:cs="Times New Roman"/>
                      <w:lang w:val="es-ES"/>
                    </w:rPr>
                  </w:pPr>
                  <w:r w:rsidRPr="00833016">
                    <w:rPr>
                      <w:rFonts w:eastAsia="Times New Roman" w:cs="Times New Roman"/>
                      <w:sz w:val="20"/>
                      <w:szCs w:val="20"/>
                      <w:lang w:val="es-ES"/>
                    </w:rPr>
                    <w:t xml:space="preserve">Docentes que abandonaron el territorio. De 2452 funcionarios, 1361 no se encuentran en el municipio en el que trabajan y 2340 están por fuera de Norte de Santander y 1249 “están por fuera del lugar donde laboran”. </w:t>
                  </w:r>
                </w:p>
                <w:p w14:paraId="0EBBCCD7" w14:textId="77777777" w:rsidR="00C454A1" w:rsidRPr="00833016" w:rsidRDefault="00C454A1" w:rsidP="005F4A6F">
                  <w:pPr>
                    <w:pStyle w:val="Prrafodelista"/>
                    <w:numPr>
                      <w:ilvl w:val="0"/>
                      <w:numId w:val="42"/>
                    </w:numPr>
                    <w:ind w:left="360" w:right="272"/>
                    <w:rPr>
                      <w:rFonts w:eastAsia="Times New Roman" w:cs="Times New Roman"/>
                      <w:sz w:val="20"/>
                      <w:szCs w:val="20"/>
                      <w:lang w:val="es-ES"/>
                    </w:rPr>
                  </w:pPr>
                  <w:r w:rsidRPr="00833016">
                    <w:rPr>
                      <w:rFonts w:eastAsia="Times New Roman" w:cs="Times New Roman"/>
                      <w:sz w:val="20"/>
                      <w:szCs w:val="20"/>
                      <w:lang w:val="es-ES"/>
                    </w:rPr>
                    <w:t xml:space="preserve">Niños y niñas en etapa escolar desplazados. La Secretaría de Educación explicó que “ha venido adelantando acciones encaminadas a disminuir los efectos colaterales ocasionados por la situación de orden público en la Zona del Catatumbo, tales como, instalación de albergues, habilitación de establecimiento educativo para la atención de [NNA] provenientes de esta zona del país”. Por lo demás, señaló que no cuenta con información que le permite determinar la cantidad de NNA desplazados. En todo caso, remitió información del corte de matrículas del 16 y 29 de enero de 2025, que dan cuenta de que “la matrícula no ha disminuido”. </w:t>
                  </w:r>
                </w:p>
                <w:p w14:paraId="55ADFC57" w14:textId="77777777" w:rsidR="00C454A1" w:rsidRPr="00833016" w:rsidRDefault="00C454A1" w:rsidP="005F4A6F">
                  <w:pPr>
                    <w:pStyle w:val="Prrafodelista"/>
                    <w:numPr>
                      <w:ilvl w:val="0"/>
                      <w:numId w:val="42"/>
                    </w:numPr>
                    <w:ind w:left="360" w:right="272"/>
                    <w:rPr>
                      <w:rFonts w:eastAsia="Times New Roman" w:cs="Times New Roman"/>
                      <w:sz w:val="20"/>
                      <w:szCs w:val="20"/>
                      <w:lang w:val="es-ES"/>
                    </w:rPr>
                  </w:pPr>
                  <w:r w:rsidRPr="00833016">
                    <w:rPr>
                      <w:rFonts w:eastAsia="Times New Roman" w:cs="Times New Roman"/>
                      <w:sz w:val="20"/>
                      <w:szCs w:val="20"/>
                      <w:lang w:val="es-ES"/>
                    </w:rPr>
                    <w:t>Modalidad de atención. La Secretaría de Educación explicó las modalidades de atención (presencial, presencial gradual, presencial flexible, remota) de los establecimientos educativos de los municipios de Ábrego, Convención, El Carmen, El Tarra, Hacarí, La Playa, San Calixto, Sardinata, Teorama y Tibú.</w:t>
                  </w:r>
                </w:p>
              </w:tc>
            </w:tr>
            <w:tr w:rsidR="00C454A1" w:rsidRPr="00F8202F" w14:paraId="6C2E7F3F" w14:textId="77777777" w:rsidTr="001F3006">
              <w:trPr>
                <w:trHeight w:val="300"/>
              </w:trPr>
              <w:tc>
                <w:tcPr>
                  <w:tcW w:w="2140" w:type="dxa"/>
                  <w:vAlign w:val="center"/>
                </w:tcPr>
                <w:p w14:paraId="0AFA7644"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Servicios de salud y prestación de servicios de salud en los primeros niveles de atención en los municipios afectados</w:t>
                  </w:r>
                </w:p>
                <w:p w14:paraId="4597CB18" w14:textId="77777777" w:rsidR="00C454A1" w:rsidRPr="00833016" w:rsidRDefault="00C454A1" w:rsidP="00881E6A">
                  <w:pPr>
                    <w:ind w:right="272"/>
                    <w:jc w:val="center"/>
                    <w:rPr>
                      <w:rFonts w:eastAsia="Times New Roman" w:cs="Times New Roman"/>
                      <w:sz w:val="20"/>
                      <w:szCs w:val="20"/>
                      <w:lang w:val="es-ES"/>
                    </w:rPr>
                  </w:pPr>
                </w:p>
              </w:tc>
              <w:tc>
                <w:tcPr>
                  <w:tcW w:w="12236" w:type="dxa"/>
                  <w:vAlign w:val="center"/>
                </w:tcPr>
                <w:p w14:paraId="6B5740FE"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Ministerio de Salud y Protección Social</w:t>
                  </w:r>
                  <w:r w:rsidRPr="00833016">
                    <w:rPr>
                      <w:rStyle w:val="Refdenotaalpie"/>
                      <w:rFonts w:eastAsia="Times New Roman" w:cs="Times New Roman"/>
                      <w:sz w:val="20"/>
                      <w:szCs w:val="20"/>
                      <w:lang w:val="es-ES"/>
                    </w:rPr>
                    <w:footnoteReference w:id="574"/>
                  </w:r>
                  <w:r w:rsidRPr="00833016">
                    <w:rPr>
                      <w:rFonts w:eastAsia="Times New Roman" w:cs="Times New Roman"/>
                      <w:sz w:val="20"/>
                      <w:szCs w:val="20"/>
                      <w:lang w:val="es-ES"/>
                    </w:rPr>
                    <w:t xml:space="preserve"> señaló que la situación del Catatumbo ha generado, por un lado, “la limitación grave para el acceso efectivo de las poblaciones a las atenciones corrientes y de urgencias en salud en los municipios donde se registran altos niveles de confinamiento y[,] por el otro lado[,] la demanda de recursos adicionales para atender a las poblaciones desplazadas y ubicadas en albergues temporales u alojamientos en hoteles o de familiares de manera transitoria”. Para justificar lo anterior, presentó un diagrama que muestra el aumento de personas desplazadas y confinadas entre el 22 de enero de 2025 y el 2 de febrero del mismo año. Al respecto, explicó que desde el inicio de la emergencia se han registrado 53.416 personas desplazadas y 31.358 confinadas. Advirtió que “el crecimiento es progresivo sin señales de disminución”. El mayor número de personas en situación de desplazamiento están en Cúcuta, Ocaña y Tibú, y el de personas confinadas en Tibú, Teorama, El Carmen, Hacarí y El Tarra. 22.227 personas en Cúcuta han sido atendidas mediante el plan padrino familiar, “en donde la población reside en casa familiares u otros y se les ha dado apoyo económico”. Alrededor de 24.934 personas están en diversas modalidades de alojamiento en los demás municipios </w:t>
                  </w:r>
                  <w:r w:rsidRPr="00833016">
                    <w:rPr>
                      <w:rFonts w:eastAsia="Times New Roman" w:cs="Times New Roman"/>
                      <w:sz w:val="20"/>
                      <w:szCs w:val="20"/>
                      <w:lang w:val="es-ES"/>
                    </w:rPr>
                    <w:lastRenderedPageBreak/>
                    <w:t xml:space="preserve">(como familiares, hoteles o instituciones) y 6.255 en albergues. Según el ministerio, la “dinámica mayoritariamente en alojamientos distintos a albergues ha permitido en la mayoría de los casos mejores condiciones para esta población y de alguna manera menos riesgos para la salud”. </w:t>
                  </w:r>
                </w:p>
                <w:p w14:paraId="0D6531FC" w14:textId="77777777" w:rsidR="00C454A1" w:rsidRPr="00833016" w:rsidRDefault="00C454A1" w:rsidP="00881E6A">
                  <w:pPr>
                    <w:ind w:right="272"/>
                    <w:rPr>
                      <w:rFonts w:eastAsia="Times New Roman" w:cs="Times New Roman"/>
                      <w:sz w:val="20"/>
                      <w:szCs w:val="20"/>
                      <w:lang w:val="es-ES"/>
                    </w:rPr>
                  </w:pPr>
                </w:p>
                <w:p w14:paraId="7E3B3EA0"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En relación con el confinamiento, el Ministerio de Salud señaló que esta situación afecta el acceso a los servicios de salud, “por cuanto se convierte en una barrera inamovible mientras no cese el mismo o se establezcan acuerdos y corredores humanitarios con los actores involucrados”. Resaltó que, para el 3 de febrero de 2025, había 31.358 personas confinadas, lo que corresponde al “41,8% de la población de Teorama, el 29,5% de la de Tibú, el 31,2 de la del Carmen, el 7,5[%] de la de Hacarí y el 0,6[%] de la de El Tarra”. Estas personas no pueden movilizares a hospitales y los hospitales no pueden movilizar equipos médicos a las veredas afectadas, “debido a que el paso está prohibido incluso para actores internacionales que pueden prestar servicios de salud en condiciones de emergencia como la Cruz Roja Internacional y ONGs”.</w:t>
                  </w:r>
                </w:p>
                <w:p w14:paraId="41DE752A" w14:textId="77777777" w:rsidR="00C454A1" w:rsidRPr="00833016" w:rsidRDefault="00C454A1" w:rsidP="00881E6A">
                  <w:pPr>
                    <w:ind w:right="272"/>
                    <w:rPr>
                      <w:rFonts w:eastAsia="Times New Roman" w:cs="Times New Roman"/>
                      <w:sz w:val="20"/>
                      <w:szCs w:val="20"/>
                      <w:lang w:val="es-ES"/>
                    </w:rPr>
                  </w:pPr>
                </w:p>
                <w:p w14:paraId="0E419B9C"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Luego, el ministerio explicó que las personas que pudieron desplazarse (15,06% de la población del Catatumbo) “han podido acceder a servicios de salud” en Ocaña y Cúcuta, ciudades con mayor número de desplazamiento. “Esto incluye la presión sobre los servicios de cuidado intensivo que se prestan en las instituciones de estas ciudades”. En ese contexto, presentó cifras sobre la ocupación en los municipios y concluyó que Cúcuta y Ocaña tienen disponibilidad reducida para atender servicios de urgencias y hospitalización general, medidas por camillas y sillas disponibles; mientras que en “los municipios golpeados por la violencia no se registra ocupación de los pocos recursos disponibles”, y otros como Teorama, San Calixto, La Playa y Hacarí “no cuentan si quiera con este tipo de servicios en caso de ser demandados”.</w:t>
                  </w:r>
                </w:p>
                <w:p w14:paraId="05FB70DD" w14:textId="77777777" w:rsidR="00C454A1" w:rsidRPr="00833016" w:rsidRDefault="00C454A1" w:rsidP="00881E6A">
                  <w:pPr>
                    <w:ind w:right="272"/>
                    <w:rPr>
                      <w:rFonts w:eastAsia="Times New Roman" w:cs="Times New Roman"/>
                      <w:sz w:val="20"/>
                      <w:szCs w:val="20"/>
                      <w:lang w:val="es-ES"/>
                    </w:rPr>
                  </w:pPr>
                </w:p>
                <w:p w14:paraId="1A2582D0"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 xml:space="preserve">Según la entidad, los servicios de salud de Ocaña y Cúcuta no se han desbordado porque </w:t>
                  </w:r>
                  <w:r w:rsidRPr="00E63E77">
                    <w:rPr>
                      <w:rFonts w:eastAsia="Times New Roman" w:cs="Times New Roman"/>
                      <w:i/>
                      <w:iCs/>
                      <w:sz w:val="20"/>
                      <w:szCs w:val="20"/>
                      <w:lang w:val="es-ES"/>
                    </w:rPr>
                    <w:t>(i)</w:t>
                  </w:r>
                  <w:r w:rsidRPr="00833016">
                    <w:rPr>
                      <w:rFonts w:eastAsia="Times New Roman" w:cs="Times New Roman"/>
                      <w:sz w:val="20"/>
                      <w:szCs w:val="20"/>
                      <w:lang w:val="es-ES"/>
                    </w:rPr>
                    <w:t xml:space="preserve"> activaron “a los hospitales para que hagan gestión de riesgo directamente en albergues y modalidades de alojamiento” y “[d]ispongan equipos, servicios de transporte asistencial en tales sitios con disponibilidades permanentes”; y </w:t>
                  </w:r>
                  <w:r w:rsidRPr="00E63E77">
                    <w:rPr>
                      <w:rFonts w:eastAsia="Times New Roman" w:cs="Times New Roman"/>
                      <w:i/>
                      <w:iCs/>
                      <w:sz w:val="20"/>
                      <w:szCs w:val="20"/>
                      <w:lang w:val="es-ES"/>
                    </w:rPr>
                    <w:t>(ii)</w:t>
                  </w:r>
                  <w:r w:rsidRPr="00833016">
                    <w:rPr>
                      <w:rFonts w:eastAsia="Times New Roman" w:cs="Times New Roman"/>
                      <w:sz w:val="20"/>
                      <w:szCs w:val="20"/>
                      <w:lang w:val="es-ES"/>
                    </w:rPr>
                    <w:t xml:space="preserve"> activaron a las EPS con afiliados en la región para instalar “puntos de apoyo a la gestión de pacientes” y reforzar “la oferta de su red pública y privada para atender la población en los albergues”. Sin embargo, si se mantiene la emergencia, se “va a desbordar la capacidad de la red pública y privada tanto del Catatumbo como de Norte de Santander y va a demandar recursos adicionales que permitan cubrir el aumento en la demanda de servicios”. Finalmente, el Ministerio de Salud y Protección Social manifestó que “muchas amenazas o presiones al personal de salud no son denunciadas por temor a represalias”. Sin embargo, identificó seis casos que dan cuenta de “las violaciones a la misión médica”, de los cuales cinco ocurrieron en los municipios afectados por confinamiento.    </w:t>
                  </w:r>
                </w:p>
                <w:p w14:paraId="2C1825B4" w14:textId="77777777" w:rsidR="00C454A1" w:rsidRPr="00833016" w:rsidRDefault="00C454A1" w:rsidP="00881E6A">
                  <w:pPr>
                    <w:ind w:right="272"/>
                    <w:rPr>
                      <w:rFonts w:eastAsia="Times New Roman" w:cs="Times New Roman"/>
                      <w:sz w:val="20"/>
                      <w:szCs w:val="20"/>
                      <w:lang w:val="es-ES"/>
                    </w:rPr>
                  </w:pPr>
                </w:p>
                <w:p w14:paraId="356B3073"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 xml:space="preserve">Como conclusión, la entidad señaló, entre otras, las siguientes: </w:t>
                  </w:r>
                  <w:r w:rsidRPr="007A3A33">
                    <w:rPr>
                      <w:rFonts w:eastAsia="Times New Roman" w:cs="Times New Roman"/>
                      <w:i/>
                      <w:iCs/>
                      <w:sz w:val="20"/>
                      <w:szCs w:val="20"/>
                      <w:lang w:val="es-ES"/>
                    </w:rPr>
                    <w:t>(i)</w:t>
                  </w:r>
                  <w:r w:rsidRPr="00833016">
                    <w:rPr>
                      <w:rFonts w:eastAsia="Times New Roman" w:cs="Times New Roman"/>
                      <w:sz w:val="20"/>
                      <w:szCs w:val="20"/>
                      <w:lang w:val="es-ES"/>
                    </w:rPr>
                    <w:t xml:space="preserve"> ha sido posible contener la población en situación de desplazamiento “mediante medidas de atención y gestión del riesgo en primeros niveles intra y extramurales y la coordinación nacional, subnacional y con la cooperación internacional”, pero evidencia “la necesidad de recursos adicionales para atender integralmente la emergencia de extenderse en el tiempo”; </w:t>
                  </w:r>
                  <w:r w:rsidRPr="007A3A33">
                    <w:rPr>
                      <w:rFonts w:eastAsia="Times New Roman" w:cs="Times New Roman"/>
                      <w:i/>
                      <w:iCs/>
                      <w:sz w:val="20"/>
                      <w:szCs w:val="20"/>
                      <w:lang w:val="es-ES"/>
                    </w:rPr>
                    <w:t>(ii)</w:t>
                  </w:r>
                  <w:r w:rsidRPr="00833016">
                    <w:rPr>
                      <w:rFonts w:eastAsia="Times New Roman" w:cs="Times New Roman"/>
                      <w:sz w:val="20"/>
                      <w:szCs w:val="20"/>
                      <w:lang w:val="es-ES"/>
                    </w:rPr>
                    <w:t xml:space="preserve"> la población confinada requiere “que se extinga tal condición o se pongan en marcha de manera segura corredores humanitarios que permitan tanto la población como los servicios se puedan acercar” y remover las barreras de acceso; </w:t>
                  </w:r>
                  <w:r w:rsidRPr="007A3A33">
                    <w:rPr>
                      <w:rFonts w:eastAsia="Times New Roman" w:cs="Times New Roman"/>
                      <w:i/>
                      <w:iCs/>
                      <w:sz w:val="20"/>
                      <w:szCs w:val="20"/>
                      <w:lang w:val="es-ES"/>
                    </w:rPr>
                    <w:t>(iii)</w:t>
                  </w:r>
                  <w:r w:rsidRPr="00833016">
                    <w:rPr>
                      <w:rFonts w:eastAsia="Times New Roman" w:cs="Times New Roman"/>
                      <w:sz w:val="20"/>
                      <w:szCs w:val="20"/>
                      <w:lang w:val="es-ES"/>
                    </w:rPr>
                    <w:t xml:space="preserve"> durante 2024, antes de la emergencia, el Gobierno nacional concertó un plan de transformación territorial denominado Plan Catatumbo que, entre otras, contenía un plan regional de salud para mejorar la gobernanza del sistema en la región y fortalecerlo. La emergencia “consolida la necesidad de ejecutar este plan de manera expedita como mecanismo de asegurar soluciones de medio plazo basado en el enfoque territorial”, lo que “requiere recursos y esfuerzos extraordinarios y específicos para que no se dilate en el tiempo y quede sujeto a las disponibilidades anuales de recursos que harían interminable tal desarrollo”.</w:t>
                  </w:r>
                </w:p>
              </w:tc>
            </w:tr>
            <w:tr w:rsidR="00C454A1" w:rsidRPr="00F8202F" w14:paraId="0E2EBDD0" w14:textId="77777777" w:rsidTr="001F3006">
              <w:trPr>
                <w:trHeight w:val="300"/>
              </w:trPr>
              <w:tc>
                <w:tcPr>
                  <w:tcW w:w="2140" w:type="dxa"/>
                  <w:vAlign w:val="center"/>
                </w:tcPr>
                <w:p w14:paraId="4ED47B10"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lastRenderedPageBreak/>
                    <w:t>Servicios de acueducto y alcantarillado</w:t>
                  </w:r>
                </w:p>
              </w:tc>
              <w:tc>
                <w:tcPr>
                  <w:tcW w:w="12236" w:type="dxa"/>
                  <w:vAlign w:val="center"/>
                </w:tcPr>
                <w:p w14:paraId="4881F34C"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Ministerio de Vivienda, Ciudad y Territorio</w:t>
                  </w:r>
                  <w:r w:rsidRPr="00833016">
                    <w:rPr>
                      <w:rStyle w:val="Refdenotaalpie"/>
                      <w:rFonts w:eastAsia="Times New Roman" w:cs="Times New Roman"/>
                      <w:sz w:val="20"/>
                      <w:szCs w:val="20"/>
                      <w:lang w:val="es-ES"/>
                    </w:rPr>
                    <w:footnoteReference w:id="575"/>
                  </w:r>
                  <w:r w:rsidRPr="00833016">
                    <w:rPr>
                      <w:rFonts w:eastAsia="Times New Roman" w:cs="Times New Roman"/>
                      <w:sz w:val="20"/>
                      <w:szCs w:val="20"/>
                      <w:lang w:val="es-ES"/>
                    </w:rPr>
                    <w:t xml:space="preserve"> indicó que “no se han podido identificar reportes entre inicios de 2022 a noviembre de 2024 de hechos que hayan” implicado la suspensión o interrupción de proyectos para el desarrollo de agua y saneamiento básico, “con ocasión de situaciones de afectación del orden público”. Tampoco cuenta con pruebas de la suspensión de los servicios de agua y de saneamiento básico por situaciones de orden público en la zona objeto de la declaratoria del Estado de Conmoción Interior. Ahora bien, desde noviembre de 2024, los enfrentamientos de los grupos armados al margen de la ley demuestran las afectaciones y vulneraciones a los derechos fundamentales al agua y al saneamiento básico. El desplazamiento inusitado de 53.416 personas y el confinamiento de otras “determinó la afectación en el acceso a servicios públicos de acueducto y alcantarillado”. </w:t>
                  </w:r>
                </w:p>
                <w:p w14:paraId="3C5F8652" w14:textId="77777777" w:rsidR="00C454A1" w:rsidRPr="00833016" w:rsidRDefault="00C454A1" w:rsidP="00881E6A">
                  <w:pPr>
                    <w:ind w:right="272"/>
                    <w:rPr>
                      <w:rFonts w:eastAsia="Times New Roman" w:cs="Times New Roman"/>
                      <w:sz w:val="20"/>
                      <w:szCs w:val="20"/>
                      <w:lang w:val="es-ES"/>
                    </w:rPr>
                  </w:pPr>
                </w:p>
                <w:p w14:paraId="37B0DE38"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 xml:space="preserve">De un lado, en los municipios receptores, “sería necesario que los prestadores del servicio de acueducto tengan disponibilidad adicional de agua potable del orden de 2,6 millones de litros al día”, lo que “puede afectar la operación normal de los sistemas, incrementa[r] costos operativos y superar la capacidad de la infraestructura existente”. En particular, esto sería crítico en Tibú, porque ha recibido más de 13.000 personas desplazadas, “lo que implica un crecimiento del 60% de personas, que requieren todos los servicios normales de acueducto, alcantarillado y aseo, con una infraestructura que no está diseñada para ello”. De otro lado, en los municipios de los que se desplazan las 53.000 personas, “dejarán de pagar sus tarifas, implicando serias afectaciones en el equilibrio financiero de los prestadores”. Lo anterior, aunado con las 31.358 personas confinadas que, al ver reducidos sus ingresos, “tampoco tendrían recursos para poder hacer los pagos tarifarios”. </w:t>
                  </w:r>
                </w:p>
                <w:p w14:paraId="1749C970" w14:textId="77777777" w:rsidR="00C454A1" w:rsidRPr="00833016" w:rsidRDefault="00C454A1" w:rsidP="00881E6A">
                  <w:pPr>
                    <w:ind w:right="272"/>
                    <w:rPr>
                      <w:rFonts w:eastAsia="Times New Roman" w:cs="Times New Roman"/>
                      <w:sz w:val="20"/>
                      <w:szCs w:val="20"/>
                      <w:lang w:val="es-ES"/>
                    </w:rPr>
                  </w:pPr>
                </w:p>
                <w:p w14:paraId="04C17EEB"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Finalmente, el ministerio puso de presente la suspensión de la prestación del servicio de agua. De conformidad con la información del gestor del Plan Departamental de Agua, al inicio del conflicto, el confinamiento implicó la suspensión temporal del servicio en los municipios del Catatumbo en los que se presentaron enfrentamientos violentos. Además, puso de presente que se presentó una amenaza de bomba en la captación del acueducto en Tibú, lo que también desencadenó en la suspensión temporal del servicio. Por lo demás, advirtió sobre la suspensión de dos contratos de obra.</w:t>
                  </w:r>
                </w:p>
              </w:tc>
            </w:tr>
            <w:tr w:rsidR="00C454A1" w:rsidRPr="00F8202F" w14:paraId="77D776EC" w14:textId="77777777" w:rsidTr="001F3006">
              <w:trPr>
                <w:trHeight w:val="300"/>
              </w:trPr>
              <w:tc>
                <w:tcPr>
                  <w:tcW w:w="2140" w:type="dxa"/>
                  <w:vAlign w:val="center"/>
                </w:tcPr>
                <w:p w14:paraId="32349022"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Actividad industrial y comercial que proveen bienes y servicios de</w:t>
                  </w:r>
                </w:p>
                <w:p w14:paraId="258A2B57"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importancia estratégica para la región</w:t>
                  </w:r>
                </w:p>
              </w:tc>
              <w:tc>
                <w:tcPr>
                  <w:tcW w:w="12236" w:type="dxa"/>
                  <w:vAlign w:val="center"/>
                </w:tcPr>
                <w:p w14:paraId="40AD6AEB"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Ministerio de Comercio, Industria y Turismo</w:t>
                  </w:r>
                  <w:r w:rsidRPr="00833016">
                    <w:rPr>
                      <w:rStyle w:val="Refdenotaalpie"/>
                      <w:rFonts w:eastAsia="Times New Roman" w:cs="Times New Roman"/>
                      <w:sz w:val="20"/>
                      <w:szCs w:val="20"/>
                      <w:lang w:val="es-ES"/>
                    </w:rPr>
                    <w:footnoteReference w:id="576"/>
                  </w:r>
                  <w:r w:rsidRPr="00833016">
                    <w:rPr>
                      <w:rFonts w:eastAsia="Times New Roman" w:cs="Times New Roman"/>
                      <w:sz w:val="20"/>
                      <w:szCs w:val="20"/>
                      <w:lang w:val="es-ES"/>
                    </w:rPr>
                    <w:t xml:space="preserve"> resaltó que la región del Catatumbo “es un destino turístico emergente, en el cual algunos de sus municipios han desarrollado dinámicas de movilidad turística derivadas de su riqueza natural y cultural”. La dinámica del turismo la sostienen empresarios y comunidades locales. Actualmente, en esa región hay 137 prestadores de servicios turísticos que generan alrededor de 155 empleos con 105 establecimientos de alojamiento, 17 agencias de viaje, 12 viviendas turísticas y 3 guías de turismo. La entidad aportó información sobre estos ítems en los municipios de González, Río de Oso, Ábrego, Convención, El Carmen, El Tarra, Hacarí, La Playa, Ocaña, San Calixto, Sardinata, Teorama y Tibú. Indicó que Ocaña, Tibú y Sardinata</w:t>
                  </w:r>
                  <w:r>
                    <w:rPr>
                      <w:rFonts w:eastAsia="Times New Roman" w:cs="Times New Roman"/>
                      <w:sz w:val="20"/>
                      <w:szCs w:val="20"/>
                      <w:lang w:val="es-ES"/>
                    </w:rPr>
                    <w:t>, los cuales</w:t>
                  </w:r>
                  <w:r w:rsidRPr="00833016">
                    <w:rPr>
                      <w:rFonts w:eastAsia="Times New Roman" w:cs="Times New Roman"/>
                      <w:sz w:val="20"/>
                      <w:szCs w:val="20"/>
                      <w:lang w:val="es-ES"/>
                    </w:rPr>
                    <w:t xml:space="preserve"> son los municipios con mayores prestadores de servicios turísticos.</w:t>
                  </w:r>
                </w:p>
                <w:p w14:paraId="57EB89B1" w14:textId="77777777" w:rsidR="00C454A1" w:rsidRPr="00833016" w:rsidRDefault="00C454A1" w:rsidP="00881E6A">
                  <w:pPr>
                    <w:ind w:right="272"/>
                    <w:rPr>
                      <w:rFonts w:eastAsia="Times New Roman" w:cs="Times New Roman"/>
                      <w:sz w:val="20"/>
                      <w:szCs w:val="20"/>
                      <w:lang w:val="es-ES"/>
                    </w:rPr>
                  </w:pPr>
                </w:p>
                <w:p w14:paraId="020E40B8"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 xml:space="preserve">El ministerio explicó que la situación de orden público afecta la prestación de servicios turísticos y desincentivará las visitas a la región; y la categorizará como una zona de alto riesgo, afectando así “la percepción de riesgo”. La entidad agregó que “la paralización de la actividad turística impacta de manera inmediata el desarrollo comercial del sector, reduciendo la ocupación hotelera a sus niveles mínima y afectando los desencadenamientos productivos asociados”. Además, señaló que el desarrollo de actividades turísticas, de la mano del tejido empresarial, social y comunitario, son estratégicos “para la transición hacia las economías lícitas, la consecución de la paz y como medio para garantizar los derechos de la población; asuntos que se ven truncados como consecuencia de la violencia”. </w:t>
                  </w:r>
                </w:p>
                <w:p w14:paraId="77D57828" w14:textId="77777777" w:rsidR="00C454A1" w:rsidRPr="00833016" w:rsidRDefault="00C454A1" w:rsidP="00881E6A">
                  <w:pPr>
                    <w:ind w:right="272"/>
                    <w:rPr>
                      <w:rFonts w:eastAsia="Times New Roman" w:cs="Times New Roman"/>
                      <w:sz w:val="20"/>
                      <w:szCs w:val="20"/>
                      <w:lang w:val="es-ES"/>
                    </w:rPr>
                  </w:pPr>
                </w:p>
                <w:p w14:paraId="536F81E8"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lastRenderedPageBreak/>
                    <w:t xml:space="preserve">Por último, el MinCIT resaltó los siguientes beneficios esperados para el sector con las medidas derivadas del Estado de Conmoción Interior: </w:t>
                  </w:r>
                  <w:r w:rsidRPr="00EA5F76">
                    <w:rPr>
                      <w:rFonts w:eastAsia="Times New Roman" w:cs="Times New Roman"/>
                      <w:i/>
                      <w:iCs/>
                      <w:sz w:val="20"/>
                      <w:szCs w:val="20"/>
                      <w:lang w:val="es-ES"/>
                    </w:rPr>
                    <w:t>(i)</w:t>
                  </w:r>
                  <w:r w:rsidRPr="00833016">
                    <w:rPr>
                      <w:rFonts w:eastAsia="Times New Roman" w:cs="Times New Roman"/>
                      <w:sz w:val="20"/>
                      <w:szCs w:val="20"/>
                      <w:lang w:val="es-ES"/>
                    </w:rPr>
                    <w:t xml:space="preserve"> “[r]establecimiento progresivo de la seguridad, generando confianza en viajeros e inversionistas”; </w:t>
                  </w:r>
                  <w:r w:rsidRPr="00EA5F76">
                    <w:rPr>
                      <w:rFonts w:eastAsia="Times New Roman" w:cs="Times New Roman"/>
                      <w:i/>
                      <w:iCs/>
                      <w:sz w:val="20"/>
                      <w:szCs w:val="20"/>
                      <w:lang w:val="es-ES"/>
                    </w:rPr>
                    <w:t>(ii)</w:t>
                  </w:r>
                  <w:r w:rsidRPr="00833016">
                    <w:rPr>
                      <w:rFonts w:eastAsia="Times New Roman" w:cs="Times New Roman"/>
                      <w:sz w:val="20"/>
                      <w:szCs w:val="20"/>
                      <w:lang w:val="es-ES"/>
                    </w:rPr>
                    <w:t xml:space="preserve"> “[r]eactivación del acceso a los destinos turísticos, permitiendo la normalización de la actividad económica”, y </w:t>
                  </w:r>
                  <w:r w:rsidRPr="00EA5F76">
                    <w:rPr>
                      <w:rFonts w:eastAsia="Times New Roman" w:cs="Times New Roman"/>
                      <w:i/>
                      <w:iCs/>
                      <w:sz w:val="20"/>
                      <w:szCs w:val="20"/>
                      <w:lang w:val="es-ES"/>
                    </w:rPr>
                    <w:t>(iii)</w:t>
                  </w:r>
                  <w:r w:rsidRPr="00833016">
                    <w:rPr>
                      <w:rFonts w:eastAsia="Times New Roman" w:cs="Times New Roman"/>
                      <w:sz w:val="20"/>
                      <w:szCs w:val="20"/>
                      <w:lang w:val="es-ES"/>
                    </w:rPr>
                    <w:t xml:space="preserve"> “[p]rotección de los prestadores de servicios turísticos, garantizando condiciones seguras para su operación”.</w:t>
                  </w:r>
                </w:p>
              </w:tc>
            </w:tr>
            <w:tr w:rsidR="00C454A1" w:rsidRPr="00F8202F" w14:paraId="70DC444C" w14:textId="77777777" w:rsidTr="001F3006">
              <w:trPr>
                <w:trHeight w:val="300"/>
              </w:trPr>
              <w:tc>
                <w:tcPr>
                  <w:tcW w:w="2140" w:type="dxa"/>
                  <w:vAlign w:val="center"/>
                </w:tcPr>
                <w:p w14:paraId="1FFA2D2E"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lastRenderedPageBreak/>
                    <w:t>“[I]nfraestructura, tierras y activos agropecuarios íntimamente ligados a la situación de vulnerabilidad de la población” y las condiciones de acceso y distribución de alimentos</w:t>
                  </w:r>
                </w:p>
              </w:tc>
              <w:tc>
                <w:tcPr>
                  <w:tcW w:w="12236" w:type="dxa"/>
                  <w:vAlign w:val="center"/>
                </w:tcPr>
                <w:p w14:paraId="5BA3F17C"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DAPRE se remitió a la respuesta suministrada por el Ministerio de Agricultura y Desarrollo Rural</w:t>
                  </w:r>
                  <w:r w:rsidRPr="00833016">
                    <w:rPr>
                      <w:rStyle w:val="Refdenotaalpie"/>
                      <w:rFonts w:eastAsia="Times New Roman" w:cs="Times New Roman"/>
                      <w:sz w:val="20"/>
                      <w:szCs w:val="20"/>
                      <w:lang w:val="es-ES"/>
                    </w:rPr>
                    <w:footnoteReference w:id="577"/>
                  </w:r>
                  <w:r w:rsidRPr="00833016">
                    <w:rPr>
                      <w:rFonts w:eastAsia="Times New Roman" w:cs="Times New Roman"/>
                      <w:sz w:val="20"/>
                      <w:szCs w:val="20"/>
                      <w:lang w:val="es-ES"/>
                    </w:rPr>
                    <w:t xml:space="preserve">. Esta entidad desarrolló, entre otros, cinco puntos relevantes. </w:t>
                  </w:r>
                  <w:r w:rsidRPr="00833016">
                    <w:rPr>
                      <w:rFonts w:eastAsia="Times New Roman" w:cs="Times New Roman"/>
                      <w:sz w:val="20"/>
                      <w:szCs w:val="20"/>
                      <w:u w:val="single"/>
                      <w:lang w:val="es-ES"/>
                    </w:rPr>
                    <w:t>Primero</w:t>
                  </w:r>
                  <w:r w:rsidRPr="00833016">
                    <w:rPr>
                      <w:rFonts w:eastAsia="Times New Roman" w:cs="Times New Roman"/>
                      <w:sz w:val="20"/>
                      <w:szCs w:val="20"/>
                      <w:lang w:val="es-ES"/>
                    </w:rPr>
                    <w:t xml:space="preserve">, hizo referencia a la situación humanitaria en la región objeto del Decreto 62 de 2025. En particular, mencionó </w:t>
                  </w:r>
                  <w:r w:rsidRPr="00551D7C">
                    <w:rPr>
                      <w:rFonts w:eastAsia="Times New Roman" w:cs="Times New Roman"/>
                      <w:i/>
                      <w:iCs/>
                      <w:sz w:val="20"/>
                      <w:szCs w:val="20"/>
                      <w:lang w:val="es-ES"/>
                    </w:rPr>
                    <w:t>(i)</w:t>
                  </w:r>
                  <w:r w:rsidRPr="00833016">
                    <w:rPr>
                      <w:rFonts w:eastAsia="Times New Roman" w:cs="Times New Roman"/>
                      <w:sz w:val="20"/>
                      <w:szCs w:val="20"/>
                      <w:lang w:val="es-ES"/>
                    </w:rPr>
                    <w:t xml:space="preserve"> el aumento de desplazamientos y confinamientos, </w:t>
                  </w:r>
                  <w:r w:rsidRPr="00551D7C">
                    <w:rPr>
                      <w:rFonts w:eastAsia="Times New Roman" w:cs="Times New Roman"/>
                      <w:i/>
                      <w:iCs/>
                      <w:sz w:val="20"/>
                      <w:szCs w:val="20"/>
                      <w:lang w:val="es-ES"/>
                    </w:rPr>
                    <w:t>(ii)</w:t>
                  </w:r>
                  <w:r w:rsidRPr="00833016">
                    <w:rPr>
                      <w:rFonts w:eastAsia="Times New Roman" w:cs="Times New Roman"/>
                      <w:sz w:val="20"/>
                      <w:szCs w:val="20"/>
                      <w:lang w:val="es-ES"/>
                    </w:rPr>
                    <w:t xml:space="preserve"> el impacto en la tenencia y explotación de la tierra, y </w:t>
                  </w:r>
                  <w:r w:rsidRPr="00551D7C">
                    <w:rPr>
                      <w:rFonts w:eastAsia="Times New Roman" w:cs="Times New Roman"/>
                      <w:i/>
                      <w:iCs/>
                      <w:sz w:val="20"/>
                      <w:szCs w:val="20"/>
                      <w:lang w:val="es-ES"/>
                    </w:rPr>
                    <w:t>(iii</w:t>
                  </w:r>
                  <w:r w:rsidRPr="00833016">
                    <w:rPr>
                      <w:rFonts w:eastAsia="Times New Roman" w:cs="Times New Roman"/>
                      <w:sz w:val="20"/>
                      <w:szCs w:val="20"/>
                      <w:lang w:val="es-ES"/>
                    </w:rPr>
                    <w:t xml:space="preserve">) el estado de las solicitudes de restitución y protección de tierras. Sobre lo primero, señaló que, en 2024, la UARIV reportó 5.422 personas desplazadas y, en 2025, el Comité de Justicia Transicional reportó 36.137. Para febrero de 2025, el Puesto de Mando Unificado del Catatumbo registró 53.416 desplazados y 31.358 confinadas. Por su parte, la ARN informó que, desde el 25 de enero de 2025, 102 firmantes del Acuerdo de paz fueron desplazados 5 asesinados y 11 desaparecidos. En relación con lo segundo, manifestó que “[e]l desplazamiento masivo de la población campesina y productora genera riesgo de acaparamiento y alteración en la propiedad y uso de la tierra, afectando la producción y el acceso a la seguridad alimentaria”. Agregó que “[l]a violencia, la grave perturbación del orden público y la crisis de seguridad impiden la continuidad de los procesos de restitución de tierras y amenazan con generar nuevos casos de despojo”. En cuanto a lo tercero, explicó que, desde la declaratoria del Estado de Conmoción Interior ha habido 8 nuevas solicitudes de restitución en el Registro de Tierras Despojadas y Abandonadas Forzosamente (RTDAF) y 258 nuevas solicitudes en el Registro Único de Tierras y Territorios Abandonados (RUPTA). “[L]as solicitudes de restitución aumentaron con 5.455 registros en el RTDAF y 10.198 en el RUPTA. Al respecto, aseguró que “[l]a inseguridad ha impedido los procesos de restitución de tierras y ha generado un riesgo de acaparamiento y despojo, afectando la producción agropecuaria y la estabilidad de la población [...] que [...] truncan los trámites de acceso y formalización de tierras, agrava el despojo de sus predios y la pérdida de sus fuentes de ingresos, estabilidad básica de medios de vida y seguridad alimentaria”. Ante este escenario, precisó que, el Decreto 108 de 2025, prevé medidas excepcionales para la protección de tierras y territorios. </w:t>
                  </w:r>
                </w:p>
                <w:p w14:paraId="3B740F98" w14:textId="77777777" w:rsidR="00C454A1" w:rsidRPr="00833016" w:rsidRDefault="00C454A1" w:rsidP="00881E6A">
                  <w:pPr>
                    <w:ind w:right="272"/>
                    <w:rPr>
                      <w:rFonts w:eastAsia="Times New Roman" w:cs="Times New Roman"/>
                      <w:sz w:val="20"/>
                      <w:szCs w:val="20"/>
                      <w:lang w:val="es-ES"/>
                    </w:rPr>
                  </w:pPr>
                </w:p>
                <w:p w14:paraId="6E87031F"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u w:val="single"/>
                      <w:lang w:val="es-ES"/>
                    </w:rPr>
                    <w:t>Segundo</w:t>
                  </w:r>
                  <w:r w:rsidRPr="00833016">
                    <w:rPr>
                      <w:rFonts w:eastAsia="Times New Roman" w:cs="Times New Roman"/>
                      <w:sz w:val="20"/>
                      <w:szCs w:val="20"/>
                      <w:lang w:val="es-ES"/>
                    </w:rPr>
                    <w:t xml:space="preserve">, explicó las afectaciones en las cadenas agropecuarias y las zonas de cadena productivo-comercial en la zona. Respecto de las zonas agrícolas, explicó que, en 2024, “el área cultivada en la región se redujo respecto a 2023, con disminuciones críticas en municipios como González (Cesar) con una caída del 52%, El Tarra (-11.3%) y El Carmen (-8,4%)”. Además, señaló que “la producción total agrícola en el Catatumbo cayó en 12,6% [...]”. Sin embargo, la subregión representa una parte fundamental del abastecimiento de hortalizas en el país, [...]”. En ese contexto, concluyó que la falta de acceso a dichas zonas, el abandono de especies menores y ganado “o la disrupción en cadenas agrícolas y pecuarias tendrían [...] efectos negativos en la siembra y cosecha de alimentos, y frutales que ante el desplazamiento masivo y colectivo de campesinos y trabajadores agrarios, dificultaría el desabastecimiento de la canasta en la zona afectada y región subsiguiente”. En relación con las zonas pecuarias y cultivos, la entidad presentó las cifras estimadas de personas y animales afectados. En su criterio, tales datos evidencian la crisis de producción bovina del Catatumbo, “con graves afectaciones económicas, productivas y sociales. La falta de infraestructura para el acopio y comercialización de productos ganaderos, sumada a la grave perturbación del orden público en la región, hace urgente la intervención del Estado mediante medidas inmediatas para garantizar la sobrevivencia de los ganados y animales [...], la producción y comercialización de leche y carne, disponer en el corto plazo de predios e infraestructura ya existente para acopio y procesamiento, acciones urgentes de apoyo económico e incentivos a campesinos y productores afectados y protección a la población campesina dependiente de la actividad ganadera”. La entidad añadió que, en las primeras semanas de enero de 2025, identificaron que en la zona hubo reducción en la producción, dificultades en el acopio, en la movilización, distribución y comercialización </w:t>
                  </w:r>
                  <w:r w:rsidRPr="00833016">
                    <w:rPr>
                      <w:rFonts w:eastAsia="Times New Roman" w:cs="Times New Roman"/>
                      <w:sz w:val="20"/>
                      <w:szCs w:val="20"/>
                      <w:lang w:val="es-ES"/>
                    </w:rPr>
                    <w:lastRenderedPageBreak/>
                    <w:t xml:space="preserve">de productos, “lo que demanda una urgencia del Estado para contener y mitigar los efectos que a corto plazo sufran los pequeños y medianos productores, así como las dificultades que tendrán los pobladores rurales para acceder a alimentos [...]”. </w:t>
                  </w:r>
                </w:p>
                <w:p w14:paraId="4C8FB259" w14:textId="77777777" w:rsidR="00C454A1" w:rsidRPr="00833016" w:rsidRDefault="00C454A1" w:rsidP="00881E6A">
                  <w:pPr>
                    <w:ind w:right="272"/>
                    <w:rPr>
                      <w:rFonts w:eastAsia="Times New Roman" w:cs="Times New Roman"/>
                      <w:sz w:val="20"/>
                      <w:szCs w:val="20"/>
                      <w:lang w:val="es-ES"/>
                    </w:rPr>
                  </w:pPr>
                </w:p>
                <w:p w14:paraId="3FB9E45D"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u w:val="single"/>
                      <w:lang w:val="es-ES"/>
                    </w:rPr>
                    <w:t>Tercero</w:t>
                  </w:r>
                  <w:r w:rsidRPr="00833016">
                    <w:rPr>
                      <w:rFonts w:eastAsia="Times New Roman" w:cs="Times New Roman"/>
                      <w:sz w:val="20"/>
                      <w:szCs w:val="20"/>
                      <w:lang w:val="es-ES"/>
                    </w:rPr>
                    <w:t>, identificó otras afectaciones en los municipios de la región del Catatumbo. En particular, se refirió a Tibú, Ábrego y El Tarra. Al respecto, mencionó, por ejemplo, los problemas relacionados con la reducción en la producción y las dificultades en la producción derivada de la “emergencia social y económica en la región”, las dificultades derivadas de las restricciones a la movilidad de los productores, el cierre de vías que ha impedido la comercialización de productos, la reducción de rendimientos de alimentos para animales y semillas, la pérdida total de cosechas por abandono de las tierras, animales y bienes pecuarios, el riesgo de la seguridad alimentaria y el sustento de las comunidades rurales. En relación con los municipios de La Playa, Sardinata y Ocaña, la entidad indicó que no hay afectaciones productivas. En este último, con excepción de la comercialización de productos de panadería. Además, el ministerio hizo referencia a las afectaciones financieras de los pequeños productores. La entidad explicó que existen mecanismos como el Fondo Agropecuario de Garantías y el Fondo de Solidaridad Agropecuario. Sin embargo, “los productores no pueden acceder de manera efectiva a financiamiento, ya que la falta de seguridad y la presencia de economías ilícitas han desestabilizado la actividad productiva y comercial de los trabajadores rurales”. En su criterio, las medidas ordinarias no son suficientes, en tanto que “no pueden garantizar la estabilidad y la protección necesarias para que los productores puedan mantener estabilidad en sus y garantías [</w:t>
                  </w:r>
                  <w:r w:rsidRPr="00833016">
                    <w:rPr>
                      <w:rFonts w:eastAsia="Times New Roman" w:cs="Times New Roman"/>
                      <w:i/>
                      <w:iCs/>
                      <w:sz w:val="20"/>
                      <w:szCs w:val="20"/>
                      <w:lang w:val="es-ES"/>
                    </w:rPr>
                    <w:t>sic</w:t>
                  </w:r>
                  <w:r w:rsidRPr="00833016">
                    <w:rPr>
                      <w:rFonts w:eastAsia="Times New Roman" w:cs="Times New Roman"/>
                      <w:sz w:val="20"/>
                      <w:szCs w:val="20"/>
                      <w:lang w:val="es-ES"/>
                    </w:rPr>
                    <w:t xml:space="preserve">] para retomarlas y cumplir con sus obligaciones financieras”. </w:t>
                  </w:r>
                </w:p>
                <w:p w14:paraId="597A8A11" w14:textId="77777777" w:rsidR="00C454A1" w:rsidRPr="00833016" w:rsidRDefault="00C454A1" w:rsidP="00881E6A">
                  <w:pPr>
                    <w:ind w:right="272"/>
                    <w:rPr>
                      <w:rFonts w:eastAsia="Times New Roman" w:cs="Times New Roman"/>
                      <w:sz w:val="20"/>
                      <w:szCs w:val="20"/>
                      <w:lang w:val="es-ES"/>
                    </w:rPr>
                  </w:pPr>
                </w:p>
                <w:p w14:paraId="4D0F968D"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u w:val="single"/>
                      <w:lang w:val="es-ES"/>
                    </w:rPr>
                    <w:t>Cuarto</w:t>
                  </w:r>
                  <w:r w:rsidRPr="00833016">
                    <w:rPr>
                      <w:rFonts w:eastAsia="Times New Roman" w:cs="Times New Roman"/>
                      <w:sz w:val="20"/>
                      <w:szCs w:val="20"/>
                      <w:lang w:val="es-ES"/>
                    </w:rPr>
                    <w:t xml:space="preserve">, relacionó los daños ocasionados por la alteración del orden público. Resaltó que las acciones de los grupos armados al margen de la ley que alteran el orden público inciden en afectaciones a la infraestructura, tierras y activos agropecuarios. Ante la exacerbación del accionar del ELN y de las disidencias de las FARC, “existe un riesgo inminente de afectación de las condiciones de acceso y distribución de alimentos que pueden causar crisis alimentaria, situación particularmente importante en la región del Catatumbo que registra un inventario de 139.721 cabezas de ganado, con una producción diaria estimada de 163.132 litros de leche, lo que equivale a una producción mensual de 4.893.962 litros. La subregión del Catatumbo produjo en 2023 el 33,6% del pepino del país, el 23,4% de la cebolla de bulbo, el 10,7% del pimentón, el 6,4% del tomate, el 6,4% del fríjol y el 5,6% de la producción de la palma de aceite del país”. Por tanto, el Gobierno nacional debe adelantar las medidas pertinentes, respecto de las cuales da cuenta en su oficio. </w:t>
                  </w:r>
                </w:p>
                <w:p w14:paraId="6A0F7A09" w14:textId="77777777" w:rsidR="00C454A1" w:rsidRPr="00833016" w:rsidRDefault="00C454A1" w:rsidP="00881E6A">
                  <w:pPr>
                    <w:ind w:right="272"/>
                    <w:rPr>
                      <w:rFonts w:eastAsia="Times New Roman" w:cs="Times New Roman"/>
                      <w:sz w:val="20"/>
                      <w:szCs w:val="20"/>
                      <w:lang w:val="es-ES"/>
                    </w:rPr>
                  </w:pPr>
                </w:p>
                <w:p w14:paraId="6EC98ACD"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u w:val="single"/>
                      <w:lang w:val="es-ES"/>
                    </w:rPr>
                    <w:t>Quinto</w:t>
                  </w:r>
                  <w:r w:rsidRPr="00833016">
                    <w:rPr>
                      <w:rFonts w:eastAsia="Times New Roman" w:cs="Times New Roman"/>
                      <w:sz w:val="20"/>
                      <w:szCs w:val="20"/>
                      <w:lang w:val="es-ES"/>
                    </w:rPr>
                    <w:t>, en uno de los insumos remitidos, la Gobernación de Norte de Santander</w:t>
                  </w:r>
                  <w:r w:rsidRPr="00833016">
                    <w:rPr>
                      <w:rStyle w:val="Refdenotaalpie"/>
                      <w:rFonts w:eastAsia="Times New Roman" w:cs="Times New Roman"/>
                      <w:sz w:val="20"/>
                      <w:szCs w:val="20"/>
                      <w:lang w:val="es-ES"/>
                    </w:rPr>
                    <w:footnoteReference w:id="578"/>
                  </w:r>
                  <w:r w:rsidRPr="00833016">
                    <w:rPr>
                      <w:rFonts w:eastAsia="Times New Roman" w:cs="Times New Roman"/>
                      <w:sz w:val="20"/>
                      <w:szCs w:val="20"/>
                      <w:lang w:val="es-ES"/>
                    </w:rPr>
                    <w:t xml:space="preserve"> expuso el plan de acción que diseñó la Secretaría de Agricultura. Entre otras, señaló que la Agencia de Desarrollo Rural lidera la estrategia de compras públicas (Ley 2046 de 2020 y Decreto 248 de 2021), “con el objeto de beneficiar la producción local de las zonas afectadas abriendo canales de comercialización institucionales como el ICBF, ejército, policía nacional y otras entidades adscritas y vinculadas del orden nacional con el deber normativo de adquirir el 30% de su autoabastecimiento interno”. </w:t>
                  </w:r>
                </w:p>
                <w:p w14:paraId="44DECB04" w14:textId="77777777" w:rsidR="00C454A1" w:rsidRPr="00833016" w:rsidRDefault="00C454A1" w:rsidP="00881E6A">
                  <w:pPr>
                    <w:ind w:right="272"/>
                    <w:rPr>
                      <w:rFonts w:eastAsia="Times New Roman" w:cs="Times New Roman"/>
                      <w:sz w:val="20"/>
                      <w:szCs w:val="20"/>
                      <w:lang w:val="es-ES"/>
                    </w:rPr>
                  </w:pPr>
                </w:p>
                <w:p w14:paraId="321F2BB3"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 xml:space="preserve">Por lo demás, la entidad puso de presente las acciones que ha desplegado luego de la expedición de los decretos legislativos 106 107 y 108 de 2025; y justificó la necesidad de las medidas adoptadas en dichos decretos. Además, en uno de los documentos remitidos, la Unidad de Restitución de </w:t>
                  </w:r>
                  <w:r w:rsidRPr="00833016">
                    <w:rPr>
                      <w:rFonts w:eastAsia="Times New Roman" w:cs="Times New Roman"/>
                      <w:sz w:val="20"/>
                      <w:szCs w:val="20"/>
                      <w:lang w:val="es-ES"/>
                    </w:rPr>
                    <w:lastRenderedPageBreak/>
                    <w:t>Tierras hizo un recuento sobre el conflicto en la región</w:t>
                  </w:r>
                  <w:r w:rsidRPr="00833016">
                    <w:rPr>
                      <w:rStyle w:val="Refdenotaalpie"/>
                      <w:rFonts w:eastAsia="Times New Roman" w:cs="Times New Roman"/>
                      <w:sz w:val="20"/>
                      <w:szCs w:val="20"/>
                      <w:lang w:val="es-ES"/>
                    </w:rPr>
                    <w:footnoteReference w:id="579"/>
                  </w:r>
                  <w:r w:rsidRPr="00833016">
                    <w:rPr>
                      <w:rFonts w:eastAsia="Times New Roman" w:cs="Times New Roman"/>
                      <w:sz w:val="20"/>
                      <w:szCs w:val="20"/>
                      <w:lang w:val="es-ES"/>
                    </w:rPr>
                    <w:t>. Explicó la presencia de grupos al margen de la ley en Norte de Santander y los hechos victimizantes que sufrió la población durante la década de los noventa. Entre otras, relacionó desplazamientos, amenazas, asesinatos, etc. Sin embargo, esta información no está muy actualizada. Otro de los insumos</w:t>
                  </w:r>
                  <w:r w:rsidRPr="00833016">
                    <w:rPr>
                      <w:rStyle w:val="Refdenotaalpie"/>
                      <w:rFonts w:eastAsia="Times New Roman" w:cs="Times New Roman"/>
                      <w:sz w:val="20"/>
                      <w:szCs w:val="20"/>
                      <w:lang w:val="es-ES"/>
                    </w:rPr>
                    <w:footnoteReference w:id="580"/>
                  </w:r>
                  <w:r w:rsidRPr="00833016">
                    <w:rPr>
                      <w:rFonts w:eastAsia="Times New Roman" w:cs="Times New Roman"/>
                      <w:sz w:val="20"/>
                      <w:szCs w:val="20"/>
                      <w:lang w:val="es-ES"/>
                    </w:rPr>
                    <w:t xml:space="preserve"> da cuenta de cifras de personas desplazadas, asesinadas durante 2025, entre otras, discriminadas por municipio. </w:t>
                  </w:r>
                </w:p>
              </w:tc>
            </w:tr>
            <w:tr w:rsidR="00C454A1" w:rsidRPr="00F8202F" w14:paraId="48A16254" w14:textId="77777777" w:rsidTr="001F3006">
              <w:trPr>
                <w:trHeight w:val="300"/>
              </w:trPr>
              <w:tc>
                <w:tcPr>
                  <w:tcW w:w="2140" w:type="dxa"/>
                  <w:vAlign w:val="center"/>
                </w:tcPr>
                <w:p w14:paraId="4D350262"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lastRenderedPageBreak/>
                    <w:t>Sistema Interconectado Nacional y la operación de la empresa Centrales Eléctricas del Norte de Santander</w:t>
                  </w:r>
                </w:p>
              </w:tc>
              <w:tc>
                <w:tcPr>
                  <w:tcW w:w="12236" w:type="dxa"/>
                  <w:vAlign w:val="center"/>
                </w:tcPr>
                <w:p w14:paraId="05A93D4D"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Ministerio de Minas y Energía</w:t>
                  </w:r>
                  <w:r w:rsidRPr="00833016">
                    <w:rPr>
                      <w:rStyle w:val="Refdenotaalpie"/>
                      <w:rFonts w:eastAsia="Times New Roman" w:cs="Times New Roman"/>
                      <w:sz w:val="20"/>
                      <w:szCs w:val="20"/>
                      <w:lang w:val="es-ES"/>
                    </w:rPr>
                    <w:footnoteReference w:id="581"/>
                  </w:r>
                  <w:r w:rsidRPr="00833016">
                    <w:rPr>
                      <w:rFonts w:eastAsia="Times New Roman" w:cs="Times New Roman"/>
                      <w:sz w:val="20"/>
                      <w:szCs w:val="20"/>
                      <w:lang w:val="es-ES"/>
                    </w:rPr>
                    <w:t xml:space="preserve"> explicó el funcionamiento del servicio de energía en el departamento de Norte de Santander, relacionó los eventos de demanda no atendida por distintos factores. Además, indicó que, el 18 de enero de 2025, “se presentó afectación a la subestación Oru del corregimiento de Oru, que es atendida por la subestación Tibú dejando sin servicio a 2.910 usuarios”. Sin embargo, señaló que “se desconoce el motivo de la falla, pero dadas las condiciones de orden público en el territorio se requiere el acompañamiento de la fuerza pública para que el equipo técnico asita a la subestación para conocer el estado y adelantar las reparaciones correspondientes”.</w:t>
                  </w:r>
                </w:p>
              </w:tc>
            </w:tr>
            <w:tr w:rsidR="00C454A1" w:rsidRPr="007E420E" w14:paraId="78C1D8D7" w14:textId="77777777" w:rsidTr="001F3006">
              <w:trPr>
                <w:trHeight w:val="300"/>
              </w:trPr>
              <w:tc>
                <w:tcPr>
                  <w:tcW w:w="2140" w:type="dxa"/>
                  <w:vAlign w:val="center"/>
                </w:tcPr>
                <w:p w14:paraId="7246028F"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Institucionalidad ambiental</w:t>
                  </w:r>
                </w:p>
              </w:tc>
              <w:tc>
                <w:tcPr>
                  <w:tcW w:w="12236" w:type="dxa"/>
                  <w:vAlign w:val="center"/>
                </w:tcPr>
                <w:p w14:paraId="02DD242F"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El Ministerio de Ambiente y Desarrollo Sostenible</w:t>
                  </w:r>
                  <w:r w:rsidRPr="00833016">
                    <w:rPr>
                      <w:rStyle w:val="Refdenotaalpie"/>
                      <w:rFonts w:eastAsia="Times New Roman" w:cs="Times New Roman"/>
                      <w:sz w:val="20"/>
                      <w:szCs w:val="20"/>
                      <w:lang w:val="es-ES"/>
                    </w:rPr>
                    <w:footnoteReference w:id="582"/>
                  </w:r>
                  <w:r w:rsidRPr="00833016">
                    <w:rPr>
                      <w:rFonts w:eastAsia="Times New Roman" w:cs="Times New Roman"/>
                      <w:sz w:val="20"/>
                      <w:szCs w:val="20"/>
                      <w:lang w:val="es-ES"/>
                    </w:rPr>
                    <w:t xml:space="preserve"> manifestó que la situación de orden público en la región del Catatumbo ha afectado el ejercicio de las funciones y competencias de Corponor, Corpocesar y PNN. En particular, respecto del PNN Catatumbo Barí, “se suspendieron las actividades al interior del Área protegida y se agruparon a los trabajadores de dicha entidad en el casco Urbano del Municipio de Tibú”. En Corponor “se suspendieron todo tipo de visitas y actividades en campo, priorizando con ello la seguridad personal” y Corpocesar “informó las limitaciones que ha tenido con ocasión del conflicto armado sobre el desarrollo de sus funciones”. Esto implica la paralización de las instituciones públicas del sector ambiente en la zona y limita “el ejercicio pleno de sus funciones y competencias, generando vacíos institucionales en las actividades propias y misionales”. Esto “impide el cumplimiento efectivo de las acciones de conservación y protección de los valores ambientales de la región y sus servicios ecosistémicos [...], lo que conlleva necesariamente a que no exista la debida vigilancia, control y seguimiento tanto a actividades que configuran factores de deterioro ambiental como a las acciones antrópicas que vayan en contravía de los valores de conservación de las áreas protegidas presentes en la región”. En suma, se genera un vacío institucional en la zona que “amenaza con componentes sociales relevantes para la región que encuentran en la restauración productiva, la formalización de sus procesos productivos, la sustitución de cultivos ilícitos, entre otros, formas de convivencia en la región, que se perderían ante el inminente desplazamiento de sus actores principales”. Por lo demás, advirtió que podrían desencadenarse “procesos de deterioro ambiental sobre recursos naturales compartidos con países limítrofes, causándoles perjuicios sensibles en el uso y aprovechamiento de estos y que no podrían tener una capacidad inmediata de respuesta de las autoridades competentes si se les impide su libre y adecuado ejercicio de sus funciones configurando una omisión que desencadenaría una potencial responsabilidad del Estado”. |</w:t>
                  </w:r>
                </w:p>
              </w:tc>
            </w:tr>
          </w:tbl>
          <w:p w14:paraId="3FA8B209" w14:textId="77777777" w:rsidR="00C454A1" w:rsidRPr="00833016" w:rsidRDefault="00C454A1" w:rsidP="00881E6A">
            <w:pPr>
              <w:ind w:left="362" w:right="272"/>
              <w:rPr>
                <w:rFonts w:eastAsia="Times New Roman" w:cs="Times New Roman"/>
                <w:lang w:val="es-ES"/>
              </w:rPr>
            </w:pPr>
          </w:p>
          <w:p w14:paraId="45C2CC79" w14:textId="77777777" w:rsidR="00C454A1" w:rsidRDefault="00C454A1" w:rsidP="005F4A6F">
            <w:pPr>
              <w:pStyle w:val="Prrafodelista"/>
              <w:numPr>
                <w:ilvl w:val="0"/>
                <w:numId w:val="30"/>
              </w:numPr>
              <w:ind w:left="450" w:right="272" w:hanging="180"/>
              <w:rPr>
                <w:rFonts w:eastAsia="Times New Roman" w:cs="Times New Roman"/>
                <w:lang w:val="es-ES"/>
              </w:rPr>
            </w:pPr>
            <w:r w:rsidRPr="00833016">
              <w:rPr>
                <w:rFonts w:eastAsia="Times New Roman" w:cs="Times New Roman"/>
                <w:lang w:val="es-ES"/>
              </w:rPr>
              <w:lastRenderedPageBreak/>
              <w:t>El DAPRE enlistó las afectaciones que según el MinDefensa</w:t>
            </w:r>
            <w:r>
              <w:rPr>
                <w:rFonts w:eastAsia="Times New Roman" w:cs="Times New Roman"/>
                <w:lang w:val="es-ES"/>
              </w:rPr>
              <w:t>,</w:t>
            </w:r>
            <w:r w:rsidRPr="00833016">
              <w:rPr>
                <w:rFonts w:eastAsia="Times New Roman" w:cs="Times New Roman"/>
                <w:lang w:val="es-ES"/>
              </w:rPr>
              <w:t xml:space="preserve"> el escalamiento del accionar violento del ELN y otros GAO y GDO “pueden causar” a las instituciones del Estado, la seguridad nacional y la convivencia ciudadana, en cada una de las regiones a las que se refiere el decreto. En concreto indicó:</w:t>
            </w:r>
          </w:p>
          <w:p w14:paraId="5D2B298D" w14:textId="77777777" w:rsidR="00C454A1" w:rsidRDefault="00C454A1" w:rsidP="00881E6A">
            <w:pPr>
              <w:pStyle w:val="Prrafodelista"/>
              <w:ind w:left="450" w:right="272"/>
              <w:rPr>
                <w:rFonts w:eastAsia="Times New Roman" w:cs="Times New Roman"/>
                <w:lang w:val="es-ES"/>
              </w:rPr>
            </w:pPr>
          </w:p>
          <w:p w14:paraId="5BE60021" w14:textId="77777777" w:rsidR="00C454A1" w:rsidRPr="006E484E" w:rsidRDefault="00C454A1" w:rsidP="00881E6A">
            <w:pPr>
              <w:pStyle w:val="Prrafodelista"/>
              <w:ind w:left="450" w:right="272"/>
              <w:jc w:val="center"/>
              <w:rPr>
                <w:rFonts w:eastAsia="Times New Roman" w:cs="Times New Roman"/>
                <w:i/>
                <w:iCs/>
                <w:sz w:val="20"/>
                <w:szCs w:val="20"/>
                <w:lang w:val="es-ES"/>
              </w:rPr>
            </w:pPr>
            <w:r w:rsidRPr="006E484E">
              <w:rPr>
                <w:rFonts w:eastAsia="Times New Roman" w:cs="Times New Roman"/>
                <w:i/>
                <w:iCs/>
                <w:sz w:val="20"/>
                <w:szCs w:val="20"/>
                <w:lang w:val="es-ES"/>
              </w:rPr>
              <w:t>Tabla 15: afectaciones que pueden ser causadas por el escalamiento del actuar violento de GAO y GDO en la región del Catatumbo</w:t>
            </w:r>
          </w:p>
          <w:tbl>
            <w:tblPr>
              <w:tblStyle w:val="Tablaconcuadrcula"/>
              <w:tblW w:w="0" w:type="auto"/>
              <w:jc w:val="center"/>
              <w:tblLook w:val="04A0" w:firstRow="1" w:lastRow="0" w:firstColumn="1" w:lastColumn="0" w:noHBand="0" w:noVBand="1"/>
            </w:tblPr>
            <w:tblGrid>
              <w:gridCol w:w="1803"/>
              <w:gridCol w:w="11718"/>
            </w:tblGrid>
            <w:tr w:rsidR="00C454A1" w:rsidRPr="00221506" w14:paraId="297D32B3" w14:textId="77777777" w:rsidTr="001F3006">
              <w:trPr>
                <w:trHeight w:val="300"/>
                <w:jc w:val="center"/>
              </w:trPr>
              <w:tc>
                <w:tcPr>
                  <w:tcW w:w="18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19FE023"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Zona</w:t>
                  </w:r>
                </w:p>
              </w:tc>
              <w:tc>
                <w:tcPr>
                  <w:tcW w:w="130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D6652A5" w14:textId="77777777" w:rsidR="00C454A1" w:rsidRPr="00833016" w:rsidRDefault="00C454A1" w:rsidP="00881E6A">
                  <w:pPr>
                    <w:ind w:right="272"/>
                    <w:jc w:val="center"/>
                    <w:rPr>
                      <w:rFonts w:eastAsia="Times New Roman" w:cs="Times New Roman"/>
                      <w:b/>
                      <w:sz w:val="20"/>
                      <w:szCs w:val="20"/>
                      <w:lang w:val="es-ES"/>
                    </w:rPr>
                  </w:pPr>
                  <w:r w:rsidRPr="00833016">
                    <w:rPr>
                      <w:rFonts w:eastAsia="Times New Roman" w:cs="Times New Roman"/>
                      <w:b/>
                      <w:sz w:val="20"/>
                      <w:szCs w:val="20"/>
                      <w:lang w:val="es-ES"/>
                    </w:rPr>
                    <w:t>Posibles afectaciones</w:t>
                  </w:r>
                </w:p>
              </w:tc>
            </w:tr>
            <w:tr w:rsidR="00C454A1" w:rsidRPr="00F8202F" w14:paraId="5A542BEA" w14:textId="77777777" w:rsidTr="001F3006">
              <w:trPr>
                <w:trHeight w:val="300"/>
                <w:jc w:val="center"/>
              </w:trPr>
              <w:tc>
                <w:tcPr>
                  <w:tcW w:w="18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0EBDB1"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Región del Catatumbo</w:t>
                  </w:r>
                </w:p>
              </w:tc>
              <w:tc>
                <w:tcPr>
                  <w:tcW w:w="13020" w:type="dxa"/>
                  <w:tcBorders>
                    <w:top w:val="single" w:sz="8" w:space="0" w:color="auto"/>
                    <w:left w:val="single" w:sz="8" w:space="0" w:color="auto"/>
                    <w:bottom w:val="single" w:sz="8" w:space="0" w:color="auto"/>
                    <w:right w:val="single" w:sz="8" w:space="0" w:color="auto"/>
                  </w:tcBorders>
                  <w:tcMar>
                    <w:left w:w="108" w:type="dxa"/>
                    <w:right w:w="108" w:type="dxa"/>
                  </w:tcMar>
                </w:tcPr>
                <w:p w14:paraId="278FFFC7"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Ejecución de acciones terroristas contra la fuerza pública, la infraestructura petrolera, el sector comercial y la población civil vulnerable; incremento de la extorsión; adiestramiento de especialistas francotiradores y explosivistas; expansión territorial de las áreas de influencia del ELN, GAO o GDO, fomento y creación de nuevas estructuras criminales, disposición de comisiones armadas y de milicias “con el fin de adelantar inteligencia delictiva sobre las unidades militares y de policía”; “empadronamiento y carnetización ilegal”; “adquisición y expansión de medios tecnológicos”; expansión de corredores de movilidad hacia Venezuela; subcontratación y absorción de integrantes de grupos delictivos armados y grupos de delincuencia común, así como el fortalecimiento de estructuras y subestructuras criminales en esta zona.</w:t>
                  </w:r>
                </w:p>
              </w:tc>
            </w:tr>
            <w:tr w:rsidR="00C454A1" w:rsidRPr="00F8202F" w14:paraId="3A9017F7" w14:textId="77777777" w:rsidTr="001F3006">
              <w:trPr>
                <w:trHeight w:val="300"/>
                <w:jc w:val="center"/>
              </w:trPr>
              <w:tc>
                <w:tcPr>
                  <w:tcW w:w="18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2599CE"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Área metropolitana de Cúcuta</w:t>
                  </w:r>
                </w:p>
              </w:tc>
              <w:tc>
                <w:tcPr>
                  <w:tcW w:w="13020" w:type="dxa"/>
                  <w:tcBorders>
                    <w:top w:val="single" w:sz="8" w:space="0" w:color="auto"/>
                    <w:left w:val="single" w:sz="8" w:space="0" w:color="auto"/>
                    <w:bottom w:val="single" w:sz="8" w:space="0" w:color="auto"/>
                    <w:right w:val="single" w:sz="8" w:space="0" w:color="auto"/>
                  </w:tcBorders>
                  <w:tcMar>
                    <w:left w:w="108" w:type="dxa"/>
                    <w:right w:w="108" w:type="dxa"/>
                  </w:tcMar>
                </w:tcPr>
                <w:p w14:paraId="3F8A5FF5"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Fortalecimiento estructural de los GAO o GDO en Cúcuta y en la zona de frontera; implementación de oficinas de cobro asociadas al tráfico de estupefacientes; planes de toma de control del corredor de movilidad estratégico de varios departamentos para el fortalecimiento de economías ilícitas; confrontaciones armadas y tercerización de actividades delictivas como secuestro, extorsión, homicidios, etc.</w:t>
                  </w:r>
                </w:p>
              </w:tc>
            </w:tr>
            <w:tr w:rsidR="00C454A1" w:rsidRPr="00F8202F" w14:paraId="3AEB99F9" w14:textId="77777777" w:rsidTr="001F3006">
              <w:trPr>
                <w:trHeight w:val="300"/>
                <w:jc w:val="center"/>
              </w:trPr>
              <w:tc>
                <w:tcPr>
                  <w:tcW w:w="18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F43007" w14:textId="77777777" w:rsidR="00C454A1" w:rsidRPr="00833016" w:rsidRDefault="00C454A1" w:rsidP="00881E6A">
                  <w:pPr>
                    <w:ind w:right="272"/>
                    <w:jc w:val="center"/>
                    <w:rPr>
                      <w:rFonts w:eastAsia="Times New Roman" w:cs="Times New Roman"/>
                      <w:sz w:val="20"/>
                      <w:szCs w:val="20"/>
                      <w:lang w:val="es-ES"/>
                    </w:rPr>
                  </w:pPr>
                  <w:r w:rsidRPr="00833016">
                    <w:rPr>
                      <w:rFonts w:eastAsia="Times New Roman" w:cs="Times New Roman"/>
                      <w:sz w:val="20"/>
                      <w:szCs w:val="20"/>
                      <w:lang w:val="es-ES"/>
                    </w:rPr>
                    <w:t>Rio de Oro y González</w:t>
                  </w:r>
                </w:p>
              </w:tc>
              <w:tc>
                <w:tcPr>
                  <w:tcW w:w="13020" w:type="dxa"/>
                  <w:tcBorders>
                    <w:top w:val="single" w:sz="8" w:space="0" w:color="auto"/>
                    <w:left w:val="single" w:sz="8" w:space="0" w:color="auto"/>
                    <w:bottom w:val="single" w:sz="8" w:space="0" w:color="auto"/>
                    <w:right w:val="single" w:sz="8" w:space="0" w:color="auto"/>
                  </w:tcBorders>
                  <w:tcMar>
                    <w:left w:w="108" w:type="dxa"/>
                    <w:right w:w="108" w:type="dxa"/>
                  </w:tcMar>
                </w:tcPr>
                <w:p w14:paraId="66E35974" w14:textId="77777777" w:rsidR="00C454A1" w:rsidRPr="00833016" w:rsidRDefault="00C454A1" w:rsidP="00881E6A">
                  <w:pPr>
                    <w:ind w:right="272"/>
                    <w:rPr>
                      <w:rFonts w:eastAsia="Times New Roman" w:cs="Times New Roman"/>
                      <w:sz w:val="20"/>
                      <w:szCs w:val="20"/>
                      <w:lang w:val="es-ES"/>
                    </w:rPr>
                  </w:pPr>
                  <w:r w:rsidRPr="00833016">
                    <w:rPr>
                      <w:rFonts w:eastAsia="Times New Roman" w:cs="Times New Roman"/>
                      <w:sz w:val="20"/>
                      <w:szCs w:val="20"/>
                      <w:lang w:val="es-ES"/>
                    </w:rPr>
                    <w:t>Articulación de estructuras, subestructuras y comisiones de GAO o GDO, proyectos de expansión hacia la región caribe y el departamento de Santander, con el fin de controlar áreas de consumo, tráfico y comercialización de estupefacientes.</w:t>
                  </w:r>
                </w:p>
              </w:tc>
            </w:tr>
          </w:tbl>
          <w:p w14:paraId="7B7EAF55" w14:textId="77777777" w:rsidR="00C454A1" w:rsidRPr="00833016" w:rsidRDefault="00C454A1" w:rsidP="00881E6A">
            <w:pPr>
              <w:ind w:right="272"/>
              <w:rPr>
                <w:rFonts w:eastAsia="Times New Roman" w:cs="Times New Roman"/>
                <w:lang w:val="es-ES"/>
              </w:rPr>
            </w:pPr>
          </w:p>
          <w:p w14:paraId="461953D4" w14:textId="77777777" w:rsidR="00C454A1" w:rsidRPr="00833016" w:rsidRDefault="00C454A1" w:rsidP="00881E6A">
            <w:pPr>
              <w:ind w:left="450" w:right="272"/>
              <w:rPr>
                <w:rFonts w:eastAsia="Times New Roman" w:cs="Times New Roman"/>
                <w:lang w:val="es-ES"/>
              </w:rPr>
            </w:pPr>
            <w:r w:rsidRPr="00833016">
              <w:rPr>
                <w:rFonts w:eastAsia="Times New Roman" w:cs="Times New Roman"/>
                <w:lang w:val="es-ES"/>
              </w:rPr>
              <w:t>Además, según el MinSalud, el escalamiento del accionar violento en la región ha generado “un incremento exponencial del confinamiento”. La población confinada asciende a 31.358 personas, quienes no tienen la posibilidad de movilizarse para acceder a servicios de salud. En todo caso, de mantenerse el referido escalamiento, la emergencia “va a desbordar la capacidad de la red pública y privada de hospitales”.</w:t>
            </w:r>
          </w:p>
          <w:p w14:paraId="54B1C0E9" w14:textId="77777777" w:rsidR="00C454A1" w:rsidRPr="00833016" w:rsidRDefault="00C454A1" w:rsidP="00881E6A">
            <w:pPr>
              <w:ind w:left="450" w:right="272"/>
              <w:rPr>
                <w:rFonts w:eastAsia="Times New Roman" w:cs="Times New Roman"/>
                <w:lang w:val="es-ES"/>
              </w:rPr>
            </w:pPr>
          </w:p>
          <w:p w14:paraId="42427CC4" w14:textId="77777777" w:rsidR="00C454A1" w:rsidRPr="00833016" w:rsidRDefault="00C454A1" w:rsidP="005F4A6F">
            <w:pPr>
              <w:pStyle w:val="Prrafodelista"/>
              <w:numPr>
                <w:ilvl w:val="0"/>
                <w:numId w:val="30"/>
              </w:numPr>
              <w:ind w:left="450" w:right="272" w:hanging="180"/>
              <w:rPr>
                <w:rFonts w:eastAsia="Times New Roman" w:cs="Times New Roman"/>
                <w:lang w:val="es-ES"/>
              </w:rPr>
            </w:pPr>
            <w:r w:rsidRPr="00833016">
              <w:rPr>
                <w:rFonts w:eastAsia="Times New Roman" w:cs="Times New Roman"/>
                <w:lang w:val="es-ES"/>
              </w:rPr>
              <w:t xml:space="preserve">El DAPRE explicó las razones por las cuales el Gobierno </w:t>
            </w:r>
            <w:r>
              <w:rPr>
                <w:rFonts w:eastAsia="Times New Roman" w:cs="Times New Roman"/>
                <w:lang w:val="es-ES"/>
              </w:rPr>
              <w:t>n</w:t>
            </w:r>
            <w:r w:rsidRPr="00833016">
              <w:rPr>
                <w:rFonts w:eastAsia="Times New Roman" w:cs="Times New Roman"/>
                <w:lang w:val="es-ES"/>
              </w:rPr>
              <w:t xml:space="preserve">acional consideró que los incumplimientos del Acuerdo Final de Paz tienen una relación de causalidad directa con (a) la perturbación grave y extraordinaria del orden público en el Catatumbo y (b) la afectación inminente de la estabilidad institucional, la seguridad del Estado, o la convivencia ciudadana. </w:t>
            </w:r>
          </w:p>
          <w:p w14:paraId="0BB9480B" w14:textId="77777777" w:rsidR="00C454A1" w:rsidRPr="00833016" w:rsidRDefault="00C454A1" w:rsidP="00881E6A">
            <w:pPr>
              <w:pStyle w:val="Prrafodelista"/>
              <w:ind w:left="450" w:right="272" w:hanging="180"/>
              <w:rPr>
                <w:rFonts w:eastAsia="Times New Roman" w:cs="Times New Roman"/>
                <w:lang w:val="es-ES"/>
              </w:rPr>
            </w:pPr>
          </w:p>
          <w:p w14:paraId="5E0D837E" w14:textId="77777777" w:rsidR="00C454A1" w:rsidRPr="00833016" w:rsidRDefault="00C454A1" w:rsidP="00881E6A">
            <w:pPr>
              <w:pStyle w:val="Prrafodelista"/>
              <w:ind w:left="450" w:right="272"/>
              <w:rPr>
                <w:rFonts w:eastAsia="Times New Roman" w:cs="Times New Roman"/>
                <w:lang w:val="es-ES"/>
              </w:rPr>
            </w:pPr>
            <w:r w:rsidRPr="00833016">
              <w:rPr>
                <w:rFonts w:eastAsia="Times New Roman" w:cs="Times New Roman"/>
                <w:lang w:val="es-ES"/>
              </w:rPr>
              <w:t xml:space="preserve">Señaló que en la subregión PDET Catatumbo convergen problemáticas asociadas a la pobreza multidimensional, carencia de oferta de bienes y servicios, deficiencia en la infraestructura vial, conflictos por el acceso a la tierra, </w:t>
            </w:r>
            <w:r w:rsidRPr="00833016">
              <w:rPr>
                <w:rFonts w:eastAsia="Times New Roman" w:cs="Times New Roman"/>
                <w:lang w:val="es-ES"/>
              </w:rPr>
              <w:lastRenderedPageBreak/>
              <w:t xml:space="preserve">presencia de economías ilícitas y de grupos armados ilegales que ejercen control territorial y social. Así mismo, es una subregión en la que los procesos de reincorporación no han sido efectivos por los riesgos a la seguridad de los firmantes de paz y líderes sociales, además de la falta de sostenibilidad de la reparación a las víctimas. De igual forma, la región ha sido impactada por las consecuencias de la crisis migratoria con Venezuela. </w:t>
            </w:r>
          </w:p>
          <w:p w14:paraId="477A6D23" w14:textId="77777777" w:rsidR="00C454A1" w:rsidRPr="00833016" w:rsidRDefault="00C454A1" w:rsidP="00881E6A">
            <w:pPr>
              <w:pStyle w:val="Prrafodelista"/>
              <w:ind w:left="450" w:right="272"/>
              <w:rPr>
                <w:rFonts w:eastAsia="Times New Roman" w:cs="Times New Roman"/>
                <w:lang w:val="es-ES"/>
              </w:rPr>
            </w:pPr>
          </w:p>
          <w:p w14:paraId="3EB9B4ED" w14:textId="77777777" w:rsidR="00C454A1" w:rsidRPr="00833016" w:rsidRDefault="00C454A1" w:rsidP="00881E6A">
            <w:pPr>
              <w:pStyle w:val="Prrafodelista"/>
              <w:ind w:left="450" w:right="272"/>
              <w:rPr>
                <w:rFonts w:eastAsia="Times New Roman" w:cs="Times New Roman"/>
                <w:lang w:val="es-ES"/>
              </w:rPr>
            </w:pPr>
            <w:r w:rsidRPr="00833016">
              <w:rPr>
                <w:rFonts w:eastAsia="Times New Roman" w:cs="Times New Roman"/>
                <w:lang w:val="es-ES"/>
              </w:rPr>
              <w:t xml:space="preserve">Todas estas circunstancias han generado que la violencia, la pobreza, las economías ilegales y la presencia de grupos armados ilegales hayan incrementado en la región y, por ende, desencadenado el desplazamiento forzado de cerca de 40.000 personas, reclutamientos forzados, secuestros y asesinatos. Por tanto, señaló que se requiere la intervención urgente del Gobierno Nacional, con el objeto de: </w:t>
            </w:r>
            <w:r w:rsidRPr="00AD242C">
              <w:rPr>
                <w:rFonts w:eastAsia="Times New Roman" w:cs="Times New Roman"/>
                <w:i/>
                <w:iCs/>
                <w:lang w:val="es-ES"/>
              </w:rPr>
              <w:t>(i)</w:t>
            </w:r>
            <w:r w:rsidRPr="00833016">
              <w:rPr>
                <w:rFonts w:eastAsia="Times New Roman" w:cs="Times New Roman"/>
                <w:lang w:val="es-ES"/>
              </w:rPr>
              <w:t xml:space="preserve"> garantizar los derechos de la población civil, </w:t>
            </w:r>
            <w:r w:rsidRPr="00AD242C">
              <w:rPr>
                <w:rFonts w:eastAsia="Times New Roman" w:cs="Times New Roman"/>
                <w:i/>
                <w:iCs/>
                <w:lang w:val="es-ES"/>
              </w:rPr>
              <w:t>(ii)</w:t>
            </w:r>
            <w:r w:rsidRPr="00833016">
              <w:rPr>
                <w:rFonts w:eastAsia="Times New Roman" w:cs="Times New Roman"/>
                <w:lang w:val="es-ES"/>
              </w:rPr>
              <w:t xml:space="preserve"> disponer de medidas que garanticen el cumplimiento de los derechos humanos y del DIH, </w:t>
            </w:r>
            <w:r w:rsidRPr="00AD242C">
              <w:rPr>
                <w:rFonts w:eastAsia="Times New Roman" w:cs="Times New Roman"/>
                <w:i/>
                <w:iCs/>
                <w:lang w:val="es-ES"/>
              </w:rPr>
              <w:t>(iii)</w:t>
            </w:r>
            <w:r w:rsidRPr="00833016">
              <w:rPr>
                <w:rFonts w:eastAsia="Times New Roman" w:cs="Times New Roman"/>
                <w:lang w:val="es-ES"/>
              </w:rPr>
              <w:t xml:space="preserve"> garantizar la seguridad de los líderes, actores comunitarios y firmantes de paz, </w:t>
            </w:r>
            <w:r w:rsidRPr="00AD242C">
              <w:rPr>
                <w:rFonts w:eastAsia="Times New Roman" w:cs="Times New Roman"/>
                <w:i/>
                <w:iCs/>
                <w:lang w:val="es-ES"/>
              </w:rPr>
              <w:t>(iv)</w:t>
            </w:r>
            <w:r w:rsidRPr="00833016">
              <w:rPr>
                <w:rFonts w:eastAsia="Times New Roman" w:cs="Times New Roman"/>
                <w:lang w:val="es-ES"/>
              </w:rPr>
              <w:t xml:space="preserve"> vincular a todos los sectores comunitarios del territorio para elaborar y ejecutar el llamado pacto territorial de Catatumbo, </w:t>
            </w:r>
            <w:r w:rsidRPr="0060553E">
              <w:rPr>
                <w:rFonts w:eastAsia="Times New Roman" w:cs="Times New Roman"/>
                <w:i/>
                <w:iCs/>
                <w:lang w:val="es-ES"/>
              </w:rPr>
              <w:t>(v)</w:t>
            </w:r>
            <w:r w:rsidRPr="00833016">
              <w:rPr>
                <w:rFonts w:eastAsia="Times New Roman" w:cs="Times New Roman"/>
                <w:lang w:val="es-ES"/>
              </w:rPr>
              <w:t xml:space="preserve"> avanzar en los programas de formalización de la propiedad rural, </w:t>
            </w:r>
            <w:r w:rsidRPr="0060553E">
              <w:rPr>
                <w:rFonts w:eastAsia="Times New Roman" w:cs="Times New Roman"/>
                <w:i/>
                <w:iCs/>
                <w:lang w:val="es-ES"/>
              </w:rPr>
              <w:t>(vi)</w:t>
            </w:r>
            <w:r w:rsidRPr="00833016">
              <w:rPr>
                <w:rFonts w:eastAsia="Times New Roman" w:cs="Times New Roman"/>
                <w:lang w:val="es-ES"/>
              </w:rPr>
              <w:t xml:space="preserve"> disponer de las condiciones que faciliten el retorno de los desplazados en condiciones de seguridad, </w:t>
            </w:r>
            <w:r w:rsidRPr="0060553E">
              <w:rPr>
                <w:rFonts w:eastAsia="Times New Roman" w:cs="Times New Roman"/>
                <w:i/>
                <w:iCs/>
                <w:lang w:val="es-ES"/>
              </w:rPr>
              <w:t>(vii)</w:t>
            </w:r>
            <w:r w:rsidRPr="00833016">
              <w:rPr>
                <w:rFonts w:eastAsia="Times New Roman" w:cs="Times New Roman"/>
                <w:lang w:val="es-ES"/>
              </w:rPr>
              <w:t xml:space="preserve"> agilizar los tiempos para aprobar proyectos de inversión en la región, </w:t>
            </w:r>
            <w:r w:rsidRPr="0060553E">
              <w:rPr>
                <w:rFonts w:eastAsia="Times New Roman" w:cs="Times New Roman"/>
                <w:i/>
                <w:iCs/>
                <w:lang w:val="es-ES"/>
              </w:rPr>
              <w:t>(viii)</w:t>
            </w:r>
            <w:r w:rsidRPr="00833016">
              <w:rPr>
                <w:rFonts w:eastAsia="Times New Roman" w:cs="Times New Roman"/>
                <w:lang w:val="es-ES"/>
              </w:rPr>
              <w:t xml:space="preserve"> generar mecanismos e instancias de veeduría para planear y ejecutar la universidad del Catatumbo, </w:t>
            </w:r>
            <w:r w:rsidRPr="0060553E">
              <w:rPr>
                <w:rFonts w:eastAsia="Times New Roman" w:cs="Times New Roman"/>
                <w:i/>
                <w:iCs/>
                <w:lang w:val="es-ES"/>
              </w:rPr>
              <w:t>(ix)</w:t>
            </w:r>
            <w:r w:rsidRPr="00833016">
              <w:rPr>
                <w:rFonts w:eastAsia="Times New Roman" w:cs="Times New Roman"/>
                <w:lang w:val="es-ES"/>
              </w:rPr>
              <w:t xml:space="preserve"> tomar acciones para garantizar la sostenibilidad de los proyectos productivos de reincorporación en la región, </w:t>
            </w:r>
            <w:r w:rsidRPr="0060553E">
              <w:rPr>
                <w:rFonts w:eastAsia="Times New Roman" w:cs="Times New Roman"/>
                <w:i/>
                <w:iCs/>
                <w:lang w:val="es-ES"/>
              </w:rPr>
              <w:t>(x)</w:t>
            </w:r>
            <w:r w:rsidRPr="00833016">
              <w:rPr>
                <w:rFonts w:eastAsia="Times New Roman" w:cs="Times New Roman"/>
                <w:lang w:val="es-ES"/>
              </w:rPr>
              <w:t xml:space="preserve"> generar mecanismos para recuperar la confianza y la legitimidad del PNIS y de los demás programas de sustitución y </w:t>
            </w:r>
            <w:r w:rsidRPr="0060553E">
              <w:rPr>
                <w:rFonts w:eastAsia="Times New Roman" w:cs="Times New Roman"/>
                <w:i/>
                <w:iCs/>
                <w:lang w:val="es-ES"/>
              </w:rPr>
              <w:t>(xi)</w:t>
            </w:r>
            <w:r w:rsidRPr="00833016">
              <w:rPr>
                <w:rFonts w:eastAsia="Times New Roman" w:cs="Times New Roman"/>
                <w:lang w:val="es-ES"/>
              </w:rPr>
              <w:t xml:space="preserve"> acelerar la implementación de la ruta de reparación colectiva de víctimas en la subregión.</w:t>
            </w:r>
          </w:p>
          <w:p w14:paraId="755EC06F" w14:textId="77777777" w:rsidR="00C454A1" w:rsidRPr="00833016" w:rsidRDefault="00C454A1" w:rsidP="00881E6A">
            <w:pPr>
              <w:pStyle w:val="Prrafodelista"/>
              <w:ind w:left="450" w:right="272"/>
              <w:rPr>
                <w:rFonts w:eastAsia="Times New Roman" w:cs="Times New Roman"/>
                <w:lang w:val="es-ES"/>
              </w:rPr>
            </w:pPr>
          </w:p>
          <w:p w14:paraId="4F096872" w14:textId="77777777" w:rsidR="00C454A1" w:rsidRPr="00833016" w:rsidRDefault="00C454A1" w:rsidP="00881E6A">
            <w:pPr>
              <w:ind w:right="272"/>
              <w:rPr>
                <w:rFonts w:eastAsia="Times New Roman" w:cs="Times New Roman"/>
                <w:b/>
                <w:lang w:val="es-ES"/>
              </w:rPr>
            </w:pPr>
            <w:r w:rsidRPr="00833016">
              <w:rPr>
                <w:rFonts w:eastAsia="Times New Roman" w:cs="Times New Roman"/>
                <w:b/>
                <w:i/>
                <w:lang w:val="es-ES"/>
              </w:rPr>
              <w:t>Presupuesto de suficiencia</w:t>
            </w:r>
            <w:r w:rsidRPr="00833016">
              <w:rPr>
                <w:rFonts w:eastAsia="Times New Roman" w:cs="Times New Roman"/>
                <w:b/>
                <w:lang w:val="es-ES"/>
              </w:rPr>
              <w:t xml:space="preserve">. </w:t>
            </w:r>
          </w:p>
          <w:p w14:paraId="36F8BCA6" w14:textId="77777777" w:rsidR="00C454A1" w:rsidRPr="00833016" w:rsidRDefault="00C454A1" w:rsidP="00881E6A">
            <w:pPr>
              <w:ind w:right="272"/>
              <w:rPr>
                <w:rFonts w:eastAsia="Times New Roman" w:cs="Times New Roman"/>
                <w:b/>
                <w:lang w:val="es-ES"/>
              </w:rPr>
            </w:pPr>
          </w:p>
          <w:p w14:paraId="7F6A00F8" w14:textId="77777777" w:rsidR="00C454A1" w:rsidRPr="00833016" w:rsidRDefault="00C454A1" w:rsidP="005F4A6F">
            <w:pPr>
              <w:pStyle w:val="Prrafodelista"/>
              <w:numPr>
                <w:ilvl w:val="0"/>
                <w:numId w:val="29"/>
              </w:numPr>
              <w:ind w:left="90" w:right="272" w:firstLine="0"/>
              <w:rPr>
                <w:rFonts w:eastAsia="Times New Roman" w:cs="Times New Roman"/>
                <w:lang w:val="es-ES"/>
              </w:rPr>
            </w:pPr>
            <w:r w:rsidRPr="00833016">
              <w:rPr>
                <w:rFonts w:eastAsia="Times New Roman" w:cs="Times New Roman"/>
                <w:lang w:val="es-ES"/>
              </w:rPr>
              <w:t xml:space="preserve">El DAPRE describió los mecanismos y herramientas con las que ordinariamente cuenta el ejecutivo para atender las causas que llevaron a la declaratoria del mencionado estado de excepción. Se refirió al </w:t>
            </w:r>
            <w:r>
              <w:rPr>
                <w:rFonts w:eastAsia="Times New Roman" w:cs="Times New Roman"/>
                <w:lang w:val="es-ES"/>
              </w:rPr>
              <w:t>PND</w:t>
            </w:r>
            <w:r w:rsidRPr="00833016">
              <w:rPr>
                <w:rFonts w:eastAsia="Times New Roman" w:cs="Times New Roman"/>
                <w:lang w:val="es-ES"/>
              </w:rPr>
              <w:t xml:space="preserve">, en especial, al eje de “seguridad humana y justicia social” y a la Resolución 203 de 2023 del Ministerio de Defensa que contiene la “Política de Seguridad, Defensa y Convivencia Ciudadana - Garantías para la Vida y la Paz 2022-2026”. </w:t>
            </w:r>
          </w:p>
          <w:p w14:paraId="20B4340A" w14:textId="77777777" w:rsidR="00C454A1" w:rsidRPr="00833016" w:rsidRDefault="00C454A1" w:rsidP="00881E6A">
            <w:pPr>
              <w:pStyle w:val="Prrafodelista"/>
              <w:ind w:left="270" w:right="272" w:hanging="180"/>
              <w:rPr>
                <w:rFonts w:eastAsia="Times New Roman" w:cs="Times New Roman"/>
                <w:lang w:val="es-ES"/>
              </w:rPr>
            </w:pPr>
          </w:p>
          <w:p w14:paraId="3C3D268B" w14:textId="77777777" w:rsidR="00C454A1" w:rsidRPr="00833016" w:rsidRDefault="00C454A1" w:rsidP="00881E6A">
            <w:pPr>
              <w:pStyle w:val="Prrafodelista"/>
              <w:ind w:left="90" w:right="272"/>
              <w:rPr>
                <w:rFonts w:eastAsia="Times New Roman" w:cs="Times New Roman"/>
                <w:lang w:val="es-ES"/>
              </w:rPr>
            </w:pPr>
            <w:r w:rsidRPr="00833016">
              <w:rPr>
                <w:rFonts w:eastAsia="Times New Roman" w:cs="Times New Roman"/>
                <w:lang w:val="es-ES"/>
              </w:rPr>
              <w:lastRenderedPageBreak/>
              <w:t>Precisó que en la región del Catatumbo ha empleado las facultades que le confiere la Ley 418 de 1997, en particular, ha desarrollado conversaciones con organizaciones armadas al margen de la ley con el objeto de avanzar hacia la solución de la conflictividad armada y limitar el desarrollo de operaciones por parte de la Fuerza Pública para evitar la afectación de la población civil. En concreto, mediante la Resolución 264 del 15 de noviembre de 2022, se autorizó la instalación y reanudación de la Mesa de Diálogo con el ELN, en desarrollo de la cual se decretó en varias ocasiones el cese al fuego bilateral, nacional y temporal, a partir del 3 de agosto de 2023. La última vez, mediante el Decreto 104 de 2024 se extendió el mencionado cese hasta el 3 de agosto de 2024. Concluido el cese de hostilidades, las Fuerzas Militares y de Policía retomaron operaciones, en especial, las dirigidas a controlar la presencia y circulación de sustancias ilegales, particularmente clorhidrato de cocaína, así como los insumos requeridos para su producción</w:t>
            </w:r>
            <w:r w:rsidRPr="00833016">
              <w:rPr>
                <w:rStyle w:val="Refdenotaalpie"/>
                <w:rFonts w:eastAsia="Times New Roman" w:cs="Times New Roman"/>
                <w:lang w:val="es-ES"/>
              </w:rPr>
              <w:footnoteReference w:id="583"/>
            </w:r>
            <w:r w:rsidRPr="00833016">
              <w:rPr>
                <w:rFonts w:eastAsia="Times New Roman" w:cs="Times New Roman"/>
                <w:lang w:val="es-ES"/>
              </w:rPr>
              <w:t>. Así mismo, durante 2024, las fuerzas militares llevaron a cabo consejos de seguridad, sesiones de seguimiento CIPRAT, operaciones militares, actividades de acción integral, capacitaciones, capturas, neutralizaciones, incautaciones, planes preventivos y disuasivos, puestos de control y campañas de sensibilización</w:t>
            </w:r>
            <w:r w:rsidRPr="00833016">
              <w:rPr>
                <w:rStyle w:val="Refdenotaalpie"/>
                <w:rFonts w:eastAsia="Times New Roman" w:cs="Times New Roman"/>
                <w:lang w:val="es-ES"/>
              </w:rPr>
              <w:footnoteReference w:id="584"/>
            </w:r>
            <w:r w:rsidRPr="00833016">
              <w:rPr>
                <w:rFonts w:eastAsia="Times New Roman" w:cs="Times New Roman"/>
                <w:lang w:val="es-ES"/>
              </w:rPr>
              <w:t>.</w:t>
            </w:r>
          </w:p>
          <w:p w14:paraId="10FC8435" w14:textId="77777777" w:rsidR="00C454A1" w:rsidRPr="00833016" w:rsidRDefault="00C454A1" w:rsidP="00881E6A">
            <w:pPr>
              <w:pStyle w:val="Prrafodelista"/>
              <w:ind w:left="90" w:right="272"/>
              <w:rPr>
                <w:rFonts w:eastAsia="Times New Roman" w:cs="Times New Roman"/>
                <w:lang w:val="es-ES"/>
              </w:rPr>
            </w:pPr>
          </w:p>
          <w:p w14:paraId="42689356" w14:textId="77777777" w:rsidR="00C454A1" w:rsidRPr="00833016" w:rsidRDefault="00C454A1" w:rsidP="00881E6A">
            <w:pPr>
              <w:pStyle w:val="Prrafodelista"/>
              <w:ind w:left="90" w:right="272"/>
              <w:rPr>
                <w:rFonts w:eastAsia="Times New Roman" w:cs="Times New Roman"/>
                <w:vertAlign w:val="superscript"/>
                <w:lang w:val="es-ES"/>
              </w:rPr>
            </w:pPr>
            <w:r w:rsidRPr="00833016">
              <w:rPr>
                <w:rFonts w:eastAsia="Times New Roman" w:cs="Times New Roman"/>
                <w:lang w:val="es-ES"/>
              </w:rPr>
              <w:t>Por su parte, mediante el Decreto 1621 de 2024 por el cual se liquida el Presupuesto General de la Nación para la vigencia fiscal de 2025, se apropiaron $59 billones para el Sector Defensa, de los cuales 2,7 corresponden a la adquisición de bienes y servicios de las fuerzas militares, con estos recursos “a la fecha las Fuerzas Militares han elaborado un plan de contingencia que ha permito (sic) priorizar el gasto necesario para atender la coyuntura Nacional”</w:t>
            </w:r>
            <w:r w:rsidRPr="00833016">
              <w:rPr>
                <w:rStyle w:val="Refdenotaalpie"/>
                <w:rFonts w:eastAsia="Times New Roman" w:cs="Times New Roman"/>
                <w:lang w:val="es-ES"/>
              </w:rPr>
              <w:footnoteReference w:id="585"/>
            </w:r>
            <w:r w:rsidRPr="00833016">
              <w:rPr>
                <w:rFonts w:eastAsia="Times New Roman" w:cs="Times New Roman"/>
                <w:lang w:val="es-ES"/>
              </w:rPr>
              <w:t>.</w:t>
            </w:r>
          </w:p>
          <w:p w14:paraId="40E918EB" w14:textId="77777777" w:rsidR="00C454A1" w:rsidRPr="00833016" w:rsidRDefault="00C454A1" w:rsidP="00881E6A">
            <w:pPr>
              <w:pStyle w:val="Prrafodelista"/>
              <w:ind w:left="90" w:right="272"/>
              <w:rPr>
                <w:rFonts w:eastAsia="Times New Roman" w:cs="Times New Roman"/>
                <w:lang w:val="es-ES"/>
              </w:rPr>
            </w:pPr>
          </w:p>
          <w:p w14:paraId="496DBE92" w14:textId="77777777" w:rsidR="00C454A1" w:rsidRPr="00833016" w:rsidRDefault="00C454A1" w:rsidP="00881E6A">
            <w:pPr>
              <w:pStyle w:val="Prrafodelista"/>
              <w:ind w:left="90" w:right="272"/>
              <w:rPr>
                <w:rFonts w:eastAsia="Times New Roman" w:cs="Times New Roman"/>
                <w:vertAlign w:val="superscript"/>
                <w:lang w:val="es-ES"/>
              </w:rPr>
            </w:pPr>
            <w:r w:rsidRPr="00833016">
              <w:rPr>
                <w:rFonts w:eastAsia="Times New Roman" w:cs="Times New Roman"/>
                <w:lang w:val="es-ES"/>
              </w:rPr>
              <w:lastRenderedPageBreak/>
              <w:t xml:space="preserve">El Ministerio de Defensa sostuvo que en “enero radicó ante la Dirección General del Presupuesto Público Nacional del Ministerio de Hacienda y Crédito Público, solicitud de desplazamiento parcial del bloqueo de recursos realizado mediante Decreto 0069 del 24 de enero del 2025, por valor de $428.236 millones, </w:t>
            </w:r>
            <w:r w:rsidRPr="00833016">
              <w:rPr>
                <w:rFonts w:eastAsia="Times New Roman" w:cs="Times New Roman"/>
                <w:u w:val="single"/>
                <w:lang w:val="es-ES"/>
              </w:rPr>
              <w:t>recursos que permitirán garantizar las capacidades operativas necesarias para la continuidad de las acciones esenciales para atender la emergencia en el Catatumbo y preservar la seguridad nacional</w:t>
            </w:r>
            <w:r w:rsidRPr="00833016">
              <w:rPr>
                <w:rFonts w:eastAsia="Times New Roman" w:cs="Times New Roman"/>
                <w:lang w:val="es-ES"/>
              </w:rPr>
              <w:t>”</w:t>
            </w:r>
            <w:r w:rsidRPr="00833016">
              <w:rPr>
                <w:rStyle w:val="Refdenotaalpie"/>
                <w:rFonts w:eastAsia="Times New Roman" w:cs="Times New Roman"/>
                <w:lang w:val="es-ES"/>
              </w:rPr>
              <w:footnoteReference w:id="586"/>
            </w:r>
            <w:r w:rsidRPr="00833016">
              <w:rPr>
                <w:rFonts w:eastAsia="Times New Roman" w:cs="Times New Roman"/>
                <w:lang w:val="es-ES"/>
              </w:rPr>
              <w:t>. Al respecto, este Ministerio informó que “</w:t>
            </w:r>
            <w:r w:rsidRPr="00833016">
              <w:rPr>
                <w:rFonts w:eastAsia="Times New Roman" w:cs="Times New Roman"/>
                <w:u w:val="single"/>
                <w:lang w:val="es-ES"/>
              </w:rPr>
              <w:t>anualmente el Ministerio de Defensa Nacional adelanta modificaciones presupuestales, las cuales son autorizadas por la Dirección General del Presupuesto Público Nacional, con el fin de adicionar recursos para la adquisición de bienes y servicios</w:t>
            </w:r>
            <w:r w:rsidRPr="00833016">
              <w:rPr>
                <w:rFonts w:eastAsia="Times New Roman" w:cs="Times New Roman"/>
                <w:lang w:val="es-ES"/>
              </w:rPr>
              <w:t>”, muestra de lo anterior es que en 2024,  “el presupuesto de adquisición de bienes y servicios de las Fuerzas Militares y el Comando General pasó de una apropiación inicial de $2,38 billones a una apropiación final de $3,74 billones, con recursos adicionales por valor de $1,35 billones”</w:t>
            </w:r>
            <w:r w:rsidRPr="00833016">
              <w:rPr>
                <w:rStyle w:val="Refdenotaalpie"/>
                <w:rFonts w:eastAsia="Times New Roman" w:cs="Times New Roman"/>
                <w:lang w:val="es-ES"/>
              </w:rPr>
              <w:footnoteReference w:id="587"/>
            </w:r>
            <w:r w:rsidRPr="00833016">
              <w:rPr>
                <w:rFonts w:eastAsia="Times New Roman" w:cs="Times New Roman"/>
                <w:lang w:val="es-ES"/>
              </w:rPr>
              <w:t>.</w:t>
            </w:r>
          </w:p>
          <w:p w14:paraId="1234C0A8" w14:textId="77777777" w:rsidR="00C454A1" w:rsidRPr="00833016" w:rsidRDefault="00C454A1" w:rsidP="00881E6A">
            <w:pPr>
              <w:pStyle w:val="Prrafodelista"/>
              <w:ind w:left="90" w:right="272"/>
              <w:rPr>
                <w:rFonts w:eastAsia="Times New Roman" w:cs="Times New Roman"/>
                <w:lang w:val="es-ES"/>
              </w:rPr>
            </w:pPr>
          </w:p>
          <w:p w14:paraId="0CCFA9CD" w14:textId="77777777" w:rsidR="00C454A1" w:rsidRPr="00833016" w:rsidRDefault="00C454A1" w:rsidP="00881E6A">
            <w:pPr>
              <w:pStyle w:val="Prrafodelista"/>
              <w:ind w:left="90" w:right="272"/>
              <w:rPr>
                <w:rFonts w:eastAsia="Times New Roman" w:cs="Times New Roman"/>
                <w:vertAlign w:val="superscript"/>
                <w:lang w:val="es-ES"/>
              </w:rPr>
            </w:pPr>
            <w:r w:rsidRPr="00833016">
              <w:rPr>
                <w:rFonts w:eastAsia="Times New Roman" w:cs="Times New Roman"/>
                <w:lang w:val="es-ES"/>
              </w:rPr>
              <w:t>El DAPRE sostuvo que las autoridades locales y nacionales, tienen las competencias, herramientas y recursos ordinariamente dispuestos para garantizar los servicios públicos esenciales y mantener el orden público. Sin embargo, existen “condiciones de inflexibilidad, tanto a nivel administrativo como en materia presupuestal, que impiden a las entidades públicas movilizar recursos públicos a la atención prioritaria de las necesidades de la población afectada por la situación de orden público”. Presentó los montos de las transferencias provenientes del Sistema General de Participaciones y del Sistema General de Regalías, así como el presupuesto de ingresos y rentas de cada uno de los municipios a los que se refiere el Decreto. Con todo, indicó que dichos recursos son insuficientes para la atención de necesidades de los municipios, están destinados a múltiples fines además del mantenimiento del orden público y existen múltiples partidas presupuestales con destinaciones específicas, lo cual “limita considerablemente el margen de maniobra de estas autoridades para atender las responsabilidades que les conciernen en el marco de la situación extraordinaria”</w:t>
            </w:r>
            <w:r w:rsidRPr="00833016">
              <w:rPr>
                <w:rStyle w:val="Refdenotaalpie"/>
                <w:rFonts w:eastAsia="Times New Roman" w:cs="Times New Roman"/>
                <w:lang w:val="es-ES"/>
              </w:rPr>
              <w:footnoteReference w:id="588"/>
            </w:r>
            <w:r w:rsidRPr="00833016">
              <w:rPr>
                <w:rFonts w:eastAsia="Times New Roman" w:cs="Times New Roman"/>
                <w:lang w:val="es-ES"/>
              </w:rPr>
              <w:t>.</w:t>
            </w:r>
          </w:p>
          <w:p w14:paraId="15B1DCDD" w14:textId="77777777" w:rsidR="00C454A1" w:rsidRPr="00833016" w:rsidRDefault="00C454A1" w:rsidP="00881E6A">
            <w:pPr>
              <w:pStyle w:val="Prrafodelista"/>
              <w:ind w:left="90" w:right="272"/>
              <w:rPr>
                <w:rFonts w:eastAsia="Times New Roman" w:cs="Times New Roman"/>
                <w:lang w:val="es-ES"/>
              </w:rPr>
            </w:pPr>
          </w:p>
          <w:p w14:paraId="6372D762" w14:textId="77777777" w:rsidR="00C454A1" w:rsidRPr="00833016" w:rsidRDefault="00C454A1" w:rsidP="00881E6A">
            <w:pPr>
              <w:pStyle w:val="Prrafodelista"/>
              <w:ind w:left="90" w:right="272"/>
              <w:rPr>
                <w:rFonts w:eastAsia="Times New Roman" w:cs="Times New Roman"/>
                <w:vertAlign w:val="superscript"/>
                <w:lang w:val="es-ES"/>
              </w:rPr>
            </w:pPr>
            <w:r w:rsidRPr="00833016">
              <w:rPr>
                <w:rFonts w:eastAsia="Times New Roman" w:cs="Times New Roman"/>
                <w:lang w:val="es-ES"/>
              </w:rPr>
              <w:t xml:space="preserve">El DAPRE señaló que la Ley 1448 de 2011 regula las condiciones en que se ha venido entregando la ayuda humanitaria. Para la vigencia 2025 el presupuesto para ayuda humanitaria en todo el país era de $42.865.680.643 y, en particular, para los municipios que cobija la declaratoria “$4.000.000.000 los cuales están siendo entregados por demanda, de acuerdo con la dinámica del conflicto armado”. Por su parte, las atribuciones y mecanismos ordinarios relacionados con la implementación del PNIS son las que prevé el Decreto 380 de 2021 que regula los procedimientos de erradicación manual y aérea. Sin embargo, el Gobierno </w:t>
            </w:r>
            <w:r>
              <w:rPr>
                <w:rFonts w:eastAsia="Times New Roman" w:cs="Times New Roman"/>
                <w:lang w:val="es-ES"/>
              </w:rPr>
              <w:t>n</w:t>
            </w:r>
            <w:r w:rsidRPr="00833016">
              <w:rPr>
                <w:rFonts w:eastAsia="Times New Roman" w:cs="Times New Roman"/>
                <w:lang w:val="es-ES"/>
              </w:rPr>
              <w:t>acional ha priorizado la sustitución voluntaria sobre la erradicación forzada, en virtud de lo ordenado en la sentencia SU-545 de 2023.</w:t>
            </w:r>
          </w:p>
          <w:p w14:paraId="47BDC748" w14:textId="77777777" w:rsidR="00C454A1" w:rsidRPr="00833016" w:rsidRDefault="00C454A1" w:rsidP="00881E6A">
            <w:pPr>
              <w:ind w:right="272"/>
              <w:rPr>
                <w:rFonts w:eastAsia="Times New Roman" w:cs="Times New Roman"/>
                <w:lang w:val="es-ES"/>
              </w:rPr>
            </w:pPr>
          </w:p>
          <w:p w14:paraId="5692F896" w14:textId="77777777" w:rsidR="00C454A1" w:rsidRPr="00833016" w:rsidRDefault="00C454A1" w:rsidP="005F4A6F">
            <w:pPr>
              <w:pStyle w:val="Prrafodelista"/>
              <w:numPr>
                <w:ilvl w:val="0"/>
                <w:numId w:val="29"/>
              </w:numPr>
              <w:ind w:left="90" w:right="272" w:firstLine="0"/>
              <w:rPr>
                <w:rFonts w:eastAsia="Times New Roman" w:cs="Times New Roman"/>
                <w:lang w:val="es-ES"/>
              </w:rPr>
            </w:pPr>
            <w:r w:rsidRPr="00833016">
              <w:rPr>
                <w:rFonts w:eastAsia="Times New Roman" w:cs="Times New Roman"/>
                <w:lang w:val="es-ES"/>
              </w:rPr>
              <w:t xml:space="preserve">El DAPRE manifestó que el despliegue de las atribuciones ordinarias con que cuenta el Gobierno </w:t>
            </w:r>
            <w:r>
              <w:rPr>
                <w:rFonts w:eastAsia="Times New Roman" w:cs="Times New Roman"/>
                <w:lang w:val="es-ES"/>
              </w:rPr>
              <w:t>n</w:t>
            </w:r>
            <w:r w:rsidRPr="00833016">
              <w:rPr>
                <w:rFonts w:eastAsia="Times New Roman" w:cs="Times New Roman"/>
                <w:lang w:val="es-ES"/>
              </w:rPr>
              <w:t>acional para repeler el accionar delictivo de las organizaciones armadas con presencia en la región y, en especial, del ELN y retomar el control del territorio han resultado insuficientes. Muestra de lo anterior, es el incremento inusitado de los enfrentamientos armados, las afectaciones contra la vida, integridad personal y la libertad de los habitantes de tales municipios, así como su desplazamiento a zonas urbanas. Agregó que las afectaciones potenciales a la población civil requieren de una atención inmediata para impedir que el desplazamiento forzado, el abandono de predios, viviendas y proyectos productivos, la afectación de infraestructuras indispensables para la prestación de servicios públicos básicos y la inexistencia de condiciones para el adecuado funcionamiento de las instituciones estatales lleguen a un punto que haga inviable el retorno.</w:t>
            </w:r>
          </w:p>
          <w:p w14:paraId="5F576DC1" w14:textId="77777777" w:rsidR="00C454A1" w:rsidRPr="00833016" w:rsidRDefault="00C454A1" w:rsidP="00881E6A">
            <w:pPr>
              <w:pStyle w:val="Prrafodelista"/>
              <w:ind w:left="90" w:right="272"/>
              <w:rPr>
                <w:rFonts w:eastAsia="Times New Roman" w:cs="Times New Roman"/>
                <w:lang w:val="es-ES"/>
              </w:rPr>
            </w:pPr>
          </w:p>
          <w:p w14:paraId="381A6818" w14:textId="77777777" w:rsidR="00C454A1" w:rsidRPr="00833016" w:rsidRDefault="00C454A1" w:rsidP="00881E6A">
            <w:pPr>
              <w:pStyle w:val="Prrafodelista"/>
              <w:ind w:left="90" w:right="272"/>
              <w:rPr>
                <w:rFonts w:eastAsia="Times New Roman" w:cs="Times New Roman"/>
                <w:lang w:val="es-ES"/>
              </w:rPr>
            </w:pPr>
            <w:r w:rsidRPr="00833016">
              <w:rPr>
                <w:rFonts w:eastAsia="Times New Roman" w:cs="Times New Roman"/>
                <w:lang w:val="es-ES"/>
              </w:rPr>
              <w:t>Advirtió que no es posible determinar de manera exhaustiva y detallada cuáles podrían ser los ajustes de orden legal que se requieren para conjurar la crisis e impedir la extensión de sus efectos, “puesto que justamente es la imprevisibilidad y la extrañeza de las circunstancias acaecidas en la región del Catatumbo respecto del accionar de las organizaciones armadas con presencia en dicho territorio, la que impide que el escalamiento de la confrontación sea atendido con las facultades ordinarias”</w:t>
            </w:r>
            <w:r w:rsidRPr="00833016">
              <w:rPr>
                <w:rStyle w:val="Refdenotaalpie"/>
                <w:rFonts w:eastAsia="Times New Roman" w:cs="Times New Roman"/>
                <w:lang w:val="es-ES"/>
              </w:rPr>
              <w:footnoteReference w:id="589"/>
            </w:r>
            <w:r w:rsidRPr="00833016">
              <w:rPr>
                <w:rFonts w:eastAsia="Times New Roman" w:cs="Times New Roman"/>
                <w:lang w:val="es-ES"/>
              </w:rPr>
              <w:t>.</w:t>
            </w:r>
          </w:p>
          <w:p w14:paraId="68183888" w14:textId="77777777" w:rsidR="00C454A1" w:rsidRPr="00833016" w:rsidRDefault="00C454A1" w:rsidP="00881E6A">
            <w:pPr>
              <w:ind w:right="272"/>
              <w:rPr>
                <w:rFonts w:eastAsia="Times New Roman" w:cs="Times New Roman"/>
                <w:lang w:val="es-ES"/>
              </w:rPr>
            </w:pPr>
          </w:p>
          <w:p w14:paraId="043DB51E" w14:textId="77777777" w:rsidR="00C454A1" w:rsidRPr="00833016" w:rsidRDefault="00C454A1" w:rsidP="005F4A6F">
            <w:pPr>
              <w:pStyle w:val="Prrafodelista"/>
              <w:numPr>
                <w:ilvl w:val="0"/>
                <w:numId w:val="29"/>
              </w:numPr>
              <w:ind w:left="450" w:right="272"/>
              <w:rPr>
                <w:rFonts w:eastAsia="Times New Roman" w:cs="Times New Roman"/>
                <w:lang w:val="es-ES"/>
              </w:rPr>
            </w:pPr>
            <w:r w:rsidRPr="00833016">
              <w:rPr>
                <w:rFonts w:eastAsia="Times New Roman" w:cs="Times New Roman"/>
                <w:lang w:val="es-ES"/>
              </w:rPr>
              <w:t>El DAPRE enlistó las medidas extraordinarias cuya adopción se requiere en el marco del estado de Conmoción Interior, con el fin de atender la grave perturbación del orden público e impedir la expansión de sus efectos:</w:t>
            </w:r>
          </w:p>
          <w:p w14:paraId="4E59EF1A" w14:textId="77777777" w:rsidR="00C454A1" w:rsidRPr="00833016" w:rsidRDefault="00C454A1" w:rsidP="00881E6A">
            <w:pPr>
              <w:pStyle w:val="Prrafodelista"/>
              <w:ind w:left="450" w:right="272" w:hanging="360"/>
              <w:rPr>
                <w:rFonts w:eastAsia="Times New Roman" w:cs="Times New Roman"/>
                <w:lang w:val="es-ES"/>
              </w:rPr>
            </w:pPr>
          </w:p>
          <w:tbl>
            <w:tblPr>
              <w:tblStyle w:val="Tablaconcuadrcula"/>
              <w:tblW w:w="0" w:type="auto"/>
              <w:tblInd w:w="450"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6565"/>
              <w:gridCol w:w="6526"/>
            </w:tblGrid>
            <w:tr w:rsidR="00C454A1" w:rsidRPr="00F8202F" w14:paraId="49545DF3" w14:textId="77777777" w:rsidTr="001F3006">
              <w:trPr>
                <w:trHeight w:val="300"/>
              </w:trPr>
              <w:tc>
                <w:tcPr>
                  <w:tcW w:w="7148" w:type="dxa"/>
                </w:tcPr>
                <w:p w14:paraId="6B36A2EB"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Reforzar la presencia de la Fuerza Pública. </w:t>
                  </w:r>
                </w:p>
                <w:p w14:paraId="2A14EF7C"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Intervención en telecomunicaciones. </w:t>
                  </w:r>
                </w:p>
                <w:p w14:paraId="003420EC"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Toques de queda y restricciones de movilidad. </w:t>
                  </w:r>
                </w:p>
                <w:p w14:paraId="6ADFAC0A"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Fortalecimiento de la inteligencia y contrainteligencia. </w:t>
                  </w:r>
                </w:p>
                <w:p w14:paraId="21D7DF37"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Suspensión de actividades que puedan ser utilizadas por actores armados. </w:t>
                  </w:r>
                </w:p>
                <w:p w14:paraId="719B1246"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Protección a líderes sociales y funcionarios públicos. </w:t>
                  </w:r>
                </w:p>
                <w:p w14:paraId="65190AB4"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Reforzamiento del control sobre instituciones locales. </w:t>
                  </w:r>
                </w:p>
                <w:p w14:paraId="0CBC7E39"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Control sobre insumos estratégicos. de comunicación en la zona de conflicto. </w:t>
                  </w:r>
                </w:p>
                <w:p w14:paraId="36431A96"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Monitoreo financiero y bloqueo de recursos. </w:t>
                  </w:r>
                </w:p>
                <w:p w14:paraId="475FCA14"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Interdicción en corredores logísticos ilegales. </w:t>
                  </w:r>
                </w:p>
                <w:p w14:paraId="40D83616" w14:textId="77777777" w:rsidR="00C454A1" w:rsidRPr="00833016" w:rsidRDefault="00C454A1" w:rsidP="005F4A6F">
                  <w:pPr>
                    <w:pStyle w:val="Prrafodelista"/>
                    <w:numPr>
                      <w:ilvl w:val="0"/>
                      <w:numId w:val="53"/>
                    </w:numPr>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Creación de corredores humanitarios. </w:t>
                  </w:r>
                </w:p>
                <w:p w14:paraId="419FB525" w14:textId="77777777" w:rsidR="00C454A1" w:rsidRPr="00833016" w:rsidRDefault="00C454A1" w:rsidP="005F4A6F">
                  <w:pPr>
                    <w:pStyle w:val="Prrafodelista"/>
                    <w:numPr>
                      <w:ilvl w:val="0"/>
                      <w:numId w:val="53"/>
                    </w:numPr>
                    <w:spacing w:line="257" w:lineRule="auto"/>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Reasentamiento temporal de desplazados. </w:t>
                  </w:r>
                </w:p>
                <w:p w14:paraId="26F52D67" w14:textId="77777777" w:rsidR="00C454A1" w:rsidRPr="00833016" w:rsidRDefault="00C454A1" w:rsidP="005F4A6F">
                  <w:pPr>
                    <w:pStyle w:val="Prrafodelista"/>
                    <w:numPr>
                      <w:ilvl w:val="0"/>
                      <w:numId w:val="53"/>
                    </w:numPr>
                    <w:spacing w:line="257" w:lineRule="auto"/>
                    <w:ind w:left="164" w:right="272" w:hanging="142"/>
                    <w:rPr>
                      <w:rFonts w:eastAsia="Times New Roman" w:cs="Times New Roman"/>
                      <w:sz w:val="20"/>
                      <w:szCs w:val="20"/>
                      <w:lang w:val="es-ES"/>
                    </w:rPr>
                  </w:pPr>
                  <w:r w:rsidRPr="00833016">
                    <w:rPr>
                      <w:rFonts w:eastAsia="Times New Roman" w:cs="Times New Roman"/>
                      <w:sz w:val="20"/>
                      <w:szCs w:val="20"/>
                      <w:lang w:val="es-ES"/>
                    </w:rPr>
                    <w:t xml:space="preserve">Atención prioritaria en salud y alimentación </w:t>
                  </w:r>
                </w:p>
                <w:p w14:paraId="26DB7D8B" w14:textId="77777777" w:rsidR="00C454A1" w:rsidRPr="00833016" w:rsidRDefault="00C454A1" w:rsidP="005F4A6F">
                  <w:pPr>
                    <w:pStyle w:val="Prrafodelista"/>
                    <w:numPr>
                      <w:ilvl w:val="0"/>
                      <w:numId w:val="53"/>
                    </w:numPr>
                    <w:spacing w:line="257" w:lineRule="auto"/>
                    <w:ind w:left="164" w:right="272" w:hanging="142"/>
                    <w:rPr>
                      <w:rFonts w:eastAsia="Times New Roman" w:cs="Times New Roman"/>
                      <w:sz w:val="20"/>
                      <w:szCs w:val="20"/>
                      <w:lang w:val="es-ES"/>
                    </w:rPr>
                  </w:pPr>
                  <w:r w:rsidRPr="00833016">
                    <w:rPr>
                      <w:rFonts w:eastAsia="Times New Roman" w:cs="Times New Roman"/>
                      <w:sz w:val="20"/>
                      <w:szCs w:val="20"/>
                      <w:lang w:val="es-ES"/>
                    </w:rPr>
                    <w:t>Aceleración de los programas de sustitución de cultivos ilícitos: Se implementan mecanismos excepcionales para garantizar la financiación y ejecución de proyectos productivos alternativos.</w:t>
                  </w:r>
                </w:p>
              </w:tc>
              <w:tc>
                <w:tcPr>
                  <w:tcW w:w="7148" w:type="dxa"/>
                </w:tcPr>
                <w:p w14:paraId="4D6C0F05" w14:textId="77777777" w:rsidR="00C454A1" w:rsidRPr="00833016" w:rsidRDefault="00C454A1" w:rsidP="005F4A6F">
                  <w:pPr>
                    <w:pStyle w:val="Prrafodelista"/>
                    <w:numPr>
                      <w:ilvl w:val="0"/>
                      <w:numId w:val="53"/>
                    </w:numPr>
                    <w:ind w:left="149" w:right="272" w:hanging="142"/>
                    <w:rPr>
                      <w:rFonts w:eastAsia="Times New Roman" w:cs="Times New Roman"/>
                      <w:sz w:val="20"/>
                      <w:szCs w:val="20"/>
                      <w:lang w:val="es-ES"/>
                    </w:rPr>
                  </w:pPr>
                  <w:r w:rsidRPr="00833016">
                    <w:rPr>
                      <w:rFonts w:eastAsia="Times New Roman" w:cs="Times New Roman"/>
                      <w:sz w:val="20"/>
                      <w:szCs w:val="20"/>
                      <w:lang w:val="es-ES"/>
                    </w:rPr>
                    <w:t xml:space="preserve">Aceleración de los programas de sustitución de cultivos ilícitos: Se implementan mecanismos excepcionales para garantizar la financiación y ejecución de proyectos productivos alternativos. </w:t>
                  </w:r>
                </w:p>
                <w:p w14:paraId="4588FE45" w14:textId="77777777" w:rsidR="00C454A1" w:rsidRPr="00833016" w:rsidRDefault="00C454A1" w:rsidP="005F4A6F">
                  <w:pPr>
                    <w:pStyle w:val="Prrafodelista"/>
                    <w:numPr>
                      <w:ilvl w:val="0"/>
                      <w:numId w:val="53"/>
                    </w:numPr>
                    <w:spacing w:line="257" w:lineRule="auto"/>
                    <w:ind w:left="149" w:right="272" w:hanging="142"/>
                    <w:rPr>
                      <w:rFonts w:eastAsia="Times New Roman" w:cs="Times New Roman"/>
                      <w:sz w:val="20"/>
                      <w:szCs w:val="20"/>
                      <w:lang w:val="es-ES"/>
                    </w:rPr>
                  </w:pPr>
                  <w:r w:rsidRPr="00833016">
                    <w:rPr>
                      <w:rFonts w:eastAsia="Times New Roman" w:cs="Times New Roman"/>
                      <w:sz w:val="20"/>
                      <w:szCs w:val="20"/>
                      <w:lang w:val="es-ES"/>
                    </w:rPr>
                    <w:t xml:space="preserve">Seguridad para las comunidades inscritas en el PNIS: Se refuerza la protección de familias y líderes comprometidos con la sustitución voluntaria. </w:t>
                  </w:r>
                </w:p>
                <w:p w14:paraId="338F7389" w14:textId="77777777" w:rsidR="00C454A1" w:rsidRPr="00833016" w:rsidRDefault="00C454A1" w:rsidP="005F4A6F">
                  <w:pPr>
                    <w:pStyle w:val="Prrafodelista"/>
                    <w:numPr>
                      <w:ilvl w:val="0"/>
                      <w:numId w:val="53"/>
                    </w:numPr>
                    <w:spacing w:line="257" w:lineRule="auto"/>
                    <w:ind w:left="149" w:right="272" w:hanging="142"/>
                    <w:rPr>
                      <w:rFonts w:eastAsia="Times New Roman" w:cs="Times New Roman"/>
                      <w:sz w:val="20"/>
                      <w:szCs w:val="20"/>
                      <w:lang w:val="es-ES"/>
                    </w:rPr>
                  </w:pPr>
                  <w:r w:rsidRPr="00833016">
                    <w:rPr>
                      <w:rFonts w:eastAsia="Times New Roman" w:cs="Times New Roman"/>
                      <w:sz w:val="20"/>
                      <w:szCs w:val="20"/>
                      <w:lang w:val="es-ES"/>
                    </w:rPr>
                    <w:t xml:space="preserve">Facilitación de acceso a recursos: Se agiliza la entrega de incentivos económicos y asistencia técnica para garantizar la sostenibilidad de la sustitución de cultivos. </w:t>
                  </w:r>
                </w:p>
                <w:p w14:paraId="215019C6" w14:textId="77777777" w:rsidR="00C454A1" w:rsidRPr="00833016" w:rsidRDefault="00C454A1" w:rsidP="005F4A6F">
                  <w:pPr>
                    <w:pStyle w:val="Prrafodelista"/>
                    <w:numPr>
                      <w:ilvl w:val="0"/>
                      <w:numId w:val="53"/>
                    </w:numPr>
                    <w:spacing w:line="257" w:lineRule="auto"/>
                    <w:ind w:left="149" w:right="272" w:hanging="142"/>
                    <w:rPr>
                      <w:rFonts w:eastAsia="Times New Roman" w:cs="Times New Roman"/>
                      <w:sz w:val="20"/>
                      <w:szCs w:val="20"/>
                      <w:lang w:val="es-ES"/>
                    </w:rPr>
                  </w:pPr>
                  <w:r w:rsidRPr="00833016">
                    <w:rPr>
                      <w:rFonts w:eastAsia="Times New Roman" w:cs="Times New Roman"/>
                      <w:sz w:val="20"/>
                      <w:szCs w:val="20"/>
                      <w:lang w:val="es-ES"/>
                    </w:rPr>
                    <w:t xml:space="preserve">Régimen especial de contratación pública para la adopción de medidas directamente dirigidas a impedir la expansión de los efectos de la situación de orden público. </w:t>
                  </w:r>
                </w:p>
                <w:p w14:paraId="18F993F4" w14:textId="77777777" w:rsidR="00C454A1" w:rsidRPr="00833016" w:rsidRDefault="00C454A1" w:rsidP="005F4A6F">
                  <w:pPr>
                    <w:pStyle w:val="Prrafodelista"/>
                    <w:numPr>
                      <w:ilvl w:val="0"/>
                      <w:numId w:val="53"/>
                    </w:numPr>
                    <w:spacing w:line="257" w:lineRule="auto"/>
                    <w:ind w:left="149" w:right="272" w:hanging="142"/>
                    <w:rPr>
                      <w:rFonts w:eastAsia="Times New Roman" w:cs="Times New Roman"/>
                      <w:sz w:val="20"/>
                      <w:szCs w:val="20"/>
                      <w:lang w:val="es-ES"/>
                    </w:rPr>
                  </w:pPr>
                  <w:r w:rsidRPr="00833016">
                    <w:rPr>
                      <w:rFonts w:eastAsia="Times New Roman" w:cs="Times New Roman"/>
                      <w:sz w:val="20"/>
                      <w:szCs w:val="20"/>
                      <w:lang w:val="es-ES"/>
                    </w:rPr>
                    <w:t xml:space="preserve">Supervisión reforzada de contratación. </w:t>
                  </w:r>
                </w:p>
                <w:p w14:paraId="39ADB502" w14:textId="77777777" w:rsidR="00C454A1" w:rsidRPr="00833016" w:rsidRDefault="00C454A1" w:rsidP="005F4A6F">
                  <w:pPr>
                    <w:pStyle w:val="Prrafodelista"/>
                    <w:numPr>
                      <w:ilvl w:val="0"/>
                      <w:numId w:val="53"/>
                    </w:numPr>
                    <w:spacing w:line="257" w:lineRule="auto"/>
                    <w:ind w:left="149" w:right="272" w:hanging="142"/>
                    <w:rPr>
                      <w:rFonts w:eastAsia="Times New Roman" w:cs="Times New Roman"/>
                      <w:sz w:val="20"/>
                      <w:szCs w:val="20"/>
                      <w:lang w:val="es-ES"/>
                    </w:rPr>
                  </w:pPr>
                  <w:r w:rsidRPr="00833016">
                    <w:rPr>
                      <w:rFonts w:eastAsia="Times New Roman" w:cs="Times New Roman"/>
                      <w:sz w:val="20"/>
                      <w:szCs w:val="20"/>
                      <w:lang w:val="es-ES"/>
                    </w:rPr>
                    <w:t xml:space="preserve">Aceleración de los Programas de Desarrollo con Enfoque Territorial (PDET). </w:t>
                  </w:r>
                </w:p>
                <w:p w14:paraId="5805DE80" w14:textId="77777777" w:rsidR="00C454A1" w:rsidRPr="00833016" w:rsidRDefault="00C454A1" w:rsidP="005F4A6F">
                  <w:pPr>
                    <w:pStyle w:val="Prrafodelista"/>
                    <w:numPr>
                      <w:ilvl w:val="0"/>
                      <w:numId w:val="53"/>
                    </w:numPr>
                    <w:spacing w:line="257" w:lineRule="auto"/>
                    <w:ind w:left="149" w:right="272" w:hanging="142"/>
                    <w:rPr>
                      <w:rFonts w:eastAsia="Times New Roman" w:cs="Times New Roman"/>
                      <w:sz w:val="20"/>
                      <w:szCs w:val="20"/>
                      <w:lang w:val="es-ES"/>
                    </w:rPr>
                  </w:pPr>
                  <w:r w:rsidRPr="00833016">
                    <w:rPr>
                      <w:rFonts w:eastAsia="Times New Roman" w:cs="Times New Roman"/>
                      <w:sz w:val="20"/>
                      <w:szCs w:val="20"/>
                      <w:lang w:val="es-ES"/>
                    </w:rPr>
                    <w:t xml:space="preserve">Seguridad para excombatientes en proceso de reincorporación. </w:t>
                  </w:r>
                </w:p>
                <w:p w14:paraId="7435A6FE"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Agilización en la restitución de tierras.</w:t>
                  </w:r>
                </w:p>
              </w:tc>
            </w:tr>
          </w:tbl>
          <w:p w14:paraId="44A520E6" w14:textId="77777777" w:rsidR="00C454A1" w:rsidRPr="00833016" w:rsidRDefault="00C454A1" w:rsidP="00881E6A">
            <w:pPr>
              <w:pStyle w:val="Prrafodelista"/>
              <w:ind w:left="450" w:right="272" w:hanging="360"/>
              <w:rPr>
                <w:rFonts w:eastAsia="Times New Roman" w:cs="Times New Roman"/>
                <w:lang w:val="es-ES"/>
              </w:rPr>
            </w:pPr>
          </w:p>
          <w:p w14:paraId="0DEBE76E" w14:textId="77777777" w:rsidR="00C454A1" w:rsidRPr="00833016" w:rsidRDefault="00C454A1" w:rsidP="00881E6A">
            <w:pPr>
              <w:pStyle w:val="Prrafodelista"/>
              <w:ind w:left="450" w:right="272"/>
              <w:rPr>
                <w:rFonts w:eastAsia="Times New Roman" w:cs="Times New Roman"/>
                <w:lang w:val="es-ES"/>
              </w:rPr>
            </w:pPr>
            <w:r w:rsidRPr="00833016">
              <w:rPr>
                <w:rFonts w:eastAsia="Times New Roman" w:cs="Times New Roman"/>
                <w:lang w:val="es-ES"/>
              </w:rPr>
              <w:t>No explicó por qué estas medidas solo podrían ser adoptadas en ejercicio de las facultades legislativas extraordinarias que supone la declaratoria de Conmoción Interior.</w:t>
            </w:r>
          </w:p>
          <w:p w14:paraId="2E1A3291" w14:textId="77777777" w:rsidR="00C454A1" w:rsidRPr="00833016" w:rsidRDefault="00C454A1" w:rsidP="00881E6A">
            <w:pPr>
              <w:pStyle w:val="Prrafodelista"/>
              <w:ind w:left="450" w:right="272" w:hanging="360"/>
              <w:rPr>
                <w:rFonts w:eastAsia="Times New Roman" w:cs="Times New Roman"/>
                <w:lang w:val="es-ES"/>
              </w:rPr>
            </w:pPr>
          </w:p>
          <w:p w14:paraId="3E12A2B8" w14:textId="77777777" w:rsidR="00C454A1" w:rsidRPr="00833016" w:rsidRDefault="00C454A1" w:rsidP="005F4A6F">
            <w:pPr>
              <w:pStyle w:val="Prrafodelista"/>
              <w:numPr>
                <w:ilvl w:val="0"/>
                <w:numId w:val="29"/>
              </w:numPr>
              <w:ind w:left="450" w:right="272"/>
              <w:rPr>
                <w:rFonts w:eastAsia="Times New Roman" w:cs="Times New Roman"/>
                <w:lang w:val="es-ES"/>
              </w:rPr>
            </w:pPr>
            <w:r w:rsidRPr="00833016">
              <w:rPr>
                <w:rFonts w:eastAsia="Times New Roman" w:cs="Times New Roman"/>
                <w:lang w:val="es-ES"/>
              </w:rPr>
              <w:t>En relación con las iniciativas reglamentarias de modificación del PNIS que se han llevado a cabo para ampliar su alcance y efectividad, la Dirección de Sustitución de Cultivos de Uso Ilícito de la Agencia de Renovación del Territorio indicó que en el Acuerdo de Paz el Gobierno se comprometió a poner en marcha el PNIS. Luego, el Presidente expidió el Decreto Ley 896 de 2017 por el cual se crea el PN</w:t>
            </w:r>
            <w:r>
              <w:rPr>
                <w:rFonts w:eastAsia="Times New Roman" w:cs="Times New Roman"/>
                <w:lang w:val="es-ES"/>
              </w:rPr>
              <w:t>I</w:t>
            </w:r>
            <w:r w:rsidRPr="00833016">
              <w:rPr>
                <w:rFonts w:eastAsia="Times New Roman" w:cs="Times New Roman"/>
                <w:lang w:val="es-ES"/>
              </w:rPr>
              <w:t>S. Así, durante 2017 y 2018 los esfuerzos se focalizaron para la implementación del programa en 56 municipios de 14 departamentos.</w:t>
            </w:r>
          </w:p>
          <w:p w14:paraId="6BF92F9A" w14:textId="77777777" w:rsidR="00C454A1" w:rsidRPr="00833016" w:rsidRDefault="00C454A1" w:rsidP="00881E6A">
            <w:pPr>
              <w:ind w:left="450" w:right="272"/>
              <w:rPr>
                <w:rFonts w:eastAsia="Times New Roman" w:cs="Times New Roman"/>
                <w:lang w:val="es-ES"/>
              </w:rPr>
            </w:pPr>
          </w:p>
          <w:p w14:paraId="51A42114" w14:textId="77777777" w:rsidR="00C454A1" w:rsidRPr="00833016" w:rsidRDefault="00C454A1" w:rsidP="00881E6A">
            <w:pPr>
              <w:ind w:left="450" w:right="272"/>
              <w:rPr>
                <w:rFonts w:eastAsia="Times New Roman" w:cs="Times New Roman"/>
                <w:lang w:val="es-ES"/>
              </w:rPr>
            </w:pPr>
            <w:r w:rsidRPr="00833016">
              <w:rPr>
                <w:rFonts w:eastAsia="Times New Roman" w:cs="Times New Roman"/>
                <w:lang w:val="es-ES"/>
              </w:rPr>
              <w:lastRenderedPageBreak/>
              <w:t>Después, el Presidente profirió el Decreto Ley 691 de 2017 por el cual se sustituye el Fondo para la Sostenibilidad Ambiental y Desarrollo Rural Sostenible en Zonas Afectadas por el Conflicto por el Fondo Colombia en Paz (FCP), el cual sería el principal instrumento para la administración, coordinación y ejecución de los recursos para la implementación del Acuerdo de Paz. A continuación, fue emitido el Decreto 362 de 2018 que reglamentó el funcionamiento de las instancias de ejecución, coordinación y gestión del PNIS. Esta norma determinó que estas instancias estarían integradas por representantes de las dos partes suscribientes del Acuerdo de Paz, así como por la sociedad civil y la comunidad participante. Luego, el Decreto 1223 de 2020 estableció que la Dirección de Sustitución de Cultivos de Uso Ilícito, sería una dependencia de la ART con autonomía administrativa y financiera.</w:t>
            </w:r>
          </w:p>
          <w:p w14:paraId="2095D91B" w14:textId="77777777" w:rsidR="00C454A1" w:rsidRPr="00833016" w:rsidRDefault="00C454A1" w:rsidP="00881E6A">
            <w:pPr>
              <w:ind w:left="450" w:right="272"/>
              <w:rPr>
                <w:rFonts w:eastAsia="Times New Roman" w:cs="Times New Roman"/>
                <w:lang w:val="es-ES"/>
              </w:rPr>
            </w:pPr>
          </w:p>
          <w:p w14:paraId="2FB6964F" w14:textId="77777777" w:rsidR="00C454A1" w:rsidRPr="00833016" w:rsidRDefault="00C454A1" w:rsidP="00881E6A">
            <w:pPr>
              <w:ind w:left="450" w:right="272"/>
              <w:rPr>
                <w:rFonts w:eastAsia="Times New Roman" w:cs="Times New Roman"/>
                <w:lang w:val="es-ES"/>
              </w:rPr>
            </w:pPr>
            <w:r w:rsidRPr="00833016">
              <w:rPr>
                <w:rFonts w:eastAsia="Times New Roman" w:cs="Times New Roman"/>
                <w:lang w:val="es-ES"/>
              </w:rPr>
              <w:t>Sin embargo, ante el lento avance de la implementación del programa entre 2016 y 2022, especialmente en los componentes del Plan de Atención Inmediata -PAI- Familiar, la Ley 2294 de 2023 ordenó el cumplimiento del PNIS, a través de un proceso de renegociación con los beneficiarios previamente vinculados, respecto de los componentes correspondientes a Proyectos Productivos de Ciclo Corto -PPCC- y Proyectos Productivos de Ciclo Largo -PPCL-. El procedimiento de renegociación fue inicialmente plasmado en la Resolución 0029 de 2023, con posterioridad, fue estandarizado en la Resolución 0021 de 2024. Además, la Dirección de Sustitución de Cultivos de Uso Ilícito en listó las 39 resoluciones que ha expedido “como elementos reglamentarios”.</w:t>
            </w:r>
          </w:p>
          <w:p w14:paraId="0AB122B4" w14:textId="77777777" w:rsidR="00C454A1" w:rsidRPr="00833016" w:rsidRDefault="00C454A1" w:rsidP="00881E6A">
            <w:pPr>
              <w:ind w:left="450" w:right="272"/>
              <w:rPr>
                <w:rFonts w:eastAsia="Times New Roman" w:cs="Times New Roman"/>
                <w:lang w:val="es-ES"/>
              </w:rPr>
            </w:pPr>
          </w:p>
          <w:p w14:paraId="488D0A3D" w14:textId="77777777" w:rsidR="00C454A1" w:rsidRPr="00833016" w:rsidRDefault="00C454A1" w:rsidP="00881E6A">
            <w:pPr>
              <w:ind w:left="450" w:right="272"/>
              <w:rPr>
                <w:rFonts w:eastAsia="Times New Roman" w:cs="Times New Roman"/>
                <w:lang w:val="es-ES"/>
              </w:rPr>
            </w:pPr>
            <w:r w:rsidRPr="00833016">
              <w:rPr>
                <w:rFonts w:eastAsia="Times New Roman" w:cs="Times New Roman"/>
                <w:lang w:val="es-ES"/>
              </w:rPr>
              <w:t xml:space="preserve">Finalmente, señaló que </w:t>
            </w:r>
            <w:r w:rsidRPr="00833016">
              <w:rPr>
                <w:rFonts w:eastAsia="Times New Roman" w:cs="Times New Roman"/>
                <w:u w:val="single"/>
                <w:lang w:val="es-ES"/>
              </w:rPr>
              <w:t>de los 56 municipios en los que opera el PNIS, solo dos están en la región de la Conmoción Interior: Tibú y Sardinata. En Sardinata hay 248 familias activas registradas y en Tibú 2.080</w:t>
            </w:r>
            <w:r w:rsidRPr="00833016">
              <w:rPr>
                <w:rStyle w:val="Refdenotaalpie"/>
                <w:rFonts w:eastAsia="Times New Roman" w:cs="Times New Roman"/>
                <w:lang w:val="es-ES"/>
              </w:rPr>
              <w:footnoteReference w:id="590"/>
            </w:r>
            <w:r w:rsidRPr="00833016">
              <w:rPr>
                <w:rFonts w:eastAsia="Times New Roman" w:cs="Times New Roman"/>
                <w:lang w:val="es-ES"/>
              </w:rPr>
              <w:t>.</w:t>
            </w:r>
          </w:p>
          <w:p w14:paraId="65CE9E80" w14:textId="77777777" w:rsidR="00C454A1" w:rsidRPr="00833016" w:rsidRDefault="00C454A1" w:rsidP="00881E6A">
            <w:pPr>
              <w:ind w:left="450" w:right="272"/>
              <w:rPr>
                <w:rFonts w:eastAsia="Times New Roman" w:cs="Times New Roman"/>
                <w:lang w:val="es-ES"/>
              </w:rPr>
            </w:pPr>
          </w:p>
          <w:p w14:paraId="42A37442" w14:textId="77777777" w:rsidR="00C454A1" w:rsidRPr="00833016" w:rsidRDefault="00C454A1" w:rsidP="005F4A6F">
            <w:pPr>
              <w:pStyle w:val="Prrafodelista"/>
              <w:numPr>
                <w:ilvl w:val="0"/>
                <w:numId w:val="29"/>
              </w:numPr>
              <w:ind w:left="450" w:right="272"/>
              <w:rPr>
                <w:rFonts w:eastAsia="Times New Roman" w:cs="Times New Roman"/>
                <w:lang w:val="es-ES"/>
              </w:rPr>
            </w:pPr>
            <w:r w:rsidRPr="00833016">
              <w:rPr>
                <w:rFonts w:eastAsia="Times New Roman" w:cs="Times New Roman"/>
                <w:lang w:val="es-ES"/>
              </w:rPr>
              <w:t xml:space="preserve">En relación con las medidas que adoptó el gobierno desde el año 2022 para mejorar la infraestructura vial del Catatumbo y enseñar a las personas que erradicaron sus cultivos de coca sobre el manejo de economías legales, así como el programa “Caminos Comunitarios para la Paz”, el INVIAS informó que suscribió </w:t>
            </w:r>
            <w:r w:rsidRPr="001974AA">
              <w:rPr>
                <w:rFonts w:eastAsia="Times New Roman" w:cs="Times New Roman"/>
                <w:i/>
                <w:iCs/>
                <w:lang w:val="es-ES"/>
              </w:rPr>
              <w:t>(i)</w:t>
            </w:r>
            <w:r w:rsidRPr="00833016">
              <w:rPr>
                <w:rFonts w:eastAsia="Times New Roman" w:cs="Times New Roman"/>
                <w:lang w:val="es-ES"/>
              </w:rPr>
              <w:t xml:space="preserve"> 2 contratos de obras civiles y </w:t>
            </w:r>
            <w:r w:rsidRPr="001974AA">
              <w:rPr>
                <w:rFonts w:eastAsia="Times New Roman" w:cs="Times New Roman"/>
                <w:i/>
                <w:iCs/>
                <w:lang w:val="es-ES"/>
              </w:rPr>
              <w:t>(ii)</w:t>
            </w:r>
            <w:r w:rsidRPr="00833016">
              <w:rPr>
                <w:rFonts w:eastAsia="Times New Roman" w:cs="Times New Roman"/>
                <w:lang w:val="es-ES"/>
              </w:rPr>
              <w:t xml:space="preserve"> en 2024, 35 convenios que en la actualidad tienen un 0% de avance:</w:t>
            </w:r>
          </w:p>
          <w:p w14:paraId="13AFE710" w14:textId="77777777" w:rsidR="00C454A1" w:rsidRPr="00833016" w:rsidRDefault="00C454A1" w:rsidP="00881E6A">
            <w:pPr>
              <w:ind w:left="450" w:right="272"/>
              <w:rPr>
                <w:rFonts w:eastAsia="Times New Roman" w:cs="Times New Roman"/>
                <w:lang w:val="es-ES"/>
              </w:rPr>
            </w:pPr>
          </w:p>
          <w:p w14:paraId="5E40178B" w14:textId="77777777" w:rsidR="00C454A1" w:rsidRPr="00833016" w:rsidRDefault="00C454A1" w:rsidP="005F4A6F">
            <w:pPr>
              <w:pStyle w:val="Prrafodelista"/>
              <w:numPr>
                <w:ilvl w:val="0"/>
                <w:numId w:val="56"/>
              </w:numPr>
              <w:ind w:right="272"/>
              <w:rPr>
                <w:rFonts w:eastAsia="Times New Roman" w:cs="Times New Roman"/>
                <w:lang w:val="es-ES"/>
              </w:rPr>
            </w:pPr>
            <w:r w:rsidRPr="00833016">
              <w:rPr>
                <w:rFonts w:eastAsia="Times New Roman" w:cs="Times New Roman"/>
                <w:lang w:val="es-ES"/>
              </w:rPr>
              <w:lastRenderedPageBreak/>
              <w:t>En el marco del programa “vías para la legalidad y la reactivación visión 2030” suscribió un contrato de obra que tiene como objeto la pavimentación de 25 kilómetros, 120 alcantarillas y 4 puentes en el corredor Tibú – El Tarra – Convención – Ocaña. El acta de inicio es del 15 de marzo de 2022 y actualmente tiene un 21.57% de avance</w:t>
            </w:r>
            <w:r w:rsidRPr="00833016">
              <w:rPr>
                <w:rStyle w:val="Refdenotaalpie"/>
                <w:rFonts w:eastAsia="Times New Roman" w:cs="Times New Roman"/>
                <w:lang w:val="es-ES"/>
              </w:rPr>
              <w:footnoteReference w:id="591"/>
            </w:r>
            <w:r w:rsidRPr="00833016">
              <w:rPr>
                <w:rFonts w:eastAsia="Times New Roman" w:cs="Times New Roman"/>
                <w:lang w:val="es-ES"/>
              </w:rPr>
              <w:t>.</w:t>
            </w:r>
          </w:p>
          <w:p w14:paraId="5BD41B51" w14:textId="77777777" w:rsidR="00C454A1" w:rsidRPr="00833016" w:rsidRDefault="00C454A1" w:rsidP="005F4A6F">
            <w:pPr>
              <w:pStyle w:val="Prrafodelista"/>
              <w:numPr>
                <w:ilvl w:val="0"/>
                <w:numId w:val="56"/>
              </w:numPr>
              <w:ind w:right="272"/>
              <w:rPr>
                <w:rFonts w:eastAsia="Times New Roman" w:cs="Times New Roman"/>
                <w:lang w:val="es-ES"/>
              </w:rPr>
            </w:pPr>
            <w:r w:rsidRPr="00833016">
              <w:rPr>
                <w:rFonts w:eastAsia="Times New Roman" w:cs="Times New Roman"/>
                <w:lang w:val="es-ES"/>
              </w:rPr>
              <w:t xml:space="preserve">Con ocasión de un acuerdo interadministrativo con la Gobernación de Norte de Santander suscribió un contrato de obra que tiene como objeto la pavimentación de 12.8 kilómetros, la construcción de 23 </w:t>
            </w:r>
            <w:r w:rsidRPr="001974AA">
              <w:rPr>
                <w:rFonts w:eastAsia="Times New Roman" w:cs="Times New Roman"/>
                <w:i/>
                <w:iCs/>
                <w:lang w:val="es-ES"/>
              </w:rPr>
              <w:t>box coulver</w:t>
            </w:r>
            <w:r w:rsidRPr="00833016">
              <w:rPr>
                <w:rFonts w:eastAsia="Times New Roman" w:cs="Times New Roman"/>
                <w:lang w:val="es-ES"/>
              </w:rPr>
              <w:t>t, 14 alcantarillas y 2 puentes, lo cual mejora la infraestructura del corredor Astillero - Tibú – La Gabarra. El acta de inicio se suscribió el 17 de enero de 2022 y tiene un avance del 37.76%.</w:t>
            </w:r>
          </w:p>
          <w:p w14:paraId="7328DADF" w14:textId="77777777" w:rsidR="00C454A1" w:rsidRPr="00833016" w:rsidRDefault="00C454A1" w:rsidP="005F4A6F">
            <w:pPr>
              <w:pStyle w:val="Prrafodelista"/>
              <w:numPr>
                <w:ilvl w:val="0"/>
                <w:numId w:val="56"/>
              </w:numPr>
              <w:ind w:right="272"/>
              <w:rPr>
                <w:rFonts w:eastAsia="Times New Roman" w:cs="Times New Roman"/>
                <w:lang w:val="es-ES"/>
              </w:rPr>
            </w:pPr>
            <w:r w:rsidRPr="00833016">
              <w:rPr>
                <w:rFonts w:eastAsia="Times New Roman" w:cs="Times New Roman"/>
                <w:lang w:val="es-ES"/>
              </w:rPr>
              <w:t>En el marco del programa de Caminos Comunitarios para la Paz, en 2024, se suscribieron 35 convenios con una inversión de $9.853 millones para la construcción de 4.597 metros lineales de placa huella y 40 alcantarillas, sin embargo estas obras tienen</w:t>
            </w:r>
            <w:r>
              <w:rPr>
                <w:rFonts w:eastAsia="Times New Roman" w:cs="Times New Roman"/>
                <w:lang w:val="es-ES"/>
              </w:rPr>
              <w:t xml:space="preserve"> </w:t>
            </w:r>
            <w:r w:rsidRPr="00833016">
              <w:rPr>
                <w:rFonts w:eastAsia="Times New Roman" w:cs="Times New Roman"/>
                <w:lang w:val="es-ES"/>
              </w:rPr>
              <w:t>un avance del 0% debido a que “los recursos para la ejecución no han sido girados, toda vez que no se cuenta con disponibilidad de PAC por parte del Ministerio de Hacienda y Crédito Público” y en virtud del escalamiento del conflicto armado en la zona</w:t>
            </w:r>
            <w:r w:rsidRPr="00833016">
              <w:rPr>
                <w:rStyle w:val="Refdenotaalpie"/>
                <w:rFonts w:eastAsia="Times New Roman" w:cs="Times New Roman"/>
                <w:lang w:val="es-ES"/>
              </w:rPr>
              <w:footnoteReference w:id="592"/>
            </w:r>
            <w:r w:rsidRPr="00833016">
              <w:rPr>
                <w:rFonts w:eastAsia="Times New Roman" w:cs="Times New Roman"/>
                <w:lang w:val="es-ES"/>
              </w:rPr>
              <w:t>.</w:t>
            </w:r>
          </w:p>
          <w:p w14:paraId="0161A529" w14:textId="77777777" w:rsidR="00C454A1" w:rsidRDefault="00C454A1" w:rsidP="00881E6A">
            <w:pPr>
              <w:ind w:left="450" w:right="272"/>
              <w:rPr>
                <w:rFonts w:eastAsia="Times New Roman" w:cs="Times New Roman"/>
                <w:lang w:val="es-ES"/>
              </w:rPr>
            </w:pPr>
          </w:p>
          <w:p w14:paraId="1A09CB05" w14:textId="77777777" w:rsidR="00C454A1" w:rsidRPr="00833016" w:rsidRDefault="00C454A1" w:rsidP="00881E6A">
            <w:pPr>
              <w:ind w:left="450" w:right="272"/>
              <w:rPr>
                <w:rFonts w:eastAsia="Times New Roman" w:cs="Times New Roman"/>
                <w:lang w:val="es-ES"/>
              </w:rPr>
            </w:pPr>
            <w:r w:rsidRPr="00833016">
              <w:rPr>
                <w:rFonts w:eastAsia="Times New Roman" w:cs="Times New Roman"/>
                <w:lang w:val="es-ES"/>
              </w:rPr>
              <w:t>Por su parte, la ART indicó que durante la vigencia de 2023 – 2024, la Dirección de Sustitución de Cultivos de Uso Ilícito (DSCI), en articulación con la UNODC y la Organización de las Naciones Unidas para el Desarrollo Industrial (ONUDI) implementó un proyecto de comercialización agropecuaria dirigido a 1.029 núcleos familiares habitantes de la región del Catatumbo.</w:t>
            </w:r>
          </w:p>
          <w:p w14:paraId="04BE5058" w14:textId="77777777" w:rsidR="00C454A1" w:rsidRPr="00833016" w:rsidRDefault="00C454A1" w:rsidP="00881E6A">
            <w:pPr>
              <w:ind w:right="272"/>
              <w:rPr>
                <w:rFonts w:eastAsia="Times New Roman" w:cs="Times New Roman"/>
                <w:lang w:val="es-ES"/>
              </w:rPr>
            </w:pPr>
          </w:p>
          <w:p w14:paraId="141CF090" w14:textId="77777777" w:rsidR="00C454A1" w:rsidRPr="00833016" w:rsidRDefault="00C454A1" w:rsidP="005F4A6F">
            <w:pPr>
              <w:pStyle w:val="Prrafodelista"/>
              <w:numPr>
                <w:ilvl w:val="0"/>
                <w:numId w:val="54"/>
              </w:numPr>
              <w:ind w:right="272"/>
              <w:rPr>
                <w:rFonts w:eastAsia="Times New Roman" w:cs="Times New Roman"/>
                <w:lang w:val="es-ES"/>
              </w:rPr>
            </w:pPr>
            <w:r w:rsidRPr="00833016">
              <w:rPr>
                <w:rFonts w:eastAsia="Times New Roman" w:cs="Times New Roman"/>
                <w:lang w:val="es-ES"/>
              </w:rPr>
              <w:t>En relación con la posibilidad de aumentar el presupuesto de inversión en el sector defensa, el Ministerio de Hacienda indicó que para realizar modificaciones que alteren los rubros globales del Presupuesto General de la Nación y, en concreto, aumentar la apropiación máxima asignada al sector defensa, “resultaría necesaria una norma con fuerza de ley que, en tiempos de normalidad, debería ser expedida por el Congreso de la República”</w:t>
            </w:r>
            <w:r w:rsidRPr="00833016">
              <w:rPr>
                <w:rStyle w:val="Refdenotaalpie"/>
                <w:rFonts w:eastAsia="Times New Roman" w:cs="Times New Roman"/>
                <w:lang w:val="es-ES"/>
              </w:rPr>
              <w:footnoteReference w:id="593"/>
            </w:r>
            <w:r w:rsidRPr="00833016">
              <w:rPr>
                <w:rFonts w:eastAsia="Times New Roman" w:cs="Times New Roman"/>
                <w:lang w:val="es-ES"/>
              </w:rPr>
              <w:t xml:space="preserve">. </w:t>
            </w:r>
            <w:r w:rsidRPr="00833016">
              <w:rPr>
                <w:rFonts w:eastAsia="Times New Roman" w:cs="Times New Roman"/>
                <w:lang w:val="es-ES"/>
              </w:rPr>
              <w:lastRenderedPageBreak/>
              <w:t>Con todo, resaltó que en el marco de sus competencias ordinarias el Ministerio de Defensa puede priorizar y ajustar su presupuesto.</w:t>
            </w:r>
          </w:p>
          <w:p w14:paraId="35458311" w14:textId="77777777" w:rsidR="00C454A1" w:rsidRPr="00833016" w:rsidRDefault="00C454A1" w:rsidP="00881E6A">
            <w:pPr>
              <w:pStyle w:val="Prrafodelista"/>
              <w:ind w:left="450" w:right="272" w:hanging="360"/>
              <w:rPr>
                <w:rFonts w:eastAsia="Times New Roman" w:cs="Times New Roman"/>
                <w:lang w:val="es-ES"/>
              </w:rPr>
            </w:pPr>
          </w:p>
          <w:p w14:paraId="46C1EE97" w14:textId="77777777" w:rsidR="00C454A1" w:rsidRDefault="00C454A1" w:rsidP="005F4A6F">
            <w:pPr>
              <w:pStyle w:val="Prrafodelista"/>
              <w:numPr>
                <w:ilvl w:val="0"/>
                <w:numId w:val="54"/>
              </w:numPr>
              <w:ind w:right="272"/>
              <w:rPr>
                <w:rFonts w:eastAsia="Times New Roman" w:cs="Times New Roman"/>
                <w:lang w:val="es-ES"/>
              </w:rPr>
            </w:pPr>
            <w:r w:rsidRPr="00833016">
              <w:rPr>
                <w:rFonts w:eastAsia="Times New Roman" w:cs="Times New Roman"/>
                <w:lang w:val="es-ES"/>
              </w:rPr>
              <w:t>La Unidad de Implementación del Acuerdo de Paz refirió las principales acciones de incidencia en la subregión del Catatumbo y los 10 municipios priorizados dentro de la estrategia territorial. Al respecto, informó que:</w:t>
            </w:r>
          </w:p>
          <w:p w14:paraId="18EAFD06" w14:textId="77777777" w:rsidR="00C454A1" w:rsidRDefault="00C454A1" w:rsidP="00881E6A">
            <w:pPr>
              <w:ind w:right="272"/>
              <w:rPr>
                <w:rFonts w:eastAsia="Times New Roman" w:cs="Times New Roman"/>
                <w:lang w:val="es-ES"/>
              </w:rPr>
            </w:pPr>
          </w:p>
          <w:p w14:paraId="09F98907" w14:textId="77777777" w:rsidR="00C454A1" w:rsidRPr="002954F2" w:rsidRDefault="00C454A1" w:rsidP="00881E6A">
            <w:pPr>
              <w:ind w:right="272"/>
              <w:jc w:val="center"/>
              <w:rPr>
                <w:rFonts w:eastAsia="Times New Roman" w:cs="Times New Roman"/>
                <w:lang w:val="es-ES"/>
              </w:rPr>
            </w:pPr>
            <w:r>
              <w:rPr>
                <w:rFonts w:eastAsia="Times New Roman" w:cs="Times New Roman"/>
                <w:lang w:val="es-ES"/>
              </w:rPr>
              <w:t>T</w:t>
            </w:r>
            <w:r w:rsidRPr="002A0657">
              <w:rPr>
                <w:rFonts w:eastAsia="Times New Roman" w:cs="Times New Roman"/>
                <w:i/>
                <w:iCs/>
                <w:sz w:val="20"/>
                <w:szCs w:val="20"/>
                <w:lang w:val="es-ES"/>
              </w:rPr>
              <w:t>abla 16: acciones de incidencia en la región del Catatumbo reportadas por la Unidad de Implementación del Acuerdo de Paz</w:t>
            </w:r>
          </w:p>
          <w:tbl>
            <w:tblPr>
              <w:tblStyle w:val="Tablaconcuadrcula"/>
              <w:tblW w:w="0" w:type="auto"/>
              <w:jc w:val="center"/>
              <w:tblLook w:val="06A0" w:firstRow="1" w:lastRow="0" w:firstColumn="1" w:lastColumn="0" w:noHBand="1" w:noVBand="1"/>
            </w:tblPr>
            <w:tblGrid>
              <w:gridCol w:w="6749"/>
              <w:gridCol w:w="6782"/>
            </w:tblGrid>
            <w:tr w:rsidR="00C454A1" w:rsidRPr="00F8202F" w14:paraId="691B6094" w14:textId="77777777" w:rsidTr="001F3006">
              <w:trPr>
                <w:trHeight w:val="300"/>
                <w:jc w:val="center"/>
              </w:trPr>
              <w:tc>
                <w:tcPr>
                  <w:tcW w:w="7148" w:type="dxa"/>
                </w:tcPr>
                <w:p w14:paraId="450A8DB6" w14:textId="77777777" w:rsidR="00C454A1" w:rsidRPr="00833016" w:rsidRDefault="00C454A1" w:rsidP="005F4A6F">
                  <w:pPr>
                    <w:pStyle w:val="Prrafodelista"/>
                    <w:numPr>
                      <w:ilvl w:val="0"/>
                      <w:numId w:val="52"/>
                    </w:numPr>
                    <w:ind w:left="306" w:right="272"/>
                    <w:rPr>
                      <w:rFonts w:eastAsia="Times New Roman" w:cs="Times New Roman"/>
                      <w:sz w:val="20"/>
                      <w:szCs w:val="20"/>
                      <w:lang w:val="es-ES"/>
                    </w:rPr>
                  </w:pPr>
                  <w:r w:rsidRPr="00833016">
                    <w:rPr>
                      <w:rFonts w:eastAsia="Times New Roman" w:cs="Times New Roman"/>
                      <w:sz w:val="20"/>
                      <w:szCs w:val="20"/>
                      <w:lang w:val="es-ES"/>
                    </w:rPr>
                    <w:t>Durante el primer semestre de 2024, brindó acompañamiento a los municipios sobre la importancia de incluir en los Planes de Desarrollo “iniciativas de paz”.</w:t>
                  </w:r>
                </w:p>
                <w:p w14:paraId="40EB537D" w14:textId="77777777" w:rsidR="00C454A1" w:rsidRPr="00833016" w:rsidRDefault="00C454A1" w:rsidP="005F4A6F">
                  <w:pPr>
                    <w:pStyle w:val="Prrafodelista"/>
                    <w:numPr>
                      <w:ilvl w:val="0"/>
                      <w:numId w:val="52"/>
                    </w:numPr>
                    <w:ind w:left="306" w:right="272"/>
                    <w:rPr>
                      <w:rFonts w:eastAsia="Times New Roman" w:cs="Times New Roman"/>
                      <w:sz w:val="20"/>
                      <w:szCs w:val="20"/>
                      <w:lang w:val="es-ES"/>
                    </w:rPr>
                  </w:pPr>
                  <w:r w:rsidRPr="00833016">
                    <w:rPr>
                      <w:rFonts w:eastAsia="Times New Roman" w:cs="Times New Roman"/>
                      <w:sz w:val="20"/>
                      <w:szCs w:val="20"/>
                      <w:lang w:val="es-ES"/>
                    </w:rPr>
                    <w:t>Capacitó a 14 actores en el mecanismo de convocatorias OCAD PAZ. Así mismo, indicó que de los 50 proyectos financiados con los recursos del OCAD Paz en el presente gobierno en el Catatumbo se han aprobado 6 por más de 68 mil millones de pesos, lo que corresponde al 22,89% del total de la subregion.</w:t>
                  </w:r>
                </w:p>
                <w:p w14:paraId="1EEEAA1E" w14:textId="77777777" w:rsidR="00C454A1" w:rsidRPr="00833016" w:rsidRDefault="00C454A1" w:rsidP="005F4A6F">
                  <w:pPr>
                    <w:pStyle w:val="Prrafodelista"/>
                    <w:numPr>
                      <w:ilvl w:val="0"/>
                      <w:numId w:val="52"/>
                    </w:numPr>
                    <w:ind w:left="306" w:right="272"/>
                    <w:rPr>
                      <w:rFonts w:eastAsia="Times New Roman" w:cs="Times New Roman"/>
                      <w:sz w:val="20"/>
                      <w:szCs w:val="20"/>
                      <w:lang w:val="es-ES"/>
                    </w:rPr>
                  </w:pPr>
                  <w:r w:rsidRPr="00833016">
                    <w:rPr>
                      <w:rFonts w:eastAsia="Times New Roman" w:cs="Times New Roman"/>
                      <w:sz w:val="20"/>
                      <w:szCs w:val="20"/>
                      <w:lang w:val="es-ES"/>
                    </w:rPr>
                    <w:t>Brindó acompañamiento técnico en la formulación de dos proyectos bajo el mecanismo “mesa de obras x impuestos”: el mejoramiento de la vía terciaria a la vereda Caño Victoria, en el municipio de Tibú y el proyecto de electrificación en el núcleo veredal del ETCR de Caño Indio.</w:t>
                  </w:r>
                </w:p>
                <w:p w14:paraId="45011438" w14:textId="77777777" w:rsidR="00C454A1" w:rsidRPr="00833016" w:rsidRDefault="00C454A1" w:rsidP="005F4A6F">
                  <w:pPr>
                    <w:pStyle w:val="Prrafodelista"/>
                    <w:numPr>
                      <w:ilvl w:val="0"/>
                      <w:numId w:val="52"/>
                    </w:numPr>
                    <w:ind w:left="306" w:right="272"/>
                    <w:rPr>
                      <w:rFonts w:eastAsia="Times New Roman" w:cs="Times New Roman"/>
                      <w:sz w:val="20"/>
                      <w:szCs w:val="20"/>
                      <w:lang w:val="es-ES"/>
                    </w:rPr>
                  </w:pPr>
                  <w:r w:rsidRPr="00833016">
                    <w:rPr>
                      <w:rFonts w:eastAsia="Times New Roman" w:cs="Times New Roman"/>
                      <w:sz w:val="20"/>
                      <w:szCs w:val="20"/>
                      <w:lang w:val="es-ES"/>
                    </w:rPr>
                    <w:t>En abril de 2024, se conformó la Mesa Articuladora de Entidades Implementadoras del Acuerdo de Paz, la cual ha sesionado en seis ocasiones.</w:t>
                  </w:r>
                </w:p>
                <w:p w14:paraId="55718195" w14:textId="77777777" w:rsidR="00C454A1" w:rsidRPr="00833016" w:rsidRDefault="00C454A1" w:rsidP="005F4A6F">
                  <w:pPr>
                    <w:pStyle w:val="Prrafodelista"/>
                    <w:numPr>
                      <w:ilvl w:val="0"/>
                      <w:numId w:val="52"/>
                    </w:numPr>
                    <w:ind w:left="306" w:right="272"/>
                    <w:rPr>
                      <w:rFonts w:eastAsia="Times New Roman" w:cs="Times New Roman"/>
                      <w:sz w:val="20"/>
                      <w:szCs w:val="20"/>
                      <w:lang w:val="es-ES"/>
                    </w:rPr>
                  </w:pPr>
                  <w:r w:rsidRPr="00833016">
                    <w:rPr>
                      <w:rFonts w:eastAsia="Times New Roman" w:cs="Times New Roman"/>
                      <w:sz w:val="20"/>
                      <w:szCs w:val="20"/>
                      <w:lang w:val="es-ES"/>
                    </w:rPr>
                    <w:t>Preparó el Encuentro Nacional de Jóvenes para la Paz en el que se identificó la necesidad del fortalecimiento de la red de jóvenes del Catatumbo.</w:t>
                  </w:r>
                </w:p>
                <w:p w14:paraId="7E8517C7" w14:textId="77777777" w:rsidR="00C454A1" w:rsidRPr="00833016" w:rsidRDefault="00C454A1" w:rsidP="005F4A6F">
                  <w:pPr>
                    <w:pStyle w:val="Prrafodelista"/>
                    <w:numPr>
                      <w:ilvl w:val="0"/>
                      <w:numId w:val="52"/>
                    </w:numPr>
                    <w:ind w:left="306" w:right="272"/>
                    <w:rPr>
                      <w:rFonts w:eastAsia="Times New Roman" w:cs="Times New Roman"/>
                      <w:sz w:val="20"/>
                      <w:szCs w:val="20"/>
                      <w:lang w:val="es-ES"/>
                    </w:rPr>
                  </w:pPr>
                  <w:r w:rsidRPr="00833016">
                    <w:rPr>
                      <w:rFonts w:eastAsia="Times New Roman" w:cs="Times New Roman"/>
                      <w:sz w:val="20"/>
                      <w:szCs w:val="20"/>
                      <w:lang w:val="es-ES"/>
                    </w:rPr>
                    <w:t>Se consolidó el Comité Dinamizador de Género del Sistema Paz y brindó asistencia técnica al programa Tierra para la Paz, de la GIZ.</w:t>
                  </w:r>
                </w:p>
                <w:p w14:paraId="52EE27A6" w14:textId="77777777" w:rsidR="00C454A1" w:rsidRPr="00833016" w:rsidRDefault="00C454A1" w:rsidP="005F4A6F">
                  <w:pPr>
                    <w:pStyle w:val="Prrafodelista"/>
                    <w:numPr>
                      <w:ilvl w:val="0"/>
                      <w:numId w:val="52"/>
                    </w:numPr>
                    <w:ind w:left="306" w:right="272"/>
                    <w:rPr>
                      <w:rFonts w:eastAsia="Times New Roman" w:cs="Times New Roman"/>
                      <w:sz w:val="20"/>
                      <w:szCs w:val="20"/>
                      <w:lang w:val="es-ES"/>
                    </w:rPr>
                  </w:pPr>
                  <w:r w:rsidRPr="00833016">
                    <w:rPr>
                      <w:rFonts w:eastAsia="Times New Roman" w:cs="Times New Roman"/>
                      <w:sz w:val="20"/>
                      <w:szCs w:val="20"/>
                      <w:lang w:val="es-ES"/>
                    </w:rPr>
                    <w:t>Realizó talleres con la coordinadora de mujeres del resguardo motilón barí para el reconocimiento de sus derechos.</w:t>
                  </w:r>
                </w:p>
                <w:p w14:paraId="1573FCF9" w14:textId="77777777" w:rsidR="00C454A1" w:rsidRPr="00833016" w:rsidRDefault="00C454A1" w:rsidP="005F4A6F">
                  <w:pPr>
                    <w:pStyle w:val="Prrafodelista"/>
                    <w:numPr>
                      <w:ilvl w:val="0"/>
                      <w:numId w:val="52"/>
                    </w:numPr>
                    <w:ind w:left="306" w:right="272"/>
                    <w:rPr>
                      <w:rFonts w:eastAsia="Times New Roman" w:cs="Times New Roman"/>
                      <w:sz w:val="20"/>
                      <w:szCs w:val="20"/>
                      <w:lang w:val="es-ES"/>
                    </w:rPr>
                  </w:pPr>
                  <w:r w:rsidRPr="00833016">
                    <w:rPr>
                      <w:rFonts w:eastAsia="Times New Roman" w:cs="Times New Roman"/>
                      <w:sz w:val="20"/>
                      <w:szCs w:val="20"/>
                      <w:lang w:val="es-ES"/>
                    </w:rPr>
                    <w:t>Llevo a cabo 5 sesiones del diplomado “Cuidar lo público para alcanzar la paz”.</w:t>
                  </w:r>
                </w:p>
              </w:tc>
              <w:tc>
                <w:tcPr>
                  <w:tcW w:w="7148" w:type="dxa"/>
                </w:tcPr>
                <w:p w14:paraId="1DBCA4FD" w14:textId="77777777" w:rsidR="00C454A1" w:rsidRPr="00833016" w:rsidRDefault="00C454A1" w:rsidP="005F4A6F">
                  <w:pPr>
                    <w:pStyle w:val="Prrafodelista"/>
                    <w:numPr>
                      <w:ilvl w:val="0"/>
                      <w:numId w:val="52"/>
                    </w:numPr>
                    <w:ind w:right="272"/>
                    <w:rPr>
                      <w:rFonts w:eastAsia="Times New Roman" w:cs="Times New Roman"/>
                      <w:sz w:val="20"/>
                      <w:szCs w:val="20"/>
                      <w:lang w:val="es-ES"/>
                    </w:rPr>
                  </w:pPr>
                  <w:r w:rsidRPr="00833016">
                    <w:rPr>
                      <w:rFonts w:eastAsia="Times New Roman" w:cs="Times New Roman"/>
                      <w:sz w:val="20"/>
                      <w:szCs w:val="20"/>
                      <w:lang w:val="es-ES"/>
                    </w:rPr>
                    <w:t>Identificó proyectos en la región que no contaban con financiación a corto plazo, pero que podían convertirse en iniciativas integradoras para el desarrollo regional, para invertir 5 millones de dólares del Fondo Multidonante.</w:t>
                  </w:r>
                </w:p>
                <w:p w14:paraId="69125127" w14:textId="77777777" w:rsidR="00C454A1" w:rsidRPr="00833016" w:rsidRDefault="00C454A1" w:rsidP="005F4A6F">
                  <w:pPr>
                    <w:pStyle w:val="Prrafodelista"/>
                    <w:numPr>
                      <w:ilvl w:val="0"/>
                      <w:numId w:val="52"/>
                    </w:numPr>
                    <w:ind w:right="272"/>
                    <w:rPr>
                      <w:rFonts w:eastAsia="Times New Roman" w:cs="Times New Roman"/>
                      <w:sz w:val="20"/>
                      <w:szCs w:val="20"/>
                      <w:lang w:val="es-ES"/>
                    </w:rPr>
                  </w:pPr>
                  <w:r w:rsidRPr="00833016">
                    <w:rPr>
                      <w:rFonts w:eastAsia="Times New Roman" w:cs="Times New Roman"/>
                      <w:sz w:val="20"/>
                      <w:szCs w:val="20"/>
                      <w:lang w:val="es-ES"/>
                    </w:rPr>
                    <w:t>Participó en los Consejos de Reincorporación, la Mesa Técnica de Seguridad y Protección, y la Instancia Tripartita de Seguridad y Protección (ITTPS) que construyeron la ruta de atención para personas en proceso de reincorporación por parte de la Secretaría de Seguridad del departamento. Especificó que “</w:t>
                  </w:r>
                  <w:r w:rsidRPr="00833016">
                    <w:rPr>
                      <w:rFonts w:eastAsia="Times New Roman" w:cs="Times New Roman"/>
                      <w:sz w:val="20"/>
                      <w:szCs w:val="20"/>
                      <w:u w:val="single"/>
                      <w:lang w:val="es-ES"/>
                    </w:rPr>
                    <w:t>en el marco de la asistencia técnica a la ITTPS, se advirtió sobre la creciente preocupación ante la inminente escalada del conflicto, así como sobre la posibilidad de confrontaciones entre el ELN y las disidencias del Frente 33 en los ocho municipios PDET de la subregión</w:t>
                  </w:r>
                  <w:r w:rsidRPr="00833016">
                    <w:rPr>
                      <w:rFonts w:eastAsia="Times New Roman" w:cs="Times New Roman"/>
                      <w:sz w:val="20"/>
                      <w:szCs w:val="20"/>
                      <w:lang w:val="es-ES"/>
                    </w:rPr>
                    <w:t>. Se enfatizó que esta situación representa un riesgo inminente para la población firmante del Acuerdo de Paz”</w:t>
                  </w:r>
                  <w:r w:rsidRPr="00833016">
                    <w:rPr>
                      <w:rStyle w:val="Refdenotaalpie"/>
                      <w:rFonts w:eastAsia="Times New Roman" w:cs="Times New Roman"/>
                      <w:sz w:val="20"/>
                      <w:szCs w:val="20"/>
                      <w:lang w:val="es-ES"/>
                    </w:rPr>
                    <w:footnoteReference w:id="594"/>
                  </w:r>
                  <w:r w:rsidRPr="00833016">
                    <w:rPr>
                      <w:rFonts w:eastAsia="Times New Roman" w:cs="Times New Roman"/>
                      <w:sz w:val="20"/>
                      <w:szCs w:val="20"/>
                      <w:lang w:val="es-ES"/>
                    </w:rPr>
                    <w:t>.</w:t>
                  </w:r>
                </w:p>
                <w:p w14:paraId="7EC03DCD" w14:textId="77777777" w:rsidR="00C454A1" w:rsidRPr="00833016" w:rsidRDefault="00C454A1" w:rsidP="005F4A6F">
                  <w:pPr>
                    <w:pStyle w:val="Prrafodelista"/>
                    <w:numPr>
                      <w:ilvl w:val="0"/>
                      <w:numId w:val="52"/>
                    </w:numPr>
                    <w:ind w:right="272"/>
                    <w:rPr>
                      <w:rFonts w:eastAsia="Times New Roman" w:cs="Times New Roman"/>
                      <w:sz w:val="20"/>
                      <w:szCs w:val="20"/>
                      <w:lang w:val="es-ES"/>
                    </w:rPr>
                  </w:pPr>
                  <w:r w:rsidRPr="00833016">
                    <w:rPr>
                      <w:rFonts w:eastAsia="Times New Roman" w:cs="Times New Roman"/>
                      <w:sz w:val="20"/>
                      <w:szCs w:val="20"/>
                      <w:lang w:val="es-ES"/>
                    </w:rPr>
                    <w:t>Acompañó a los municipios de Hacarí, San Calixto, El Tarra y Teorama en la conformación de los comités de reforma agraria.</w:t>
                  </w:r>
                </w:p>
                <w:p w14:paraId="300FCC3F" w14:textId="77777777" w:rsidR="00C454A1" w:rsidRPr="003B24F7" w:rsidRDefault="00C454A1" w:rsidP="005F4A6F">
                  <w:pPr>
                    <w:pStyle w:val="Prrafodelista"/>
                    <w:numPr>
                      <w:ilvl w:val="0"/>
                      <w:numId w:val="52"/>
                    </w:numPr>
                    <w:ind w:right="272"/>
                    <w:rPr>
                      <w:rFonts w:eastAsia="Times New Roman" w:cs="Times New Roman"/>
                      <w:sz w:val="20"/>
                      <w:szCs w:val="20"/>
                      <w:lang w:val="es-ES"/>
                    </w:rPr>
                  </w:pPr>
                  <w:r w:rsidRPr="00833016">
                    <w:rPr>
                      <w:rFonts w:eastAsia="Times New Roman" w:cs="Times New Roman"/>
                      <w:sz w:val="20"/>
                      <w:szCs w:val="20"/>
                      <w:lang w:val="es-ES"/>
                    </w:rPr>
                    <w:t xml:space="preserve">Construyó </w:t>
                  </w:r>
                  <w:r>
                    <w:rPr>
                      <w:rFonts w:eastAsia="Times New Roman" w:cs="Times New Roman"/>
                      <w:sz w:val="20"/>
                      <w:szCs w:val="20"/>
                      <w:lang w:val="es-ES"/>
                    </w:rPr>
                    <w:t>junto</w:t>
                  </w:r>
                  <w:r w:rsidRPr="00833016">
                    <w:rPr>
                      <w:rFonts w:eastAsia="Times New Roman" w:cs="Times New Roman"/>
                      <w:sz w:val="20"/>
                      <w:szCs w:val="20"/>
                      <w:lang w:val="es-ES"/>
                    </w:rPr>
                    <w:t xml:space="preserve"> con la JEP una metodología para la refrendación y priorización de iniciativas de “Trabajos, Obras y Actividades con Contenido Restaurador”.</w:t>
                  </w:r>
                </w:p>
              </w:tc>
            </w:tr>
          </w:tbl>
          <w:p w14:paraId="5A5509D8" w14:textId="77777777" w:rsidR="00C454A1" w:rsidRPr="00833016" w:rsidRDefault="00C454A1" w:rsidP="00881E6A">
            <w:pPr>
              <w:ind w:right="272"/>
              <w:jc w:val="center"/>
              <w:rPr>
                <w:rFonts w:eastAsia="Times New Roman" w:cs="Times New Roman"/>
                <w:lang w:val="es-ES"/>
              </w:rPr>
            </w:pPr>
          </w:p>
          <w:p w14:paraId="0B679BE2" w14:textId="77777777" w:rsidR="00C454A1" w:rsidRPr="00833016" w:rsidRDefault="00C454A1" w:rsidP="00881E6A">
            <w:pPr>
              <w:pStyle w:val="Prrafodelista"/>
              <w:spacing w:line="257" w:lineRule="auto"/>
              <w:ind w:left="-54" w:right="272"/>
              <w:rPr>
                <w:rFonts w:eastAsia="Times New Roman" w:cs="Times New Roman"/>
                <w:lang w:val="es-ES"/>
              </w:rPr>
            </w:pPr>
            <w:r w:rsidRPr="00833016">
              <w:rPr>
                <w:rFonts w:eastAsia="Times New Roman" w:cs="Times New Roman"/>
                <w:lang w:val="es-ES"/>
              </w:rPr>
              <w:t>Explicó que</w:t>
            </w:r>
            <w:r>
              <w:rPr>
                <w:rFonts w:eastAsia="Times New Roman" w:cs="Times New Roman"/>
                <w:lang w:val="es-ES"/>
              </w:rPr>
              <w:t>,</w:t>
            </w:r>
            <w:r w:rsidRPr="00833016">
              <w:rPr>
                <w:rFonts w:eastAsia="Times New Roman" w:cs="Times New Roman"/>
                <w:lang w:val="es-ES"/>
              </w:rPr>
              <w:t xml:space="preserve"> con corte a septiembre de 2024, ha existido una inversión de $78 millones de dólares de la cooperación internacional para la implementación del Acuerdo de Paz en la región del Catatumbo, lo que corresponde al 56.8% de las inversiones en el Norte de Santander. Entre el 2023 y 2024, la inversión ha sido de más de $22 millones de dólares en el Catatumbo, de los cuales el 75.34% se han destinado al desarrollo de iniciativas en el Tibú y el 24.66% restante distribuido en los demás municipios que integran la región. En este periodo, las inversiones se han focalizado en proyectos que aportan a la Reforma Rural Integral en un 81.93%, seguido por Reparación de Víctimas con el 6.45% y Solución al problema de las drogas ilícitas con el 5.31%.</w:t>
            </w:r>
          </w:p>
          <w:p w14:paraId="20D3DC9C" w14:textId="77777777" w:rsidR="00C454A1" w:rsidRPr="00833016" w:rsidRDefault="00C454A1" w:rsidP="00881E6A">
            <w:pPr>
              <w:pStyle w:val="Prrafodelista"/>
              <w:spacing w:line="257" w:lineRule="auto"/>
              <w:ind w:left="-54" w:right="272"/>
              <w:rPr>
                <w:rFonts w:eastAsia="Times New Roman" w:cs="Times New Roman"/>
                <w:lang w:val="es-ES"/>
              </w:rPr>
            </w:pPr>
          </w:p>
          <w:p w14:paraId="7AC3064A" w14:textId="77777777" w:rsidR="00C454A1" w:rsidRPr="00833016" w:rsidRDefault="00C454A1" w:rsidP="00881E6A">
            <w:pPr>
              <w:pStyle w:val="Prrafodelista"/>
              <w:spacing w:line="257" w:lineRule="auto"/>
              <w:ind w:left="-54" w:right="272"/>
              <w:rPr>
                <w:rFonts w:eastAsia="Times New Roman" w:cs="Times New Roman"/>
                <w:lang w:val="es-ES"/>
              </w:rPr>
            </w:pPr>
            <w:r w:rsidRPr="00833016">
              <w:rPr>
                <w:rFonts w:eastAsia="Times New Roman" w:cs="Times New Roman"/>
                <w:lang w:val="es-ES"/>
              </w:rPr>
              <w:t xml:space="preserve">Dentro de los proyectos más representativos de la cooperación internacional se encuentran: Vías Catatumbo Sostenible para la construcción de carreteras regionales y vías terciarias; el Fondo </w:t>
            </w:r>
            <w:r>
              <w:rPr>
                <w:rFonts w:eastAsia="Times New Roman" w:cs="Times New Roman"/>
                <w:lang w:val="es-ES"/>
              </w:rPr>
              <w:t>A</w:t>
            </w:r>
            <w:r w:rsidRPr="00833016">
              <w:rPr>
                <w:rFonts w:eastAsia="Times New Roman" w:cs="Times New Roman"/>
                <w:lang w:val="es-ES"/>
              </w:rPr>
              <w:t>limentando la Paz que financia las iniciativas económicas de las organizaciones de personas en proceso de reincorporación, pequeños productores rurales, consejos comunitarios afrodescendientes, organizaciones indígenas, de mujeres rurales y juntas de acción comunal; Protierras Expansión para la formalización de la propiedad; la estrategia integral para la reactivación económica y productiva de la cadena de cacao en la Subregión Catatumbo; Modelo para la aceleración e implementación sostenible de las iniciativas PDET en la subregión Catatumbo y el plan de comercialización agropecuaria de productos provenientes del PNIS en Sardinata y Tibú.</w:t>
            </w:r>
          </w:p>
          <w:p w14:paraId="26D538E0" w14:textId="77777777" w:rsidR="00C454A1" w:rsidRPr="00833016" w:rsidRDefault="00C454A1" w:rsidP="00881E6A">
            <w:pPr>
              <w:ind w:right="272"/>
              <w:rPr>
                <w:rFonts w:eastAsia="Times New Roman" w:cs="Times New Roman"/>
                <w:lang w:val="es-ES"/>
              </w:rPr>
            </w:pPr>
          </w:p>
          <w:p w14:paraId="5CF3A3BE" w14:textId="77777777" w:rsidR="00C454A1" w:rsidRDefault="00C454A1" w:rsidP="00881E6A">
            <w:pPr>
              <w:spacing w:after="160"/>
              <w:ind w:right="272"/>
              <w:rPr>
                <w:rFonts w:eastAsia="Times New Roman" w:cs="Times New Roman"/>
                <w:lang w:val="es-ES"/>
              </w:rPr>
            </w:pPr>
            <w:r w:rsidRPr="00833016">
              <w:rPr>
                <w:rFonts w:eastAsia="Times New Roman" w:cs="Times New Roman"/>
                <w:lang w:val="es-ES"/>
              </w:rPr>
              <w:t xml:space="preserve">En relación con los avances en la implementación del Acuerdo de Paz </w:t>
            </w:r>
            <w:r w:rsidRPr="00833016">
              <w:rPr>
                <w:rFonts w:eastAsia="Times New Roman" w:cs="Times New Roman"/>
                <w:u w:val="single"/>
                <w:lang w:val="es-ES"/>
              </w:rPr>
              <w:t>en todo el Departamento de Norte de Santander</w:t>
            </w:r>
            <w:r w:rsidRPr="00833016">
              <w:rPr>
                <w:rFonts w:eastAsia="Times New Roman" w:cs="Times New Roman"/>
                <w:lang w:val="es-ES"/>
              </w:rPr>
              <w:t xml:space="preserve"> indicó:</w:t>
            </w:r>
          </w:p>
          <w:p w14:paraId="09DD9CF9" w14:textId="77777777" w:rsidR="00C454A1" w:rsidRPr="00BC5DDD" w:rsidRDefault="00C454A1" w:rsidP="00881E6A">
            <w:pPr>
              <w:spacing w:after="160"/>
              <w:ind w:right="272"/>
              <w:jc w:val="center"/>
              <w:rPr>
                <w:rFonts w:eastAsia="Times New Roman" w:cs="Times New Roman"/>
                <w:i/>
                <w:iCs/>
                <w:sz w:val="20"/>
                <w:szCs w:val="20"/>
                <w:lang w:val="es-ES"/>
              </w:rPr>
            </w:pPr>
            <w:r w:rsidRPr="00BC5DDD">
              <w:rPr>
                <w:rFonts w:eastAsia="Times New Roman" w:cs="Times New Roman"/>
                <w:i/>
                <w:iCs/>
                <w:sz w:val="20"/>
                <w:szCs w:val="20"/>
                <w:lang w:val="es-ES"/>
              </w:rPr>
              <w:t>Tabla 17: avances en la implementación del AFP en la región del Catatumbo en Norte de Santander reportados por la Unidad de Implementación del Acuerdo de Paz</w:t>
            </w:r>
          </w:p>
          <w:tbl>
            <w:tblPr>
              <w:tblStyle w:val="Tablaconcuadrcula"/>
              <w:tblW w:w="0" w:type="auto"/>
              <w:jc w:val="center"/>
              <w:tblLook w:val="06A0" w:firstRow="1" w:lastRow="0" w:firstColumn="1" w:lastColumn="0" w:noHBand="1" w:noVBand="1"/>
            </w:tblPr>
            <w:tblGrid>
              <w:gridCol w:w="2170"/>
              <w:gridCol w:w="11361"/>
            </w:tblGrid>
            <w:tr w:rsidR="00C454A1" w:rsidRPr="00833016" w14:paraId="6160789F" w14:textId="77777777" w:rsidTr="001F3006">
              <w:trPr>
                <w:trHeight w:val="300"/>
                <w:jc w:val="center"/>
              </w:trPr>
              <w:tc>
                <w:tcPr>
                  <w:tcW w:w="2235" w:type="dxa"/>
                  <w:shd w:val="clear" w:color="auto" w:fill="D9D9D9" w:themeFill="background1" w:themeFillShade="D9"/>
                  <w:vAlign w:val="center"/>
                </w:tcPr>
                <w:p w14:paraId="15DBB3FB" w14:textId="77777777" w:rsidR="00C454A1" w:rsidRPr="00833016" w:rsidRDefault="00C454A1" w:rsidP="00881E6A">
                  <w:pPr>
                    <w:ind w:right="272"/>
                    <w:jc w:val="center"/>
                    <w:rPr>
                      <w:rFonts w:cs="Times New Roman"/>
                      <w:lang w:val="es-ES"/>
                    </w:rPr>
                  </w:pPr>
                  <w:r w:rsidRPr="00833016">
                    <w:rPr>
                      <w:rFonts w:eastAsia="Times New Roman" w:cs="Times New Roman"/>
                      <w:b/>
                      <w:bCs/>
                      <w:color w:val="000000" w:themeColor="text1"/>
                      <w:sz w:val="20"/>
                      <w:szCs w:val="20"/>
                      <w:lang w:val="es-ES"/>
                    </w:rPr>
                    <w:t xml:space="preserve">Punto del Acuerdo de Paz </w:t>
                  </w:r>
                </w:p>
              </w:tc>
              <w:tc>
                <w:tcPr>
                  <w:tcW w:w="12510" w:type="dxa"/>
                  <w:shd w:val="clear" w:color="auto" w:fill="D9D9D9" w:themeFill="background1" w:themeFillShade="D9"/>
                  <w:vAlign w:val="center"/>
                </w:tcPr>
                <w:p w14:paraId="28946E84" w14:textId="77777777" w:rsidR="00C454A1" w:rsidRPr="00833016" w:rsidRDefault="00C454A1" w:rsidP="00881E6A">
                  <w:pPr>
                    <w:ind w:right="272"/>
                    <w:jc w:val="center"/>
                    <w:rPr>
                      <w:rFonts w:cs="Times New Roman"/>
                      <w:lang w:val="es-ES"/>
                    </w:rPr>
                  </w:pPr>
                  <w:r w:rsidRPr="00833016">
                    <w:rPr>
                      <w:rFonts w:eastAsia="Times New Roman" w:cs="Times New Roman"/>
                      <w:b/>
                      <w:bCs/>
                      <w:color w:val="000000" w:themeColor="text1"/>
                      <w:sz w:val="20"/>
                      <w:szCs w:val="20"/>
                      <w:lang w:val="es-ES"/>
                    </w:rPr>
                    <w:t>Avance</w:t>
                  </w:r>
                </w:p>
              </w:tc>
            </w:tr>
            <w:tr w:rsidR="00C454A1" w:rsidRPr="00F8202F" w14:paraId="040ED6F0" w14:textId="77777777" w:rsidTr="001F3006">
              <w:trPr>
                <w:trHeight w:val="300"/>
                <w:jc w:val="center"/>
              </w:trPr>
              <w:tc>
                <w:tcPr>
                  <w:tcW w:w="2235" w:type="dxa"/>
                  <w:shd w:val="clear" w:color="auto" w:fill="D9D9D9" w:themeFill="background1" w:themeFillShade="D9"/>
                  <w:vAlign w:val="center"/>
                </w:tcPr>
                <w:p w14:paraId="4D004E38" w14:textId="77777777" w:rsidR="00C454A1" w:rsidRPr="00833016" w:rsidRDefault="00C454A1" w:rsidP="00881E6A">
                  <w:pPr>
                    <w:ind w:right="272"/>
                    <w:jc w:val="center"/>
                    <w:rPr>
                      <w:rFonts w:cs="Times New Roman"/>
                      <w:lang w:val="es-ES"/>
                    </w:rPr>
                  </w:pPr>
                  <w:r w:rsidRPr="00833016">
                    <w:rPr>
                      <w:rFonts w:eastAsia="Times New Roman" w:cs="Times New Roman"/>
                      <w:b/>
                      <w:bCs/>
                      <w:sz w:val="20"/>
                      <w:szCs w:val="20"/>
                      <w:lang w:val="es-ES"/>
                    </w:rPr>
                    <w:t>Punto 1. Reforma Rural Integral</w:t>
                  </w:r>
                </w:p>
              </w:tc>
              <w:tc>
                <w:tcPr>
                  <w:tcW w:w="12510" w:type="dxa"/>
                  <w:vAlign w:val="center"/>
                </w:tcPr>
                <w:p w14:paraId="1FC587BF"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Se han adjudicado 97 predios equivalentes a 1.623 hectáreas.</w:t>
                  </w:r>
                </w:p>
                <w:p w14:paraId="77F57636"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Se han entregado 4.113 viviendas.</w:t>
                  </w:r>
                </w:p>
                <w:p w14:paraId="1EC4EEEE"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lastRenderedPageBreak/>
                    <w:t>- Se ha actualizado el catastro multipropósito, actualmente el porcentaje de catastro actualizado en Norte de Santander es del 4,3% (PDET) y 3,8% (ZOMAC) del área total del departamento.</w:t>
                  </w:r>
                </w:p>
              </w:tc>
            </w:tr>
            <w:tr w:rsidR="00C454A1" w:rsidRPr="00F8202F" w14:paraId="4FD4F574" w14:textId="77777777" w:rsidTr="001F3006">
              <w:trPr>
                <w:trHeight w:val="300"/>
                <w:jc w:val="center"/>
              </w:trPr>
              <w:tc>
                <w:tcPr>
                  <w:tcW w:w="2235" w:type="dxa"/>
                  <w:shd w:val="clear" w:color="auto" w:fill="D9D9D9" w:themeFill="background1" w:themeFillShade="D9"/>
                  <w:vAlign w:val="center"/>
                </w:tcPr>
                <w:p w14:paraId="48586AB0" w14:textId="77777777" w:rsidR="00C454A1" w:rsidRPr="00833016" w:rsidRDefault="00C454A1" w:rsidP="00881E6A">
                  <w:pPr>
                    <w:ind w:right="272"/>
                    <w:jc w:val="center"/>
                    <w:rPr>
                      <w:rFonts w:cs="Times New Roman"/>
                      <w:lang w:val="es-ES"/>
                    </w:rPr>
                  </w:pPr>
                  <w:r w:rsidRPr="00833016">
                    <w:rPr>
                      <w:rFonts w:eastAsia="Times New Roman" w:cs="Times New Roman"/>
                      <w:b/>
                      <w:bCs/>
                      <w:sz w:val="20"/>
                      <w:szCs w:val="20"/>
                      <w:lang w:val="es-ES"/>
                    </w:rPr>
                    <w:lastRenderedPageBreak/>
                    <w:t>Punto 2. Participación Política</w:t>
                  </w:r>
                </w:p>
              </w:tc>
              <w:tc>
                <w:tcPr>
                  <w:tcW w:w="12510" w:type="dxa"/>
                  <w:vAlign w:val="center"/>
                </w:tcPr>
                <w:p w14:paraId="0301AFF1"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En el departamento hay 11 Consejos Territoriales de Paz y 5 comités de veeduría y acompañamiento a proyectos PDET.</w:t>
                  </w:r>
                </w:p>
                <w:p w14:paraId="72C76765"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Existe 1 Emisora de Paz.</w:t>
                  </w:r>
                </w:p>
                <w:p w14:paraId="66D68C65"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- 16 municipios del departamento están aplicando el estatuto de la oposición.</w:t>
                  </w:r>
                </w:p>
              </w:tc>
            </w:tr>
            <w:tr w:rsidR="00C454A1" w:rsidRPr="00F8202F" w14:paraId="03BC8A2A" w14:textId="77777777" w:rsidTr="001F3006">
              <w:trPr>
                <w:trHeight w:val="300"/>
                <w:jc w:val="center"/>
              </w:trPr>
              <w:tc>
                <w:tcPr>
                  <w:tcW w:w="2235" w:type="dxa"/>
                  <w:shd w:val="clear" w:color="auto" w:fill="D9D9D9" w:themeFill="background1" w:themeFillShade="D9"/>
                  <w:vAlign w:val="center"/>
                </w:tcPr>
                <w:p w14:paraId="37D93929" w14:textId="77777777" w:rsidR="00C454A1" w:rsidRPr="00833016" w:rsidRDefault="00C454A1" w:rsidP="00881E6A">
                  <w:pPr>
                    <w:ind w:right="272"/>
                    <w:jc w:val="center"/>
                    <w:rPr>
                      <w:rFonts w:cs="Times New Roman"/>
                      <w:lang w:val="es-ES"/>
                    </w:rPr>
                  </w:pPr>
                  <w:r w:rsidRPr="00833016">
                    <w:rPr>
                      <w:rFonts w:eastAsia="Times New Roman" w:cs="Times New Roman"/>
                      <w:b/>
                      <w:bCs/>
                      <w:sz w:val="20"/>
                      <w:szCs w:val="20"/>
                      <w:lang w:val="es-ES"/>
                    </w:rPr>
                    <w:t>Punto 3. Fin del Conflicto</w:t>
                  </w:r>
                </w:p>
              </w:tc>
              <w:tc>
                <w:tcPr>
                  <w:tcW w:w="12510" w:type="dxa"/>
                  <w:vAlign w:val="center"/>
                </w:tcPr>
                <w:p w14:paraId="2372A174"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-Actualmente hay 650 personas en proceso de reincorporación acreditadas de las cuales 562 están activas, 42 ausentes y 603 en proceso de acreditación.</w:t>
                  </w:r>
                </w:p>
                <w:p w14:paraId="7FA8A485"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- 30 han accedido a servicios de vivienda y 482 a servicios de educación.</w:t>
                  </w:r>
                </w:p>
              </w:tc>
            </w:tr>
            <w:tr w:rsidR="00C454A1" w:rsidRPr="00F8202F" w14:paraId="1D7FF5F6" w14:textId="77777777" w:rsidTr="001F3006">
              <w:trPr>
                <w:trHeight w:val="300"/>
                <w:jc w:val="center"/>
              </w:trPr>
              <w:tc>
                <w:tcPr>
                  <w:tcW w:w="2235" w:type="dxa"/>
                  <w:shd w:val="clear" w:color="auto" w:fill="D9D9D9" w:themeFill="background1" w:themeFillShade="D9"/>
                  <w:vAlign w:val="center"/>
                </w:tcPr>
                <w:p w14:paraId="730D2CDF" w14:textId="77777777" w:rsidR="00C454A1" w:rsidRPr="00833016" w:rsidRDefault="00C454A1" w:rsidP="00881E6A">
                  <w:pPr>
                    <w:ind w:right="272"/>
                    <w:jc w:val="center"/>
                    <w:rPr>
                      <w:rFonts w:cs="Times New Roman"/>
                      <w:lang w:val="es-ES"/>
                    </w:rPr>
                  </w:pPr>
                  <w:r w:rsidRPr="00833016">
                    <w:rPr>
                      <w:rFonts w:eastAsia="Times New Roman" w:cs="Times New Roman"/>
                      <w:b/>
                      <w:bCs/>
                      <w:sz w:val="20"/>
                      <w:szCs w:val="20"/>
                      <w:lang w:val="es-ES"/>
                    </w:rPr>
                    <w:t>Punto 4. Solución al problema de las drogas</w:t>
                  </w:r>
                </w:p>
              </w:tc>
              <w:tc>
                <w:tcPr>
                  <w:tcW w:w="12510" w:type="dxa"/>
                  <w:vAlign w:val="center"/>
                </w:tcPr>
                <w:p w14:paraId="5B7F4904"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Desde el inicio del actual Gobierno, en Norte de Santander se han erradicado 597 hectáreas.</w:t>
                  </w:r>
                </w:p>
                <w:p w14:paraId="3D210EC5"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Si bien la comunidad ha denunciado 130 sospechas de minas antipersonales, no ha habido procesos de despeje y solo se han destruido dos artefactos.</w:t>
                  </w:r>
                </w:p>
                <w:p w14:paraId="3840801F"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Solo dos municipios de la región de la Conmoción Interior hacen parte del PNIS: Tibú y Sardinata.</w:t>
                  </w:r>
                </w:p>
              </w:tc>
            </w:tr>
            <w:tr w:rsidR="00C454A1" w:rsidRPr="00F8202F" w14:paraId="2922557E" w14:textId="77777777" w:rsidTr="001F3006">
              <w:trPr>
                <w:trHeight w:val="300"/>
                <w:jc w:val="center"/>
              </w:trPr>
              <w:tc>
                <w:tcPr>
                  <w:tcW w:w="2235" w:type="dxa"/>
                  <w:shd w:val="clear" w:color="auto" w:fill="D9D9D9" w:themeFill="background1" w:themeFillShade="D9"/>
                  <w:vAlign w:val="center"/>
                </w:tcPr>
                <w:p w14:paraId="510BA9E5" w14:textId="77777777" w:rsidR="00C454A1" w:rsidRPr="00833016" w:rsidRDefault="00C454A1" w:rsidP="00881E6A">
                  <w:pPr>
                    <w:ind w:right="272"/>
                    <w:jc w:val="center"/>
                    <w:rPr>
                      <w:rFonts w:cs="Times New Roman"/>
                      <w:lang w:val="es-ES"/>
                    </w:rPr>
                  </w:pPr>
                  <w:r w:rsidRPr="00833016">
                    <w:rPr>
                      <w:rFonts w:eastAsia="Times New Roman" w:cs="Times New Roman"/>
                      <w:b/>
                      <w:bCs/>
                      <w:sz w:val="20"/>
                      <w:szCs w:val="20"/>
                      <w:lang w:val="es-ES"/>
                    </w:rPr>
                    <w:t>Punto 5. Víctimas</w:t>
                  </w:r>
                </w:p>
              </w:tc>
              <w:tc>
                <w:tcPr>
                  <w:tcW w:w="12510" w:type="dxa"/>
                  <w:vAlign w:val="center"/>
                </w:tcPr>
                <w:p w14:paraId="478193A0"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En el departamento hay 15 Sujetos de Reparación Colectiva, de los cuales 2 están en fase de diagnóstico, 4 en diseño y formulación, 7 en implementación y 2 implementados.</w:t>
                  </w:r>
                </w:p>
                <w:p w14:paraId="51094E5F"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En El Tarra se creó el Comité de Prevención del Reclutamiento, se han reportado 2 acciones tempranas, 1 acción urgente, 4 de protección y la atención de 1 adolescente en un hogar sustituto.</w:t>
                  </w:r>
                </w:p>
                <w:p w14:paraId="6D1065E8" w14:textId="77777777" w:rsidR="00C454A1" w:rsidRPr="00833016" w:rsidRDefault="00C454A1" w:rsidP="00881E6A">
                  <w:pPr>
                    <w:ind w:right="272"/>
                    <w:rPr>
                      <w:rFonts w:cs="Times New Roman"/>
                      <w:lang w:val="es-ES"/>
                    </w:rPr>
                  </w:pPr>
                  <w:r w:rsidRPr="00833016">
                    <w:rPr>
                      <w:rFonts w:eastAsia="Times New Roman" w:cs="Times New Roman"/>
                      <w:sz w:val="20"/>
                      <w:szCs w:val="20"/>
                      <w:lang w:val="es-ES"/>
                    </w:rPr>
                    <w:t>- Hay 4 planes regionales de búsqueda; 4.219 personas dadas por desaparecidas, de las cuales 1.242 tienen solicitud de búsqueda; 238 cuerpos recuperados, de los cuales 36 de identificaron; 2 personas encontradas con vida y 0 reencuentros.</w:t>
                  </w:r>
                </w:p>
              </w:tc>
            </w:tr>
          </w:tbl>
          <w:p w14:paraId="25367EF1" w14:textId="77777777" w:rsidR="00C454A1" w:rsidRPr="00833016" w:rsidRDefault="00C454A1" w:rsidP="00881E6A">
            <w:pPr>
              <w:ind w:right="272"/>
              <w:rPr>
                <w:rFonts w:eastAsia="Times New Roman" w:cs="Times New Roman"/>
                <w:lang w:val="es-ES"/>
              </w:rPr>
            </w:pPr>
          </w:p>
          <w:p w14:paraId="36B0B7EC" w14:textId="77777777" w:rsidR="00C454A1" w:rsidRPr="00833016" w:rsidRDefault="00C454A1" w:rsidP="005F4A6F">
            <w:pPr>
              <w:pStyle w:val="Prrafodelista"/>
              <w:numPr>
                <w:ilvl w:val="0"/>
                <w:numId w:val="54"/>
              </w:numPr>
              <w:ind w:left="0" w:right="272" w:firstLine="0"/>
              <w:rPr>
                <w:rFonts w:eastAsia="Times New Roman" w:cs="Times New Roman"/>
                <w:lang w:val="es-ES"/>
              </w:rPr>
            </w:pPr>
            <w:r w:rsidRPr="00833016">
              <w:rPr>
                <w:rFonts w:eastAsia="Times New Roman" w:cs="Times New Roman"/>
                <w:lang w:val="es-ES"/>
              </w:rPr>
              <w:t xml:space="preserve">En relación con las acciones de erradicación de actividades de minería ilegal desarrolladas en la región de la </w:t>
            </w:r>
            <w:r>
              <w:rPr>
                <w:rFonts w:eastAsia="Times New Roman" w:cs="Times New Roman"/>
                <w:lang w:val="es-ES"/>
              </w:rPr>
              <w:t>c</w:t>
            </w:r>
            <w:r w:rsidRPr="00833016">
              <w:rPr>
                <w:rFonts w:eastAsia="Times New Roman" w:cs="Times New Roman"/>
                <w:lang w:val="es-ES"/>
              </w:rPr>
              <w:t xml:space="preserve">onmoción </w:t>
            </w:r>
            <w:r>
              <w:rPr>
                <w:rFonts w:eastAsia="Times New Roman" w:cs="Times New Roman"/>
                <w:lang w:val="es-ES"/>
              </w:rPr>
              <w:t>i</w:t>
            </w:r>
            <w:r w:rsidRPr="00833016">
              <w:rPr>
                <w:rFonts w:eastAsia="Times New Roman" w:cs="Times New Roman"/>
                <w:lang w:val="es-ES"/>
              </w:rPr>
              <w:t xml:space="preserve">nterior, el Ministerio de Defensa informó que desde agosto de 2022 la Fuerza Pública en el departamento de Norte de Santander ha: </w:t>
            </w:r>
            <w:r w:rsidRPr="003B24F7">
              <w:rPr>
                <w:rFonts w:eastAsia="Times New Roman" w:cs="Times New Roman"/>
                <w:i/>
                <w:iCs/>
                <w:lang w:val="es-ES"/>
              </w:rPr>
              <w:t>(i)</w:t>
            </w:r>
            <w:r w:rsidRPr="00833016">
              <w:rPr>
                <w:rFonts w:eastAsia="Times New Roman" w:cs="Times New Roman"/>
                <w:lang w:val="es-ES"/>
              </w:rPr>
              <w:t xml:space="preserve"> realizado 381 capturas personas por explotación ilícita de yacimientos mineros </w:t>
            </w:r>
            <w:r w:rsidRPr="003B24F7">
              <w:rPr>
                <w:rFonts w:eastAsia="Times New Roman" w:cs="Times New Roman"/>
                <w:i/>
                <w:iCs/>
                <w:lang w:val="es-ES"/>
              </w:rPr>
              <w:t>(ii)</w:t>
            </w:r>
            <w:r w:rsidRPr="00833016">
              <w:rPr>
                <w:rFonts w:eastAsia="Times New Roman" w:cs="Times New Roman"/>
                <w:lang w:val="es-ES"/>
              </w:rPr>
              <w:t xml:space="preserve"> llevado a cabo 5 incautaciones de 3 retroexcavadoras y 2 dragas tipo dragón y </w:t>
            </w:r>
            <w:r w:rsidRPr="003B24F7">
              <w:rPr>
                <w:rFonts w:eastAsia="Times New Roman" w:cs="Times New Roman"/>
                <w:i/>
                <w:iCs/>
                <w:lang w:val="es-ES"/>
              </w:rPr>
              <w:t>(iii)</w:t>
            </w:r>
            <w:r w:rsidRPr="00833016">
              <w:rPr>
                <w:rFonts w:eastAsia="Times New Roman" w:cs="Times New Roman"/>
                <w:lang w:val="es-ES"/>
              </w:rPr>
              <w:t xml:space="preserve"> intervenido 160 minas de carbón</w:t>
            </w:r>
            <w:r>
              <w:rPr>
                <w:rStyle w:val="Refdenotaalpie"/>
                <w:rFonts w:eastAsia="Times New Roman" w:cs="Times New Roman"/>
                <w:lang w:val="es-ES"/>
              </w:rPr>
              <w:footnoteReference w:id="595"/>
            </w:r>
            <w:r w:rsidRPr="00833016">
              <w:rPr>
                <w:rFonts w:eastAsia="Times New Roman" w:cs="Times New Roman"/>
                <w:lang w:val="es-ES"/>
              </w:rPr>
              <w:t xml:space="preserve">. Por su parte, el Ministerio de Minas y Energía indicó que ha adelantado gestiones para incentivar a que los mineros desarrollen los procedimientos que les corresponden para acceder a mecanismos de formalización y los acompaña en el trámite ante la autoridad minera. Precisó que este Gobierno ha </w:t>
            </w:r>
            <w:r w:rsidRPr="003B24F7">
              <w:rPr>
                <w:rFonts w:eastAsia="Times New Roman" w:cs="Times New Roman"/>
                <w:i/>
                <w:iCs/>
                <w:lang w:val="es-ES"/>
              </w:rPr>
              <w:t>(i)</w:t>
            </w:r>
            <w:r w:rsidRPr="00833016">
              <w:rPr>
                <w:rFonts w:eastAsia="Times New Roman" w:cs="Times New Roman"/>
                <w:lang w:val="es-ES"/>
              </w:rPr>
              <w:t xml:space="preserve"> formalizado a 7 mineros en la región del Catatumbo y presta acompañamiento a 1591 mineros, </w:t>
            </w:r>
            <w:r w:rsidRPr="003B24F7">
              <w:rPr>
                <w:rFonts w:eastAsia="Times New Roman" w:cs="Times New Roman"/>
                <w:i/>
                <w:iCs/>
                <w:lang w:val="es-ES"/>
              </w:rPr>
              <w:t>(ii)</w:t>
            </w:r>
            <w:r w:rsidRPr="00833016">
              <w:rPr>
                <w:rFonts w:eastAsia="Times New Roman" w:cs="Times New Roman"/>
                <w:lang w:val="es-ES"/>
              </w:rPr>
              <w:t xml:space="preserve"> realizado capacitaciones y jornadas de socialización de la normatividad vigente y </w:t>
            </w:r>
            <w:r w:rsidRPr="003B24F7">
              <w:rPr>
                <w:rFonts w:eastAsia="Times New Roman" w:cs="Times New Roman"/>
                <w:i/>
                <w:iCs/>
                <w:lang w:val="es-ES"/>
              </w:rPr>
              <w:t>(iii)</w:t>
            </w:r>
            <w:r w:rsidRPr="00833016">
              <w:rPr>
                <w:rFonts w:eastAsia="Times New Roman" w:cs="Times New Roman"/>
                <w:lang w:val="es-ES"/>
              </w:rPr>
              <w:t xml:space="preserve"> proyectado el Distrito Minero Especial para la Diversificación Productiva que incluye la región del Catatumbo para avanzar en la reindustrialización y la formalización minera. </w:t>
            </w:r>
          </w:p>
          <w:p w14:paraId="348CA071" w14:textId="77777777" w:rsidR="00C454A1" w:rsidRPr="00833016" w:rsidRDefault="00C454A1" w:rsidP="00881E6A">
            <w:pPr>
              <w:pStyle w:val="Prrafodelista"/>
              <w:ind w:left="0" w:right="272"/>
              <w:rPr>
                <w:rFonts w:eastAsia="Times New Roman" w:cs="Times New Roman"/>
                <w:lang w:val="es-ES"/>
              </w:rPr>
            </w:pPr>
          </w:p>
          <w:p w14:paraId="11F3E260" w14:textId="77777777" w:rsidR="00C454A1" w:rsidRPr="00833016" w:rsidRDefault="00C454A1" w:rsidP="005F4A6F">
            <w:pPr>
              <w:pStyle w:val="Prrafodelista"/>
              <w:numPr>
                <w:ilvl w:val="0"/>
                <w:numId w:val="54"/>
              </w:numPr>
              <w:ind w:left="0" w:right="272" w:firstLine="0"/>
              <w:rPr>
                <w:rFonts w:eastAsia="Times New Roman" w:cs="Times New Roman"/>
                <w:lang w:val="es-ES"/>
              </w:rPr>
            </w:pPr>
            <w:r w:rsidRPr="00833016">
              <w:rPr>
                <w:rFonts w:eastAsia="Times New Roman" w:cs="Times New Roman"/>
                <w:lang w:val="es-ES"/>
              </w:rPr>
              <w:t xml:space="preserve">La DSCI de la ART refirió las acciones adelantadas por el Gobierno </w:t>
            </w:r>
            <w:r>
              <w:rPr>
                <w:rFonts w:eastAsia="Times New Roman" w:cs="Times New Roman"/>
                <w:lang w:val="es-ES"/>
              </w:rPr>
              <w:t>n</w:t>
            </w:r>
            <w:r w:rsidRPr="00833016">
              <w:rPr>
                <w:rFonts w:eastAsia="Times New Roman" w:cs="Times New Roman"/>
                <w:lang w:val="es-ES"/>
              </w:rPr>
              <w:t xml:space="preserve">acional para la sustitución de cultivos de uso ilícito en la región de la Conmoción Interior. Indicó que </w:t>
            </w:r>
            <w:r w:rsidRPr="003B24F7">
              <w:rPr>
                <w:rFonts w:eastAsia="Times New Roman" w:cs="Times New Roman"/>
                <w:i/>
                <w:iCs/>
                <w:lang w:val="es-ES"/>
              </w:rPr>
              <w:t>(i)</w:t>
            </w:r>
            <w:r w:rsidRPr="00833016">
              <w:rPr>
                <w:rFonts w:eastAsia="Times New Roman" w:cs="Times New Roman"/>
                <w:lang w:val="es-ES"/>
              </w:rPr>
              <w:t xml:space="preserve"> en el primer semestre de 2024, renegoció los proyectos productivos de ciclo corto y de ciclo largo del PNIS: modificó su ejecución a través de grandes contratistas y optó por una ejecución directa, a través de adquisición de insumos y materiales con proveedores locales y el acompañamiento técnico de la DSCI; </w:t>
            </w:r>
            <w:r w:rsidRPr="003B24F7">
              <w:rPr>
                <w:rFonts w:eastAsia="Times New Roman" w:cs="Times New Roman"/>
                <w:i/>
                <w:iCs/>
                <w:lang w:val="es-ES"/>
              </w:rPr>
              <w:t>(ii)</w:t>
            </w:r>
            <w:r w:rsidRPr="00833016">
              <w:rPr>
                <w:rFonts w:eastAsia="Times New Roman" w:cs="Times New Roman"/>
                <w:lang w:val="es-ES"/>
              </w:rPr>
              <w:t xml:space="preserve"> aprobó 1.565 planes de inversión para los proyectos productivos, entre los cuales se encontraban 680 proyectos pecuarios, 653 agrícolas y 232 no agropecuarios en los municipios de Tibú y Sardinata</w:t>
            </w:r>
            <w:r>
              <w:rPr>
                <w:rStyle w:val="Refdenotaalpie"/>
                <w:rFonts w:eastAsia="Times New Roman" w:cs="Times New Roman"/>
                <w:lang w:val="es-ES"/>
              </w:rPr>
              <w:footnoteReference w:id="596"/>
            </w:r>
            <w:r w:rsidRPr="00833016">
              <w:rPr>
                <w:rFonts w:eastAsia="Times New Roman" w:cs="Times New Roman"/>
                <w:lang w:val="es-ES"/>
              </w:rPr>
              <w:t xml:space="preserve">; </w:t>
            </w:r>
            <w:r w:rsidRPr="003B24F7">
              <w:rPr>
                <w:rFonts w:eastAsia="Times New Roman" w:cs="Times New Roman"/>
                <w:i/>
                <w:iCs/>
                <w:lang w:val="es-ES"/>
              </w:rPr>
              <w:t>(iii)</w:t>
            </w:r>
            <w:r w:rsidRPr="00833016">
              <w:rPr>
                <w:rFonts w:eastAsia="Times New Roman" w:cs="Times New Roman"/>
                <w:lang w:val="es-ES"/>
              </w:rPr>
              <w:t xml:space="preserve"> pagó 4.005 millones de pesos distribuidos en pagos de 3 millones de pesos por familia a un total de 1.335 familias para las labores del alistamiento para sus proyectos productivos; </w:t>
            </w:r>
            <w:r w:rsidRPr="003B24F7">
              <w:rPr>
                <w:rFonts w:eastAsia="Times New Roman" w:cs="Times New Roman"/>
                <w:i/>
                <w:iCs/>
                <w:lang w:val="es-ES"/>
              </w:rPr>
              <w:t xml:space="preserve">(iv) </w:t>
            </w:r>
            <w:r w:rsidRPr="00833016">
              <w:rPr>
                <w:rFonts w:eastAsia="Times New Roman" w:cs="Times New Roman"/>
                <w:lang w:val="es-ES"/>
              </w:rPr>
              <w:t xml:space="preserve">en septiembre de 2024 desarrolló una Convocatoria Abierta para conformar el Banco de Proveedores Locales con el propósito de adelantar la adquisición insumos y materiales para implementar los proyectos productivos; </w:t>
            </w:r>
            <w:r w:rsidRPr="003B24F7">
              <w:rPr>
                <w:rFonts w:eastAsia="Times New Roman" w:cs="Times New Roman"/>
                <w:i/>
                <w:iCs/>
                <w:lang w:val="es-ES"/>
              </w:rPr>
              <w:t>(v)</w:t>
            </w:r>
            <w:r w:rsidRPr="00833016">
              <w:rPr>
                <w:rFonts w:eastAsia="Times New Roman" w:cs="Times New Roman"/>
                <w:lang w:val="es-ES"/>
              </w:rPr>
              <w:t xml:space="preserve"> en diciembre de 2024 realizó una feria comercial en el municipio de Tibú con participación de un primer grupo de 270 familias que seleccionaron proveedores y detallaron las compras para el desarrollo se sus proyectos productivos, finalmente, </w:t>
            </w:r>
            <w:r w:rsidRPr="003B24F7">
              <w:rPr>
                <w:rFonts w:eastAsia="Times New Roman" w:cs="Times New Roman"/>
                <w:i/>
                <w:iCs/>
                <w:lang w:val="es-ES"/>
              </w:rPr>
              <w:t>(vi)</w:t>
            </w:r>
            <w:r w:rsidRPr="00833016">
              <w:rPr>
                <w:rFonts w:eastAsia="Times New Roman" w:cs="Times New Roman"/>
                <w:lang w:val="es-ES"/>
              </w:rPr>
              <w:t xml:space="preserve"> contrató 4 técnicos agropecuarios para acompañar a las familias en este alistamiento productivo, proyectó la prestación de asistencia técnica integral para asesorar en finca la implementación de los proyectos productivos y fortalecer las capacidades productivas de las 1.565 familias que suscribieron planes de inversión. </w:t>
            </w:r>
          </w:p>
          <w:p w14:paraId="54402FC0" w14:textId="77777777" w:rsidR="00C454A1" w:rsidRPr="00833016" w:rsidRDefault="00C454A1" w:rsidP="00881E6A">
            <w:pPr>
              <w:pStyle w:val="Prrafodelista"/>
              <w:ind w:left="0" w:right="272"/>
              <w:rPr>
                <w:rFonts w:eastAsia="Times New Roman" w:cs="Times New Roman"/>
                <w:lang w:val="es-ES"/>
              </w:rPr>
            </w:pPr>
          </w:p>
          <w:p w14:paraId="3D74BF67" w14:textId="77777777" w:rsidR="00C454A1" w:rsidRPr="00833016" w:rsidRDefault="00C454A1" w:rsidP="005F4A6F">
            <w:pPr>
              <w:pStyle w:val="Prrafodelista"/>
              <w:numPr>
                <w:ilvl w:val="0"/>
                <w:numId w:val="54"/>
              </w:numPr>
              <w:ind w:left="0" w:right="272" w:firstLine="0"/>
              <w:rPr>
                <w:rFonts w:eastAsia="Times New Roman" w:cs="Times New Roman"/>
                <w:lang w:val="es-ES"/>
              </w:rPr>
            </w:pPr>
            <w:r w:rsidRPr="00833016">
              <w:rPr>
                <w:rFonts w:eastAsia="Times New Roman" w:cs="Times New Roman"/>
                <w:lang w:val="es-ES"/>
              </w:rPr>
              <w:t xml:space="preserve">En lo relativo a las acciones para hacer frente al bloqueo institucional de la sentencia SU-020 de 2022 respecto del sistema de alertas tempranas, el Ministerio del Interior describió el trámite que se da a las Alertas Tempranas. Explicó que según el artículo 15 del Decreto 2124 de 2017, la Defensoría del Pueblo remite al Gobierno </w:t>
            </w:r>
            <w:r>
              <w:rPr>
                <w:rFonts w:eastAsia="Times New Roman" w:cs="Times New Roman"/>
                <w:lang w:val="es-ES"/>
              </w:rPr>
              <w:t>n</w:t>
            </w:r>
            <w:r w:rsidRPr="00833016">
              <w:rPr>
                <w:rFonts w:eastAsia="Times New Roman" w:cs="Times New Roman"/>
                <w:lang w:val="es-ES"/>
              </w:rPr>
              <w:t>acional las alertas tempranas sobre riesgos de inminencia. A la Secretaría Técnica de la Comisión Intersectorial de Respuesta Rápida a las Alertas Tempranas (CIPRAT</w:t>
            </w:r>
            <w:r>
              <w:rPr>
                <w:rFonts w:eastAsia="Times New Roman" w:cs="Times New Roman"/>
                <w:lang w:val="es-ES"/>
              </w:rPr>
              <w:t>)</w:t>
            </w:r>
            <w:r w:rsidRPr="00833016">
              <w:rPr>
                <w:rFonts w:eastAsia="Times New Roman" w:cs="Times New Roman"/>
                <w:lang w:val="es-ES"/>
              </w:rPr>
              <w:t xml:space="preserve"> le corresponde dar trámite de manera inmediata a las entidades concernidas.</w:t>
            </w:r>
          </w:p>
          <w:p w14:paraId="42DFA66A" w14:textId="77777777" w:rsidR="00C454A1" w:rsidRPr="00833016" w:rsidRDefault="00C454A1" w:rsidP="00881E6A">
            <w:pPr>
              <w:ind w:right="272"/>
              <w:rPr>
                <w:rFonts w:eastAsia="Times New Roman" w:cs="Times New Roman"/>
                <w:lang w:val="es-ES"/>
              </w:rPr>
            </w:pPr>
          </w:p>
          <w:p w14:paraId="18FFFBBD" w14:textId="77777777" w:rsidR="00C454A1" w:rsidRPr="00833016" w:rsidRDefault="00C454A1" w:rsidP="00881E6A">
            <w:pPr>
              <w:spacing w:after="160"/>
              <w:ind w:right="272"/>
              <w:rPr>
                <w:rFonts w:eastAsia="Times New Roman" w:cs="Times New Roman"/>
                <w:lang w:val="es-ES"/>
              </w:rPr>
            </w:pPr>
            <w:r w:rsidRPr="00833016">
              <w:rPr>
                <w:rFonts w:eastAsia="Times New Roman" w:cs="Times New Roman"/>
                <w:lang w:val="es-ES"/>
              </w:rPr>
              <w:t xml:space="preserve">Una vez remite a las entidades el documento de advertencia, la Secretaría Técnica procede a citar Talleres Preparatorios para la Respuesta Rápida, en los que se socializan las recomendaciones y se prepara a las entidades en la formulación </w:t>
            </w:r>
            <w:r w:rsidRPr="00833016">
              <w:rPr>
                <w:rFonts w:eastAsia="Times New Roman" w:cs="Times New Roman"/>
                <w:lang w:val="es-ES"/>
              </w:rPr>
              <w:lastRenderedPageBreak/>
              <w:t>del Plan de Acción Integral de Respuesta Rápida. Luego, dentro de los 10 días siguientes a la emisión de la alerta temprana, se convoca a una sesión de seguimiento en la que se analiza el impacto que las medidas adoptadas han tenido en el riesgo advertido, con miras a determinar si este continúa o ha sido mitigado. En este sentido, desarrolló el trámite que dio a las alertas tempranas 009 de 2023, 026 de 2023, 026 de 2024 y 027 de 2024.</w:t>
            </w:r>
          </w:p>
          <w:p w14:paraId="2F694339" w14:textId="77777777" w:rsidR="00C454A1" w:rsidRPr="00833016" w:rsidRDefault="00C454A1" w:rsidP="005F4A6F">
            <w:pPr>
              <w:pStyle w:val="Prrafodelista"/>
              <w:numPr>
                <w:ilvl w:val="0"/>
                <w:numId w:val="54"/>
              </w:numPr>
              <w:ind w:left="0" w:right="272" w:firstLine="0"/>
              <w:rPr>
                <w:rFonts w:eastAsia="Times New Roman" w:cs="Times New Roman"/>
                <w:lang w:val="es-ES"/>
              </w:rPr>
            </w:pPr>
            <w:r w:rsidRPr="00833016">
              <w:rPr>
                <w:rFonts w:eastAsia="Times New Roman" w:cs="Times New Roman"/>
                <w:lang w:val="es-ES"/>
              </w:rPr>
              <w:t xml:space="preserve">Por último, sobre las acciones que ha adelantado el Gobierno </w:t>
            </w:r>
            <w:r>
              <w:rPr>
                <w:rFonts w:eastAsia="Times New Roman" w:cs="Times New Roman"/>
                <w:lang w:val="es-ES"/>
              </w:rPr>
              <w:t>n</w:t>
            </w:r>
            <w:r w:rsidRPr="00833016">
              <w:rPr>
                <w:rFonts w:eastAsia="Times New Roman" w:cs="Times New Roman"/>
                <w:lang w:val="es-ES"/>
              </w:rPr>
              <w:t>acional, desde 2022 para mitigar los riesgos a la vida y la integridad personal de los líderes sociales, firmantes del acuerdo de paz y las personas en proceso de reincorporación de la región de la Conmoción Interior, la ARN indicó que los líderes sociales no son “objeto de su atención”. Sin embargo, sí ha articulado esfuerzos para mitigar los riesgos a la vida y la integridad personal de la población en proceso de reincorporación.</w:t>
            </w:r>
          </w:p>
          <w:p w14:paraId="7444B912" w14:textId="77777777" w:rsidR="00C454A1" w:rsidRPr="00833016" w:rsidRDefault="00C454A1" w:rsidP="00881E6A">
            <w:pPr>
              <w:pStyle w:val="Prrafodelista"/>
              <w:ind w:left="0" w:right="272"/>
              <w:rPr>
                <w:rFonts w:eastAsia="Times New Roman" w:cs="Times New Roman"/>
                <w:lang w:val="es-ES"/>
              </w:rPr>
            </w:pPr>
          </w:p>
          <w:p w14:paraId="0B7CDFCD" w14:textId="77777777" w:rsidR="00C454A1" w:rsidRPr="00833016" w:rsidRDefault="00C454A1" w:rsidP="00881E6A">
            <w:pPr>
              <w:pStyle w:val="Prrafodelista"/>
              <w:ind w:left="0" w:right="272"/>
              <w:rPr>
                <w:rFonts w:eastAsia="Times New Roman" w:cs="Times New Roman"/>
                <w:lang w:val="es-ES"/>
              </w:rPr>
            </w:pPr>
            <w:r w:rsidRPr="00833016">
              <w:rPr>
                <w:rFonts w:eastAsia="Times New Roman" w:cs="Times New Roman"/>
                <w:lang w:val="es-ES"/>
              </w:rPr>
              <w:t xml:space="preserve">La ARN indicó que emitió el “Instructivo para la orientación y apoyo por riesgo de seguridad contra la vida e integridad física de la población objeto de la ARN”, que establece el procedimiento para gestionar las solicitudes de protección ante la UNP y el desarrollo de medidas preventivas de seguridad ante la institucionalidad pública. Con fundamento en este instructivo se han “brindado lineamientos” a los grupos territoriales de la ARN. En todo caso, señaló que es la Mesa Técnica de Seguridad y Protección la que define las medidas de protección a nivel individual y colectivo. Así mismo, desde 2020, ha implementado la prevención de riesgos a partir de 3 ejes: </w:t>
            </w:r>
            <w:r w:rsidRPr="00114BA2">
              <w:rPr>
                <w:rFonts w:eastAsia="Times New Roman" w:cs="Times New Roman"/>
                <w:i/>
                <w:iCs/>
                <w:lang w:val="es-ES"/>
              </w:rPr>
              <w:t>(i)</w:t>
            </w:r>
            <w:r w:rsidRPr="00833016">
              <w:rPr>
                <w:rFonts w:eastAsia="Times New Roman" w:cs="Times New Roman"/>
                <w:lang w:val="es-ES"/>
              </w:rPr>
              <w:t xml:space="preserve"> </w:t>
            </w:r>
            <w:r w:rsidRPr="00833016">
              <w:rPr>
                <w:rFonts w:eastAsia="Times New Roman" w:cs="Times New Roman"/>
                <w:i/>
                <w:iCs/>
                <w:lang w:val="es-ES"/>
              </w:rPr>
              <w:t>articulación interinstitucional de las instancias creadas para la seguridad y protección</w:t>
            </w:r>
            <w:r w:rsidRPr="00833016">
              <w:rPr>
                <w:rFonts w:eastAsia="Times New Roman" w:cs="Times New Roman"/>
                <w:lang w:val="es-ES"/>
              </w:rPr>
              <w:t>, que se refiere a la coordinación de la fuerza pública con los organismos del Estado para la protección de los firmantes, en relación con la región del Catatumbo, la ARN ha participado en el Puesto de Mando Unificado en Cúcuta, Ocaña y el Tarra para la evaluación de la situación y la articulación de acciones que permitan atender la contingencia en territorio;</w:t>
            </w:r>
            <w:r w:rsidRPr="00114BA2">
              <w:rPr>
                <w:rFonts w:eastAsia="Times New Roman" w:cs="Times New Roman"/>
                <w:i/>
                <w:iCs/>
                <w:lang w:val="es-ES"/>
              </w:rPr>
              <w:t xml:space="preserve"> (ii) </w:t>
            </w:r>
            <w:r w:rsidRPr="00833016">
              <w:rPr>
                <w:rFonts w:eastAsia="Times New Roman" w:cs="Times New Roman"/>
                <w:i/>
                <w:iCs/>
                <w:lang w:val="es-ES"/>
              </w:rPr>
              <w:t>gestión de los riesgos ante autoridades competentes</w:t>
            </w:r>
            <w:r w:rsidRPr="00833016">
              <w:rPr>
                <w:rFonts w:eastAsia="Times New Roman" w:cs="Times New Roman"/>
                <w:lang w:val="es-ES"/>
              </w:rPr>
              <w:t>, con este propósito ha elaborado un diagnóstico del estado del riesgo y ha articulado esfuerzos con las autoridades locales para la gestión de las solicitudes de protección, al respecto, indica que en enero de 2025 ha gestionado 18 solicitudes de medidas de protección;</w:t>
            </w:r>
            <w:r>
              <w:rPr>
                <w:rFonts w:eastAsia="Times New Roman" w:cs="Times New Roman"/>
                <w:lang w:val="es-ES"/>
              </w:rPr>
              <w:t xml:space="preserve"> y</w:t>
            </w:r>
            <w:r w:rsidRPr="00833016">
              <w:rPr>
                <w:rFonts w:eastAsia="Times New Roman" w:cs="Times New Roman"/>
                <w:lang w:val="es-ES"/>
              </w:rPr>
              <w:t xml:space="preserve"> </w:t>
            </w:r>
            <w:r w:rsidRPr="00114BA2">
              <w:rPr>
                <w:rFonts w:eastAsia="Times New Roman" w:cs="Times New Roman"/>
                <w:i/>
                <w:iCs/>
                <w:lang w:val="es-ES"/>
              </w:rPr>
              <w:t xml:space="preserve">(iii) </w:t>
            </w:r>
            <w:r w:rsidRPr="00833016">
              <w:rPr>
                <w:rFonts w:eastAsia="Times New Roman" w:cs="Times New Roman"/>
                <w:i/>
                <w:iCs/>
                <w:lang w:val="es-ES"/>
              </w:rPr>
              <w:t>fortalecimiento de capacidades</w:t>
            </w:r>
            <w:r w:rsidRPr="00833016">
              <w:rPr>
                <w:rFonts w:eastAsia="Times New Roman" w:cs="Times New Roman"/>
                <w:lang w:val="es-ES"/>
              </w:rPr>
              <w:t>, la ARN ha trabajado en el fortalecimiento de las capacidades individuales y colectivas de la población objeto de atención de la ARN, a través de la cultura de la legalidad y la convivencia pacífica, para la prevención y mitigación de los riesgos de reincidencia y victimización.</w:t>
            </w:r>
          </w:p>
          <w:p w14:paraId="50A2837A" w14:textId="77777777" w:rsidR="00C454A1" w:rsidRPr="00833016" w:rsidRDefault="00C454A1" w:rsidP="00881E6A">
            <w:pPr>
              <w:ind w:right="272"/>
              <w:rPr>
                <w:rFonts w:eastAsia="Times New Roman" w:cs="Times New Roman"/>
                <w:lang w:val="es-ES"/>
              </w:rPr>
            </w:pPr>
          </w:p>
        </w:tc>
      </w:tr>
      <w:tr w:rsidR="00C454A1" w:rsidRPr="00F8202F" w14:paraId="30A18162" w14:textId="77777777" w:rsidTr="005F4A6F">
        <w:trPr>
          <w:trHeight w:val="300"/>
        </w:trPr>
        <w:tc>
          <w:tcPr>
            <w:tcW w:w="642" w:type="pct"/>
            <w:vAlign w:val="center"/>
          </w:tcPr>
          <w:p w14:paraId="1EF166B6" w14:textId="77777777" w:rsidR="00C454A1" w:rsidRPr="00833016" w:rsidRDefault="00C454A1" w:rsidP="00881E6A">
            <w:pPr>
              <w:ind w:right="272"/>
              <w:jc w:val="center"/>
              <w:rPr>
                <w:rFonts w:eastAsia="Times New Roman" w:cs="Times New Roman"/>
                <w:lang w:val="es-ES"/>
              </w:rPr>
            </w:pPr>
            <w:r w:rsidRPr="00833016">
              <w:rPr>
                <w:rFonts w:cs="Times New Roman"/>
                <w:b/>
                <w:lang w:val="es-ES"/>
              </w:rPr>
              <w:lastRenderedPageBreak/>
              <w:t>Comando General de las Fuerzas Militares</w:t>
            </w:r>
          </w:p>
        </w:tc>
        <w:tc>
          <w:tcPr>
            <w:tcW w:w="4358" w:type="pct"/>
          </w:tcPr>
          <w:p w14:paraId="2DFE15E8" w14:textId="77777777" w:rsidR="00C454A1" w:rsidRPr="00833016" w:rsidRDefault="00C454A1" w:rsidP="00881E6A">
            <w:pPr>
              <w:ind w:right="272"/>
              <w:rPr>
                <w:rFonts w:cs="Times New Roman"/>
                <w:lang w:val="es-ES"/>
              </w:rPr>
            </w:pPr>
            <w:r w:rsidRPr="00833016">
              <w:rPr>
                <w:rFonts w:cs="Times New Roman"/>
                <w:lang w:val="es-ES"/>
              </w:rPr>
              <w:t>El Comandante General de las Fuerzas Militares remitió la siguiente información en relación con las preguntas planteadas en el auto de pruebas respecto de cada uno de los presupuestos:</w:t>
            </w:r>
          </w:p>
          <w:p w14:paraId="079B2B31" w14:textId="77777777" w:rsidR="00C454A1" w:rsidRPr="00833016" w:rsidRDefault="00C454A1" w:rsidP="00881E6A">
            <w:pPr>
              <w:ind w:right="272"/>
              <w:rPr>
                <w:rFonts w:cs="Times New Roman"/>
                <w:lang w:val="es-ES"/>
              </w:rPr>
            </w:pPr>
          </w:p>
          <w:p w14:paraId="66D4BC55" w14:textId="77777777" w:rsidR="00C454A1" w:rsidRPr="00833016" w:rsidRDefault="00C454A1" w:rsidP="00881E6A">
            <w:pPr>
              <w:ind w:right="272"/>
              <w:rPr>
                <w:rFonts w:cs="Times New Roman"/>
                <w:lang w:val="es-ES"/>
              </w:rPr>
            </w:pPr>
            <w:r w:rsidRPr="00833016">
              <w:rPr>
                <w:rFonts w:cs="Times New Roman"/>
                <w:b/>
                <w:bCs/>
                <w:i/>
                <w:iCs/>
                <w:lang w:val="es-ES"/>
              </w:rPr>
              <w:t>Presupuesto valorativo</w:t>
            </w:r>
            <w:r w:rsidRPr="00833016">
              <w:rPr>
                <w:rFonts w:cs="Times New Roman"/>
                <w:b/>
                <w:bCs/>
                <w:lang w:val="es-ES"/>
              </w:rPr>
              <w:t xml:space="preserve">. </w:t>
            </w:r>
            <w:r w:rsidRPr="00833016">
              <w:rPr>
                <w:rFonts w:cs="Times New Roman"/>
                <w:lang w:val="es-ES"/>
              </w:rPr>
              <w:t xml:space="preserve">En primer lugar, indicó que el escalamiento o intensificación del accionar violento del ELN u otros GAO o GDO es inusitado, extraordinario e imprevisible. Al respecto, explicó que entre el 2022 y el 2024 existió un “pacto criminal” de no agresión entre el ELN y el GAO-RE33. Este pacto permitió la coexistencia de estos grupos, sin enfrentamientos. Sin embargo, dicho pacto se rompió y, si bien “se conocía desde el último trimestre de 2024 por las alertas de inteligencia, la posible ruptura de dicho pacto, lo que resultó </w:t>
            </w:r>
            <w:r w:rsidRPr="00833016">
              <w:rPr>
                <w:rFonts w:cs="Times New Roman"/>
                <w:b/>
                <w:bCs/>
                <w:lang w:val="es-ES"/>
              </w:rPr>
              <w:t xml:space="preserve">extraordinario e imprevisible </w:t>
            </w:r>
            <w:r w:rsidRPr="00833016">
              <w:rPr>
                <w:rFonts w:cs="Times New Roman"/>
                <w:lang w:val="es-ES"/>
              </w:rPr>
              <w:t>fue el nivel de violencia simultaneo y focalizado contra líderes sociales y firmantes de paz”</w:t>
            </w:r>
            <w:r w:rsidRPr="00833016">
              <w:rPr>
                <w:rStyle w:val="Refdenotaalpie"/>
                <w:rFonts w:cs="Times New Roman"/>
                <w:lang w:val="es-ES"/>
              </w:rPr>
              <w:footnoteReference w:id="597"/>
            </w:r>
            <w:r w:rsidRPr="00833016">
              <w:rPr>
                <w:rFonts w:cs="Times New Roman"/>
                <w:lang w:val="es-ES"/>
              </w:rPr>
              <w:t>. En efecto, “[la]s alertas advertían de posibles ataques del ELN a unidades militares e infraestructura estratégica, así como a integrantes del GAO-RE33, más no se esperaba ataque focalizado, casa a casa, que se presentó a líderes sociales y firmantes de paz”</w:t>
            </w:r>
            <w:r w:rsidRPr="00833016">
              <w:rPr>
                <w:rStyle w:val="Refdenotaalpie"/>
                <w:rFonts w:cs="Times New Roman"/>
                <w:lang w:val="es-ES"/>
              </w:rPr>
              <w:footnoteReference w:id="598"/>
            </w:r>
            <w:r w:rsidRPr="00833016">
              <w:rPr>
                <w:rFonts w:cs="Times New Roman"/>
                <w:lang w:val="es-ES"/>
              </w:rPr>
              <w:t>. Así, “al confrontar estos datos con los contenidos en el Boletín N.° 15 del 04 de febrero de 2025 emitido por el Puesto de Mando Unificado de la Gobernación de Norte de Santander (ver Anexo 1), se observa que el número de homicidios ocurridos entre el 16 de enero al 04 de febrero de 2025 (55 personas), prácticamente iguala la cifra total de homicidios en persona protegida ocurridos durante el año 2024”</w:t>
            </w:r>
            <w:r w:rsidRPr="00833016">
              <w:rPr>
                <w:rStyle w:val="Refdenotaalpie"/>
                <w:rFonts w:cs="Times New Roman"/>
                <w:lang w:val="es-ES"/>
              </w:rPr>
              <w:footnoteReference w:id="599"/>
            </w:r>
            <w:r w:rsidRPr="00833016">
              <w:rPr>
                <w:rFonts w:cs="Times New Roman"/>
                <w:lang w:val="es-ES"/>
              </w:rPr>
              <w:t>. Asimismo, en materia de desplazados, se observa que “durante los primeros 20 días que van de la emergencia (16 de enero a 05 de febrero), la cantidad de desplazados se ha incrementado en ocho veces respecto de la totalidad de desplazados reportados en la región entre los años 2022 a 2024”</w:t>
            </w:r>
            <w:r w:rsidRPr="00833016">
              <w:rPr>
                <w:rStyle w:val="Refdenotaalpie"/>
                <w:rFonts w:cs="Times New Roman"/>
                <w:lang w:val="es-ES"/>
              </w:rPr>
              <w:footnoteReference w:id="600"/>
            </w:r>
            <w:r w:rsidRPr="00833016">
              <w:rPr>
                <w:rFonts w:cs="Times New Roman"/>
                <w:lang w:val="es-ES"/>
              </w:rPr>
              <w:t>.</w:t>
            </w:r>
          </w:p>
          <w:p w14:paraId="0A49F84D" w14:textId="77777777" w:rsidR="00C454A1" w:rsidRPr="00833016" w:rsidRDefault="00C454A1" w:rsidP="00881E6A">
            <w:pPr>
              <w:ind w:right="272"/>
              <w:rPr>
                <w:rFonts w:cs="Times New Roman"/>
                <w:lang w:val="es-ES"/>
              </w:rPr>
            </w:pPr>
          </w:p>
          <w:p w14:paraId="52C75945" w14:textId="77777777" w:rsidR="00C454A1" w:rsidRPr="00833016" w:rsidRDefault="00C454A1" w:rsidP="00881E6A">
            <w:pPr>
              <w:ind w:right="272"/>
              <w:rPr>
                <w:rFonts w:cs="Times New Roman"/>
                <w:lang w:val="es-ES"/>
              </w:rPr>
            </w:pPr>
            <w:r w:rsidRPr="00833016">
              <w:rPr>
                <w:rFonts w:cs="Times New Roman"/>
                <w:lang w:val="es-ES"/>
              </w:rPr>
              <w:lastRenderedPageBreak/>
              <w:t>En segundo lugar, precisó que, desde el 2024, las capacidades operativas de las Fuerzas Militares se han incrementado</w:t>
            </w:r>
            <w:r w:rsidRPr="00833016">
              <w:rPr>
                <w:rStyle w:val="Refdenotaalpie"/>
                <w:rFonts w:cs="Times New Roman"/>
                <w:lang w:val="es-ES"/>
              </w:rPr>
              <w:footnoteReference w:id="601"/>
            </w:r>
            <w:r w:rsidRPr="00833016">
              <w:rPr>
                <w:rFonts w:cs="Times New Roman"/>
                <w:lang w:val="es-ES"/>
              </w:rPr>
              <w:t>. En particular, para el 2024 “se reforzó la capacidad en la región mediante la asignación de 14 pelotones adicionales que corresponden a 504 soldados”</w:t>
            </w:r>
            <w:r w:rsidRPr="00833016">
              <w:rPr>
                <w:rStyle w:val="Refdenotaalpie"/>
                <w:rFonts w:cs="Times New Roman"/>
                <w:lang w:val="es-ES"/>
              </w:rPr>
              <w:footnoteReference w:id="602"/>
            </w:r>
            <w:r w:rsidRPr="00833016">
              <w:rPr>
                <w:rFonts w:cs="Times New Roman"/>
                <w:lang w:val="es-ES"/>
              </w:rPr>
              <w:t>. Asimismo, desde el 4 de febrero de 2025, y una vez ocurrida la alteración al orden público, “el Ejercito Nacional ha destinado un total de 10.083 efectivos”</w:t>
            </w:r>
            <w:r w:rsidRPr="00833016">
              <w:rPr>
                <w:rStyle w:val="Refdenotaalpie"/>
                <w:rFonts w:cs="Times New Roman"/>
                <w:lang w:val="es-ES"/>
              </w:rPr>
              <w:footnoteReference w:id="603"/>
            </w:r>
            <w:r w:rsidRPr="00833016">
              <w:rPr>
                <w:rFonts w:cs="Times New Roman"/>
                <w:lang w:val="es-ES"/>
              </w:rPr>
              <w:t>. No obstante, “la magnitud y alcance de la afectación del orden público en la región, exige que se incrementen de manera sustancial las actuales capacidades operativas”</w:t>
            </w:r>
            <w:r w:rsidRPr="00833016">
              <w:rPr>
                <w:rStyle w:val="Refdenotaalpie"/>
                <w:rFonts w:cs="Times New Roman"/>
                <w:lang w:val="es-ES"/>
              </w:rPr>
              <w:footnoteReference w:id="604"/>
            </w:r>
            <w:r w:rsidRPr="00833016">
              <w:rPr>
                <w:rFonts w:cs="Times New Roman"/>
                <w:lang w:val="es-ES"/>
              </w:rPr>
              <w:t>. De lo contrario, se corren riesgos inminentes y directos de afectación a la seguridad del Estado y la estabilidad institucional. Lo primero, “porque se puede generar una situación de desestabilización en la frontera con Venezuela y un peligro en materia de integridad territorial y de soberanía nacional”</w:t>
            </w:r>
            <w:r w:rsidRPr="00833016">
              <w:rPr>
                <w:rStyle w:val="Refdenotaalpie"/>
                <w:rFonts w:cs="Times New Roman"/>
                <w:lang w:val="es-ES"/>
              </w:rPr>
              <w:footnoteReference w:id="605"/>
            </w:r>
            <w:r w:rsidRPr="00833016">
              <w:rPr>
                <w:rFonts w:cs="Times New Roman"/>
                <w:lang w:val="es-ES"/>
              </w:rPr>
              <w:t>. Lo segundo, por cuanto “los homicidios selectivos contra líderes sociales, firmantes de paz y los ataques a sus familias, si continúa puede generar un ambiente de zozobra, generalizado a que firmantes del acuerdo de Paz retornen a las armas, incrementando la desconfianza hacia el Estado”</w:t>
            </w:r>
            <w:r w:rsidRPr="00833016">
              <w:rPr>
                <w:rStyle w:val="Refdenotaalpie"/>
                <w:rFonts w:cs="Times New Roman"/>
                <w:lang w:val="es-ES"/>
              </w:rPr>
              <w:footnoteReference w:id="606"/>
            </w:r>
            <w:r w:rsidRPr="00833016">
              <w:rPr>
                <w:rFonts w:cs="Times New Roman"/>
                <w:lang w:val="es-ES"/>
              </w:rPr>
              <w:t xml:space="preserve">. </w:t>
            </w:r>
          </w:p>
          <w:p w14:paraId="44B887DB" w14:textId="77777777" w:rsidR="00C454A1" w:rsidRPr="00833016" w:rsidRDefault="00C454A1" w:rsidP="00881E6A">
            <w:pPr>
              <w:ind w:right="272"/>
              <w:rPr>
                <w:rFonts w:cs="Times New Roman"/>
                <w:lang w:val="es-ES"/>
              </w:rPr>
            </w:pPr>
          </w:p>
          <w:p w14:paraId="7640A396" w14:textId="77777777" w:rsidR="00C454A1" w:rsidRPr="00833016" w:rsidRDefault="00C454A1" w:rsidP="00881E6A">
            <w:pPr>
              <w:ind w:right="272"/>
              <w:rPr>
                <w:rFonts w:cs="Times New Roman"/>
                <w:lang w:val="es-ES"/>
              </w:rPr>
            </w:pPr>
            <w:r w:rsidRPr="00833016">
              <w:rPr>
                <w:rFonts w:cs="Times New Roman"/>
                <w:lang w:val="es-ES"/>
              </w:rPr>
              <w:t>Por último, en relación con este presupuesto señaló que en la región del Catatumbo sí han grupos armados ilegales u otras estructuras organizadas cuyos integrantes han sido beneficiarios de medidas como suspensión de órdenes de captura, nombramiento como gestores de paz u otra medida similar prevista en la Ley 2272 de 2022. En concreto, indicó que han identificado 41 personas beneficiarios de medidas como suspensión de órdenes de captura, nombramiento como gestores de paz u otra medida similar prevista en la Ley 2272 de 2022</w:t>
            </w:r>
            <w:r w:rsidRPr="00833016">
              <w:rPr>
                <w:rStyle w:val="Refdenotaalpie"/>
                <w:rFonts w:cs="Times New Roman"/>
                <w:lang w:val="es-ES"/>
              </w:rPr>
              <w:footnoteReference w:id="607"/>
            </w:r>
            <w:r w:rsidRPr="00833016">
              <w:rPr>
                <w:rFonts w:cs="Times New Roman"/>
                <w:lang w:val="es-ES"/>
              </w:rPr>
              <w:t xml:space="preserve">. </w:t>
            </w:r>
            <w:r>
              <w:rPr>
                <w:rFonts w:cs="Times New Roman"/>
                <w:lang w:val="es-ES"/>
              </w:rPr>
              <w:t>12</w:t>
            </w:r>
            <w:r w:rsidRPr="00833016">
              <w:rPr>
                <w:rFonts w:cs="Times New Roman"/>
                <w:lang w:val="es-ES"/>
              </w:rPr>
              <w:t xml:space="preserve"> de esas personas tienen la calidad de “miembros representantes a la MDP”; </w:t>
            </w:r>
            <w:r>
              <w:rPr>
                <w:rFonts w:cs="Times New Roman"/>
                <w:lang w:val="es-ES"/>
              </w:rPr>
              <w:t>14</w:t>
            </w:r>
            <w:r w:rsidRPr="00833016">
              <w:rPr>
                <w:rFonts w:cs="Times New Roman"/>
                <w:lang w:val="es-ES"/>
              </w:rPr>
              <w:t xml:space="preserve"> la calidad de “gestores de paz”; </w:t>
            </w:r>
            <w:r>
              <w:rPr>
                <w:rFonts w:cs="Times New Roman"/>
                <w:lang w:val="es-ES"/>
              </w:rPr>
              <w:t>5</w:t>
            </w:r>
            <w:r w:rsidRPr="00833016">
              <w:rPr>
                <w:rFonts w:cs="Times New Roman"/>
                <w:lang w:val="es-ES"/>
              </w:rPr>
              <w:t xml:space="preserve"> la calidad de “nacional”; </w:t>
            </w:r>
            <w:r>
              <w:rPr>
                <w:rFonts w:cs="Times New Roman"/>
                <w:lang w:val="es-ES"/>
              </w:rPr>
              <w:t>6</w:t>
            </w:r>
            <w:r w:rsidRPr="00833016">
              <w:rPr>
                <w:rFonts w:cs="Times New Roman"/>
                <w:lang w:val="es-ES"/>
              </w:rPr>
              <w:t xml:space="preserve"> la calidad de “regional” y </w:t>
            </w:r>
            <w:r>
              <w:rPr>
                <w:rFonts w:cs="Times New Roman"/>
                <w:lang w:val="es-ES"/>
              </w:rPr>
              <w:t>4</w:t>
            </w:r>
            <w:r w:rsidRPr="00833016">
              <w:rPr>
                <w:rFonts w:cs="Times New Roman"/>
                <w:lang w:val="es-ES"/>
              </w:rPr>
              <w:t xml:space="preserve"> de “local”.</w:t>
            </w:r>
          </w:p>
          <w:p w14:paraId="28D0B930" w14:textId="77777777" w:rsidR="00C454A1" w:rsidRPr="00833016" w:rsidRDefault="00C454A1" w:rsidP="00881E6A">
            <w:pPr>
              <w:ind w:right="272"/>
              <w:rPr>
                <w:rFonts w:cs="Times New Roman"/>
                <w:lang w:val="es-ES"/>
              </w:rPr>
            </w:pPr>
          </w:p>
          <w:p w14:paraId="6A5D3E7A" w14:textId="77777777" w:rsidR="00C454A1" w:rsidRPr="00833016" w:rsidRDefault="00C454A1" w:rsidP="00881E6A">
            <w:pPr>
              <w:ind w:right="272"/>
              <w:rPr>
                <w:rFonts w:cs="Times New Roman"/>
                <w:lang w:val="es-ES"/>
              </w:rPr>
            </w:pPr>
            <w:r w:rsidRPr="00833016">
              <w:rPr>
                <w:rFonts w:cs="Times New Roman"/>
                <w:b/>
                <w:bCs/>
                <w:i/>
                <w:iCs/>
                <w:lang w:val="es-ES"/>
              </w:rPr>
              <w:lastRenderedPageBreak/>
              <w:t>Presupuesto de suficiencia</w:t>
            </w:r>
            <w:r w:rsidRPr="00833016">
              <w:rPr>
                <w:rFonts w:cs="Times New Roman"/>
                <w:b/>
                <w:bCs/>
                <w:lang w:val="es-ES"/>
              </w:rPr>
              <w:t>.</w:t>
            </w:r>
            <w:r w:rsidRPr="00833016">
              <w:rPr>
                <w:rFonts w:cs="Times New Roman"/>
                <w:lang w:val="es-ES"/>
              </w:rPr>
              <w:t xml:space="preserve"> En relación con este presupuesto, el Comandante de las Fuerzas Militares refirió información relativa a </w:t>
            </w:r>
            <w:r w:rsidRPr="001A5C2D">
              <w:rPr>
                <w:rFonts w:cs="Times New Roman"/>
                <w:i/>
                <w:iCs/>
                <w:lang w:val="es-ES"/>
              </w:rPr>
              <w:t>(i)</w:t>
            </w:r>
            <w:r w:rsidRPr="00833016">
              <w:rPr>
                <w:rFonts w:cs="Times New Roman"/>
                <w:lang w:val="es-ES"/>
              </w:rPr>
              <w:t xml:space="preserve"> las medidas para garantizar el control territorial, preservar el orden público, afrontar escalamientos inusitados de violencia y proteger a la población civil; </w:t>
            </w:r>
            <w:r w:rsidRPr="001A5C2D">
              <w:rPr>
                <w:rFonts w:cs="Times New Roman"/>
                <w:i/>
                <w:iCs/>
                <w:lang w:val="es-ES"/>
              </w:rPr>
              <w:t>(ii)</w:t>
            </w:r>
            <w:r w:rsidRPr="00833016">
              <w:rPr>
                <w:rFonts w:cs="Times New Roman"/>
                <w:lang w:val="es-ES"/>
              </w:rPr>
              <w:t xml:space="preserve"> el número de efectivos, soldados, comandos, pelotones, unidades militares aéreas, y demás miembros de la Fuerzas Militares que, actualmente, están asignados para restablecer el orden público, así como el incremento que ha tenido desde el 2022; </w:t>
            </w:r>
            <w:r w:rsidRPr="001A5C2D">
              <w:rPr>
                <w:rFonts w:cs="Times New Roman"/>
                <w:i/>
                <w:iCs/>
                <w:lang w:val="es-ES"/>
              </w:rPr>
              <w:t>(iii)</w:t>
            </w:r>
            <w:r w:rsidRPr="00833016">
              <w:rPr>
                <w:rFonts w:cs="Times New Roman"/>
                <w:lang w:val="es-ES"/>
              </w:rPr>
              <w:t xml:space="preserve"> las operaciones militares -defensivas u ofensivas- y las acciones de estabilización adoptadas de manera independiente por el Ejército Nacional, la Fuerza Aeroespacial Colombiana y las autoridades locales para atender la crisis de orden público; </w:t>
            </w:r>
            <w:r w:rsidRPr="001A5C2D">
              <w:rPr>
                <w:rFonts w:cs="Times New Roman"/>
                <w:i/>
                <w:iCs/>
                <w:lang w:val="es-ES"/>
              </w:rPr>
              <w:t>(iv)</w:t>
            </w:r>
            <w:r w:rsidRPr="00833016">
              <w:rPr>
                <w:rFonts w:cs="Times New Roman"/>
                <w:lang w:val="es-ES"/>
              </w:rPr>
              <w:t xml:space="preserve"> cómo ha sido la presencia de las Fuerzas Militares en la región del Catatumbo, en el área metropolitana de Cúcuta, así como en los municipios de Río de Oro y González desde el segundo semestre de 2024 hasta la fecha, con ocasión del escalamiento del accionar violento del ELN; </w:t>
            </w:r>
            <w:r w:rsidRPr="001A5C2D">
              <w:rPr>
                <w:rFonts w:cs="Times New Roman"/>
                <w:i/>
                <w:iCs/>
                <w:lang w:val="es-ES"/>
              </w:rPr>
              <w:t>(v)</w:t>
            </w:r>
            <w:r w:rsidRPr="00833016">
              <w:rPr>
                <w:rFonts w:cs="Times New Roman"/>
                <w:lang w:val="es-ES"/>
              </w:rPr>
              <w:t xml:space="preserve"> si mediante las atribuciones ordinarias del Gobierno </w:t>
            </w:r>
            <w:r>
              <w:rPr>
                <w:rFonts w:cs="Times New Roman"/>
                <w:lang w:val="es-ES"/>
              </w:rPr>
              <w:t>n</w:t>
            </w:r>
            <w:r w:rsidRPr="00833016">
              <w:rPr>
                <w:rFonts w:cs="Times New Roman"/>
                <w:lang w:val="es-ES"/>
              </w:rPr>
              <w:t xml:space="preserve">acional y/o del Ministerio de Defensa, es posible establecer una “Zona de No Vuelo Dron” (ZNVD) o adoptar una “carta aeronáutica de área restringida en el AIP Colombia”; </w:t>
            </w:r>
            <w:r w:rsidRPr="001A5C2D">
              <w:rPr>
                <w:rFonts w:cs="Times New Roman"/>
                <w:i/>
                <w:iCs/>
                <w:lang w:val="es-ES"/>
              </w:rPr>
              <w:t>(vi)</w:t>
            </w:r>
            <w:r w:rsidRPr="00833016">
              <w:rPr>
                <w:rFonts w:cs="Times New Roman"/>
                <w:lang w:val="es-ES"/>
              </w:rPr>
              <w:t xml:space="preserve"> las razones por las cuales, en su criterio, las atribuciones, medidas, herramientas y operaciones ordinarias identificados en los numerales anteriores han sido insuficientes o son inidóneas para atender la crisis de orden público; </w:t>
            </w:r>
            <w:r w:rsidRPr="001A5C2D">
              <w:rPr>
                <w:rFonts w:cs="Times New Roman"/>
                <w:i/>
                <w:iCs/>
                <w:lang w:val="es-ES"/>
              </w:rPr>
              <w:t>(vii)</w:t>
            </w:r>
            <w:r w:rsidRPr="00833016">
              <w:rPr>
                <w:rFonts w:cs="Times New Roman"/>
                <w:lang w:val="es-ES"/>
              </w:rPr>
              <w:t xml:space="preserve"> si han solicitado al Gobierno Nacional incrementar los recursos presupuestales asignados a las Fuerzas Militares con el objeto de fortalecer y robustecer los operativos militares y </w:t>
            </w:r>
            <w:r w:rsidRPr="001A5C2D">
              <w:rPr>
                <w:rFonts w:cs="Times New Roman"/>
                <w:i/>
                <w:iCs/>
                <w:lang w:val="es-ES"/>
              </w:rPr>
              <w:t>(viii)</w:t>
            </w:r>
            <w:r w:rsidRPr="00833016">
              <w:rPr>
                <w:rFonts w:cs="Times New Roman"/>
                <w:lang w:val="es-ES"/>
              </w:rPr>
              <w:t xml:space="preserve"> cuáles han sido las asignaciones presupuestales anuales que ha recibido del Gobierno </w:t>
            </w:r>
            <w:r>
              <w:rPr>
                <w:rFonts w:cs="Times New Roman"/>
                <w:lang w:val="es-ES"/>
              </w:rPr>
              <w:t>n</w:t>
            </w:r>
            <w:r w:rsidRPr="00833016">
              <w:rPr>
                <w:rFonts w:cs="Times New Roman"/>
                <w:lang w:val="es-ES"/>
              </w:rPr>
              <w:t>acional para las vigencias comprendidas entre los años 2022 y 2025. Además, remitieron los Análisis de las Capacidades Críticas de la Amenaza —ACCAM— en la región del Catatumbo, en el área metropolitana de Cúcuta, así como en los municipios de Río de Oro y González, correspondientes a los períodos comprendidos entre noviembre de 2023 y enero de 2025.</w:t>
            </w:r>
          </w:p>
          <w:p w14:paraId="1632B892" w14:textId="77777777" w:rsidR="00C454A1" w:rsidRPr="00833016" w:rsidRDefault="00C454A1" w:rsidP="00881E6A">
            <w:pPr>
              <w:ind w:right="272"/>
              <w:rPr>
                <w:rFonts w:cs="Times New Roman"/>
                <w:lang w:val="es-ES"/>
              </w:rPr>
            </w:pPr>
          </w:p>
          <w:p w14:paraId="32DF823F" w14:textId="77777777" w:rsidR="00C454A1" w:rsidRPr="00833016" w:rsidRDefault="00C454A1" w:rsidP="005F4A6F">
            <w:pPr>
              <w:pStyle w:val="Prrafodelista"/>
              <w:numPr>
                <w:ilvl w:val="0"/>
                <w:numId w:val="32"/>
              </w:numPr>
              <w:tabs>
                <w:tab w:val="left" w:pos="324"/>
              </w:tabs>
              <w:ind w:left="324" w:right="272" w:hanging="324"/>
              <w:rPr>
                <w:rFonts w:cs="Times New Roman"/>
                <w:lang w:val="es-ES"/>
              </w:rPr>
            </w:pPr>
            <w:r w:rsidRPr="00833016">
              <w:rPr>
                <w:rFonts w:cs="Times New Roman"/>
                <w:i/>
                <w:iCs/>
                <w:lang w:val="es-ES"/>
              </w:rPr>
              <w:t xml:space="preserve">Medidas para garantizar el control territorial, preservar el orden público, afrontar escalamientos inusitados de violencia y proteger a la población civil. </w:t>
            </w:r>
            <w:r w:rsidRPr="001A5C2D">
              <w:rPr>
                <w:rFonts w:cs="Times New Roman"/>
                <w:lang w:val="es-ES"/>
              </w:rPr>
              <w:t>El Comandante se refirió al Plan de Campaña Estratégico Conjunto “AYACUCHO PLUS”</w:t>
            </w:r>
            <w:r w:rsidRPr="00833016">
              <w:rPr>
                <w:rFonts w:cs="Times New Roman"/>
                <w:lang w:val="es-ES"/>
              </w:rPr>
              <w:t>. Según indicó, esta es “la hoja de ruta para que cada Comando de Fuerza ejecute el planeamiento y desarrollo de las operaciones militares conjuntas y de permanente coordinación interinstitucional en todo el territorio nacional”</w:t>
            </w:r>
            <w:r w:rsidRPr="00833016">
              <w:rPr>
                <w:rFonts w:cs="Times New Roman"/>
                <w:vertAlign w:val="superscript"/>
                <w:lang w:val="es-ES"/>
              </w:rPr>
              <w:footnoteReference w:id="608"/>
            </w:r>
            <w:r w:rsidRPr="00833016">
              <w:rPr>
                <w:rFonts w:cs="Times New Roman"/>
                <w:lang w:val="es-ES"/>
              </w:rPr>
              <w:t xml:space="preserve">. En este plan se establecen 4 objetivos estratégicos, a saber: </w:t>
            </w:r>
            <w:r w:rsidRPr="001A5C2D">
              <w:rPr>
                <w:rFonts w:cs="Times New Roman"/>
                <w:i/>
                <w:iCs/>
                <w:lang w:val="es-ES"/>
              </w:rPr>
              <w:t xml:space="preserve">(i) </w:t>
            </w:r>
            <w:r w:rsidRPr="00833016">
              <w:rPr>
                <w:rFonts w:cs="Times New Roman"/>
                <w:lang w:val="es-ES"/>
              </w:rPr>
              <w:t xml:space="preserve">proteger a la población </w:t>
            </w:r>
            <w:r w:rsidRPr="00833016">
              <w:rPr>
                <w:rFonts w:cs="Times New Roman"/>
                <w:lang w:val="es-ES"/>
              </w:rPr>
              <w:lastRenderedPageBreak/>
              <w:t xml:space="preserve">civil; </w:t>
            </w:r>
            <w:r w:rsidRPr="001A5C2D">
              <w:rPr>
                <w:rFonts w:cs="Times New Roman"/>
                <w:i/>
                <w:iCs/>
                <w:lang w:val="es-ES"/>
              </w:rPr>
              <w:t>(ii)</w:t>
            </w:r>
            <w:r w:rsidRPr="00833016">
              <w:rPr>
                <w:rFonts w:cs="Times New Roman"/>
                <w:lang w:val="es-ES"/>
              </w:rPr>
              <w:t xml:space="preserve"> debilitar las capacidades de las amenazas; </w:t>
            </w:r>
            <w:r w:rsidRPr="001A5C2D">
              <w:rPr>
                <w:rFonts w:cs="Times New Roman"/>
                <w:i/>
                <w:iCs/>
                <w:lang w:val="es-ES"/>
              </w:rPr>
              <w:t>(iii)</w:t>
            </w:r>
            <w:r w:rsidRPr="00833016">
              <w:rPr>
                <w:rFonts w:cs="Times New Roman"/>
                <w:lang w:val="es-ES"/>
              </w:rPr>
              <w:t xml:space="preserve"> proteger la gobernabilidad y </w:t>
            </w:r>
            <w:r w:rsidRPr="001A5C2D">
              <w:rPr>
                <w:rFonts w:cs="Times New Roman"/>
                <w:i/>
                <w:iCs/>
                <w:lang w:val="es-ES"/>
              </w:rPr>
              <w:t>(iv)</w:t>
            </w:r>
            <w:r w:rsidRPr="00833016">
              <w:rPr>
                <w:rFonts w:cs="Times New Roman"/>
                <w:lang w:val="es-ES"/>
              </w:rPr>
              <w:t xml:space="preserve"> proteger y fortalecer las fuerzas y capacidades estratégicas. Así mismo, señaló que el Ejército Nacional “como dominio terrestre de las FFMM cuenta con un concepto operacional denominado OPERACIONES TERRESTRES UNIFICADAS (OTU)”</w:t>
            </w:r>
            <w:r w:rsidRPr="00833016">
              <w:rPr>
                <w:rFonts w:cs="Times New Roman"/>
                <w:vertAlign w:val="superscript"/>
                <w:lang w:val="es-ES"/>
              </w:rPr>
              <w:footnoteReference w:id="609"/>
            </w:r>
            <w:r w:rsidRPr="00833016">
              <w:rPr>
                <w:rFonts w:cs="Times New Roman"/>
                <w:lang w:val="es-ES"/>
              </w:rPr>
              <w:t xml:space="preserve">. Estas operaciones pueden ser: </w:t>
            </w:r>
            <w:r w:rsidRPr="001A5C2D">
              <w:rPr>
                <w:rFonts w:cs="Times New Roman"/>
                <w:i/>
                <w:iCs/>
                <w:lang w:val="es-ES"/>
              </w:rPr>
              <w:t>(i)</w:t>
            </w:r>
            <w:r w:rsidRPr="00833016">
              <w:rPr>
                <w:rFonts w:cs="Times New Roman"/>
                <w:lang w:val="es-ES"/>
              </w:rPr>
              <w:t xml:space="preserve"> ofensivas, </w:t>
            </w:r>
            <w:r w:rsidRPr="001A5C2D">
              <w:rPr>
                <w:rFonts w:cs="Times New Roman"/>
                <w:i/>
                <w:iCs/>
                <w:lang w:val="es-ES"/>
              </w:rPr>
              <w:t>(ii)</w:t>
            </w:r>
            <w:r w:rsidRPr="00833016">
              <w:rPr>
                <w:rFonts w:cs="Times New Roman"/>
                <w:lang w:val="es-ES"/>
              </w:rPr>
              <w:t xml:space="preserve"> defensivas, </w:t>
            </w:r>
            <w:r w:rsidRPr="001A5C2D">
              <w:rPr>
                <w:rFonts w:cs="Times New Roman"/>
                <w:i/>
                <w:iCs/>
                <w:lang w:val="es-ES"/>
              </w:rPr>
              <w:t>(iii)</w:t>
            </w:r>
            <w:r w:rsidRPr="00833016">
              <w:rPr>
                <w:rFonts w:cs="Times New Roman"/>
                <w:lang w:val="es-ES"/>
              </w:rPr>
              <w:t xml:space="preserve"> de estabilidad y</w:t>
            </w:r>
            <w:r w:rsidRPr="001A5C2D">
              <w:rPr>
                <w:rFonts w:cs="Times New Roman"/>
                <w:i/>
                <w:iCs/>
                <w:lang w:val="es-ES"/>
              </w:rPr>
              <w:t xml:space="preserve"> (iv)</w:t>
            </w:r>
            <w:r w:rsidRPr="00833016">
              <w:rPr>
                <w:rFonts w:cs="Times New Roman"/>
                <w:lang w:val="es-ES"/>
              </w:rPr>
              <w:t xml:space="preserve"> de colaboración militar a la autoridad civil (COMAC). </w:t>
            </w:r>
          </w:p>
          <w:p w14:paraId="4394701F" w14:textId="77777777" w:rsidR="00C454A1" w:rsidRPr="00833016" w:rsidRDefault="00C454A1" w:rsidP="00881E6A">
            <w:pPr>
              <w:pStyle w:val="Prrafodelista"/>
              <w:tabs>
                <w:tab w:val="left" w:pos="324"/>
              </w:tabs>
              <w:ind w:left="324" w:right="272"/>
              <w:rPr>
                <w:rFonts w:cs="Times New Roman"/>
                <w:lang w:val="es-ES"/>
              </w:rPr>
            </w:pPr>
          </w:p>
          <w:p w14:paraId="309E28CF" w14:textId="77777777" w:rsidR="00C454A1" w:rsidRPr="00833016" w:rsidRDefault="00C454A1" w:rsidP="005F4A6F">
            <w:pPr>
              <w:pStyle w:val="Prrafodelista"/>
              <w:numPr>
                <w:ilvl w:val="0"/>
                <w:numId w:val="32"/>
              </w:numPr>
              <w:tabs>
                <w:tab w:val="left" w:pos="324"/>
              </w:tabs>
              <w:ind w:left="324" w:right="272" w:hanging="324"/>
              <w:rPr>
                <w:rFonts w:cs="Times New Roman"/>
                <w:lang w:val="es-ES"/>
              </w:rPr>
            </w:pPr>
            <w:r w:rsidRPr="00833016">
              <w:rPr>
                <w:rFonts w:cs="Times New Roman"/>
                <w:i/>
                <w:lang w:val="es-ES"/>
              </w:rPr>
              <w:t>Número de efectivos, soldados, comandos, pelotones, unidades militares aéreas, y demás miembros de la Fuerzas Militares que, actualmente, están asignados para restablecer el orden público, así como el incremento que ha tenido desde el 2022</w:t>
            </w:r>
            <w:r w:rsidRPr="00833016">
              <w:rPr>
                <w:rFonts w:cs="Times New Roman"/>
                <w:lang w:val="es-ES"/>
              </w:rPr>
              <w:t>. La información presentada se puede sintetizar así:</w:t>
            </w:r>
          </w:p>
          <w:p w14:paraId="3E9054FB" w14:textId="77777777" w:rsidR="00C454A1" w:rsidRDefault="00C454A1" w:rsidP="00881E6A">
            <w:pPr>
              <w:pStyle w:val="Prrafodelista"/>
              <w:ind w:right="272"/>
              <w:rPr>
                <w:rFonts w:cs="Times New Roman"/>
                <w:lang w:val="es-ES"/>
              </w:rPr>
            </w:pPr>
          </w:p>
          <w:p w14:paraId="4218FB79" w14:textId="77777777" w:rsidR="00C454A1" w:rsidRPr="00650A95" w:rsidRDefault="00C454A1" w:rsidP="00881E6A">
            <w:pPr>
              <w:pStyle w:val="Prrafodelista"/>
              <w:ind w:right="272"/>
              <w:jc w:val="center"/>
              <w:rPr>
                <w:rFonts w:cs="Times New Roman"/>
                <w:i/>
                <w:iCs/>
                <w:sz w:val="20"/>
                <w:szCs w:val="20"/>
                <w:lang w:val="es-ES"/>
              </w:rPr>
            </w:pPr>
            <w:r w:rsidRPr="00650A95">
              <w:rPr>
                <w:rFonts w:cs="Times New Roman"/>
                <w:i/>
                <w:iCs/>
                <w:sz w:val="20"/>
                <w:szCs w:val="20"/>
                <w:lang w:val="es-ES"/>
              </w:rPr>
              <w:t>Tabla 1</w:t>
            </w:r>
            <w:r>
              <w:rPr>
                <w:rFonts w:cs="Times New Roman"/>
                <w:i/>
                <w:iCs/>
                <w:sz w:val="20"/>
                <w:szCs w:val="20"/>
                <w:lang w:val="es-ES"/>
              </w:rPr>
              <w:t>8</w:t>
            </w:r>
            <w:r w:rsidRPr="00650A95">
              <w:rPr>
                <w:rFonts w:cs="Times New Roman"/>
                <w:i/>
                <w:iCs/>
                <w:sz w:val="20"/>
                <w:szCs w:val="20"/>
                <w:lang w:val="es-ES"/>
              </w:rPr>
              <w:t>: Número de efectivos, soldados, comandos, pelotones, unidades militares aéreas, y demás miembros de la Fuerzas Militares asignados a la región del Catatumbo</w:t>
            </w:r>
          </w:p>
          <w:tbl>
            <w:tblPr>
              <w:tblStyle w:val="Tablaconcuadrcula"/>
              <w:tblW w:w="0" w:type="auto"/>
              <w:jc w:val="center"/>
              <w:tblLook w:val="04A0" w:firstRow="1" w:lastRow="0" w:firstColumn="1" w:lastColumn="0" w:noHBand="0" w:noVBand="1"/>
            </w:tblPr>
            <w:tblGrid>
              <w:gridCol w:w="3260"/>
              <w:gridCol w:w="2977"/>
            </w:tblGrid>
            <w:tr w:rsidR="00C454A1" w:rsidRPr="00F8202F" w14:paraId="6682B3EF" w14:textId="77777777" w:rsidTr="001F3006">
              <w:trPr>
                <w:trHeight w:val="300"/>
                <w:jc w:val="center"/>
              </w:trPr>
              <w:tc>
                <w:tcPr>
                  <w:tcW w:w="3260" w:type="dxa"/>
                  <w:shd w:val="clear" w:color="auto" w:fill="D1D1D1" w:themeFill="background2" w:themeFillShade="E6"/>
                  <w:vAlign w:val="center"/>
                </w:tcPr>
                <w:p w14:paraId="53742613" w14:textId="77777777" w:rsidR="00C454A1" w:rsidRPr="003B1150" w:rsidRDefault="00C454A1" w:rsidP="00881E6A">
                  <w:pPr>
                    <w:ind w:right="272"/>
                    <w:jc w:val="center"/>
                    <w:rPr>
                      <w:rFonts w:cs="Times New Roman"/>
                      <w:b/>
                      <w:sz w:val="20"/>
                      <w:szCs w:val="20"/>
                      <w:lang w:val="es-ES"/>
                    </w:rPr>
                  </w:pPr>
                  <w:r w:rsidRPr="003B1150">
                    <w:rPr>
                      <w:rFonts w:cs="Times New Roman"/>
                      <w:b/>
                      <w:sz w:val="20"/>
                      <w:szCs w:val="20"/>
                      <w:lang w:val="es-ES"/>
                    </w:rPr>
                    <w:t>AÑO</w:t>
                  </w:r>
                </w:p>
              </w:tc>
              <w:tc>
                <w:tcPr>
                  <w:tcW w:w="2977" w:type="dxa"/>
                  <w:shd w:val="clear" w:color="auto" w:fill="D1D1D1" w:themeFill="background2" w:themeFillShade="E6"/>
                  <w:vAlign w:val="center"/>
                </w:tcPr>
                <w:p w14:paraId="29E58DEE" w14:textId="77777777" w:rsidR="00C454A1" w:rsidRPr="003B1150" w:rsidRDefault="00C454A1" w:rsidP="00881E6A">
                  <w:pPr>
                    <w:ind w:right="272"/>
                    <w:jc w:val="center"/>
                    <w:rPr>
                      <w:rFonts w:cs="Times New Roman"/>
                      <w:b/>
                      <w:sz w:val="20"/>
                      <w:szCs w:val="20"/>
                      <w:lang w:val="es-ES"/>
                    </w:rPr>
                  </w:pPr>
                  <w:r w:rsidRPr="003B1150">
                    <w:rPr>
                      <w:rFonts w:cs="Times New Roman"/>
                      <w:b/>
                      <w:sz w:val="20"/>
                      <w:szCs w:val="20"/>
                      <w:lang w:val="es-ES"/>
                    </w:rPr>
                    <w:t>EFECTIVOS</w:t>
                  </w:r>
                </w:p>
              </w:tc>
            </w:tr>
            <w:tr w:rsidR="00C454A1" w:rsidRPr="00F8202F" w14:paraId="00D2ECC3" w14:textId="77777777" w:rsidTr="001F3006">
              <w:trPr>
                <w:trHeight w:val="300"/>
                <w:jc w:val="center"/>
              </w:trPr>
              <w:tc>
                <w:tcPr>
                  <w:tcW w:w="3260" w:type="dxa"/>
                  <w:vAlign w:val="center"/>
                </w:tcPr>
                <w:p w14:paraId="3F3DB4D0"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2022</w:t>
                  </w:r>
                </w:p>
              </w:tc>
              <w:tc>
                <w:tcPr>
                  <w:tcW w:w="2977" w:type="dxa"/>
                  <w:vAlign w:val="center"/>
                </w:tcPr>
                <w:p w14:paraId="3D4E5300"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7.788</w:t>
                  </w:r>
                </w:p>
              </w:tc>
            </w:tr>
            <w:tr w:rsidR="00C454A1" w:rsidRPr="00F8202F" w14:paraId="04454CED" w14:textId="77777777" w:rsidTr="001F3006">
              <w:trPr>
                <w:trHeight w:val="300"/>
                <w:jc w:val="center"/>
              </w:trPr>
              <w:tc>
                <w:tcPr>
                  <w:tcW w:w="3260" w:type="dxa"/>
                  <w:vAlign w:val="center"/>
                </w:tcPr>
                <w:p w14:paraId="36D1AC70"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2023</w:t>
                  </w:r>
                </w:p>
              </w:tc>
              <w:tc>
                <w:tcPr>
                  <w:tcW w:w="2977" w:type="dxa"/>
                  <w:vAlign w:val="center"/>
                </w:tcPr>
                <w:p w14:paraId="24D115FD"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8.038</w:t>
                  </w:r>
                </w:p>
              </w:tc>
            </w:tr>
            <w:tr w:rsidR="00C454A1" w:rsidRPr="00F8202F" w14:paraId="13B292F3" w14:textId="77777777" w:rsidTr="001F3006">
              <w:trPr>
                <w:trHeight w:val="300"/>
                <w:jc w:val="center"/>
              </w:trPr>
              <w:tc>
                <w:tcPr>
                  <w:tcW w:w="3260" w:type="dxa"/>
                  <w:vAlign w:val="center"/>
                </w:tcPr>
                <w:p w14:paraId="71A4D48B"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2024</w:t>
                  </w:r>
                </w:p>
              </w:tc>
              <w:tc>
                <w:tcPr>
                  <w:tcW w:w="2977" w:type="dxa"/>
                  <w:vAlign w:val="center"/>
                </w:tcPr>
                <w:p w14:paraId="5B7ADE64"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8.608</w:t>
                  </w:r>
                </w:p>
              </w:tc>
            </w:tr>
            <w:tr w:rsidR="00C454A1" w:rsidRPr="00F8202F" w14:paraId="6FBB7E14" w14:textId="77777777" w:rsidTr="001F3006">
              <w:trPr>
                <w:trHeight w:val="300"/>
                <w:jc w:val="center"/>
              </w:trPr>
              <w:tc>
                <w:tcPr>
                  <w:tcW w:w="3260" w:type="dxa"/>
                  <w:vAlign w:val="center"/>
                </w:tcPr>
                <w:p w14:paraId="44BC27FA"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2025</w:t>
                  </w:r>
                </w:p>
              </w:tc>
              <w:tc>
                <w:tcPr>
                  <w:tcW w:w="2977" w:type="dxa"/>
                  <w:vAlign w:val="center"/>
                </w:tcPr>
                <w:p w14:paraId="01568867"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10.083</w:t>
                  </w:r>
                </w:p>
              </w:tc>
            </w:tr>
          </w:tbl>
          <w:p w14:paraId="06E0BAFC" w14:textId="77777777" w:rsidR="00C454A1" w:rsidRPr="00833016" w:rsidRDefault="00C454A1" w:rsidP="00881E6A">
            <w:pPr>
              <w:ind w:right="272"/>
              <w:jc w:val="center"/>
              <w:rPr>
                <w:rFonts w:cs="Times New Roman"/>
                <w:lang w:val="es-ES"/>
              </w:rPr>
            </w:pPr>
          </w:p>
          <w:p w14:paraId="7671FBFB" w14:textId="77777777" w:rsidR="00C454A1" w:rsidRPr="00833016" w:rsidRDefault="00C454A1" w:rsidP="00881E6A">
            <w:pPr>
              <w:ind w:right="272"/>
              <w:rPr>
                <w:rFonts w:cs="Times New Roman"/>
                <w:lang w:val="es-ES"/>
              </w:rPr>
            </w:pPr>
            <w:r w:rsidRPr="00833016">
              <w:rPr>
                <w:rFonts w:cs="Times New Roman"/>
                <w:lang w:val="es-ES"/>
              </w:rPr>
              <w:t>Aclaró que las variaciones de unidades militares se determinan a partir de un análisis de “ambiente operaciones”, en el que se tiene en cuenta, entre otras, “los periodos de cese al fuego y la actividad delictiva del grupo armado organizado (GAO) Ejército de Liberación Nacional (ELN), que provoca cambios significativos en la dinámica del conflicto armado”</w:t>
            </w:r>
            <w:r w:rsidRPr="00833016">
              <w:rPr>
                <w:rStyle w:val="Refdenotaalpie"/>
                <w:rFonts w:cs="Times New Roman"/>
                <w:lang w:val="es-ES"/>
              </w:rPr>
              <w:footnoteReference w:id="610"/>
            </w:r>
            <w:r w:rsidRPr="00833016">
              <w:rPr>
                <w:rFonts w:cs="Times New Roman"/>
                <w:lang w:val="es-ES"/>
              </w:rPr>
              <w:t>.</w:t>
            </w:r>
          </w:p>
          <w:p w14:paraId="0DDCD35C" w14:textId="77777777" w:rsidR="00C454A1" w:rsidRPr="00833016" w:rsidRDefault="00C454A1" w:rsidP="00881E6A">
            <w:pPr>
              <w:ind w:right="272"/>
              <w:rPr>
                <w:rFonts w:cs="Times New Roman"/>
                <w:lang w:val="es-ES"/>
              </w:rPr>
            </w:pPr>
          </w:p>
          <w:p w14:paraId="6BA5179B" w14:textId="77777777" w:rsidR="00C454A1" w:rsidRPr="00833016" w:rsidRDefault="00C454A1" w:rsidP="005F4A6F">
            <w:pPr>
              <w:pStyle w:val="Prrafodelista"/>
              <w:numPr>
                <w:ilvl w:val="0"/>
                <w:numId w:val="32"/>
              </w:numPr>
              <w:tabs>
                <w:tab w:val="left" w:pos="324"/>
              </w:tabs>
              <w:ind w:left="324" w:right="272" w:hanging="324"/>
              <w:rPr>
                <w:rFonts w:cs="Times New Roman"/>
                <w:lang w:val="es-ES"/>
              </w:rPr>
            </w:pPr>
            <w:r w:rsidRPr="00833016">
              <w:rPr>
                <w:rFonts w:cs="Times New Roman"/>
                <w:i/>
                <w:iCs/>
                <w:lang w:val="es-ES"/>
              </w:rPr>
              <w:t xml:space="preserve">Sobre las operaciones militares -defensivas u ofensivas- y las acciones de estabilización adoptadas de manera independiente por el Ejército Nacional, la Fuerza Aeroespacial Colombiana y las autoridades locales para atender </w:t>
            </w:r>
            <w:r w:rsidRPr="00833016">
              <w:rPr>
                <w:rFonts w:cs="Times New Roman"/>
                <w:i/>
                <w:iCs/>
                <w:lang w:val="es-ES"/>
              </w:rPr>
              <w:lastRenderedPageBreak/>
              <w:t>la crisis de orden público</w:t>
            </w:r>
            <w:r w:rsidRPr="00833016">
              <w:rPr>
                <w:rFonts w:cs="Times New Roman"/>
                <w:lang w:val="es-ES"/>
              </w:rPr>
              <w:t>. La región del Catatumbo, en el área metropolitana de Cúcuta, así como los municipios de R</w:t>
            </w:r>
            <w:r>
              <w:rPr>
                <w:rFonts w:cs="Times New Roman"/>
                <w:lang w:val="es-ES"/>
              </w:rPr>
              <w:t>í</w:t>
            </w:r>
            <w:r w:rsidRPr="00833016">
              <w:rPr>
                <w:rFonts w:cs="Times New Roman"/>
                <w:lang w:val="es-ES"/>
              </w:rPr>
              <w:t>o de Oro y Gonzales está a cargo de la Segunda división del Ejército Nacional. Para el 2022, “la Disposición No. 0001 del 13 de octubre de 2021 estableció la asignación de áreas de operaciones y la delimitación de jurisdicción territorial para las unidades de escalón Brigada o equivalentes, así como la agregación de unidades militares como: Brigada 30, Comando Especial Energético No. 1, Fuerza de Despliegue Rápido No. 3 y la Fuerza de Tarea Vulcano al Comando Específico de Norte de Santander (CENOR)”</w:t>
            </w:r>
            <w:r w:rsidRPr="00833016">
              <w:rPr>
                <w:rStyle w:val="Refdenotaalpie"/>
                <w:rFonts w:cs="Times New Roman"/>
                <w:lang w:val="es-ES"/>
              </w:rPr>
              <w:footnoteReference w:id="611"/>
            </w:r>
            <w:r w:rsidRPr="00833016">
              <w:rPr>
                <w:rFonts w:cs="Times New Roman"/>
                <w:lang w:val="es-ES"/>
              </w:rPr>
              <w:t>. Sin embargo, para el 2024, la disposición No. 00000003 del 12 de enero de 2024 asignó “área de operaciones, delmit[ó] la jurisdicción territorial a las unidades de escalón táctico nivel Brigada equivalentes y derog[ó] la disposición 001 del 13 de octubre de 2021”</w:t>
            </w:r>
            <w:r w:rsidRPr="00833016">
              <w:rPr>
                <w:rStyle w:val="Refdenotaalpie"/>
                <w:rFonts w:cs="Times New Roman"/>
                <w:lang w:val="es-ES"/>
              </w:rPr>
              <w:footnoteReference w:id="612"/>
            </w:r>
            <w:r w:rsidRPr="00833016">
              <w:rPr>
                <w:rFonts w:cs="Times New Roman"/>
                <w:lang w:val="es-ES"/>
              </w:rPr>
              <w:t>. Esta disposición estuvo vigente hasta el 20 de noviembre de 2024, fecha en la cual se dictó la disposición No. 00025, por medio de la cual “se delimitan las áreas de operaciones a las unidades de nivel táctico Brigada de la Segunda División.</w:t>
            </w:r>
          </w:p>
          <w:p w14:paraId="37879570" w14:textId="77777777" w:rsidR="00C454A1" w:rsidRPr="00833016" w:rsidRDefault="00C454A1" w:rsidP="00881E6A">
            <w:pPr>
              <w:pStyle w:val="Prrafodelista"/>
              <w:tabs>
                <w:tab w:val="left" w:pos="324"/>
              </w:tabs>
              <w:ind w:left="324" w:right="272"/>
              <w:rPr>
                <w:rFonts w:cs="Times New Roman"/>
                <w:lang w:val="es-ES"/>
              </w:rPr>
            </w:pPr>
          </w:p>
          <w:p w14:paraId="677CB48A" w14:textId="77777777" w:rsidR="00C454A1" w:rsidRPr="00833016" w:rsidRDefault="00C454A1" w:rsidP="00881E6A">
            <w:pPr>
              <w:pStyle w:val="Prrafodelista"/>
              <w:tabs>
                <w:tab w:val="left" w:pos="324"/>
              </w:tabs>
              <w:ind w:left="324" w:right="272"/>
              <w:rPr>
                <w:rFonts w:cs="Times New Roman"/>
                <w:lang w:val="es-ES"/>
              </w:rPr>
            </w:pPr>
            <w:r w:rsidRPr="00833016">
              <w:rPr>
                <w:rFonts w:cs="Times New Roman"/>
                <w:lang w:val="es-ES"/>
              </w:rPr>
              <w:t xml:space="preserve">Desde el 2022, las operaciones militares desarrolladas en el marco operaciones han sido diversas: </w:t>
            </w:r>
          </w:p>
          <w:p w14:paraId="3626FD95" w14:textId="77777777" w:rsidR="00C454A1" w:rsidRDefault="00C454A1" w:rsidP="00881E6A">
            <w:pPr>
              <w:ind w:right="272"/>
              <w:rPr>
                <w:rFonts w:cs="Times New Roman"/>
                <w:lang w:val="es-ES"/>
              </w:rPr>
            </w:pPr>
          </w:p>
          <w:p w14:paraId="10DB02BE" w14:textId="77777777" w:rsidR="00C454A1" w:rsidRPr="00511DE7" w:rsidRDefault="00C454A1" w:rsidP="00881E6A">
            <w:pPr>
              <w:ind w:right="272"/>
              <w:jc w:val="center"/>
              <w:rPr>
                <w:rFonts w:cs="Times New Roman"/>
                <w:i/>
                <w:iCs/>
                <w:sz w:val="20"/>
                <w:szCs w:val="20"/>
                <w:lang w:val="es-ES"/>
              </w:rPr>
            </w:pPr>
            <w:r w:rsidRPr="00511DE7">
              <w:rPr>
                <w:rFonts w:cs="Times New Roman"/>
                <w:i/>
                <w:iCs/>
                <w:sz w:val="20"/>
                <w:szCs w:val="20"/>
                <w:lang w:val="es-ES"/>
              </w:rPr>
              <w:t>Tabla 19: operaciones militares desarrolladas en la región del Catatumbo desde 2022</w:t>
            </w:r>
          </w:p>
          <w:tbl>
            <w:tblPr>
              <w:tblStyle w:val="Tablaconcuadrcula"/>
              <w:tblW w:w="0" w:type="auto"/>
              <w:jc w:val="center"/>
              <w:tblLook w:val="04A0" w:firstRow="1" w:lastRow="0" w:firstColumn="1" w:lastColumn="0" w:noHBand="0" w:noVBand="1"/>
            </w:tblPr>
            <w:tblGrid>
              <w:gridCol w:w="1870"/>
              <w:gridCol w:w="1870"/>
              <w:gridCol w:w="1870"/>
              <w:gridCol w:w="1870"/>
              <w:gridCol w:w="1870"/>
            </w:tblGrid>
            <w:tr w:rsidR="00C454A1" w:rsidRPr="00F8202F" w14:paraId="6F63F08A" w14:textId="77777777" w:rsidTr="001F3006">
              <w:trPr>
                <w:trHeight w:val="300"/>
                <w:jc w:val="center"/>
              </w:trPr>
              <w:tc>
                <w:tcPr>
                  <w:tcW w:w="1870" w:type="dxa"/>
                  <w:shd w:val="clear" w:color="auto" w:fill="D1D1D1" w:themeFill="background2" w:themeFillShade="E6"/>
                  <w:vAlign w:val="center"/>
                </w:tcPr>
                <w:p w14:paraId="3D04DCAF" w14:textId="77777777" w:rsidR="00C454A1" w:rsidRPr="00833016" w:rsidRDefault="00C454A1" w:rsidP="00881E6A">
                  <w:pPr>
                    <w:ind w:right="272"/>
                    <w:jc w:val="center"/>
                    <w:rPr>
                      <w:rFonts w:cs="Times New Roman"/>
                      <w:b/>
                      <w:lang w:val="es-ES"/>
                    </w:rPr>
                  </w:pPr>
                  <w:r w:rsidRPr="00833016">
                    <w:rPr>
                      <w:rFonts w:cs="Times New Roman"/>
                      <w:b/>
                      <w:lang w:val="es-ES"/>
                    </w:rPr>
                    <w:t>AÑO</w:t>
                  </w:r>
                </w:p>
              </w:tc>
              <w:tc>
                <w:tcPr>
                  <w:tcW w:w="1870" w:type="dxa"/>
                  <w:shd w:val="clear" w:color="auto" w:fill="D1D1D1" w:themeFill="background2" w:themeFillShade="E6"/>
                  <w:vAlign w:val="center"/>
                </w:tcPr>
                <w:p w14:paraId="7E92FF1C" w14:textId="77777777" w:rsidR="00C454A1" w:rsidRPr="00833016" w:rsidRDefault="00C454A1" w:rsidP="00881E6A">
                  <w:pPr>
                    <w:ind w:right="272"/>
                    <w:jc w:val="center"/>
                    <w:rPr>
                      <w:rFonts w:cs="Times New Roman"/>
                      <w:b/>
                      <w:lang w:val="es-ES"/>
                    </w:rPr>
                  </w:pPr>
                  <w:r w:rsidRPr="00833016">
                    <w:rPr>
                      <w:rFonts w:cs="Times New Roman"/>
                      <w:b/>
                      <w:lang w:val="es-ES"/>
                    </w:rPr>
                    <w:t>Ofensivas</w:t>
                  </w:r>
                </w:p>
              </w:tc>
              <w:tc>
                <w:tcPr>
                  <w:tcW w:w="1870" w:type="dxa"/>
                  <w:shd w:val="clear" w:color="auto" w:fill="D1D1D1" w:themeFill="background2" w:themeFillShade="E6"/>
                  <w:vAlign w:val="center"/>
                </w:tcPr>
                <w:p w14:paraId="6851D7B2" w14:textId="77777777" w:rsidR="00C454A1" w:rsidRPr="00833016" w:rsidRDefault="00C454A1" w:rsidP="00881E6A">
                  <w:pPr>
                    <w:ind w:right="272"/>
                    <w:jc w:val="center"/>
                    <w:rPr>
                      <w:rFonts w:cs="Times New Roman"/>
                      <w:b/>
                      <w:lang w:val="es-ES"/>
                    </w:rPr>
                  </w:pPr>
                  <w:r w:rsidRPr="00833016">
                    <w:rPr>
                      <w:rFonts w:cs="Times New Roman"/>
                      <w:b/>
                      <w:lang w:val="es-ES"/>
                    </w:rPr>
                    <w:t>Defensivas</w:t>
                  </w:r>
                </w:p>
              </w:tc>
              <w:tc>
                <w:tcPr>
                  <w:tcW w:w="1870" w:type="dxa"/>
                  <w:shd w:val="clear" w:color="auto" w:fill="D1D1D1" w:themeFill="background2" w:themeFillShade="E6"/>
                  <w:vAlign w:val="center"/>
                </w:tcPr>
                <w:p w14:paraId="26CCB1B1" w14:textId="77777777" w:rsidR="00C454A1" w:rsidRPr="00833016" w:rsidRDefault="00C454A1" w:rsidP="00881E6A">
                  <w:pPr>
                    <w:ind w:right="272"/>
                    <w:jc w:val="center"/>
                    <w:rPr>
                      <w:rFonts w:cs="Times New Roman"/>
                      <w:b/>
                      <w:lang w:val="es-ES"/>
                    </w:rPr>
                  </w:pPr>
                  <w:r w:rsidRPr="00833016">
                    <w:rPr>
                      <w:rFonts w:cs="Times New Roman"/>
                      <w:b/>
                      <w:lang w:val="es-ES"/>
                    </w:rPr>
                    <w:t>Estabilidad</w:t>
                  </w:r>
                </w:p>
              </w:tc>
              <w:tc>
                <w:tcPr>
                  <w:tcW w:w="1870" w:type="dxa"/>
                  <w:shd w:val="clear" w:color="auto" w:fill="D1D1D1" w:themeFill="background2" w:themeFillShade="E6"/>
                  <w:vAlign w:val="center"/>
                </w:tcPr>
                <w:p w14:paraId="15C9879B" w14:textId="77777777" w:rsidR="00C454A1" w:rsidRPr="00833016" w:rsidRDefault="00C454A1" w:rsidP="00881E6A">
                  <w:pPr>
                    <w:ind w:right="272"/>
                    <w:jc w:val="center"/>
                    <w:rPr>
                      <w:rFonts w:cs="Times New Roman"/>
                      <w:b/>
                      <w:lang w:val="es-ES"/>
                    </w:rPr>
                  </w:pPr>
                  <w:r w:rsidRPr="00833016">
                    <w:rPr>
                      <w:rFonts w:cs="Times New Roman"/>
                      <w:b/>
                      <w:lang w:val="es-ES"/>
                    </w:rPr>
                    <w:t>COMAC</w:t>
                  </w:r>
                </w:p>
              </w:tc>
            </w:tr>
            <w:tr w:rsidR="00C454A1" w:rsidRPr="00F8202F" w14:paraId="503C12E2" w14:textId="77777777" w:rsidTr="001F3006">
              <w:trPr>
                <w:trHeight w:val="300"/>
                <w:jc w:val="center"/>
              </w:trPr>
              <w:tc>
                <w:tcPr>
                  <w:tcW w:w="1870" w:type="dxa"/>
                  <w:vAlign w:val="center"/>
                </w:tcPr>
                <w:p w14:paraId="680FD6EA"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2022</w:t>
                  </w:r>
                </w:p>
              </w:tc>
              <w:tc>
                <w:tcPr>
                  <w:tcW w:w="1870" w:type="dxa"/>
                  <w:vAlign w:val="center"/>
                </w:tcPr>
                <w:p w14:paraId="42B4C7B8"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510</w:t>
                  </w:r>
                </w:p>
              </w:tc>
              <w:tc>
                <w:tcPr>
                  <w:tcW w:w="1870" w:type="dxa"/>
                  <w:vAlign w:val="center"/>
                </w:tcPr>
                <w:p w14:paraId="2C5EA939"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421</w:t>
                  </w:r>
                </w:p>
              </w:tc>
              <w:tc>
                <w:tcPr>
                  <w:tcW w:w="1870" w:type="dxa"/>
                  <w:vAlign w:val="center"/>
                </w:tcPr>
                <w:p w14:paraId="468EBF35"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1789</w:t>
                  </w:r>
                </w:p>
              </w:tc>
              <w:tc>
                <w:tcPr>
                  <w:tcW w:w="1870" w:type="dxa"/>
                  <w:vAlign w:val="center"/>
                </w:tcPr>
                <w:p w14:paraId="6D4A2360"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393</w:t>
                  </w:r>
                </w:p>
              </w:tc>
            </w:tr>
            <w:tr w:rsidR="00C454A1" w:rsidRPr="00F8202F" w14:paraId="73E40846" w14:textId="77777777" w:rsidTr="001F3006">
              <w:trPr>
                <w:trHeight w:val="300"/>
                <w:jc w:val="center"/>
              </w:trPr>
              <w:tc>
                <w:tcPr>
                  <w:tcW w:w="1870" w:type="dxa"/>
                  <w:vAlign w:val="center"/>
                </w:tcPr>
                <w:p w14:paraId="2BAD4F6E"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2023</w:t>
                  </w:r>
                </w:p>
              </w:tc>
              <w:tc>
                <w:tcPr>
                  <w:tcW w:w="1870" w:type="dxa"/>
                  <w:vAlign w:val="center"/>
                </w:tcPr>
                <w:p w14:paraId="32CCF4F2"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785</w:t>
                  </w:r>
                </w:p>
              </w:tc>
              <w:tc>
                <w:tcPr>
                  <w:tcW w:w="1870" w:type="dxa"/>
                  <w:vAlign w:val="center"/>
                </w:tcPr>
                <w:p w14:paraId="7BDDB46A"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2023</w:t>
                  </w:r>
                </w:p>
              </w:tc>
              <w:tc>
                <w:tcPr>
                  <w:tcW w:w="1870" w:type="dxa"/>
                  <w:vAlign w:val="center"/>
                </w:tcPr>
                <w:p w14:paraId="035F31CF"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4089</w:t>
                  </w:r>
                </w:p>
              </w:tc>
              <w:tc>
                <w:tcPr>
                  <w:tcW w:w="1870" w:type="dxa"/>
                  <w:vAlign w:val="center"/>
                </w:tcPr>
                <w:p w14:paraId="760689DE"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605</w:t>
                  </w:r>
                </w:p>
              </w:tc>
            </w:tr>
            <w:tr w:rsidR="00C454A1" w:rsidRPr="00F8202F" w14:paraId="1A14B87A" w14:textId="77777777" w:rsidTr="001F3006">
              <w:trPr>
                <w:trHeight w:val="300"/>
                <w:jc w:val="center"/>
              </w:trPr>
              <w:tc>
                <w:tcPr>
                  <w:tcW w:w="1870" w:type="dxa"/>
                  <w:vAlign w:val="center"/>
                </w:tcPr>
                <w:p w14:paraId="0E1E64BC"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2024</w:t>
                  </w:r>
                </w:p>
              </w:tc>
              <w:tc>
                <w:tcPr>
                  <w:tcW w:w="1870" w:type="dxa"/>
                  <w:vAlign w:val="center"/>
                </w:tcPr>
                <w:p w14:paraId="3F0B4B27"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35</w:t>
                  </w:r>
                </w:p>
              </w:tc>
              <w:tc>
                <w:tcPr>
                  <w:tcW w:w="1870" w:type="dxa"/>
                  <w:vAlign w:val="center"/>
                </w:tcPr>
                <w:p w14:paraId="2F4EDC41"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692</w:t>
                  </w:r>
                </w:p>
              </w:tc>
              <w:tc>
                <w:tcPr>
                  <w:tcW w:w="1870" w:type="dxa"/>
                  <w:vAlign w:val="center"/>
                </w:tcPr>
                <w:p w14:paraId="7F646F38"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1151</w:t>
                  </w:r>
                </w:p>
              </w:tc>
              <w:tc>
                <w:tcPr>
                  <w:tcW w:w="1870" w:type="dxa"/>
                  <w:vAlign w:val="center"/>
                </w:tcPr>
                <w:p w14:paraId="4B0BADBB"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26</w:t>
                  </w:r>
                </w:p>
              </w:tc>
            </w:tr>
            <w:tr w:rsidR="00C454A1" w:rsidRPr="00F8202F" w14:paraId="6884F2F6" w14:textId="77777777" w:rsidTr="001F3006">
              <w:trPr>
                <w:trHeight w:val="300"/>
                <w:jc w:val="center"/>
              </w:trPr>
              <w:tc>
                <w:tcPr>
                  <w:tcW w:w="1870" w:type="dxa"/>
                  <w:vAlign w:val="center"/>
                </w:tcPr>
                <w:p w14:paraId="27F5D61F"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2025</w:t>
                  </w:r>
                </w:p>
              </w:tc>
              <w:tc>
                <w:tcPr>
                  <w:tcW w:w="1870" w:type="dxa"/>
                  <w:vAlign w:val="center"/>
                </w:tcPr>
                <w:p w14:paraId="1D2426C6"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14</w:t>
                  </w:r>
                </w:p>
              </w:tc>
              <w:tc>
                <w:tcPr>
                  <w:tcW w:w="1870" w:type="dxa"/>
                  <w:vAlign w:val="center"/>
                </w:tcPr>
                <w:p w14:paraId="0EF046A9"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36</w:t>
                  </w:r>
                </w:p>
              </w:tc>
              <w:tc>
                <w:tcPr>
                  <w:tcW w:w="1870" w:type="dxa"/>
                  <w:vAlign w:val="center"/>
                </w:tcPr>
                <w:p w14:paraId="32D374DF"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26</w:t>
                  </w:r>
                </w:p>
              </w:tc>
              <w:tc>
                <w:tcPr>
                  <w:tcW w:w="1870" w:type="dxa"/>
                  <w:vAlign w:val="center"/>
                </w:tcPr>
                <w:p w14:paraId="753760AE" w14:textId="77777777" w:rsidR="00C454A1" w:rsidRPr="003B1150" w:rsidRDefault="00C454A1" w:rsidP="00881E6A">
                  <w:pPr>
                    <w:ind w:right="272"/>
                    <w:jc w:val="center"/>
                    <w:rPr>
                      <w:rFonts w:cs="Times New Roman"/>
                      <w:sz w:val="20"/>
                      <w:szCs w:val="20"/>
                      <w:lang w:val="es-ES"/>
                    </w:rPr>
                  </w:pPr>
                  <w:r w:rsidRPr="003B1150">
                    <w:rPr>
                      <w:rFonts w:cs="Times New Roman"/>
                      <w:sz w:val="20"/>
                      <w:szCs w:val="20"/>
                      <w:lang w:val="es-ES"/>
                    </w:rPr>
                    <w:t>00</w:t>
                  </w:r>
                </w:p>
              </w:tc>
            </w:tr>
          </w:tbl>
          <w:p w14:paraId="4F69BC08" w14:textId="77777777" w:rsidR="00C454A1" w:rsidRPr="00511DE7" w:rsidRDefault="00C454A1" w:rsidP="00881E6A">
            <w:pPr>
              <w:ind w:right="272"/>
              <w:jc w:val="center"/>
              <w:rPr>
                <w:rFonts w:cs="Times New Roman"/>
                <w:sz w:val="20"/>
                <w:szCs w:val="20"/>
                <w:lang w:val="es-ES"/>
              </w:rPr>
            </w:pPr>
            <w:r w:rsidRPr="00511DE7">
              <w:rPr>
                <w:rFonts w:cs="Times New Roman"/>
                <w:sz w:val="20"/>
                <w:szCs w:val="20"/>
                <w:lang w:val="es-ES"/>
              </w:rPr>
              <w:t>Fuente: Ejército Nacional, Sistema Estadístico de Información Operacional.</w:t>
            </w:r>
          </w:p>
          <w:p w14:paraId="265F51A1" w14:textId="77777777" w:rsidR="00C454A1" w:rsidRPr="00833016" w:rsidRDefault="00C454A1" w:rsidP="00881E6A">
            <w:pPr>
              <w:tabs>
                <w:tab w:val="left" w:pos="324"/>
              </w:tabs>
              <w:ind w:right="272"/>
              <w:rPr>
                <w:rFonts w:cs="Times New Roman"/>
                <w:lang w:val="es-ES"/>
              </w:rPr>
            </w:pPr>
          </w:p>
          <w:p w14:paraId="31CB5559" w14:textId="77777777" w:rsidR="00C454A1" w:rsidRPr="00833016" w:rsidRDefault="00C454A1" w:rsidP="005F4A6F">
            <w:pPr>
              <w:pStyle w:val="Prrafodelista"/>
              <w:numPr>
                <w:ilvl w:val="0"/>
                <w:numId w:val="32"/>
              </w:numPr>
              <w:tabs>
                <w:tab w:val="left" w:pos="324"/>
              </w:tabs>
              <w:ind w:left="324" w:right="272" w:hanging="324"/>
              <w:rPr>
                <w:rFonts w:cs="Times New Roman"/>
                <w:lang w:val="es-ES"/>
              </w:rPr>
            </w:pPr>
            <w:r w:rsidRPr="00833016">
              <w:rPr>
                <w:rFonts w:cs="Times New Roman"/>
                <w:i/>
                <w:iCs/>
                <w:lang w:val="es-ES"/>
              </w:rPr>
              <w:t xml:space="preserve">Cómo ha sido la presencia de las Fuerzas Militares en la región del Catatumbo, en el área metropolitana de Cúcuta, así como en los municipios de Río de Oro y González desde el segundo semestre de 2024 hasta la fecha, con ocasión </w:t>
            </w:r>
            <w:r w:rsidRPr="00833016">
              <w:rPr>
                <w:rFonts w:cs="Times New Roman"/>
                <w:i/>
                <w:iCs/>
                <w:lang w:val="es-ES"/>
              </w:rPr>
              <w:lastRenderedPageBreak/>
              <w:t>del escalamiento del accionar violento del ELN</w:t>
            </w:r>
            <w:r w:rsidRPr="00833016">
              <w:rPr>
                <w:rFonts w:cs="Times New Roman"/>
                <w:lang w:val="es-ES"/>
              </w:rPr>
              <w:t>. Desde el segundo semestre de 2024 hasta la fecha, “la Segunda división del Ejército Nacional ha estado llevando a cabo operaciones terrestres unificadas en su área de operaciones”</w:t>
            </w:r>
            <w:r w:rsidRPr="00833016">
              <w:rPr>
                <w:rStyle w:val="Refdenotaalpie"/>
                <w:rFonts w:cs="Times New Roman"/>
                <w:lang w:val="es-ES"/>
              </w:rPr>
              <w:footnoteReference w:id="613"/>
            </w:r>
            <w:r w:rsidRPr="00833016">
              <w:rPr>
                <w:rFonts w:cs="Times New Roman"/>
                <w:lang w:val="es-ES"/>
              </w:rPr>
              <w:t>. Las operaciones defensivas de la Segunda División “se realizan mayoritariamente desde 42 bases fijas, que están estratégicamente distribuidas, como se ilustra en la imagen No. 2. Entre estas bases se incluye el dispositivo del AETCR Caño Indio, que presenta un nivel de riesgo muy alto y, debido a su naturaleza, requiere un seguimiento especial. Para cubrir estas bases, la división necesita contar con 2.160 efectivos y 60 pelotones, lo que equivale a una brigada; es decir, se utiliza el 25% de la fuerza total disponible para garantizar la seguridad en estos espacios”</w:t>
            </w:r>
            <w:r w:rsidRPr="00833016">
              <w:rPr>
                <w:rStyle w:val="Refdenotaalpie"/>
                <w:rFonts w:cs="Times New Roman"/>
                <w:lang w:val="es-ES"/>
              </w:rPr>
              <w:footnoteReference w:id="614"/>
            </w:r>
            <w:r w:rsidRPr="00833016">
              <w:rPr>
                <w:rFonts w:cs="Times New Roman"/>
                <w:lang w:val="es-ES"/>
              </w:rPr>
              <w:t>. Además, en “el marco de las operaciones de estabilidad en la región del Catatumbo, se está llevando a cabo un proyecto de consolidación que consiste en pavimentar la vía que conecta el municipio de Tibú con el corregimiento de La Gabarra. Este proyecto está siendo ejecutado por el Batallón de Ingenieros de Construcción No. 50, bajo el control operaciones de la Fuerza de Tarea Vulcano”</w:t>
            </w:r>
            <w:r w:rsidRPr="00833016">
              <w:rPr>
                <w:rStyle w:val="Refdenotaalpie"/>
                <w:rFonts w:cs="Times New Roman"/>
                <w:lang w:val="es-ES"/>
              </w:rPr>
              <w:footnoteReference w:id="615"/>
            </w:r>
            <w:r w:rsidRPr="00833016">
              <w:rPr>
                <w:rFonts w:cs="Times New Roman"/>
                <w:lang w:val="es-ES"/>
              </w:rPr>
              <w:t>. De otro lado, “entre las operaciones ofensivas significativas para contrarrestar la amenaza terrorista del GAO ELN en la región, destaca la operación No. 001 ADAM, realizada el 28 de agosto de 2024. Esta operación fue ejecutada por la Trigésima Brigada del Ejército Nacional y resultó en la neutralización de cuatro miembros del ELN, un capturado y el hallazgo de abundante material bélico, intendencia y equipos de comunicación”</w:t>
            </w:r>
            <w:r w:rsidRPr="00833016">
              <w:rPr>
                <w:rStyle w:val="Refdenotaalpie"/>
                <w:rFonts w:cs="Times New Roman"/>
                <w:lang w:val="es-ES"/>
              </w:rPr>
              <w:footnoteReference w:id="616"/>
            </w:r>
            <w:r w:rsidRPr="00833016">
              <w:rPr>
                <w:rFonts w:cs="Times New Roman"/>
                <w:lang w:val="es-ES"/>
              </w:rPr>
              <w:t>. Por lo demás, indica que “es importante señalar que, desde el segundo semestre del año 2024, durante el desarrollo de operaciones ofensivas, defensivas y de estabilidad en el Catatumbo y en los municipios de Río de Oro y González, se han registrado afectaciones a las fuerzas militares. Hasta la fecha, estos enfrentamientos han dejado un saldo trágico de 12 soldados asesinados y 24 heridos en combate a manos del GAO ELN”</w:t>
            </w:r>
            <w:r w:rsidRPr="00833016">
              <w:rPr>
                <w:rStyle w:val="Refdenotaalpie"/>
                <w:rFonts w:cs="Times New Roman"/>
                <w:lang w:val="es-ES"/>
              </w:rPr>
              <w:footnoteReference w:id="617"/>
            </w:r>
            <w:r w:rsidRPr="00833016">
              <w:rPr>
                <w:rFonts w:cs="Times New Roman"/>
                <w:lang w:val="es-ES"/>
              </w:rPr>
              <w:t>.</w:t>
            </w:r>
          </w:p>
          <w:p w14:paraId="6095F239" w14:textId="77777777" w:rsidR="00C454A1" w:rsidRPr="00833016" w:rsidRDefault="00C454A1" w:rsidP="00881E6A">
            <w:pPr>
              <w:ind w:right="272"/>
              <w:rPr>
                <w:rFonts w:cs="Times New Roman"/>
                <w:lang w:val="es-ES"/>
              </w:rPr>
            </w:pPr>
          </w:p>
          <w:p w14:paraId="737A6C11" w14:textId="77777777" w:rsidR="00C454A1" w:rsidRPr="00833016" w:rsidRDefault="00C454A1" w:rsidP="005F4A6F">
            <w:pPr>
              <w:pStyle w:val="Prrafodelista"/>
              <w:numPr>
                <w:ilvl w:val="0"/>
                <w:numId w:val="32"/>
              </w:numPr>
              <w:tabs>
                <w:tab w:val="left" w:pos="324"/>
              </w:tabs>
              <w:ind w:left="324" w:right="272" w:hanging="324"/>
              <w:rPr>
                <w:rFonts w:cs="Times New Roman"/>
                <w:lang w:val="es-ES"/>
              </w:rPr>
            </w:pPr>
            <w:r w:rsidRPr="00833016">
              <w:rPr>
                <w:rFonts w:cs="Times New Roman"/>
                <w:i/>
                <w:lang w:val="es-ES"/>
              </w:rPr>
              <w:lastRenderedPageBreak/>
              <w:t>Sobre la posibilidad de establecer una “Zona de No Vuelo Dron” (ZNVD) o adoptar una “carta aeronáutica de área restringida en el AIP Colombia”</w:t>
            </w:r>
            <w:r w:rsidRPr="00833016">
              <w:rPr>
                <w:rFonts w:cs="Times New Roman"/>
                <w:lang w:val="es-ES"/>
              </w:rPr>
              <w:t>. Precisó que “el Ministerio de Defensa Nacional puede solicitar la creación de Zona de No Vuelo para Drones (ZNVD) como áreas restringidas asegurando un control efectivo del espacio aéreo. En este contexto, la competencia puede ser delegada a la Autoridad Aeronáutica Militar, que en Colombia corresponde a la Fuerza Aérea Colombiana (FAC). Esta delegación busca garantizar que las actividades aéreas y terrestres se desarrollen bajo estrictos parámetros de seguridad aérea, en estrecha coordinación con la Unidad Administrativa Especial de la Aeronáutica Civil (UAEAC)”</w:t>
            </w:r>
            <w:r w:rsidRPr="00833016">
              <w:rPr>
                <w:rStyle w:val="Refdenotaalpie"/>
                <w:rFonts w:cs="Times New Roman"/>
                <w:lang w:val="es-ES"/>
              </w:rPr>
              <w:footnoteReference w:id="618"/>
            </w:r>
            <w:r w:rsidRPr="00833016">
              <w:rPr>
                <w:rFonts w:cs="Times New Roman"/>
                <w:lang w:val="es-ES"/>
              </w:rPr>
              <w:t>. Ahora bien, “el procedimiento adecuado debe ejecutarse en coordinación con la UAEAC, que actúa como autoridad aeronáutica civil en Colombia. Los espacios aéreos segregados deben ser publicados en los medios oficiales determinados por esta entidad. En el caso de las áreas restringidas, la información se incorpora en la AIP Colombia – En Ruta, mientras que las ZNVD para operaciones con Sistemas de Aeronaves No Tripuladas (UAS) se registran en el Visualizador UAS, ambas herramientas gestionadas por la UAEAC”</w:t>
            </w:r>
            <w:r w:rsidRPr="00833016">
              <w:rPr>
                <w:rStyle w:val="Refdenotaalpie"/>
                <w:rFonts w:cs="Times New Roman"/>
                <w:lang w:val="es-ES"/>
              </w:rPr>
              <w:footnoteReference w:id="619"/>
            </w:r>
            <w:r w:rsidRPr="00833016">
              <w:rPr>
                <w:rFonts w:cs="Times New Roman"/>
                <w:lang w:val="es-ES"/>
              </w:rPr>
              <w:t>.</w:t>
            </w:r>
          </w:p>
          <w:p w14:paraId="3A90AF94" w14:textId="77777777" w:rsidR="00C454A1" w:rsidRPr="00833016" w:rsidRDefault="00C454A1" w:rsidP="00881E6A">
            <w:pPr>
              <w:ind w:right="272"/>
              <w:rPr>
                <w:rFonts w:cs="Times New Roman"/>
                <w:lang w:val="es-ES"/>
              </w:rPr>
            </w:pPr>
          </w:p>
          <w:p w14:paraId="5BAC8DB7" w14:textId="77777777" w:rsidR="00C454A1" w:rsidRPr="00833016" w:rsidRDefault="00C454A1" w:rsidP="005F4A6F">
            <w:pPr>
              <w:pStyle w:val="Prrafodelista"/>
              <w:numPr>
                <w:ilvl w:val="0"/>
                <w:numId w:val="32"/>
              </w:numPr>
              <w:tabs>
                <w:tab w:val="left" w:pos="324"/>
              </w:tabs>
              <w:ind w:left="324" w:right="272" w:hanging="324"/>
              <w:rPr>
                <w:rFonts w:cs="Times New Roman"/>
                <w:lang w:val="es-ES"/>
              </w:rPr>
            </w:pPr>
            <w:r w:rsidRPr="00833016">
              <w:rPr>
                <w:rFonts w:cs="Times New Roman"/>
                <w:i/>
                <w:lang w:val="es-ES"/>
              </w:rPr>
              <w:t>Razones por las cuales, en su criterio, las atribuciones, medidas, herramientas y operaciones ordinarias identificados en los numerales anteriores han sido insuficientes o son inidóneas para atender la crisis de orden público</w:t>
            </w:r>
            <w:r w:rsidRPr="00833016">
              <w:rPr>
                <w:rFonts w:cs="Times New Roman"/>
                <w:lang w:val="es-ES"/>
              </w:rPr>
              <w:t>. Las razones se fundamentan en que, desde el año 2022 a la fecha, “es la primera ocasión en la que se presentan confrontaciones entre el Ejército de Liberación Nacional ELN y el GAO-r, marcando la primera vez que esto ocurre tras un periodo de coexistencia criminal. Esta coexistencia había permitido la instrumentalización de la población civil por parte de los grupos armados organizados (GAO), utilizando el arraigo como herramienta de guerra”</w:t>
            </w:r>
            <w:r w:rsidRPr="00833016">
              <w:rPr>
                <w:rStyle w:val="Refdenotaalpie"/>
                <w:rFonts w:cs="Times New Roman"/>
                <w:lang w:val="es-ES"/>
              </w:rPr>
              <w:footnoteReference w:id="620"/>
            </w:r>
            <w:r w:rsidRPr="00833016">
              <w:rPr>
                <w:rFonts w:cs="Times New Roman"/>
                <w:lang w:val="es-ES"/>
              </w:rPr>
              <w:t xml:space="preserve">. </w:t>
            </w:r>
          </w:p>
          <w:p w14:paraId="05C5943A" w14:textId="77777777" w:rsidR="00C454A1" w:rsidRPr="00833016" w:rsidRDefault="00C454A1" w:rsidP="00881E6A">
            <w:pPr>
              <w:pStyle w:val="Prrafodelista"/>
              <w:ind w:right="272"/>
              <w:rPr>
                <w:rFonts w:cs="Times New Roman"/>
                <w:lang w:val="es-ES"/>
              </w:rPr>
            </w:pPr>
          </w:p>
          <w:p w14:paraId="07D43A62" w14:textId="77777777" w:rsidR="00C454A1" w:rsidRPr="00833016" w:rsidRDefault="00C454A1" w:rsidP="00881E6A">
            <w:pPr>
              <w:pStyle w:val="Prrafodelista"/>
              <w:tabs>
                <w:tab w:val="left" w:pos="324"/>
              </w:tabs>
              <w:ind w:left="324" w:right="272"/>
              <w:rPr>
                <w:rFonts w:cs="Times New Roman"/>
                <w:lang w:val="es-ES"/>
              </w:rPr>
            </w:pPr>
            <w:r w:rsidRPr="00833016">
              <w:rPr>
                <w:rFonts w:cs="Times New Roman"/>
                <w:lang w:val="es-ES"/>
              </w:rPr>
              <w:t xml:space="preserve">Destaca que “la coordinación entre Fuerzas Militares y Policía Nacional se realiza a través de operaciones conjuntas y coordinadas. Sin embargo, la situación que se vive actualmente en la región del Catatumbo y los municipios delimitados en la Conmoción interior, requieren más que una coordinación”. En efecto, considera que “la grave </w:t>
            </w:r>
            <w:r w:rsidRPr="00833016">
              <w:rPr>
                <w:rFonts w:cs="Times New Roman"/>
                <w:lang w:val="es-ES"/>
              </w:rPr>
              <w:lastRenderedPageBreak/>
              <w:t>alteración del orden público necesita de un mando unificado de toda la fuerza pública, que evite duplicidad en las actividades, mejore la eficacia al hacer un solo cuerpo operacional, ponga a disposición de un único mando las actividades de inteligencia para facilitar la toma de decisiones y el despliegue operacional, permita mayor presión sobre los grupos armados, optimice recursos y facilite la toma de decisiones cruciales en situaciones de alta complejidad. De ahí que se haga necesario concentrar en un solo comandante militar el mando operacional y de coordinación de los efectivos de la Fuerza Pública para el cumplimiento de las órdenes emitidas por el presidente de la República, a través del Ministro de Defensa”</w:t>
            </w:r>
            <w:r w:rsidRPr="00833016">
              <w:rPr>
                <w:rStyle w:val="Refdenotaalpie"/>
                <w:rFonts w:cs="Times New Roman"/>
                <w:lang w:val="es-ES"/>
              </w:rPr>
              <w:footnoteReference w:id="621"/>
            </w:r>
            <w:r w:rsidRPr="00833016">
              <w:rPr>
                <w:rFonts w:cs="Times New Roman"/>
                <w:lang w:val="es-ES"/>
              </w:rPr>
              <w:t>.</w:t>
            </w:r>
          </w:p>
          <w:p w14:paraId="73D075C0" w14:textId="77777777" w:rsidR="00C454A1" w:rsidRPr="00833016" w:rsidRDefault="00C454A1" w:rsidP="00881E6A">
            <w:pPr>
              <w:tabs>
                <w:tab w:val="left" w:pos="324"/>
              </w:tabs>
              <w:ind w:right="272"/>
              <w:rPr>
                <w:rFonts w:cs="Times New Roman"/>
                <w:lang w:val="es-ES"/>
              </w:rPr>
            </w:pPr>
          </w:p>
          <w:p w14:paraId="1F4230C7" w14:textId="77777777" w:rsidR="00C454A1" w:rsidRPr="00833016" w:rsidRDefault="00C454A1" w:rsidP="005F4A6F">
            <w:pPr>
              <w:pStyle w:val="Prrafodelista"/>
              <w:numPr>
                <w:ilvl w:val="0"/>
                <w:numId w:val="32"/>
              </w:numPr>
              <w:tabs>
                <w:tab w:val="left" w:pos="324"/>
              </w:tabs>
              <w:ind w:left="324" w:right="272" w:hanging="324"/>
              <w:rPr>
                <w:rFonts w:cs="Times New Roman"/>
                <w:lang w:val="es-ES"/>
              </w:rPr>
            </w:pPr>
            <w:r w:rsidRPr="00833016">
              <w:rPr>
                <w:rFonts w:cs="Times New Roman"/>
                <w:i/>
                <w:iCs/>
                <w:lang w:val="es-ES"/>
              </w:rPr>
              <w:t xml:space="preserve">Sobre la solicitud al Gobierno </w:t>
            </w:r>
            <w:r>
              <w:rPr>
                <w:rFonts w:cs="Times New Roman"/>
                <w:i/>
                <w:iCs/>
                <w:lang w:val="es-ES"/>
              </w:rPr>
              <w:t>n</w:t>
            </w:r>
            <w:r w:rsidRPr="00833016">
              <w:rPr>
                <w:rFonts w:cs="Times New Roman"/>
                <w:i/>
                <w:iCs/>
                <w:lang w:val="es-ES"/>
              </w:rPr>
              <w:t>acional incrementar los recursos presupuestales asignados a las Fuerzas Militares con el objeto de fortalecer y robustecer los operativos militares</w:t>
            </w:r>
            <w:r w:rsidRPr="00833016">
              <w:rPr>
                <w:rFonts w:cs="Times New Roman"/>
                <w:lang w:val="es-ES"/>
              </w:rPr>
              <w:t>. Sobre este particular, se limita a señalar que, “con un enfoque integral y coordinado, se espera optimizar los recursos disponibles y mejorar la eficacia en la lucha contra los grupos armados organizados que amenazan la estabilidad y seguridad en esta zona estratégica del país”</w:t>
            </w:r>
            <w:r w:rsidRPr="00833016">
              <w:rPr>
                <w:rStyle w:val="Refdenotaalpie"/>
                <w:rFonts w:cs="Times New Roman"/>
                <w:lang w:val="es-ES"/>
              </w:rPr>
              <w:footnoteReference w:id="622"/>
            </w:r>
            <w:r w:rsidRPr="00833016">
              <w:rPr>
                <w:rFonts w:cs="Times New Roman"/>
                <w:lang w:val="es-ES"/>
              </w:rPr>
              <w:t>.</w:t>
            </w:r>
          </w:p>
          <w:p w14:paraId="4955F6AB" w14:textId="77777777" w:rsidR="00C454A1" w:rsidRPr="00833016" w:rsidRDefault="00C454A1" w:rsidP="00881E6A">
            <w:pPr>
              <w:ind w:right="272"/>
              <w:rPr>
                <w:rFonts w:cs="Times New Roman"/>
                <w:lang w:val="es-ES"/>
              </w:rPr>
            </w:pPr>
          </w:p>
          <w:p w14:paraId="01E4D6B1" w14:textId="77777777" w:rsidR="00C454A1" w:rsidRPr="00833016" w:rsidRDefault="00C454A1" w:rsidP="005F4A6F">
            <w:pPr>
              <w:pStyle w:val="Prrafodelista"/>
              <w:numPr>
                <w:ilvl w:val="0"/>
                <w:numId w:val="32"/>
              </w:numPr>
              <w:tabs>
                <w:tab w:val="left" w:pos="324"/>
              </w:tabs>
              <w:ind w:left="324" w:right="272" w:hanging="324"/>
              <w:rPr>
                <w:rFonts w:cs="Times New Roman"/>
                <w:lang w:val="es-ES"/>
              </w:rPr>
            </w:pPr>
            <w:r w:rsidRPr="00833016">
              <w:rPr>
                <w:rFonts w:cs="Times New Roman"/>
                <w:i/>
                <w:lang w:val="es-ES"/>
              </w:rPr>
              <w:t xml:space="preserve">Asignaciones presupuestales anuales que ha recibido del Gobierno </w:t>
            </w:r>
            <w:r>
              <w:rPr>
                <w:rFonts w:cs="Times New Roman"/>
                <w:i/>
                <w:lang w:val="es-ES"/>
              </w:rPr>
              <w:t>n</w:t>
            </w:r>
            <w:r w:rsidRPr="00833016">
              <w:rPr>
                <w:rFonts w:cs="Times New Roman"/>
                <w:i/>
                <w:lang w:val="es-ES"/>
              </w:rPr>
              <w:t>acional para las vigencias comprendidas entre los años 2022 y 2025</w:t>
            </w:r>
            <w:r w:rsidRPr="00833016">
              <w:rPr>
                <w:rFonts w:cs="Times New Roman"/>
                <w:lang w:val="es-ES"/>
              </w:rPr>
              <w:t>. Las vigencias fiscales referidas fueron aprobadas mediante los siguientes Decretos, así</w:t>
            </w:r>
            <w:r w:rsidRPr="00833016">
              <w:rPr>
                <w:rStyle w:val="Refdenotaalpie"/>
                <w:rFonts w:cs="Times New Roman"/>
                <w:lang w:val="es-ES"/>
              </w:rPr>
              <w:footnoteReference w:id="623"/>
            </w:r>
            <w:r w:rsidRPr="00833016">
              <w:rPr>
                <w:rFonts w:cs="Times New Roman"/>
                <w:lang w:val="es-ES"/>
              </w:rPr>
              <w:t>:</w:t>
            </w:r>
          </w:p>
          <w:p w14:paraId="430CEC3D" w14:textId="77777777" w:rsidR="00C454A1" w:rsidRDefault="00C454A1" w:rsidP="00881E6A">
            <w:pPr>
              <w:ind w:right="272"/>
              <w:rPr>
                <w:rFonts w:cs="Times New Roman"/>
                <w:lang w:val="es-ES"/>
              </w:rPr>
            </w:pPr>
          </w:p>
          <w:p w14:paraId="61CFB2E2" w14:textId="77777777" w:rsidR="00C454A1" w:rsidRPr="000724C7" w:rsidRDefault="00C454A1" w:rsidP="00881E6A">
            <w:pPr>
              <w:ind w:right="272"/>
              <w:jc w:val="center"/>
              <w:rPr>
                <w:rFonts w:cs="Times New Roman"/>
                <w:i/>
                <w:iCs/>
                <w:sz w:val="20"/>
                <w:szCs w:val="20"/>
                <w:lang w:val="es-ES"/>
              </w:rPr>
            </w:pPr>
            <w:r w:rsidRPr="000724C7">
              <w:rPr>
                <w:rFonts w:cs="Times New Roman"/>
                <w:i/>
                <w:iCs/>
                <w:sz w:val="20"/>
                <w:szCs w:val="20"/>
                <w:lang w:val="es-ES"/>
              </w:rPr>
              <w:t xml:space="preserve">Tabla 20: Asignaciones presupuestales anuales que ha recibido del Gobierno </w:t>
            </w:r>
            <w:r>
              <w:rPr>
                <w:rFonts w:cs="Times New Roman"/>
                <w:i/>
                <w:iCs/>
                <w:sz w:val="20"/>
                <w:szCs w:val="20"/>
                <w:lang w:val="es-ES"/>
              </w:rPr>
              <w:t>n</w:t>
            </w:r>
            <w:r w:rsidRPr="000724C7">
              <w:rPr>
                <w:rFonts w:cs="Times New Roman"/>
                <w:i/>
                <w:iCs/>
                <w:sz w:val="20"/>
                <w:szCs w:val="20"/>
                <w:lang w:val="es-ES"/>
              </w:rPr>
              <w:t>acional para las vigencias comprendidas entre los años 2022 y 2025</w:t>
            </w:r>
          </w:p>
          <w:tbl>
            <w:tblPr>
              <w:tblStyle w:val="Tablaconcuadrcula"/>
              <w:tblW w:w="0" w:type="auto"/>
              <w:jc w:val="center"/>
              <w:tblLook w:val="04A0" w:firstRow="1" w:lastRow="0" w:firstColumn="1" w:lastColumn="0" w:noHBand="0" w:noVBand="1"/>
            </w:tblPr>
            <w:tblGrid>
              <w:gridCol w:w="2337"/>
              <w:gridCol w:w="1486"/>
              <w:gridCol w:w="3189"/>
              <w:gridCol w:w="2338"/>
            </w:tblGrid>
            <w:tr w:rsidR="00C454A1" w:rsidRPr="00F8202F" w14:paraId="66790310" w14:textId="77777777" w:rsidTr="001F3006">
              <w:trPr>
                <w:trHeight w:val="300"/>
                <w:jc w:val="center"/>
              </w:trPr>
              <w:tc>
                <w:tcPr>
                  <w:tcW w:w="2337" w:type="dxa"/>
                  <w:shd w:val="clear" w:color="auto" w:fill="D1D1D1" w:themeFill="background2" w:themeFillShade="E6"/>
                  <w:vAlign w:val="center"/>
                </w:tcPr>
                <w:p w14:paraId="780E66F5" w14:textId="77777777" w:rsidR="00C454A1" w:rsidRPr="007A0CD1" w:rsidRDefault="00C454A1" w:rsidP="00881E6A">
                  <w:pPr>
                    <w:ind w:right="272"/>
                    <w:jc w:val="center"/>
                    <w:rPr>
                      <w:rFonts w:cs="Times New Roman"/>
                      <w:b/>
                      <w:sz w:val="20"/>
                      <w:szCs w:val="20"/>
                      <w:lang w:val="es-ES"/>
                    </w:rPr>
                  </w:pPr>
                  <w:r w:rsidRPr="007A0CD1">
                    <w:rPr>
                      <w:rFonts w:cs="Times New Roman"/>
                      <w:b/>
                      <w:sz w:val="20"/>
                      <w:szCs w:val="20"/>
                      <w:lang w:val="es-ES"/>
                    </w:rPr>
                    <w:t>Decreto</w:t>
                  </w:r>
                </w:p>
              </w:tc>
              <w:tc>
                <w:tcPr>
                  <w:tcW w:w="1486" w:type="dxa"/>
                  <w:shd w:val="clear" w:color="auto" w:fill="D1D1D1" w:themeFill="background2" w:themeFillShade="E6"/>
                  <w:vAlign w:val="center"/>
                </w:tcPr>
                <w:p w14:paraId="5B90C38E" w14:textId="77777777" w:rsidR="00C454A1" w:rsidRPr="007A0CD1" w:rsidRDefault="00C454A1" w:rsidP="00881E6A">
                  <w:pPr>
                    <w:ind w:right="272"/>
                    <w:jc w:val="center"/>
                    <w:rPr>
                      <w:rFonts w:cs="Times New Roman"/>
                      <w:b/>
                      <w:sz w:val="20"/>
                      <w:szCs w:val="20"/>
                      <w:lang w:val="es-ES"/>
                    </w:rPr>
                  </w:pPr>
                  <w:r w:rsidRPr="007A0CD1">
                    <w:rPr>
                      <w:rFonts w:cs="Times New Roman"/>
                      <w:b/>
                      <w:sz w:val="20"/>
                      <w:szCs w:val="20"/>
                      <w:lang w:val="es-ES"/>
                    </w:rPr>
                    <w:t>Año</w:t>
                  </w:r>
                </w:p>
              </w:tc>
              <w:tc>
                <w:tcPr>
                  <w:tcW w:w="3189" w:type="dxa"/>
                  <w:shd w:val="clear" w:color="auto" w:fill="D1D1D1" w:themeFill="background2" w:themeFillShade="E6"/>
                  <w:vAlign w:val="center"/>
                </w:tcPr>
                <w:p w14:paraId="5BAB16D8" w14:textId="77777777" w:rsidR="00C454A1" w:rsidRPr="007A0CD1" w:rsidRDefault="00C454A1" w:rsidP="00881E6A">
                  <w:pPr>
                    <w:ind w:right="272"/>
                    <w:jc w:val="center"/>
                    <w:rPr>
                      <w:rFonts w:cs="Times New Roman"/>
                      <w:b/>
                      <w:sz w:val="20"/>
                      <w:szCs w:val="20"/>
                      <w:lang w:val="es-ES"/>
                    </w:rPr>
                  </w:pPr>
                  <w:r w:rsidRPr="007A0CD1">
                    <w:rPr>
                      <w:rFonts w:cs="Times New Roman"/>
                      <w:b/>
                      <w:sz w:val="20"/>
                      <w:szCs w:val="20"/>
                      <w:lang w:val="es-ES"/>
                    </w:rPr>
                    <w:t>Concepto</w:t>
                  </w:r>
                </w:p>
              </w:tc>
              <w:tc>
                <w:tcPr>
                  <w:tcW w:w="2338" w:type="dxa"/>
                  <w:shd w:val="clear" w:color="auto" w:fill="D1D1D1" w:themeFill="background2" w:themeFillShade="E6"/>
                  <w:vAlign w:val="center"/>
                </w:tcPr>
                <w:p w14:paraId="4D984AC3" w14:textId="77777777" w:rsidR="00C454A1" w:rsidRPr="007A0CD1" w:rsidRDefault="00C454A1" w:rsidP="00881E6A">
                  <w:pPr>
                    <w:ind w:right="272"/>
                    <w:jc w:val="center"/>
                    <w:rPr>
                      <w:rFonts w:cs="Times New Roman"/>
                      <w:b/>
                      <w:bCs/>
                      <w:sz w:val="20"/>
                      <w:szCs w:val="20"/>
                      <w:lang w:val="es-ES"/>
                    </w:rPr>
                  </w:pPr>
                  <w:r w:rsidRPr="007A0CD1">
                    <w:rPr>
                      <w:rFonts w:cs="Times New Roman"/>
                      <w:b/>
                      <w:bCs/>
                      <w:sz w:val="20"/>
                      <w:szCs w:val="20"/>
                      <w:lang w:val="es-ES"/>
                    </w:rPr>
                    <w:t>Apr. Inicial</w:t>
                  </w:r>
                </w:p>
              </w:tc>
            </w:tr>
            <w:tr w:rsidR="00C454A1" w:rsidRPr="00F8202F" w14:paraId="57FC7020" w14:textId="77777777" w:rsidTr="001F3006">
              <w:trPr>
                <w:trHeight w:val="300"/>
                <w:jc w:val="center"/>
              </w:trPr>
              <w:tc>
                <w:tcPr>
                  <w:tcW w:w="2337" w:type="dxa"/>
                  <w:vMerge w:val="restart"/>
                  <w:vAlign w:val="center"/>
                </w:tcPr>
                <w:p w14:paraId="4B77700D"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1793 del 21/12/21</w:t>
                  </w:r>
                </w:p>
              </w:tc>
              <w:tc>
                <w:tcPr>
                  <w:tcW w:w="1486" w:type="dxa"/>
                  <w:vAlign w:val="center"/>
                </w:tcPr>
                <w:p w14:paraId="40128A80"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2022</w:t>
                  </w:r>
                </w:p>
              </w:tc>
              <w:tc>
                <w:tcPr>
                  <w:tcW w:w="3189" w:type="dxa"/>
                  <w:vAlign w:val="center"/>
                </w:tcPr>
                <w:p w14:paraId="225819EF"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Funcionamiento</w:t>
                  </w:r>
                </w:p>
              </w:tc>
              <w:tc>
                <w:tcPr>
                  <w:tcW w:w="2338" w:type="dxa"/>
                  <w:vAlign w:val="center"/>
                </w:tcPr>
                <w:p w14:paraId="28E7999A"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12.559.672</w:t>
                  </w:r>
                </w:p>
              </w:tc>
            </w:tr>
            <w:tr w:rsidR="00C454A1" w:rsidRPr="00F8202F" w14:paraId="44539162" w14:textId="77777777" w:rsidTr="001F3006">
              <w:trPr>
                <w:trHeight w:val="300"/>
                <w:jc w:val="center"/>
              </w:trPr>
              <w:tc>
                <w:tcPr>
                  <w:tcW w:w="2337" w:type="dxa"/>
                  <w:vMerge/>
                  <w:vAlign w:val="center"/>
                </w:tcPr>
                <w:p w14:paraId="0A666AE6" w14:textId="77777777" w:rsidR="00C454A1" w:rsidRPr="007A0CD1" w:rsidRDefault="00C454A1" w:rsidP="00881E6A">
                  <w:pPr>
                    <w:ind w:right="272"/>
                    <w:rPr>
                      <w:rFonts w:cs="Times New Roman"/>
                      <w:sz w:val="20"/>
                      <w:szCs w:val="20"/>
                      <w:lang w:val="es-ES"/>
                    </w:rPr>
                  </w:pPr>
                </w:p>
              </w:tc>
              <w:tc>
                <w:tcPr>
                  <w:tcW w:w="1486" w:type="dxa"/>
                  <w:vAlign w:val="center"/>
                </w:tcPr>
                <w:p w14:paraId="161FA2EB" w14:textId="77777777" w:rsidR="00C454A1" w:rsidRPr="007A0CD1" w:rsidRDefault="00C454A1" w:rsidP="00881E6A">
                  <w:pPr>
                    <w:ind w:right="272"/>
                    <w:rPr>
                      <w:rFonts w:cs="Times New Roman"/>
                      <w:sz w:val="20"/>
                      <w:szCs w:val="20"/>
                      <w:lang w:val="es-ES"/>
                    </w:rPr>
                  </w:pPr>
                </w:p>
              </w:tc>
              <w:tc>
                <w:tcPr>
                  <w:tcW w:w="3189" w:type="dxa"/>
                  <w:vAlign w:val="center"/>
                </w:tcPr>
                <w:p w14:paraId="56B9CF09"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 xml:space="preserve">Inversión </w:t>
                  </w:r>
                </w:p>
              </w:tc>
              <w:tc>
                <w:tcPr>
                  <w:tcW w:w="2338" w:type="dxa"/>
                  <w:vAlign w:val="center"/>
                </w:tcPr>
                <w:p w14:paraId="314878EB"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908.543</w:t>
                  </w:r>
                </w:p>
              </w:tc>
            </w:tr>
            <w:tr w:rsidR="00C454A1" w:rsidRPr="00F8202F" w14:paraId="58C027D3" w14:textId="77777777" w:rsidTr="001F3006">
              <w:trPr>
                <w:trHeight w:val="300"/>
                <w:jc w:val="center"/>
              </w:trPr>
              <w:tc>
                <w:tcPr>
                  <w:tcW w:w="2337" w:type="dxa"/>
                  <w:vMerge w:val="restart"/>
                  <w:vAlign w:val="center"/>
                </w:tcPr>
                <w:p w14:paraId="54FD376A"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2590 del 23/12/22</w:t>
                  </w:r>
                </w:p>
              </w:tc>
              <w:tc>
                <w:tcPr>
                  <w:tcW w:w="1486" w:type="dxa"/>
                  <w:vAlign w:val="center"/>
                </w:tcPr>
                <w:p w14:paraId="1143BD0B"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2023</w:t>
                  </w:r>
                </w:p>
              </w:tc>
              <w:tc>
                <w:tcPr>
                  <w:tcW w:w="3189" w:type="dxa"/>
                  <w:vAlign w:val="center"/>
                </w:tcPr>
                <w:p w14:paraId="6EB8192C"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Funcionamiento</w:t>
                  </w:r>
                </w:p>
              </w:tc>
              <w:tc>
                <w:tcPr>
                  <w:tcW w:w="2338" w:type="dxa"/>
                  <w:vAlign w:val="center"/>
                </w:tcPr>
                <w:p w14:paraId="27AAA672"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14.286.910</w:t>
                  </w:r>
                </w:p>
              </w:tc>
            </w:tr>
            <w:tr w:rsidR="00C454A1" w:rsidRPr="00F8202F" w14:paraId="753FA6EF" w14:textId="77777777" w:rsidTr="001F3006">
              <w:trPr>
                <w:trHeight w:val="300"/>
                <w:jc w:val="center"/>
              </w:trPr>
              <w:tc>
                <w:tcPr>
                  <w:tcW w:w="2337" w:type="dxa"/>
                  <w:vMerge/>
                  <w:vAlign w:val="center"/>
                </w:tcPr>
                <w:p w14:paraId="5EC49D45" w14:textId="77777777" w:rsidR="00C454A1" w:rsidRPr="007A0CD1" w:rsidRDefault="00C454A1" w:rsidP="00881E6A">
                  <w:pPr>
                    <w:ind w:right="272"/>
                    <w:rPr>
                      <w:rFonts w:cs="Times New Roman"/>
                      <w:sz w:val="20"/>
                      <w:szCs w:val="20"/>
                      <w:lang w:val="es-ES"/>
                    </w:rPr>
                  </w:pPr>
                </w:p>
              </w:tc>
              <w:tc>
                <w:tcPr>
                  <w:tcW w:w="1486" w:type="dxa"/>
                  <w:vAlign w:val="center"/>
                </w:tcPr>
                <w:p w14:paraId="37D2552E" w14:textId="77777777" w:rsidR="00C454A1" w:rsidRPr="007A0CD1" w:rsidRDefault="00C454A1" w:rsidP="00881E6A">
                  <w:pPr>
                    <w:ind w:right="272"/>
                    <w:rPr>
                      <w:rFonts w:cs="Times New Roman"/>
                      <w:sz w:val="20"/>
                      <w:szCs w:val="20"/>
                      <w:lang w:val="es-ES"/>
                    </w:rPr>
                  </w:pPr>
                </w:p>
              </w:tc>
              <w:tc>
                <w:tcPr>
                  <w:tcW w:w="3189" w:type="dxa"/>
                  <w:vAlign w:val="center"/>
                </w:tcPr>
                <w:p w14:paraId="1B1A9BE2"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Inversión</w:t>
                  </w:r>
                </w:p>
              </w:tc>
              <w:tc>
                <w:tcPr>
                  <w:tcW w:w="2338" w:type="dxa"/>
                  <w:vAlign w:val="center"/>
                </w:tcPr>
                <w:p w14:paraId="66DADC3B"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1.202.310</w:t>
                  </w:r>
                </w:p>
              </w:tc>
            </w:tr>
            <w:tr w:rsidR="00C454A1" w:rsidRPr="00F8202F" w14:paraId="4B27FDF1" w14:textId="77777777" w:rsidTr="001F3006">
              <w:trPr>
                <w:trHeight w:val="300"/>
                <w:jc w:val="center"/>
              </w:trPr>
              <w:tc>
                <w:tcPr>
                  <w:tcW w:w="2337" w:type="dxa"/>
                  <w:vMerge w:val="restart"/>
                  <w:vAlign w:val="center"/>
                </w:tcPr>
                <w:p w14:paraId="25F4276C"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lastRenderedPageBreak/>
                    <w:t>2295 del 29/12/23</w:t>
                  </w:r>
                </w:p>
              </w:tc>
              <w:tc>
                <w:tcPr>
                  <w:tcW w:w="1486" w:type="dxa"/>
                  <w:vAlign w:val="center"/>
                </w:tcPr>
                <w:p w14:paraId="229912CF"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2024</w:t>
                  </w:r>
                </w:p>
              </w:tc>
              <w:tc>
                <w:tcPr>
                  <w:tcW w:w="3189" w:type="dxa"/>
                  <w:vAlign w:val="center"/>
                </w:tcPr>
                <w:p w14:paraId="657347FE"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Funcionamiento</w:t>
                  </w:r>
                </w:p>
              </w:tc>
              <w:tc>
                <w:tcPr>
                  <w:tcW w:w="2338" w:type="dxa"/>
                  <w:vAlign w:val="center"/>
                </w:tcPr>
                <w:p w14:paraId="129DCF57"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14.533.818</w:t>
                  </w:r>
                </w:p>
              </w:tc>
            </w:tr>
            <w:tr w:rsidR="00C454A1" w:rsidRPr="00F8202F" w14:paraId="1AD0FE24" w14:textId="77777777" w:rsidTr="001F3006">
              <w:trPr>
                <w:trHeight w:val="300"/>
                <w:jc w:val="center"/>
              </w:trPr>
              <w:tc>
                <w:tcPr>
                  <w:tcW w:w="2337" w:type="dxa"/>
                  <w:vMerge/>
                  <w:vAlign w:val="center"/>
                </w:tcPr>
                <w:p w14:paraId="5845EF60" w14:textId="77777777" w:rsidR="00C454A1" w:rsidRPr="007A0CD1" w:rsidRDefault="00C454A1" w:rsidP="00881E6A">
                  <w:pPr>
                    <w:ind w:right="272"/>
                    <w:rPr>
                      <w:rFonts w:cs="Times New Roman"/>
                      <w:sz w:val="20"/>
                      <w:szCs w:val="20"/>
                      <w:lang w:val="es-ES"/>
                    </w:rPr>
                  </w:pPr>
                </w:p>
              </w:tc>
              <w:tc>
                <w:tcPr>
                  <w:tcW w:w="1486" w:type="dxa"/>
                  <w:vAlign w:val="center"/>
                </w:tcPr>
                <w:p w14:paraId="0DFD1423" w14:textId="77777777" w:rsidR="00C454A1" w:rsidRPr="007A0CD1" w:rsidRDefault="00C454A1" w:rsidP="00881E6A">
                  <w:pPr>
                    <w:ind w:right="272"/>
                    <w:rPr>
                      <w:rFonts w:cs="Times New Roman"/>
                      <w:sz w:val="20"/>
                      <w:szCs w:val="20"/>
                      <w:lang w:val="es-ES"/>
                    </w:rPr>
                  </w:pPr>
                </w:p>
              </w:tc>
              <w:tc>
                <w:tcPr>
                  <w:tcW w:w="3189" w:type="dxa"/>
                  <w:vAlign w:val="center"/>
                </w:tcPr>
                <w:p w14:paraId="40FA4986"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Inversión</w:t>
                  </w:r>
                </w:p>
              </w:tc>
              <w:tc>
                <w:tcPr>
                  <w:tcW w:w="2338" w:type="dxa"/>
                  <w:vAlign w:val="center"/>
                </w:tcPr>
                <w:p w14:paraId="5CE3661B"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2.261.564</w:t>
                  </w:r>
                </w:p>
              </w:tc>
            </w:tr>
            <w:tr w:rsidR="00C454A1" w:rsidRPr="00F8202F" w14:paraId="7C7C0496" w14:textId="77777777" w:rsidTr="001F3006">
              <w:trPr>
                <w:trHeight w:val="300"/>
                <w:jc w:val="center"/>
              </w:trPr>
              <w:tc>
                <w:tcPr>
                  <w:tcW w:w="2337" w:type="dxa"/>
                  <w:vMerge w:val="restart"/>
                  <w:vAlign w:val="center"/>
                </w:tcPr>
                <w:p w14:paraId="5EB266DF"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1621 del 30/12/24</w:t>
                  </w:r>
                </w:p>
              </w:tc>
              <w:tc>
                <w:tcPr>
                  <w:tcW w:w="1486" w:type="dxa"/>
                  <w:vAlign w:val="center"/>
                </w:tcPr>
                <w:p w14:paraId="7D2150E6"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2025</w:t>
                  </w:r>
                </w:p>
              </w:tc>
              <w:tc>
                <w:tcPr>
                  <w:tcW w:w="3189" w:type="dxa"/>
                  <w:vAlign w:val="center"/>
                </w:tcPr>
                <w:p w14:paraId="02298A3C"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Funcionamiento</w:t>
                  </w:r>
                </w:p>
              </w:tc>
              <w:tc>
                <w:tcPr>
                  <w:tcW w:w="2338" w:type="dxa"/>
                  <w:vAlign w:val="center"/>
                </w:tcPr>
                <w:p w14:paraId="0EA8CAE2"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16.772.184</w:t>
                  </w:r>
                </w:p>
              </w:tc>
            </w:tr>
            <w:tr w:rsidR="00C454A1" w:rsidRPr="00F8202F" w14:paraId="6B24CAAD" w14:textId="77777777" w:rsidTr="001F3006">
              <w:trPr>
                <w:trHeight w:val="300"/>
                <w:jc w:val="center"/>
              </w:trPr>
              <w:tc>
                <w:tcPr>
                  <w:tcW w:w="2337" w:type="dxa"/>
                  <w:vMerge/>
                  <w:vAlign w:val="center"/>
                </w:tcPr>
                <w:p w14:paraId="3CC8E016" w14:textId="77777777" w:rsidR="00C454A1" w:rsidRPr="007A0CD1" w:rsidRDefault="00C454A1" w:rsidP="00881E6A">
                  <w:pPr>
                    <w:ind w:right="272"/>
                    <w:rPr>
                      <w:rFonts w:cs="Times New Roman"/>
                      <w:sz w:val="20"/>
                      <w:szCs w:val="20"/>
                      <w:lang w:val="es-ES"/>
                    </w:rPr>
                  </w:pPr>
                </w:p>
              </w:tc>
              <w:tc>
                <w:tcPr>
                  <w:tcW w:w="1486" w:type="dxa"/>
                  <w:vAlign w:val="center"/>
                </w:tcPr>
                <w:p w14:paraId="01496D8F" w14:textId="77777777" w:rsidR="00C454A1" w:rsidRPr="007A0CD1" w:rsidRDefault="00C454A1" w:rsidP="00881E6A">
                  <w:pPr>
                    <w:ind w:right="272"/>
                    <w:rPr>
                      <w:rFonts w:cs="Times New Roman"/>
                      <w:sz w:val="20"/>
                      <w:szCs w:val="20"/>
                      <w:lang w:val="es-ES"/>
                    </w:rPr>
                  </w:pPr>
                </w:p>
              </w:tc>
              <w:tc>
                <w:tcPr>
                  <w:tcW w:w="3189" w:type="dxa"/>
                  <w:vAlign w:val="center"/>
                </w:tcPr>
                <w:p w14:paraId="78FCB7F3"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Inversión</w:t>
                  </w:r>
                </w:p>
              </w:tc>
              <w:tc>
                <w:tcPr>
                  <w:tcW w:w="2338" w:type="dxa"/>
                  <w:vAlign w:val="center"/>
                </w:tcPr>
                <w:p w14:paraId="1229DD8B"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1.463.504</w:t>
                  </w:r>
                </w:p>
              </w:tc>
            </w:tr>
          </w:tbl>
          <w:p w14:paraId="7D803CFD" w14:textId="77777777" w:rsidR="00C454A1" w:rsidRPr="00833016" w:rsidRDefault="00C454A1" w:rsidP="00881E6A">
            <w:pPr>
              <w:ind w:right="272"/>
              <w:rPr>
                <w:rFonts w:cs="Times New Roman"/>
                <w:lang w:val="es-ES"/>
              </w:rPr>
            </w:pPr>
          </w:p>
          <w:p w14:paraId="3BB0B6B6" w14:textId="77777777" w:rsidR="00C454A1" w:rsidRPr="00833016" w:rsidRDefault="00C454A1" w:rsidP="00881E6A">
            <w:pPr>
              <w:ind w:right="272"/>
              <w:rPr>
                <w:rFonts w:cs="Times New Roman"/>
                <w:lang w:val="es-ES"/>
              </w:rPr>
            </w:pPr>
            <w:r w:rsidRPr="00833016">
              <w:rPr>
                <w:rFonts w:cs="Times New Roman"/>
                <w:lang w:val="es-ES"/>
              </w:rPr>
              <w:t>Aclaró que “la asignación del presupuesto para las Fuerzas Militares se realiza de acuerdo con los parámetros dispuestos por el Ministerio de Hacienda y Crédito Público, para el cumplimiento de la misión constitucional en todo el territorio nacional, incluyendo las necesidades de funcionamiento e inversión”</w:t>
            </w:r>
            <w:r w:rsidRPr="00833016">
              <w:rPr>
                <w:rStyle w:val="Refdenotaalpie"/>
                <w:rFonts w:cs="Times New Roman"/>
                <w:lang w:val="es-ES"/>
              </w:rPr>
              <w:footnoteReference w:id="624"/>
            </w:r>
            <w:r w:rsidRPr="00833016">
              <w:rPr>
                <w:rFonts w:cs="Times New Roman"/>
                <w:lang w:val="es-ES"/>
              </w:rPr>
              <w:t>. También precisó que “se conoce que para las vigencias solicitadas se presentaron unos bloqueos para la vigencia 2024 de $40.545.000.000 y de $279.985.000.000 para el año 2025 y un aplazamiento, así:</w:t>
            </w:r>
          </w:p>
          <w:p w14:paraId="055E4740" w14:textId="77777777" w:rsidR="00C454A1" w:rsidRDefault="00C454A1" w:rsidP="00881E6A">
            <w:pPr>
              <w:ind w:right="272"/>
              <w:rPr>
                <w:rFonts w:cs="Times New Roman"/>
                <w:lang w:val="es-ES"/>
              </w:rPr>
            </w:pPr>
          </w:p>
          <w:p w14:paraId="0CE021A5" w14:textId="77777777" w:rsidR="00C454A1" w:rsidRPr="00C113C4" w:rsidRDefault="00C454A1" w:rsidP="00881E6A">
            <w:pPr>
              <w:ind w:right="272"/>
              <w:jc w:val="center"/>
              <w:rPr>
                <w:rFonts w:cs="Times New Roman"/>
                <w:i/>
                <w:iCs/>
                <w:sz w:val="20"/>
                <w:szCs w:val="20"/>
                <w:lang w:val="es-ES"/>
              </w:rPr>
            </w:pPr>
            <w:r w:rsidRPr="00C113C4">
              <w:rPr>
                <w:rFonts w:cs="Times New Roman"/>
                <w:i/>
                <w:iCs/>
                <w:sz w:val="20"/>
                <w:szCs w:val="20"/>
                <w:lang w:val="es-ES"/>
              </w:rPr>
              <w:t>Tabla 21: decretos de reducen o aplazan partidas presupuestales del presupuesto de las Fuerzas Militares, vigencia 2025</w:t>
            </w:r>
          </w:p>
          <w:tbl>
            <w:tblPr>
              <w:tblStyle w:val="Tablaconcuadrcula"/>
              <w:tblW w:w="0" w:type="auto"/>
              <w:jc w:val="center"/>
              <w:tblLook w:val="04A0" w:firstRow="1" w:lastRow="0" w:firstColumn="1" w:lastColumn="0" w:noHBand="0" w:noVBand="1"/>
            </w:tblPr>
            <w:tblGrid>
              <w:gridCol w:w="1838"/>
              <w:gridCol w:w="1701"/>
              <w:gridCol w:w="1985"/>
              <w:gridCol w:w="3826"/>
            </w:tblGrid>
            <w:tr w:rsidR="00C454A1" w:rsidRPr="0079032B" w14:paraId="4EB43853" w14:textId="77777777" w:rsidTr="001F3006">
              <w:trPr>
                <w:trHeight w:val="300"/>
                <w:jc w:val="center"/>
              </w:trPr>
              <w:tc>
                <w:tcPr>
                  <w:tcW w:w="1838" w:type="dxa"/>
                  <w:shd w:val="clear" w:color="auto" w:fill="D1D1D1" w:themeFill="background2" w:themeFillShade="E6"/>
                  <w:vAlign w:val="center"/>
                </w:tcPr>
                <w:p w14:paraId="0D775DAF" w14:textId="77777777" w:rsidR="00C454A1" w:rsidRPr="007A0CD1" w:rsidRDefault="00C454A1" w:rsidP="00881E6A">
                  <w:pPr>
                    <w:ind w:right="272"/>
                    <w:jc w:val="center"/>
                    <w:rPr>
                      <w:rFonts w:cs="Times New Roman"/>
                      <w:sz w:val="20"/>
                      <w:szCs w:val="20"/>
                      <w:lang w:val="es-ES"/>
                    </w:rPr>
                  </w:pPr>
                  <w:r w:rsidRPr="007A0CD1">
                    <w:rPr>
                      <w:rFonts w:cs="Times New Roman"/>
                      <w:sz w:val="20"/>
                      <w:szCs w:val="20"/>
                      <w:lang w:val="es-ES"/>
                    </w:rPr>
                    <w:t>Decreto</w:t>
                  </w:r>
                </w:p>
              </w:tc>
              <w:tc>
                <w:tcPr>
                  <w:tcW w:w="1701" w:type="dxa"/>
                  <w:shd w:val="clear" w:color="auto" w:fill="D1D1D1" w:themeFill="background2" w:themeFillShade="E6"/>
                  <w:vAlign w:val="center"/>
                </w:tcPr>
                <w:p w14:paraId="3751B287" w14:textId="77777777" w:rsidR="00C454A1" w:rsidRPr="007A0CD1" w:rsidRDefault="00C454A1" w:rsidP="00881E6A">
                  <w:pPr>
                    <w:ind w:right="272"/>
                    <w:jc w:val="center"/>
                    <w:rPr>
                      <w:rFonts w:cs="Times New Roman"/>
                      <w:sz w:val="20"/>
                      <w:szCs w:val="20"/>
                      <w:lang w:val="es-ES"/>
                    </w:rPr>
                  </w:pPr>
                  <w:r w:rsidRPr="007A0CD1">
                    <w:rPr>
                      <w:rFonts w:cs="Times New Roman"/>
                      <w:sz w:val="20"/>
                      <w:szCs w:val="20"/>
                      <w:lang w:val="es-ES"/>
                    </w:rPr>
                    <w:t>Fecha</w:t>
                  </w:r>
                </w:p>
              </w:tc>
              <w:tc>
                <w:tcPr>
                  <w:tcW w:w="1985" w:type="dxa"/>
                  <w:shd w:val="clear" w:color="auto" w:fill="D1D1D1" w:themeFill="background2" w:themeFillShade="E6"/>
                  <w:vAlign w:val="center"/>
                </w:tcPr>
                <w:p w14:paraId="543AC879" w14:textId="77777777" w:rsidR="00C454A1" w:rsidRPr="007A0CD1" w:rsidRDefault="00C454A1" w:rsidP="00881E6A">
                  <w:pPr>
                    <w:ind w:right="272"/>
                    <w:jc w:val="center"/>
                    <w:rPr>
                      <w:rFonts w:cs="Times New Roman"/>
                      <w:sz w:val="20"/>
                      <w:szCs w:val="20"/>
                      <w:lang w:val="es-ES"/>
                    </w:rPr>
                  </w:pPr>
                  <w:r w:rsidRPr="007A0CD1">
                    <w:rPr>
                      <w:rFonts w:cs="Times New Roman"/>
                      <w:sz w:val="20"/>
                      <w:szCs w:val="20"/>
                      <w:lang w:val="es-ES"/>
                    </w:rPr>
                    <w:t>Monto</w:t>
                  </w:r>
                </w:p>
              </w:tc>
              <w:tc>
                <w:tcPr>
                  <w:tcW w:w="3826" w:type="dxa"/>
                  <w:shd w:val="clear" w:color="auto" w:fill="D1D1D1" w:themeFill="background2" w:themeFillShade="E6"/>
                  <w:vAlign w:val="center"/>
                </w:tcPr>
                <w:p w14:paraId="6E29A538" w14:textId="77777777" w:rsidR="00C454A1" w:rsidRPr="007A0CD1" w:rsidRDefault="00C454A1" w:rsidP="00881E6A">
                  <w:pPr>
                    <w:ind w:right="272"/>
                    <w:jc w:val="center"/>
                    <w:rPr>
                      <w:rFonts w:cs="Times New Roman"/>
                      <w:sz w:val="20"/>
                      <w:szCs w:val="20"/>
                      <w:lang w:val="es-ES"/>
                    </w:rPr>
                  </w:pPr>
                  <w:r w:rsidRPr="007A0CD1">
                    <w:rPr>
                      <w:rFonts w:cs="Times New Roman"/>
                      <w:sz w:val="20"/>
                      <w:szCs w:val="20"/>
                      <w:lang w:val="es-ES"/>
                    </w:rPr>
                    <w:t>Observaciones</w:t>
                  </w:r>
                </w:p>
              </w:tc>
            </w:tr>
            <w:tr w:rsidR="00C454A1" w:rsidRPr="00F8202F" w14:paraId="1520E179" w14:textId="77777777" w:rsidTr="001F3006">
              <w:trPr>
                <w:trHeight w:val="300"/>
                <w:jc w:val="center"/>
              </w:trPr>
              <w:tc>
                <w:tcPr>
                  <w:tcW w:w="1838" w:type="dxa"/>
                  <w:vAlign w:val="center"/>
                </w:tcPr>
                <w:p w14:paraId="72E1A00A"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Decreto 1522</w:t>
                  </w:r>
                </w:p>
              </w:tc>
              <w:tc>
                <w:tcPr>
                  <w:tcW w:w="1701" w:type="dxa"/>
                  <w:vAlign w:val="center"/>
                </w:tcPr>
                <w:p w14:paraId="54C5A24F"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28/12/2024</w:t>
                  </w:r>
                </w:p>
              </w:tc>
              <w:tc>
                <w:tcPr>
                  <w:tcW w:w="1985" w:type="dxa"/>
                  <w:vAlign w:val="center"/>
                </w:tcPr>
                <w:p w14:paraId="3CF08226"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$40.545.000.000</w:t>
                  </w:r>
                </w:p>
              </w:tc>
              <w:tc>
                <w:tcPr>
                  <w:tcW w:w="3826" w:type="dxa"/>
                  <w:vAlign w:val="center"/>
                </w:tcPr>
                <w:p w14:paraId="71BDB049"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 xml:space="preserve">Por el cual se reducen unas apropiaciones en el </w:t>
                  </w:r>
                  <w:r>
                    <w:rPr>
                      <w:rFonts w:cs="Times New Roman"/>
                      <w:sz w:val="20"/>
                      <w:szCs w:val="20"/>
                      <w:lang w:val="es-ES"/>
                    </w:rPr>
                    <w:t>PGN</w:t>
                  </w:r>
                  <w:r w:rsidRPr="007A0CD1">
                    <w:rPr>
                      <w:rFonts w:cs="Times New Roman"/>
                      <w:sz w:val="20"/>
                      <w:szCs w:val="20"/>
                      <w:lang w:val="es-ES"/>
                    </w:rPr>
                    <w:t xml:space="preserve"> de la vigencia fiscal 2024</w:t>
                  </w:r>
                </w:p>
              </w:tc>
            </w:tr>
            <w:tr w:rsidR="00C454A1" w:rsidRPr="00F8202F" w14:paraId="233150B6" w14:textId="77777777" w:rsidTr="001F3006">
              <w:trPr>
                <w:trHeight w:val="300"/>
                <w:jc w:val="center"/>
              </w:trPr>
              <w:tc>
                <w:tcPr>
                  <w:tcW w:w="1838" w:type="dxa"/>
                  <w:vAlign w:val="center"/>
                </w:tcPr>
                <w:p w14:paraId="2976A9AA"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Decreto 0069</w:t>
                  </w:r>
                </w:p>
              </w:tc>
              <w:tc>
                <w:tcPr>
                  <w:tcW w:w="1701" w:type="dxa"/>
                  <w:vAlign w:val="center"/>
                </w:tcPr>
                <w:p w14:paraId="485795E8"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24/01/2025</w:t>
                  </w:r>
                </w:p>
              </w:tc>
              <w:tc>
                <w:tcPr>
                  <w:tcW w:w="1985" w:type="dxa"/>
                  <w:vAlign w:val="center"/>
                </w:tcPr>
                <w:p w14:paraId="631EB321"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$279.985.000.000</w:t>
                  </w:r>
                </w:p>
              </w:tc>
              <w:tc>
                <w:tcPr>
                  <w:tcW w:w="3826" w:type="dxa"/>
                  <w:vAlign w:val="center"/>
                </w:tcPr>
                <w:p w14:paraId="2BCAEEA1" w14:textId="77777777" w:rsidR="00C454A1" w:rsidRPr="007A0CD1" w:rsidRDefault="00C454A1" w:rsidP="00881E6A">
                  <w:pPr>
                    <w:ind w:right="272"/>
                    <w:rPr>
                      <w:rFonts w:cs="Times New Roman"/>
                      <w:sz w:val="20"/>
                      <w:szCs w:val="20"/>
                      <w:lang w:val="es-ES"/>
                    </w:rPr>
                  </w:pPr>
                  <w:r w:rsidRPr="007A0CD1">
                    <w:rPr>
                      <w:rFonts w:cs="Times New Roman"/>
                      <w:sz w:val="20"/>
                      <w:szCs w:val="20"/>
                      <w:lang w:val="es-ES"/>
                    </w:rPr>
                    <w:t xml:space="preserve">Por el cual se aplazan unas apropiaciones en el </w:t>
                  </w:r>
                  <w:r>
                    <w:rPr>
                      <w:rFonts w:cs="Times New Roman"/>
                      <w:sz w:val="20"/>
                      <w:szCs w:val="20"/>
                      <w:lang w:val="es-ES"/>
                    </w:rPr>
                    <w:t>PGN</w:t>
                  </w:r>
                  <w:r w:rsidRPr="007A0CD1">
                    <w:rPr>
                      <w:rFonts w:cs="Times New Roman"/>
                      <w:sz w:val="20"/>
                      <w:szCs w:val="20"/>
                      <w:lang w:val="es-ES"/>
                    </w:rPr>
                    <w:t xml:space="preserve"> de la vigencia fiscal 2025</w:t>
                  </w:r>
                </w:p>
              </w:tc>
            </w:tr>
          </w:tbl>
          <w:p w14:paraId="35F20EC4" w14:textId="77777777" w:rsidR="00C454A1" w:rsidRPr="00833016" w:rsidRDefault="00C454A1" w:rsidP="00881E6A">
            <w:pPr>
              <w:ind w:right="272"/>
              <w:rPr>
                <w:rFonts w:cs="Times New Roman"/>
                <w:lang w:val="es-ES"/>
              </w:rPr>
            </w:pPr>
          </w:p>
          <w:p w14:paraId="222D34F8" w14:textId="77777777" w:rsidR="00C454A1" w:rsidRPr="00833016" w:rsidRDefault="00C454A1" w:rsidP="00881E6A">
            <w:pPr>
              <w:ind w:right="272"/>
              <w:rPr>
                <w:rFonts w:cs="Times New Roman"/>
                <w:lang w:val="es-ES"/>
              </w:rPr>
            </w:pPr>
            <w:r w:rsidRPr="00833016">
              <w:rPr>
                <w:rFonts w:cs="Times New Roman"/>
                <w:lang w:val="es-ES"/>
              </w:rPr>
              <w:t>En relación con la vigencia 2024 manifestó lo siguiente:</w:t>
            </w:r>
          </w:p>
          <w:p w14:paraId="3B55D7AD" w14:textId="77777777" w:rsidR="00C454A1" w:rsidRPr="00833016" w:rsidRDefault="00C454A1" w:rsidP="00881E6A">
            <w:pPr>
              <w:ind w:right="272"/>
              <w:rPr>
                <w:rFonts w:cs="Times New Roman"/>
                <w:lang w:val="es-ES"/>
              </w:rPr>
            </w:pPr>
          </w:p>
          <w:p w14:paraId="673FC98F" w14:textId="77777777" w:rsidR="00C454A1" w:rsidRPr="00833016" w:rsidRDefault="00C454A1" w:rsidP="00881E6A">
            <w:pPr>
              <w:ind w:right="272"/>
              <w:rPr>
                <w:rFonts w:cs="Times New Roman"/>
                <w:lang w:val="es-ES"/>
              </w:rPr>
            </w:pPr>
            <w:r w:rsidRPr="00833016">
              <w:rPr>
                <w:rFonts w:cs="Times New Roman"/>
                <w:lang w:val="es-ES"/>
              </w:rPr>
              <w:t>“En los términos de funcionamiento, a nivel nacional se impactó en el sostenimiento de las capacidades en materia de Talento Humano. Por otra parte, en el concepto de inversión de los recursos aplazados afectaron las capacidades de protección de las Fuerzas Militares, la capacidad de protección y defensa de las infraestructura</w:t>
            </w:r>
            <w:r>
              <w:rPr>
                <w:rFonts w:cs="Times New Roman"/>
                <w:lang w:val="es-ES"/>
              </w:rPr>
              <w:t>s</w:t>
            </w:r>
            <w:r w:rsidRPr="00833016">
              <w:rPr>
                <w:rFonts w:cs="Times New Roman"/>
                <w:lang w:val="es-ES"/>
              </w:rPr>
              <w:t xml:space="preserve"> críticas cibernéticas nacionales, las áreas de capacidad de mando y control en maniobra táctica, despliegue, movimiento aéreo y maniobra en las operaciones navales. De igual forma, se generó un déficit en el mantenimiento de aeronaves”</w:t>
            </w:r>
            <w:r w:rsidRPr="00833016">
              <w:rPr>
                <w:rStyle w:val="Refdenotaalpie"/>
                <w:rFonts w:cs="Times New Roman"/>
                <w:lang w:val="es-ES"/>
              </w:rPr>
              <w:footnoteReference w:id="625"/>
            </w:r>
            <w:r w:rsidRPr="00833016">
              <w:rPr>
                <w:rFonts w:cs="Times New Roman"/>
                <w:lang w:val="es-ES"/>
              </w:rPr>
              <w:t>.</w:t>
            </w:r>
          </w:p>
          <w:p w14:paraId="15245841" w14:textId="77777777" w:rsidR="00C454A1" w:rsidRPr="00833016" w:rsidRDefault="00C454A1" w:rsidP="00881E6A">
            <w:pPr>
              <w:ind w:right="272"/>
              <w:rPr>
                <w:rFonts w:cs="Times New Roman"/>
                <w:lang w:val="es-ES"/>
              </w:rPr>
            </w:pPr>
          </w:p>
          <w:p w14:paraId="2E5A7F45" w14:textId="77777777" w:rsidR="00C454A1" w:rsidRPr="00833016" w:rsidRDefault="00C454A1" w:rsidP="00881E6A">
            <w:pPr>
              <w:ind w:right="272"/>
              <w:rPr>
                <w:rFonts w:cs="Times New Roman"/>
                <w:lang w:val="es-ES"/>
              </w:rPr>
            </w:pPr>
            <w:r w:rsidRPr="00833016">
              <w:rPr>
                <w:rFonts w:cs="Times New Roman"/>
                <w:lang w:val="es-ES"/>
              </w:rPr>
              <w:lastRenderedPageBreak/>
              <w:t>En relación con la vigencia 2025 manifestó lo siguiente:</w:t>
            </w:r>
          </w:p>
          <w:p w14:paraId="60D142BF" w14:textId="77777777" w:rsidR="00C454A1" w:rsidRPr="00833016" w:rsidRDefault="00C454A1" w:rsidP="00881E6A">
            <w:pPr>
              <w:ind w:right="272"/>
              <w:rPr>
                <w:rFonts w:cs="Times New Roman"/>
                <w:lang w:val="es-ES"/>
              </w:rPr>
            </w:pPr>
          </w:p>
          <w:p w14:paraId="56FA7A91" w14:textId="77777777" w:rsidR="00C454A1" w:rsidRPr="00833016" w:rsidRDefault="00C454A1" w:rsidP="00881E6A">
            <w:pPr>
              <w:ind w:right="272"/>
              <w:rPr>
                <w:rFonts w:cs="Times New Roman"/>
                <w:lang w:val="es-ES"/>
              </w:rPr>
            </w:pPr>
            <w:r w:rsidRPr="00833016">
              <w:rPr>
                <w:rFonts w:cs="Times New Roman"/>
                <w:lang w:val="es-ES"/>
              </w:rPr>
              <w:t>“El bloqueo de los recursos en las Fuerzas Militares afecta significativamente el mantenimiento de las redes tecnológicas que componen la Red Integrada de Comunicaciones (RIC), la adquisición de repuestos necesarios para el mantenimiento de equipos tácticos de los vehículos M1117 y LAV III 8x8, la disponibilidad aeronáutica, debilitando el servicio de mantenimiento para una de las flotas más grandes de helicópteros UH-60. Por otra parte, la reducción en el concepto de combustibles y lubricantes impacta negativamente el desarrollo de operaciones fluviales, marítimas, aéreas y terrestres en zonas estratégicas”</w:t>
            </w:r>
            <w:r w:rsidRPr="00833016">
              <w:rPr>
                <w:rStyle w:val="Refdenotaalpie"/>
                <w:rFonts w:cs="Times New Roman"/>
                <w:lang w:val="es-ES"/>
              </w:rPr>
              <w:footnoteReference w:id="626"/>
            </w:r>
            <w:r w:rsidRPr="00833016">
              <w:rPr>
                <w:rFonts w:cs="Times New Roman"/>
                <w:lang w:val="es-ES"/>
              </w:rPr>
              <w:t xml:space="preserve">. </w:t>
            </w:r>
          </w:p>
          <w:p w14:paraId="623CFD11" w14:textId="77777777" w:rsidR="00C454A1" w:rsidRPr="00833016" w:rsidRDefault="00C454A1" w:rsidP="00881E6A">
            <w:pPr>
              <w:ind w:right="272"/>
              <w:rPr>
                <w:rFonts w:cs="Times New Roman"/>
                <w:lang w:val="es-ES"/>
              </w:rPr>
            </w:pPr>
          </w:p>
          <w:p w14:paraId="58C560B2" w14:textId="77777777" w:rsidR="00C454A1" w:rsidRPr="00833016" w:rsidRDefault="00C454A1" w:rsidP="00881E6A">
            <w:pPr>
              <w:ind w:right="272"/>
              <w:rPr>
                <w:rFonts w:cs="Times New Roman"/>
                <w:lang w:val="es-ES"/>
              </w:rPr>
            </w:pPr>
            <w:r w:rsidRPr="00833016">
              <w:rPr>
                <w:rFonts w:cs="Times New Roman"/>
                <w:lang w:val="es-ES"/>
              </w:rPr>
              <w:t xml:space="preserve">Por último, el Comandante de la Fuerzas Militares remitió los informes de Análisis de las Capacidades Críticas de la Amenaza —ACCAM— en la región del Catatumbo, en el área metropolitana de Cúcuta, así como en los municipios de Río de Oro y González, correspondientes a los períodos comprendidos entre noviembre de 2023 y enero de 2025. Además, explicó las conclusiones de dichos ACCAM en los periodos referidos, así: </w:t>
            </w:r>
          </w:p>
          <w:p w14:paraId="271B7F9B" w14:textId="77777777" w:rsidR="00C454A1" w:rsidRPr="00833016" w:rsidRDefault="00C454A1" w:rsidP="00881E6A">
            <w:pPr>
              <w:ind w:right="272"/>
              <w:rPr>
                <w:rFonts w:cs="Times New Roman"/>
                <w:lang w:val="es-ES"/>
              </w:rPr>
            </w:pPr>
          </w:p>
          <w:p w14:paraId="64FB2936" w14:textId="77777777" w:rsidR="00C454A1" w:rsidRPr="00833016" w:rsidRDefault="00C454A1" w:rsidP="00881E6A">
            <w:pPr>
              <w:ind w:right="272"/>
              <w:rPr>
                <w:rFonts w:cs="Times New Roman"/>
                <w:u w:val="single"/>
                <w:lang w:val="es-ES"/>
              </w:rPr>
            </w:pPr>
            <w:r w:rsidRPr="00833016">
              <w:rPr>
                <w:rFonts w:cs="Times New Roman"/>
                <w:u w:val="single"/>
                <w:lang w:val="es-ES"/>
              </w:rPr>
              <w:t>Conclusiones GAO</w:t>
            </w:r>
            <w:r>
              <w:rPr>
                <w:rFonts w:cs="Times New Roman"/>
                <w:u w:val="single"/>
                <w:lang w:val="es-ES"/>
              </w:rPr>
              <w:t>R</w:t>
            </w:r>
            <w:r w:rsidRPr="00833016">
              <w:rPr>
                <w:rFonts w:cs="Times New Roman"/>
                <w:u w:val="single"/>
                <w:lang w:val="es-ES"/>
              </w:rPr>
              <w:t>:</w:t>
            </w:r>
          </w:p>
          <w:p w14:paraId="1268D689" w14:textId="77777777" w:rsidR="00C454A1" w:rsidRPr="00833016" w:rsidRDefault="00C454A1" w:rsidP="00881E6A">
            <w:pPr>
              <w:ind w:right="272"/>
              <w:rPr>
                <w:rFonts w:cs="Times New Roman"/>
                <w:lang w:val="es-ES"/>
              </w:rPr>
            </w:pPr>
          </w:p>
          <w:p w14:paraId="5AFAF80C" w14:textId="77777777" w:rsidR="00C454A1" w:rsidRPr="00833016" w:rsidRDefault="00C454A1" w:rsidP="00881E6A">
            <w:pPr>
              <w:ind w:right="272"/>
              <w:rPr>
                <w:rFonts w:cs="Times New Roman"/>
                <w:lang w:val="es-ES"/>
              </w:rPr>
            </w:pPr>
            <w:r w:rsidRPr="00833016">
              <w:rPr>
                <w:rFonts w:cs="Times New Roman"/>
                <w:lang w:val="es-ES"/>
              </w:rPr>
              <w:t xml:space="preserve">En el primer semestre de 2023 se “evidenció el incremento del pie de fuerza delictivo de GAO-r E-33 en un 18% registrándose un total de 293 integrantes, en relación </w:t>
            </w:r>
            <w:r>
              <w:rPr>
                <w:rFonts w:cs="Times New Roman"/>
                <w:lang w:val="es-ES"/>
              </w:rPr>
              <w:t>con e</w:t>
            </w:r>
            <w:r w:rsidRPr="00833016">
              <w:rPr>
                <w:rFonts w:cs="Times New Roman"/>
                <w:lang w:val="es-ES"/>
              </w:rPr>
              <w:t>l segundo semestre de 2022, donde se registró un total de 249 integrantes”</w:t>
            </w:r>
            <w:r w:rsidRPr="00833016">
              <w:rPr>
                <w:rStyle w:val="Refdenotaalpie"/>
                <w:rFonts w:cs="Times New Roman"/>
                <w:lang w:val="es-ES"/>
              </w:rPr>
              <w:footnoteReference w:id="627"/>
            </w:r>
            <w:r w:rsidRPr="00833016">
              <w:rPr>
                <w:rFonts w:cs="Times New Roman"/>
                <w:lang w:val="es-ES"/>
              </w:rPr>
              <w:t>. Asimismo, se observó la “articulación de Estructuras, subestructuras y comisiones por parte del GAO-r E-33 (Estructuras 36, 37, subestructuras 24, 18 y comisión 4) como avance del proyecto de reconfiguración del extinto ‘Bloque Magdalena Medio de las FARC’ con injerencia delictiva en los departamentos de Norte de Santander, sur de Bolívar, Cesar, Córdoba y Antioquia”</w:t>
            </w:r>
            <w:r w:rsidRPr="00833016">
              <w:rPr>
                <w:rStyle w:val="Refdenotaalpie"/>
                <w:rFonts w:cs="Times New Roman"/>
                <w:lang w:val="es-ES"/>
              </w:rPr>
              <w:footnoteReference w:id="628"/>
            </w:r>
            <w:r w:rsidRPr="00833016">
              <w:rPr>
                <w:rFonts w:cs="Times New Roman"/>
                <w:lang w:val="es-ES"/>
              </w:rPr>
              <w:t xml:space="preserve">. En el primer semestre, el GAOR-33 proyectó “desdoblamiento de </w:t>
            </w:r>
            <w:r w:rsidRPr="00833016">
              <w:rPr>
                <w:rFonts w:cs="Times New Roman"/>
                <w:lang w:val="es-ES"/>
              </w:rPr>
              <w:lastRenderedPageBreak/>
              <w:t>comisiones hacia la región Caribe con el objetivo de consolidarse como estructura pivote y reconfigurar el extinto “Bloque Caribe” de las FARC”</w:t>
            </w:r>
            <w:r w:rsidRPr="00833016">
              <w:rPr>
                <w:rStyle w:val="Refdenotaalpie"/>
                <w:rFonts w:cs="Times New Roman"/>
                <w:lang w:val="es-ES"/>
              </w:rPr>
              <w:footnoteReference w:id="629"/>
            </w:r>
            <w:r w:rsidRPr="00833016">
              <w:rPr>
                <w:rFonts w:cs="Times New Roman"/>
                <w:lang w:val="es-ES"/>
              </w:rPr>
              <w:t>. También se da la “alianza criminal con el GAO-ELN, para fortalecimiento de su posicionamiento en el territorio por su importancia geoestratégica, lo cual implica reorganización de su despliegue delictivo”</w:t>
            </w:r>
            <w:r w:rsidRPr="00833016">
              <w:rPr>
                <w:rStyle w:val="Refdenotaalpie"/>
                <w:rFonts w:cs="Times New Roman"/>
                <w:lang w:val="es-ES"/>
              </w:rPr>
              <w:footnoteReference w:id="630"/>
            </w:r>
            <w:r w:rsidRPr="00833016">
              <w:rPr>
                <w:rFonts w:cs="Times New Roman"/>
                <w:lang w:val="es-ES"/>
              </w:rPr>
              <w:t>. Finalmente, en este semestre se dio un aprovechamiento de la “línea de frontera para configuración de su retaguardia estratégica en el Estado Zulia municipio de Jesús María Semprum (Venezuela, desde donde despliegan su actuar delictivo a territorio colombiano”</w:t>
            </w:r>
            <w:r w:rsidRPr="00833016">
              <w:rPr>
                <w:rStyle w:val="Refdenotaalpie"/>
                <w:rFonts w:cs="Times New Roman"/>
                <w:lang w:val="es-ES"/>
              </w:rPr>
              <w:footnoteReference w:id="631"/>
            </w:r>
            <w:r w:rsidRPr="00833016">
              <w:rPr>
                <w:rFonts w:cs="Times New Roman"/>
                <w:lang w:val="es-ES"/>
              </w:rPr>
              <w:t>.</w:t>
            </w:r>
          </w:p>
          <w:p w14:paraId="690AB9A0" w14:textId="77777777" w:rsidR="00C454A1" w:rsidRPr="00833016" w:rsidRDefault="00C454A1" w:rsidP="00881E6A">
            <w:pPr>
              <w:ind w:right="272"/>
              <w:rPr>
                <w:rFonts w:cs="Times New Roman"/>
                <w:lang w:val="es-ES"/>
              </w:rPr>
            </w:pPr>
          </w:p>
          <w:p w14:paraId="5B802416" w14:textId="77777777" w:rsidR="00C454A1" w:rsidRPr="00833016" w:rsidRDefault="00C454A1" w:rsidP="00881E6A">
            <w:pPr>
              <w:ind w:right="272"/>
              <w:rPr>
                <w:rFonts w:cs="Times New Roman"/>
                <w:lang w:val="es-ES"/>
              </w:rPr>
            </w:pPr>
            <w:r w:rsidRPr="00833016">
              <w:rPr>
                <w:rFonts w:cs="Times New Roman"/>
                <w:lang w:val="es-ES"/>
              </w:rPr>
              <w:t>En el segundo semestre de 2023, se dio un incremento progresivo del GAO</w:t>
            </w:r>
            <w:r>
              <w:rPr>
                <w:rFonts w:cs="Times New Roman"/>
                <w:lang w:val="es-ES"/>
              </w:rPr>
              <w:t>R</w:t>
            </w:r>
            <w:r w:rsidRPr="00833016">
              <w:rPr>
                <w:rFonts w:cs="Times New Roman"/>
                <w:lang w:val="es-ES"/>
              </w:rPr>
              <w:t xml:space="preserve"> E-33 en un 16%. De esta manera alcanzó un total de 340 integrantes (231 hombres en armas y 109 RAER). Así mismo, se observó un aumento de “trabajo pseudopolítico con epicentro en el municipio de Tibú (Norte de Santander) y sus áreas adyacentes, manteniendo el control de las rutas del narcotráfico en el área de frontera”</w:t>
            </w:r>
            <w:r w:rsidRPr="00833016">
              <w:rPr>
                <w:rStyle w:val="Refdenotaalpie"/>
                <w:rFonts w:cs="Times New Roman"/>
                <w:lang w:val="es-ES"/>
              </w:rPr>
              <w:footnoteReference w:id="632"/>
            </w:r>
            <w:r w:rsidRPr="00833016">
              <w:rPr>
                <w:rFonts w:cs="Times New Roman"/>
                <w:lang w:val="es-ES"/>
              </w:rPr>
              <w:t>. De igual manera, se fortaleció el componente armado empleando personalidad de nacionalidad venezolana y se dio la “articulación entre el ‘Bloque Magdalena Medio’ y el ‘Comando Conjunto de Oriente Martin Villa’ para el sostenimiento de la comisión 45 ‘Atanasio Girardot’ al área de Samore (N/Santander)”</w:t>
            </w:r>
            <w:r w:rsidRPr="00833016">
              <w:rPr>
                <w:rStyle w:val="Refdenotaalpie"/>
                <w:rFonts w:cs="Times New Roman"/>
                <w:lang w:val="es-ES"/>
              </w:rPr>
              <w:footnoteReference w:id="633"/>
            </w:r>
            <w:r w:rsidRPr="00833016">
              <w:rPr>
                <w:rFonts w:cs="Times New Roman"/>
                <w:lang w:val="es-ES"/>
              </w:rPr>
              <w:t>. Por último, continuaron las alianzas de coexistencia criminal del GAO-r FARC “EMC” y el “Frente de Guerra Nororiental” del GAO “ELN”</w:t>
            </w:r>
            <w:r w:rsidRPr="00833016">
              <w:rPr>
                <w:rStyle w:val="Refdenotaalpie"/>
                <w:rFonts w:cs="Times New Roman"/>
                <w:lang w:val="es-ES"/>
              </w:rPr>
              <w:footnoteReference w:id="634"/>
            </w:r>
            <w:r w:rsidRPr="00833016">
              <w:rPr>
                <w:rFonts w:cs="Times New Roman"/>
                <w:lang w:val="es-ES"/>
              </w:rPr>
              <w:t>.</w:t>
            </w:r>
          </w:p>
          <w:p w14:paraId="5DF54E96" w14:textId="77777777" w:rsidR="00C454A1" w:rsidRPr="00833016" w:rsidRDefault="00C454A1" w:rsidP="00881E6A">
            <w:pPr>
              <w:ind w:right="272"/>
              <w:rPr>
                <w:rFonts w:cs="Times New Roman"/>
                <w:lang w:val="es-ES"/>
              </w:rPr>
            </w:pPr>
          </w:p>
          <w:p w14:paraId="26D4AE3B" w14:textId="77777777" w:rsidR="00C454A1" w:rsidRPr="00833016" w:rsidRDefault="00C454A1" w:rsidP="00881E6A">
            <w:pPr>
              <w:ind w:right="272"/>
              <w:rPr>
                <w:rFonts w:cs="Times New Roman"/>
                <w:lang w:val="es-ES"/>
              </w:rPr>
            </w:pPr>
            <w:r w:rsidRPr="00833016">
              <w:rPr>
                <w:rFonts w:cs="Times New Roman"/>
                <w:lang w:val="es-ES"/>
              </w:rPr>
              <w:t>El primer semestre de 2024 se presentó un incremento de 21% respecto al segundo semestre de 2023, alcanzando un total de 412 integrantes (265 H/A y 147 RAER)</w:t>
            </w:r>
            <w:r w:rsidRPr="00833016">
              <w:rPr>
                <w:rStyle w:val="Refdenotaalpie"/>
                <w:rFonts w:cs="Times New Roman"/>
                <w:lang w:val="es-ES"/>
              </w:rPr>
              <w:footnoteReference w:id="635"/>
            </w:r>
            <w:r w:rsidRPr="00833016">
              <w:rPr>
                <w:rFonts w:cs="Times New Roman"/>
                <w:lang w:val="es-ES"/>
              </w:rPr>
              <w:t xml:space="preserve">. Este incremento esta soportado en “actividades de reclutamiento e </w:t>
            </w:r>
            <w:r w:rsidRPr="00833016">
              <w:rPr>
                <w:rFonts w:cs="Times New Roman"/>
                <w:lang w:val="es-ES"/>
              </w:rPr>
              <w:lastRenderedPageBreak/>
              <w:t>instrumentalización poblacional como mecanismos de captación e incorporación de nuevos integrantes”</w:t>
            </w:r>
            <w:r w:rsidRPr="00833016">
              <w:rPr>
                <w:rStyle w:val="Refdenotaalpie"/>
                <w:rFonts w:cs="Times New Roman"/>
                <w:lang w:val="es-ES"/>
              </w:rPr>
              <w:footnoteReference w:id="636"/>
            </w:r>
            <w:r w:rsidRPr="00833016">
              <w:rPr>
                <w:rFonts w:cs="Times New Roman"/>
                <w:lang w:val="es-ES"/>
              </w:rPr>
              <w:t>. También continuaron las actividades de inteligencia delictiva en contra de la fuerza pública, para instalar artefactos explosivos, así como el desarrollo de actividades proselitistas en los municipios de La Playa de Belén, Tibú y Hacarí. De otro lado, en el segundo semestre de 2024 el incremento del pie de fuerza delictivo fue del 9%. Este fortalecimiento “se registró principalmente en su componente de redes de apoyo”</w:t>
            </w:r>
            <w:r w:rsidRPr="00833016">
              <w:rPr>
                <w:rStyle w:val="Refdenotaalpie"/>
                <w:rFonts w:cs="Times New Roman"/>
                <w:lang w:val="es-ES"/>
              </w:rPr>
              <w:footnoteReference w:id="637"/>
            </w:r>
            <w:r w:rsidRPr="00833016">
              <w:rPr>
                <w:rFonts w:cs="Times New Roman"/>
                <w:lang w:val="es-ES"/>
              </w:rPr>
              <w:t>. De esto se sigue “el interés del GAO-R por estructurar sus redes de apoyo y dinamizar su actuar delictivo”</w:t>
            </w:r>
            <w:r w:rsidRPr="00833016">
              <w:rPr>
                <w:rStyle w:val="Refdenotaalpie"/>
                <w:rFonts w:cs="Times New Roman"/>
                <w:lang w:val="es-ES"/>
              </w:rPr>
              <w:footnoteReference w:id="638"/>
            </w:r>
            <w:r w:rsidRPr="00833016">
              <w:rPr>
                <w:rFonts w:cs="Times New Roman"/>
                <w:lang w:val="es-ES"/>
              </w:rPr>
              <w:t>. En este periodo, el GAO mantuvo actividades dirigidas al constreñimiento de la población civil, mediante “trabajo social”, manipulando la opinión pública. Finalmente, es posible que se presentaran “pugnas entre mandos medios del GAO-residual disidencias FARC y GAO-ELN (sic), por el control delictivo del territorio”</w:t>
            </w:r>
            <w:r w:rsidRPr="00833016">
              <w:rPr>
                <w:rStyle w:val="Refdenotaalpie"/>
                <w:rFonts w:cs="Times New Roman"/>
                <w:lang w:val="es-ES"/>
              </w:rPr>
              <w:footnoteReference w:id="639"/>
            </w:r>
            <w:r w:rsidRPr="00833016">
              <w:rPr>
                <w:rFonts w:cs="Times New Roman"/>
                <w:lang w:val="es-ES"/>
              </w:rPr>
              <w:t xml:space="preserve">. </w:t>
            </w:r>
          </w:p>
          <w:p w14:paraId="482CC9D3" w14:textId="77777777" w:rsidR="00C454A1" w:rsidRPr="00833016" w:rsidRDefault="00C454A1" w:rsidP="00881E6A">
            <w:pPr>
              <w:ind w:right="272"/>
              <w:rPr>
                <w:rFonts w:cs="Times New Roman"/>
                <w:lang w:val="es-ES"/>
              </w:rPr>
            </w:pPr>
          </w:p>
          <w:p w14:paraId="79478CEC" w14:textId="77777777" w:rsidR="00C454A1" w:rsidRPr="00833016" w:rsidRDefault="00C454A1" w:rsidP="00881E6A">
            <w:pPr>
              <w:ind w:right="272"/>
              <w:rPr>
                <w:rFonts w:cs="Times New Roman"/>
                <w:lang w:val="es-ES"/>
              </w:rPr>
            </w:pPr>
            <w:r w:rsidRPr="00833016">
              <w:rPr>
                <w:rFonts w:cs="Times New Roman"/>
                <w:u w:val="single"/>
                <w:lang w:val="es-ES"/>
              </w:rPr>
              <w:t>Conclusiones GAO – Clan del Golfo</w:t>
            </w:r>
            <w:r w:rsidRPr="00833016">
              <w:rPr>
                <w:rFonts w:cs="Times New Roman"/>
                <w:lang w:val="es-ES"/>
              </w:rPr>
              <w:t>:</w:t>
            </w:r>
          </w:p>
          <w:p w14:paraId="48F641CE" w14:textId="77777777" w:rsidR="00C454A1" w:rsidRPr="00833016" w:rsidRDefault="00C454A1" w:rsidP="00881E6A">
            <w:pPr>
              <w:ind w:right="272"/>
              <w:rPr>
                <w:rFonts w:cs="Times New Roman"/>
                <w:lang w:val="es-ES"/>
              </w:rPr>
            </w:pPr>
          </w:p>
          <w:p w14:paraId="2A475048" w14:textId="77777777" w:rsidR="00C454A1" w:rsidRPr="00833016" w:rsidRDefault="00C454A1" w:rsidP="00881E6A">
            <w:pPr>
              <w:ind w:right="272"/>
              <w:rPr>
                <w:rFonts w:cs="Times New Roman"/>
                <w:lang w:val="es-ES"/>
              </w:rPr>
            </w:pPr>
            <w:r w:rsidRPr="00833016">
              <w:rPr>
                <w:rFonts w:cs="Times New Roman"/>
                <w:lang w:val="es-ES"/>
              </w:rPr>
              <w:t>En el 2023 se presentó un fortalecimiento de su presencia delictiva. En particular, durante el primer semestre de este año, su presencia delictiva se fortaleció en un 23% respecto del año 2022. Lo anterior es “producto de actividades de reclutamiento”</w:t>
            </w:r>
            <w:r w:rsidRPr="00833016">
              <w:rPr>
                <w:rStyle w:val="Refdenotaalpie"/>
                <w:rFonts w:cs="Times New Roman"/>
                <w:lang w:val="es-ES"/>
              </w:rPr>
              <w:footnoteReference w:id="640"/>
            </w:r>
            <w:r w:rsidRPr="00833016">
              <w:rPr>
                <w:rFonts w:cs="Times New Roman"/>
                <w:lang w:val="es-ES"/>
              </w:rPr>
              <w:t>. En el segundo semestre se dio un incremento significativo de su pie de fuerza en un 44% respecto al primer semestre de 2023. Este crecimiento “se observa mayoritariamente en el componente criminal focalizado; estrategia replicada por el Clan del Golfo que da soporte al posterior ingreso del componente armado en las áreas de interés criminal”</w:t>
            </w:r>
            <w:r w:rsidRPr="00833016">
              <w:rPr>
                <w:rStyle w:val="Refdenotaalpie"/>
                <w:rFonts w:cs="Times New Roman"/>
                <w:lang w:val="es-ES"/>
              </w:rPr>
              <w:footnoteReference w:id="641"/>
            </w:r>
            <w:r w:rsidRPr="00833016">
              <w:rPr>
                <w:rFonts w:cs="Times New Roman"/>
                <w:lang w:val="es-ES"/>
              </w:rPr>
              <w:t>. En este segundo semestre del 2023 también se fortaleció su estructura, “especialmente de su componente criminal focalizado, con injerencia en el municipio de Cúcuta y zonas de frontera”</w:t>
            </w:r>
            <w:r w:rsidRPr="00833016">
              <w:rPr>
                <w:rStyle w:val="Refdenotaalpie"/>
                <w:rFonts w:cs="Times New Roman"/>
                <w:lang w:val="es-ES"/>
              </w:rPr>
              <w:footnoteReference w:id="642"/>
            </w:r>
            <w:r w:rsidRPr="00833016">
              <w:rPr>
                <w:rFonts w:cs="Times New Roman"/>
                <w:lang w:val="es-ES"/>
              </w:rPr>
              <w:t xml:space="preserve">. Es posible la </w:t>
            </w:r>
            <w:r w:rsidRPr="00833016">
              <w:rPr>
                <w:rFonts w:cs="Times New Roman"/>
                <w:lang w:val="es-ES"/>
              </w:rPr>
              <w:lastRenderedPageBreak/>
              <w:t>“expansión criminal hacia San Vicente de Chucurí, Lebrija y girón (Santander), San Alberto (Cesar) y La Esperanza (Norte de Santander), con el fin de controlar zonas de consumo y comercialización de drogas ilícitas”</w:t>
            </w:r>
            <w:r w:rsidRPr="00833016">
              <w:rPr>
                <w:rStyle w:val="Refdenotaalpie"/>
                <w:rFonts w:cs="Times New Roman"/>
                <w:lang w:val="es-ES"/>
              </w:rPr>
              <w:footnoteReference w:id="643"/>
            </w:r>
            <w:r w:rsidRPr="00833016">
              <w:rPr>
                <w:rFonts w:cs="Times New Roman"/>
                <w:lang w:val="es-ES"/>
              </w:rPr>
              <w:t>, así como “consolidar nuevos corredores de movilidad desde sus de Bolívar hacia los Santanderes”</w:t>
            </w:r>
            <w:r w:rsidRPr="00833016">
              <w:rPr>
                <w:rStyle w:val="Refdenotaalpie"/>
                <w:rFonts w:cs="Times New Roman"/>
                <w:lang w:val="es-ES"/>
              </w:rPr>
              <w:footnoteReference w:id="644"/>
            </w:r>
            <w:r w:rsidRPr="00833016">
              <w:rPr>
                <w:rFonts w:cs="Times New Roman"/>
                <w:lang w:val="es-ES"/>
              </w:rPr>
              <w:t>.</w:t>
            </w:r>
          </w:p>
          <w:p w14:paraId="0CDFA8D6" w14:textId="77777777" w:rsidR="00C454A1" w:rsidRPr="00833016" w:rsidRDefault="00C454A1" w:rsidP="00881E6A">
            <w:pPr>
              <w:ind w:right="272"/>
              <w:rPr>
                <w:rFonts w:cs="Times New Roman"/>
                <w:lang w:val="es-ES"/>
              </w:rPr>
            </w:pPr>
          </w:p>
          <w:p w14:paraId="7B5CC293" w14:textId="77777777" w:rsidR="00C454A1" w:rsidRPr="00833016" w:rsidRDefault="00C454A1" w:rsidP="00881E6A">
            <w:pPr>
              <w:ind w:right="272"/>
              <w:rPr>
                <w:rFonts w:eastAsia="Times New Roman" w:cs="Times New Roman"/>
                <w:lang w:val="es-ES"/>
              </w:rPr>
            </w:pPr>
            <w:r w:rsidRPr="00833016">
              <w:rPr>
                <w:rFonts w:cs="Times New Roman"/>
                <w:lang w:val="es-ES"/>
              </w:rPr>
              <w:t>En el primer semestre de 2024 hubo “subcontratación y absorción de integrantes de grupos delictivos organizados (GDO)”</w:t>
            </w:r>
            <w:r w:rsidRPr="00833016">
              <w:rPr>
                <w:rStyle w:val="Refdenotaalpie"/>
                <w:rFonts w:cs="Times New Roman"/>
                <w:lang w:val="es-ES"/>
              </w:rPr>
              <w:footnoteReference w:id="645"/>
            </w:r>
            <w:r w:rsidRPr="00833016">
              <w:rPr>
                <w:rFonts w:cs="Times New Roman"/>
                <w:lang w:val="es-ES"/>
              </w:rPr>
              <w:t>. Luego, en el segundo semestre, se presentó una “disminución del 4% de sus integrantes, producto de afectaciones por parte de la Fuerza Pública”</w:t>
            </w:r>
            <w:r w:rsidRPr="00833016">
              <w:rPr>
                <w:rStyle w:val="Refdenotaalpie"/>
                <w:rFonts w:cs="Times New Roman"/>
                <w:lang w:val="es-ES"/>
              </w:rPr>
              <w:footnoteReference w:id="646"/>
            </w:r>
            <w:r w:rsidRPr="00833016">
              <w:rPr>
                <w:rFonts w:cs="Times New Roman"/>
                <w:lang w:val="es-ES"/>
              </w:rPr>
              <w:t xml:space="preserve">. Sin embargo, “las intenciones del GAO en relación </w:t>
            </w:r>
            <w:r>
              <w:rPr>
                <w:rFonts w:cs="Times New Roman"/>
                <w:lang w:val="es-ES"/>
              </w:rPr>
              <w:t>[con]</w:t>
            </w:r>
            <w:r w:rsidRPr="00833016">
              <w:rPr>
                <w:rFonts w:cs="Times New Roman"/>
                <w:lang w:val="es-ES"/>
              </w:rPr>
              <w:t xml:space="preserve"> sostener su presencia delictiva y expandir su injerencia territorial en zona de frontera se mantienen”</w:t>
            </w:r>
            <w:r w:rsidRPr="00833016">
              <w:rPr>
                <w:rStyle w:val="Refdenotaalpie"/>
                <w:rFonts w:cs="Times New Roman"/>
                <w:lang w:val="es-ES"/>
              </w:rPr>
              <w:footnoteReference w:id="647"/>
            </w:r>
            <w:r w:rsidRPr="00833016">
              <w:rPr>
                <w:rFonts w:cs="Times New Roman"/>
                <w:lang w:val="es-ES"/>
              </w:rPr>
              <w:t>. Hubo reacomodamiento y repliegue estratégico a zonas de interés criminal, aprovechamiento del fenómeno de la vigilancia informal, capacitación y entrenamiento de sus integrantes, implementación de oficinas de cobro al servicio del tráfico de estupefacientes en el área metropolitana de Cúcuta, así como empresas de vigilancia de seguridad privada, como fachadas para ingresar a zonas de la ciudad</w:t>
            </w:r>
            <w:r w:rsidRPr="00833016">
              <w:rPr>
                <w:rStyle w:val="Refdenotaalpie"/>
                <w:rFonts w:cs="Times New Roman"/>
                <w:lang w:val="es-ES"/>
              </w:rPr>
              <w:footnoteReference w:id="648"/>
            </w:r>
            <w:r w:rsidRPr="00833016">
              <w:rPr>
                <w:rFonts w:cs="Times New Roman"/>
                <w:lang w:val="es-ES"/>
              </w:rPr>
              <w:t>.</w:t>
            </w:r>
          </w:p>
        </w:tc>
      </w:tr>
      <w:tr w:rsidR="00C454A1" w:rsidRPr="00F8202F" w14:paraId="4D75E17E" w14:textId="77777777" w:rsidTr="005F4A6F">
        <w:trPr>
          <w:trHeight w:val="300"/>
        </w:trPr>
        <w:tc>
          <w:tcPr>
            <w:tcW w:w="642" w:type="pct"/>
            <w:vAlign w:val="center"/>
          </w:tcPr>
          <w:p w14:paraId="3EED495E" w14:textId="77777777" w:rsidR="00C454A1" w:rsidRPr="00833016" w:rsidRDefault="00C454A1" w:rsidP="00881E6A">
            <w:pPr>
              <w:ind w:right="272"/>
              <w:jc w:val="center"/>
              <w:rPr>
                <w:rFonts w:eastAsia="Times New Roman" w:cs="Times New Roman"/>
                <w:lang w:val="es-ES"/>
              </w:rPr>
            </w:pPr>
            <w:r w:rsidRPr="00833016">
              <w:rPr>
                <w:rFonts w:cs="Times New Roman"/>
                <w:b/>
                <w:lang w:val="es-ES"/>
              </w:rPr>
              <w:lastRenderedPageBreak/>
              <w:t>Policía Nacional</w:t>
            </w:r>
          </w:p>
        </w:tc>
        <w:tc>
          <w:tcPr>
            <w:tcW w:w="4358" w:type="pct"/>
          </w:tcPr>
          <w:p w14:paraId="302480E7" w14:textId="77777777" w:rsidR="00C454A1" w:rsidRPr="00833016" w:rsidRDefault="00C454A1" w:rsidP="00881E6A">
            <w:pPr>
              <w:ind w:right="272"/>
              <w:rPr>
                <w:rFonts w:cs="Times New Roman"/>
                <w:lang w:val="es-ES"/>
              </w:rPr>
            </w:pPr>
            <w:r w:rsidRPr="00833016">
              <w:rPr>
                <w:rFonts w:cs="Times New Roman"/>
                <w:lang w:val="es-ES"/>
              </w:rPr>
              <w:t>El Director Nacional de la Policía Nacional de Colombia remitió la siguiente información en relación con las preguntas planteadas en el auto de pruebas respecto de cada uno de los presupuestos: </w:t>
            </w:r>
          </w:p>
          <w:p w14:paraId="0371EB06" w14:textId="77777777" w:rsidR="00C454A1" w:rsidRPr="00833016" w:rsidRDefault="00C454A1" w:rsidP="00881E6A">
            <w:pPr>
              <w:ind w:right="272"/>
              <w:rPr>
                <w:rFonts w:cs="Times New Roman"/>
                <w:lang w:val="es-ES"/>
              </w:rPr>
            </w:pPr>
          </w:p>
          <w:p w14:paraId="4451F522" w14:textId="77777777" w:rsidR="00C454A1" w:rsidRPr="00833016" w:rsidRDefault="00C454A1" w:rsidP="00881E6A">
            <w:pPr>
              <w:ind w:right="272"/>
              <w:rPr>
                <w:rFonts w:cs="Times New Roman"/>
                <w:lang w:val="es-ES"/>
              </w:rPr>
            </w:pPr>
            <w:r w:rsidRPr="00833016">
              <w:rPr>
                <w:rFonts w:cs="Times New Roman"/>
                <w:b/>
                <w:i/>
                <w:lang w:val="es-ES"/>
              </w:rPr>
              <w:t>Presupuesto valorativo</w:t>
            </w:r>
            <w:r w:rsidRPr="00833016">
              <w:rPr>
                <w:rFonts w:cs="Times New Roman"/>
                <w:b/>
                <w:lang w:val="es-ES"/>
              </w:rPr>
              <w:t>.</w:t>
            </w:r>
            <w:r w:rsidRPr="00833016">
              <w:rPr>
                <w:rFonts w:cs="Times New Roman"/>
                <w:lang w:val="es-ES"/>
              </w:rPr>
              <w:t xml:space="preserve"> En primer lugar, manifestó que el “escalamiento e intensificación del accionar violento de los GAO y GDO es extraordinario y significativamente superior a otros años”</w:t>
            </w:r>
            <w:r w:rsidRPr="00833016">
              <w:rPr>
                <w:rStyle w:val="Refdenotaalpie"/>
                <w:rFonts w:cs="Times New Roman"/>
                <w:lang w:val="es-ES"/>
              </w:rPr>
              <w:t xml:space="preserve"> </w:t>
            </w:r>
            <w:r w:rsidRPr="00833016">
              <w:rPr>
                <w:rStyle w:val="Refdenotaalpie"/>
                <w:rFonts w:cs="Times New Roman"/>
                <w:lang w:val="es-ES"/>
              </w:rPr>
              <w:footnoteReference w:id="649"/>
            </w:r>
            <w:r w:rsidRPr="00833016">
              <w:rPr>
                <w:rFonts w:cs="Times New Roman"/>
                <w:lang w:val="es-ES"/>
              </w:rPr>
              <w:t xml:space="preserve">. A su juicio, de esto dan cuenta: el aumento de los homicidios, las lesiones personales y el fenómeno de desplazamiento forzado. Al respecto, precisó que “el ELN ha incrementado sus ataques y hostilidades contra la población civil y especialmente, contra los firmantes del acuerdo </w:t>
            </w:r>
            <w:r w:rsidRPr="00833016">
              <w:rPr>
                <w:rFonts w:cs="Times New Roman"/>
                <w:lang w:val="es-ES"/>
              </w:rPr>
              <w:lastRenderedPageBreak/>
              <w:t>de paz en la región del Catatumbo”</w:t>
            </w:r>
            <w:r w:rsidRPr="00833016">
              <w:rPr>
                <w:rStyle w:val="Refdenotaalpie"/>
                <w:rFonts w:cs="Times New Roman"/>
                <w:lang w:val="es-ES"/>
              </w:rPr>
              <w:footnoteReference w:id="650"/>
            </w:r>
            <w:r w:rsidRPr="00833016">
              <w:rPr>
                <w:rFonts w:cs="Times New Roman"/>
                <w:lang w:val="es-ES"/>
              </w:rPr>
              <w:t>. Estos ataques son financiados, entre otros, “con los recursos provenientes de las actividades y economías ilegales”</w:t>
            </w:r>
            <w:r w:rsidRPr="00833016">
              <w:rPr>
                <w:rStyle w:val="Refdenotaalpie"/>
                <w:rFonts w:cs="Times New Roman"/>
                <w:lang w:val="es-ES"/>
              </w:rPr>
              <w:footnoteReference w:id="651"/>
            </w:r>
            <w:r w:rsidRPr="00833016">
              <w:rPr>
                <w:rFonts w:cs="Times New Roman"/>
                <w:lang w:val="es-ES"/>
              </w:rPr>
              <w:t>.</w:t>
            </w:r>
          </w:p>
          <w:p w14:paraId="1735FCC9" w14:textId="77777777" w:rsidR="00C454A1" w:rsidRPr="00833016" w:rsidRDefault="00C454A1" w:rsidP="00881E6A">
            <w:pPr>
              <w:ind w:right="272"/>
              <w:rPr>
                <w:rFonts w:cs="Times New Roman"/>
                <w:lang w:val="es-ES"/>
              </w:rPr>
            </w:pPr>
          </w:p>
          <w:p w14:paraId="0D2F5FEC" w14:textId="77777777" w:rsidR="00C454A1" w:rsidRPr="00833016" w:rsidRDefault="00C454A1" w:rsidP="00881E6A">
            <w:pPr>
              <w:ind w:right="272"/>
              <w:rPr>
                <w:rFonts w:cs="Times New Roman"/>
                <w:lang w:val="es-ES"/>
              </w:rPr>
            </w:pPr>
            <w:r w:rsidRPr="00833016">
              <w:rPr>
                <w:rFonts w:cs="Times New Roman"/>
                <w:lang w:val="es-ES"/>
              </w:rPr>
              <w:t>En segundo lugar, aclaró que “[d]esde el año 2022 hasta el 15 de enero de 2025, el accionar del ELN y otros GAO y GDO, se centraba en afectaciones directas a la Fuerza Pública”</w:t>
            </w:r>
            <w:r w:rsidRPr="00833016">
              <w:rPr>
                <w:rStyle w:val="Refdenotaalpie"/>
                <w:rFonts w:cs="Times New Roman"/>
                <w:lang w:val="es-ES"/>
              </w:rPr>
              <w:footnoteReference w:id="652"/>
            </w:r>
            <w:r w:rsidRPr="00833016">
              <w:rPr>
                <w:rFonts w:cs="Times New Roman"/>
                <w:lang w:val="es-ES"/>
              </w:rPr>
              <w:t>. En este sentido, no se registró afectación directa en contra de la población civil. Sin embargo, de</w:t>
            </w:r>
            <w:r>
              <w:rPr>
                <w:rFonts w:cs="Times New Roman"/>
                <w:lang w:val="es-ES"/>
              </w:rPr>
              <w:t>sde</w:t>
            </w:r>
            <w:r w:rsidRPr="00833016">
              <w:rPr>
                <w:rFonts w:cs="Times New Roman"/>
                <w:lang w:val="es-ES"/>
              </w:rPr>
              <w:t xml:space="preserve"> el 16 de enero de 2025, “se cuenta con cifras entregadas por los entes territoriales y demás autoridades que reportan más de 53.000 desplazados, 52 muertos con inspección técnica a cadáver y cifras por determinar de al menos unas 40 personas que perdieron la vida con ocasión a la ola de violencia que se presenta y que no fue posible recuperar los cuerpos”</w:t>
            </w:r>
            <w:r w:rsidRPr="00833016">
              <w:rPr>
                <w:rStyle w:val="Refdenotaalpie"/>
                <w:rFonts w:cs="Times New Roman"/>
                <w:lang w:val="es-ES"/>
              </w:rPr>
              <w:footnoteReference w:id="653"/>
            </w:r>
            <w:r w:rsidRPr="00833016">
              <w:rPr>
                <w:rFonts w:cs="Times New Roman"/>
                <w:lang w:val="es-ES"/>
              </w:rPr>
              <w:t xml:space="preserve">. </w:t>
            </w:r>
          </w:p>
          <w:p w14:paraId="6D7F9D59" w14:textId="77777777" w:rsidR="00C454A1" w:rsidRPr="00833016" w:rsidRDefault="00C454A1" w:rsidP="00881E6A">
            <w:pPr>
              <w:ind w:right="272"/>
              <w:rPr>
                <w:rFonts w:cs="Times New Roman"/>
                <w:lang w:val="es-ES"/>
              </w:rPr>
            </w:pPr>
          </w:p>
          <w:p w14:paraId="53C45D83" w14:textId="77777777" w:rsidR="00C454A1" w:rsidRPr="00833016" w:rsidRDefault="00C454A1" w:rsidP="00881E6A">
            <w:pPr>
              <w:ind w:right="272"/>
              <w:rPr>
                <w:rFonts w:cs="Times New Roman"/>
                <w:lang w:val="es-ES"/>
              </w:rPr>
            </w:pPr>
            <w:r w:rsidRPr="00833016">
              <w:rPr>
                <w:rFonts w:cs="Times New Roman"/>
                <w:lang w:val="es-ES"/>
              </w:rPr>
              <w:t>En tercer lugar, indicó que para atender dicha situación adoptó medidas como la instalación del Puesto de Mando Unificado – PMU. Esta es</w:t>
            </w:r>
            <w:r>
              <w:rPr>
                <w:rFonts w:cs="Times New Roman"/>
                <w:lang w:val="es-ES"/>
              </w:rPr>
              <w:t xml:space="preserve"> una</w:t>
            </w:r>
            <w:r w:rsidRPr="00833016">
              <w:rPr>
                <w:rFonts w:cs="Times New Roman"/>
                <w:lang w:val="es-ES"/>
              </w:rPr>
              <w:t xml:space="preserve"> medida de atención y coordinación por la situación presentada en la Subregión del Catatumbo. Este PMU, mediante el Boletín No. 31 del 3 de febrero de 2025, informó que desde e 16 de enero se han registrado los siguientes hechos</w:t>
            </w:r>
            <w:r w:rsidRPr="00833016">
              <w:rPr>
                <w:rStyle w:val="Refdenotaalpie"/>
                <w:rFonts w:cs="Times New Roman"/>
                <w:lang w:val="es-ES"/>
              </w:rPr>
              <w:footnoteReference w:id="654"/>
            </w:r>
            <w:r w:rsidRPr="00833016">
              <w:rPr>
                <w:rFonts w:cs="Times New Roman"/>
                <w:lang w:val="es-ES"/>
              </w:rPr>
              <w:t xml:space="preserve">: </w:t>
            </w:r>
            <w:r w:rsidRPr="00184819">
              <w:rPr>
                <w:rFonts w:cs="Times New Roman"/>
                <w:i/>
                <w:iCs/>
                <w:lang w:val="es-ES"/>
              </w:rPr>
              <w:t>(i)</w:t>
            </w:r>
            <w:r w:rsidRPr="00833016">
              <w:rPr>
                <w:rFonts w:cs="Times New Roman"/>
                <w:lang w:val="es-ES"/>
              </w:rPr>
              <w:t xml:space="preserve"> 52 homicidios, de los cuales 5 corresponden a firmantes de paz, 2 a líderes sociales, 41 particulares y 4 menores de edad. Estos se registraron 25 en Tibú, 21 en Teorama, 4 en El Tarra, 1 en Hacarí y 1 en San Calixto; </w:t>
            </w:r>
            <w:r w:rsidRPr="00184819">
              <w:rPr>
                <w:rFonts w:cs="Times New Roman"/>
                <w:i/>
                <w:iCs/>
                <w:lang w:val="es-ES"/>
              </w:rPr>
              <w:t>(ii)</w:t>
            </w:r>
            <w:r w:rsidRPr="00833016">
              <w:rPr>
                <w:rFonts w:cs="Times New Roman"/>
                <w:lang w:val="es-ES"/>
              </w:rPr>
              <w:t xml:space="preserve"> 15 lesionados (5 en Tibú, 3 en Teorema, 3 en San Calixto, 1 en Convención y 3 en El Tarra); </w:t>
            </w:r>
            <w:r w:rsidRPr="00184819">
              <w:rPr>
                <w:rFonts w:cs="Times New Roman"/>
                <w:i/>
                <w:iCs/>
                <w:lang w:val="es-ES"/>
              </w:rPr>
              <w:t>(iii)</w:t>
            </w:r>
            <w:r w:rsidRPr="00833016">
              <w:rPr>
                <w:rFonts w:cs="Times New Roman"/>
                <w:lang w:val="es-ES"/>
              </w:rPr>
              <w:t xml:space="preserve"> 9 firmantes desaparecidos (5 en Teorema, 1 en Tibú, 2 en El Tarra y 1 en Convención); </w:t>
            </w:r>
            <w:r w:rsidRPr="00184819">
              <w:rPr>
                <w:rFonts w:cs="Times New Roman"/>
                <w:i/>
                <w:iCs/>
                <w:lang w:val="es-ES"/>
              </w:rPr>
              <w:t>(iv)</w:t>
            </w:r>
            <w:r w:rsidRPr="00833016">
              <w:rPr>
                <w:rFonts w:cs="Times New Roman"/>
                <w:lang w:val="es-ES"/>
              </w:rPr>
              <w:t xml:space="preserve"> 53.416 desplazados forzados, lo que supera el total de desplazados del 2024; </w:t>
            </w:r>
            <w:r w:rsidRPr="00184819">
              <w:rPr>
                <w:rFonts w:cs="Times New Roman"/>
                <w:i/>
                <w:iCs/>
                <w:lang w:val="es-ES"/>
              </w:rPr>
              <w:t xml:space="preserve">(v) </w:t>
            </w:r>
            <w:r w:rsidRPr="00833016">
              <w:rPr>
                <w:rFonts w:cs="Times New Roman"/>
                <w:lang w:val="es-ES"/>
              </w:rPr>
              <w:t xml:space="preserve">30.908 confinados; </w:t>
            </w:r>
            <w:r w:rsidRPr="00184819">
              <w:rPr>
                <w:rFonts w:cs="Times New Roman"/>
                <w:i/>
                <w:iCs/>
                <w:lang w:val="es-ES"/>
              </w:rPr>
              <w:t>(vi)</w:t>
            </w:r>
            <w:r w:rsidRPr="00833016">
              <w:rPr>
                <w:rFonts w:cs="Times New Roman"/>
                <w:lang w:val="es-ES"/>
              </w:rPr>
              <w:t xml:space="preserve"> 2.445 personas con alojamientos temporales; </w:t>
            </w:r>
            <w:r w:rsidRPr="00FD26C8">
              <w:rPr>
                <w:rFonts w:cs="Times New Roman"/>
                <w:i/>
                <w:iCs/>
                <w:lang w:val="es-ES"/>
              </w:rPr>
              <w:t>(vii)</w:t>
            </w:r>
            <w:r w:rsidRPr="00833016">
              <w:rPr>
                <w:rFonts w:cs="Times New Roman"/>
                <w:lang w:val="es-ES"/>
              </w:rPr>
              <w:t xml:space="preserve"> 44 restablecimientos de derechos; </w:t>
            </w:r>
            <w:r w:rsidRPr="00FD26C8">
              <w:rPr>
                <w:rFonts w:cs="Times New Roman"/>
                <w:i/>
                <w:iCs/>
                <w:lang w:val="es-ES"/>
              </w:rPr>
              <w:t>(viii)</w:t>
            </w:r>
            <w:r w:rsidRPr="00833016">
              <w:rPr>
                <w:rFonts w:cs="Times New Roman"/>
                <w:lang w:val="es-ES"/>
              </w:rPr>
              <w:t xml:space="preserve"> 22 movilizaciones </w:t>
            </w:r>
            <w:r>
              <w:rPr>
                <w:rFonts w:cs="Times New Roman"/>
                <w:lang w:val="es-ES"/>
              </w:rPr>
              <w:t>—</w:t>
            </w:r>
            <w:r w:rsidRPr="00833016">
              <w:rPr>
                <w:rFonts w:cs="Times New Roman"/>
                <w:lang w:val="es-ES"/>
              </w:rPr>
              <w:t xml:space="preserve">1.370 personas, 127 motocicletas, 54 </w:t>
            </w:r>
            <w:r w:rsidRPr="00833016">
              <w:rPr>
                <w:rFonts w:cs="Times New Roman"/>
                <w:lang w:val="es-ES"/>
              </w:rPr>
              <w:lastRenderedPageBreak/>
              <w:t>vehículos, 49 camionetas, 7 buses, 4 camiones y 1 bu</w:t>
            </w:r>
            <w:r>
              <w:rPr>
                <w:rFonts w:cs="Times New Roman"/>
                <w:lang w:val="es-ES"/>
              </w:rPr>
              <w:t>s—</w:t>
            </w:r>
            <w:r w:rsidRPr="00833016">
              <w:rPr>
                <w:rFonts w:cs="Times New Roman"/>
                <w:lang w:val="es-ES"/>
              </w:rPr>
              <w:t xml:space="preserve"> y, por último, </w:t>
            </w:r>
            <w:r w:rsidRPr="00FD26C8">
              <w:rPr>
                <w:rFonts w:cs="Times New Roman"/>
                <w:i/>
                <w:iCs/>
                <w:lang w:val="es-ES"/>
              </w:rPr>
              <w:t>(ix)</w:t>
            </w:r>
            <w:r w:rsidRPr="00833016">
              <w:rPr>
                <w:rFonts w:cs="Times New Roman"/>
                <w:lang w:val="es-ES"/>
              </w:rPr>
              <w:t xml:space="preserve"> 8 escenarios de confrontación en cinco municipios de impacto: Teorema, Tibú, Sardinata, El Tarra y Convención.</w:t>
            </w:r>
          </w:p>
          <w:p w14:paraId="2F443FEF" w14:textId="77777777" w:rsidR="00C454A1" w:rsidRPr="00833016" w:rsidRDefault="00C454A1" w:rsidP="00881E6A">
            <w:pPr>
              <w:ind w:right="272"/>
              <w:rPr>
                <w:rFonts w:cs="Times New Roman"/>
                <w:lang w:val="es-ES"/>
              </w:rPr>
            </w:pPr>
          </w:p>
          <w:p w14:paraId="68558964" w14:textId="77777777" w:rsidR="00C454A1" w:rsidRPr="00833016" w:rsidRDefault="00C454A1" w:rsidP="00881E6A">
            <w:pPr>
              <w:ind w:right="272"/>
              <w:rPr>
                <w:rFonts w:cs="Times New Roman"/>
                <w:lang w:val="es-ES"/>
              </w:rPr>
            </w:pPr>
            <w:r w:rsidRPr="00833016">
              <w:rPr>
                <w:rFonts w:cs="Times New Roman"/>
                <w:lang w:val="es-ES"/>
              </w:rPr>
              <w:t>Finalmente, en cuanto a los sujetos integrantes de grupos armados u otras estructuras organizadas que hayan sido beneficiarios de medidas como suspensión de órdenes de captura, nombramiento como gestores de paz u otras medidas similares, la policía, a partir de las bases de datos que gestiona, no puede “individualizar la vinculación de personas y su rol en un Grupo Armado, así como los beneficios administrativos o judiciales, gestorías de paz u otras medidas similares previstas en la Ley 2272 de 2022”</w:t>
            </w:r>
            <w:r w:rsidRPr="00833016">
              <w:rPr>
                <w:rStyle w:val="Refdenotaalpie"/>
                <w:rFonts w:cs="Times New Roman"/>
                <w:lang w:val="es-ES"/>
              </w:rPr>
              <w:footnoteReference w:id="655"/>
            </w:r>
            <w:r w:rsidRPr="00833016">
              <w:rPr>
                <w:rFonts w:cs="Times New Roman"/>
                <w:lang w:val="es-ES"/>
              </w:rPr>
              <w:t>.</w:t>
            </w:r>
          </w:p>
          <w:p w14:paraId="3484ABCD" w14:textId="77777777" w:rsidR="00C454A1" w:rsidRPr="00833016" w:rsidRDefault="00C454A1" w:rsidP="00881E6A">
            <w:pPr>
              <w:ind w:right="272"/>
              <w:rPr>
                <w:rFonts w:cs="Times New Roman"/>
                <w:lang w:val="es-ES"/>
              </w:rPr>
            </w:pPr>
          </w:p>
          <w:p w14:paraId="60BFB595" w14:textId="77777777" w:rsidR="00C454A1" w:rsidRPr="00833016" w:rsidRDefault="00C454A1" w:rsidP="00881E6A">
            <w:pPr>
              <w:ind w:right="272"/>
              <w:rPr>
                <w:rFonts w:cs="Times New Roman"/>
                <w:lang w:val="es-ES"/>
              </w:rPr>
            </w:pPr>
            <w:r w:rsidRPr="00833016">
              <w:rPr>
                <w:rFonts w:cs="Times New Roman"/>
                <w:b/>
                <w:i/>
                <w:lang w:val="es-ES"/>
              </w:rPr>
              <w:t>Presupuesto de suficiencia</w:t>
            </w:r>
            <w:r w:rsidRPr="00833016">
              <w:rPr>
                <w:rFonts w:cs="Times New Roman"/>
                <w:b/>
                <w:lang w:val="es-ES"/>
              </w:rPr>
              <w:t xml:space="preserve">. </w:t>
            </w:r>
            <w:r w:rsidRPr="00833016">
              <w:rPr>
                <w:rFonts w:cs="Times New Roman"/>
                <w:lang w:val="es-ES"/>
              </w:rPr>
              <w:t>Al respecto, informó que el número de oficiales de policía, agentes y patrullas destinadas a preservar el orden público en la región del Catatumbo, el área metropolitana de Cúcuta, así como los municipios de Río de Oro y González, y si ese número ha sido incrementado en los últimos años, se tiene lo siguiente</w:t>
            </w:r>
            <w:r w:rsidRPr="00833016">
              <w:rPr>
                <w:rStyle w:val="Refdenotaalpie"/>
                <w:rFonts w:cs="Times New Roman"/>
                <w:lang w:val="es-ES"/>
              </w:rPr>
              <w:footnoteReference w:id="656"/>
            </w:r>
            <w:r w:rsidRPr="00833016">
              <w:rPr>
                <w:rFonts w:cs="Times New Roman"/>
                <w:lang w:val="es-ES"/>
              </w:rPr>
              <w:t>:</w:t>
            </w:r>
          </w:p>
          <w:p w14:paraId="35A5F45D" w14:textId="77777777" w:rsidR="00C454A1" w:rsidRDefault="00C454A1" w:rsidP="00881E6A">
            <w:pPr>
              <w:ind w:right="272"/>
              <w:rPr>
                <w:rFonts w:cs="Times New Roman"/>
                <w:lang w:val="es-ES"/>
              </w:rPr>
            </w:pPr>
          </w:p>
          <w:p w14:paraId="3A9C6874" w14:textId="77777777" w:rsidR="00C454A1" w:rsidRPr="003B3111" w:rsidRDefault="00C454A1" w:rsidP="00881E6A">
            <w:pPr>
              <w:ind w:right="272"/>
              <w:jc w:val="center"/>
              <w:rPr>
                <w:rFonts w:cs="Times New Roman"/>
                <w:i/>
                <w:iCs/>
                <w:sz w:val="20"/>
                <w:szCs w:val="20"/>
                <w:lang w:val="es-ES"/>
              </w:rPr>
            </w:pPr>
            <w:r w:rsidRPr="003B3111">
              <w:rPr>
                <w:rFonts w:cs="Times New Roman"/>
                <w:i/>
                <w:iCs/>
                <w:sz w:val="20"/>
                <w:szCs w:val="20"/>
                <w:lang w:val="es-ES"/>
              </w:rPr>
              <w:t>Tabla 22: número de oficiales de policía, agentes y patrullas destinadas a preservar el orden público en la región</w:t>
            </w:r>
          </w:p>
          <w:tbl>
            <w:tblPr>
              <w:tblStyle w:val="Tablaconcuadrcula"/>
              <w:tblW w:w="0" w:type="auto"/>
              <w:jc w:val="center"/>
              <w:tblLook w:val="04A0" w:firstRow="1" w:lastRow="0" w:firstColumn="1" w:lastColumn="0" w:noHBand="0" w:noVBand="1"/>
            </w:tblPr>
            <w:tblGrid>
              <w:gridCol w:w="1558"/>
              <w:gridCol w:w="1558"/>
              <w:gridCol w:w="1558"/>
              <w:gridCol w:w="1558"/>
              <w:gridCol w:w="1559"/>
              <w:gridCol w:w="1844"/>
            </w:tblGrid>
            <w:tr w:rsidR="00C454A1" w:rsidRPr="00F8202F" w14:paraId="3EE76096" w14:textId="77777777" w:rsidTr="001F3006">
              <w:trPr>
                <w:trHeight w:val="300"/>
                <w:jc w:val="center"/>
              </w:trPr>
              <w:tc>
                <w:tcPr>
                  <w:tcW w:w="1558" w:type="dxa"/>
                  <w:shd w:val="clear" w:color="auto" w:fill="D1D1D1" w:themeFill="background2" w:themeFillShade="E6"/>
                  <w:vAlign w:val="center"/>
                </w:tcPr>
                <w:p w14:paraId="1D600DB9"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UNIDAD</w:t>
                  </w:r>
                </w:p>
              </w:tc>
              <w:tc>
                <w:tcPr>
                  <w:tcW w:w="1558" w:type="dxa"/>
                  <w:shd w:val="clear" w:color="auto" w:fill="D1D1D1" w:themeFill="background2" w:themeFillShade="E6"/>
                  <w:vAlign w:val="center"/>
                </w:tcPr>
                <w:p w14:paraId="08FB350C"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Cantidad</w:t>
                  </w:r>
                </w:p>
                <w:p w14:paraId="282EC1BC"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2022</w:t>
                  </w:r>
                </w:p>
              </w:tc>
              <w:tc>
                <w:tcPr>
                  <w:tcW w:w="1558" w:type="dxa"/>
                  <w:shd w:val="clear" w:color="auto" w:fill="D1D1D1" w:themeFill="background2" w:themeFillShade="E6"/>
                  <w:vAlign w:val="center"/>
                </w:tcPr>
                <w:p w14:paraId="24CB21DD"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Cantidad</w:t>
                  </w:r>
                </w:p>
                <w:p w14:paraId="1FDEE996"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2023</w:t>
                  </w:r>
                </w:p>
              </w:tc>
              <w:tc>
                <w:tcPr>
                  <w:tcW w:w="1558" w:type="dxa"/>
                  <w:shd w:val="clear" w:color="auto" w:fill="D1D1D1" w:themeFill="background2" w:themeFillShade="E6"/>
                  <w:vAlign w:val="center"/>
                </w:tcPr>
                <w:p w14:paraId="45B3F237"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Cantidad</w:t>
                  </w:r>
                </w:p>
                <w:p w14:paraId="235FEFD7"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2024</w:t>
                  </w:r>
                </w:p>
              </w:tc>
              <w:tc>
                <w:tcPr>
                  <w:tcW w:w="1559" w:type="dxa"/>
                  <w:shd w:val="clear" w:color="auto" w:fill="D1D1D1" w:themeFill="background2" w:themeFillShade="E6"/>
                  <w:vAlign w:val="center"/>
                </w:tcPr>
                <w:p w14:paraId="3280C600"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Cantidad</w:t>
                  </w:r>
                </w:p>
                <w:p w14:paraId="1138BF00"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2025</w:t>
                  </w:r>
                </w:p>
              </w:tc>
              <w:tc>
                <w:tcPr>
                  <w:tcW w:w="1825" w:type="dxa"/>
                  <w:shd w:val="clear" w:color="auto" w:fill="D1D1D1" w:themeFill="background2" w:themeFillShade="E6"/>
                  <w:vAlign w:val="center"/>
                </w:tcPr>
                <w:p w14:paraId="4904240A"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PROCENTAJE</w:t>
                  </w:r>
                </w:p>
              </w:tc>
            </w:tr>
            <w:tr w:rsidR="00C454A1" w:rsidRPr="00F8202F" w14:paraId="1CAC508F" w14:textId="77777777" w:rsidTr="001F3006">
              <w:trPr>
                <w:trHeight w:val="300"/>
                <w:jc w:val="center"/>
              </w:trPr>
              <w:tc>
                <w:tcPr>
                  <w:tcW w:w="1558" w:type="dxa"/>
                  <w:vAlign w:val="center"/>
                </w:tcPr>
                <w:p w14:paraId="4D7122DF"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Reg. Catatu.</w:t>
                  </w:r>
                </w:p>
              </w:tc>
              <w:tc>
                <w:tcPr>
                  <w:tcW w:w="1558" w:type="dxa"/>
                  <w:vAlign w:val="center"/>
                </w:tcPr>
                <w:p w14:paraId="0853B0B0"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304</w:t>
                  </w:r>
                </w:p>
              </w:tc>
              <w:tc>
                <w:tcPr>
                  <w:tcW w:w="1558" w:type="dxa"/>
                  <w:vAlign w:val="center"/>
                </w:tcPr>
                <w:p w14:paraId="0DAE0417"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291</w:t>
                  </w:r>
                </w:p>
              </w:tc>
              <w:tc>
                <w:tcPr>
                  <w:tcW w:w="1558" w:type="dxa"/>
                  <w:vAlign w:val="center"/>
                </w:tcPr>
                <w:p w14:paraId="67DFAA03"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297</w:t>
                  </w:r>
                </w:p>
              </w:tc>
              <w:tc>
                <w:tcPr>
                  <w:tcW w:w="1559" w:type="dxa"/>
                  <w:vAlign w:val="center"/>
                </w:tcPr>
                <w:p w14:paraId="0A8A361F"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440</w:t>
                  </w:r>
                </w:p>
              </w:tc>
              <w:tc>
                <w:tcPr>
                  <w:tcW w:w="1825" w:type="dxa"/>
                  <w:vAlign w:val="center"/>
                </w:tcPr>
                <w:p w14:paraId="734AEE7E"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44.73%</w:t>
                  </w:r>
                </w:p>
              </w:tc>
            </w:tr>
            <w:tr w:rsidR="00C454A1" w:rsidRPr="00F8202F" w14:paraId="54BC659E" w14:textId="77777777" w:rsidTr="001F3006">
              <w:trPr>
                <w:trHeight w:val="300"/>
                <w:jc w:val="center"/>
              </w:trPr>
              <w:tc>
                <w:tcPr>
                  <w:tcW w:w="1558" w:type="dxa"/>
                  <w:vAlign w:val="center"/>
                </w:tcPr>
                <w:p w14:paraId="199B504C"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Metr. Cúcuta</w:t>
                  </w:r>
                </w:p>
              </w:tc>
              <w:tc>
                <w:tcPr>
                  <w:tcW w:w="1558" w:type="dxa"/>
                  <w:vAlign w:val="center"/>
                </w:tcPr>
                <w:p w14:paraId="76643EFC"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3.230</w:t>
                  </w:r>
                </w:p>
              </w:tc>
              <w:tc>
                <w:tcPr>
                  <w:tcW w:w="1558" w:type="dxa"/>
                  <w:vAlign w:val="center"/>
                </w:tcPr>
                <w:p w14:paraId="7ED13F68"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3.221</w:t>
                  </w:r>
                </w:p>
              </w:tc>
              <w:tc>
                <w:tcPr>
                  <w:tcW w:w="1558" w:type="dxa"/>
                  <w:vAlign w:val="center"/>
                </w:tcPr>
                <w:p w14:paraId="3C7A6E58"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3.409</w:t>
                  </w:r>
                </w:p>
              </w:tc>
              <w:tc>
                <w:tcPr>
                  <w:tcW w:w="1559" w:type="dxa"/>
                  <w:vAlign w:val="center"/>
                </w:tcPr>
                <w:p w14:paraId="3FE7FFA9"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3.413</w:t>
                  </w:r>
                </w:p>
              </w:tc>
              <w:tc>
                <w:tcPr>
                  <w:tcW w:w="1825" w:type="dxa"/>
                  <w:vAlign w:val="center"/>
                </w:tcPr>
                <w:p w14:paraId="4247BA21"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5.66%</w:t>
                  </w:r>
                </w:p>
              </w:tc>
            </w:tr>
            <w:tr w:rsidR="00C454A1" w:rsidRPr="00F8202F" w14:paraId="4AB68BCD" w14:textId="77777777" w:rsidTr="001F3006">
              <w:trPr>
                <w:trHeight w:val="300"/>
                <w:jc w:val="center"/>
              </w:trPr>
              <w:tc>
                <w:tcPr>
                  <w:tcW w:w="1558" w:type="dxa"/>
                  <w:vAlign w:val="center"/>
                </w:tcPr>
                <w:p w14:paraId="5A93523C"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Río de Oro</w:t>
                  </w:r>
                </w:p>
              </w:tc>
              <w:tc>
                <w:tcPr>
                  <w:tcW w:w="1558" w:type="dxa"/>
                  <w:vAlign w:val="center"/>
                </w:tcPr>
                <w:p w14:paraId="60C6C0F4"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14</w:t>
                  </w:r>
                </w:p>
              </w:tc>
              <w:tc>
                <w:tcPr>
                  <w:tcW w:w="1558" w:type="dxa"/>
                  <w:vAlign w:val="center"/>
                </w:tcPr>
                <w:p w14:paraId="43E545D4"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15</w:t>
                  </w:r>
                </w:p>
              </w:tc>
              <w:tc>
                <w:tcPr>
                  <w:tcW w:w="1558" w:type="dxa"/>
                  <w:vAlign w:val="center"/>
                </w:tcPr>
                <w:p w14:paraId="4DB4B327"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16</w:t>
                  </w:r>
                </w:p>
              </w:tc>
              <w:tc>
                <w:tcPr>
                  <w:tcW w:w="1559" w:type="dxa"/>
                  <w:vAlign w:val="center"/>
                </w:tcPr>
                <w:p w14:paraId="2849B08B"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16</w:t>
                  </w:r>
                </w:p>
              </w:tc>
              <w:tc>
                <w:tcPr>
                  <w:tcW w:w="1825" w:type="dxa"/>
                  <w:vAlign w:val="center"/>
                </w:tcPr>
                <w:p w14:paraId="2E068203"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14.28%</w:t>
                  </w:r>
                </w:p>
              </w:tc>
            </w:tr>
            <w:tr w:rsidR="00C454A1" w:rsidRPr="00F8202F" w14:paraId="728798EE" w14:textId="77777777" w:rsidTr="001F3006">
              <w:trPr>
                <w:trHeight w:val="300"/>
                <w:jc w:val="center"/>
              </w:trPr>
              <w:tc>
                <w:tcPr>
                  <w:tcW w:w="1558" w:type="dxa"/>
                  <w:vAlign w:val="center"/>
                </w:tcPr>
                <w:p w14:paraId="581E01BA"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González</w:t>
                  </w:r>
                </w:p>
              </w:tc>
              <w:tc>
                <w:tcPr>
                  <w:tcW w:w="1558" w:type="dxa"/>
                  <w:vAlign w:val="center"/>
                </w:tcPr>
                <w:p w14:paraId="123516A3"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14</w:t>
                  </w:r>
                </w:p>
              </w:tc>
              <w:tc>
                <w:tcPr>
                  <w:tcW w:w="1558" w:type="dxa"/>
                  <w:vAlign w:val="center"/>
                </w:tcPr>
                <w:p w14:paraId="19B22B6E"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15</w:t>
                  </w:r>
                </w:p>
              </w:tc>
              <w:tc>
                <w:tcPr>
                  <w:tcW w:w="1558" w:type="dxa"/>
                  <w:vAlign w:val="center"/>
                </w:tcPr>
                <w:p w14:paraId="6338E7FC"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15</w:t>
                  </w:r>
                </w:p>
              </w:tc>
              <w:tc>
                <w:tcPr>
                  <w:tcW w:w="1559" w:type="dxa"/>
                  <w:vAlign w:val="center"/>
                </w:tcPr>
                <w:p w14:paraId="1928A443"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15</w:t>
                  </w:r>
                </w:p>
              </w:tc>
              <w:tc>
                <w:tcPr>
                  <w:tcW w:w="1825" w:type="dxa"/>
                  <w:vAlign w:val="center"/>
                </w:tcPr>
                <w:p w14:paraId="47325F87"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7.14%</w:t>
                  </w:r>
                </w:p>
              </w:tc>
            </w:tr>
            <w:tr w:rsidR="00C454A1" w:rsidRPr="00F8202F" w14:paraId="43103FC2" w14:textId="77777777" w:rsidTr="001F3006">
              <w:trPr>
                <w:trHeight w:val="300"/>
                <w:jc w:val="center"/>
              </w:trPr>
              <w:tc>
                <w:tcPr>
                  <w:tcW w:w="1558" w:type="dxa"/>
                  <w:vAlign w:val="center"/>
                </w:tcPr>
                <w:p w14:paraId="5702C8F6" w14:textId="77777777" w:rsidR="00C454A1" w:rsidRPr="00833016" w:rsidRDefault="00C454A1" w:rsidP="00881E6A">
                  <w:pPr>
                    <w:ind w:right="272"/>
                    <w:jc w:val="center"/>
                    <w:rPr>
                      <w:rFonts w:cs="Times New Roman"/>
                      <w:b/>
                      <w:sz w:val="20"/>
                      <w:szCs w:val="20"/>
                      <w:lang w:val="es-ES"/>
                    </w:rPr>
                  </w:pPr>
                  <w:r w:rsidRPr="00833016">
                    <w:rPr>
                      <w:rFonts w:cs="Times New Roman"/>
                      <w:b/>
                      <w:sz w:val="20"/>
                      <w:szCs w:val="20"/>
                      <w:lang w:val="es-ES"/>
                    </w:rPr>
                    <w:t>TOTAL</w:t>
                  </w:r>
                </w:p>
              </w:tc>
              <w:tc>
                <w:tcPr>
                  <w:tcW w:w="1558" w:type="dxa"/>
                  <w:vAlign w:val="center"/>
                </w:tcPr>
                <w:p w14:paraId="20E471CA"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3.562</w:t>
                  </w:r>
                </w:p>
              </w:tc>
              <w:tc>
                <w:tcPr>
                  <w:tcW w:w="1558" w:type="dxa"/>
                  <w:vAlign w:val="center"/>
                </w:tcPr>
                <w:p w14:paraId="76EE25DA"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3.542</w:t>
                  </w:r>
                </w:p>
              </w:tc>
              <w:tc>
                <w:tcPr>
                  <w:tcW w:w="1558" w:type="dxa"/>
                  <w:vAlign w:val="center"/>
                </w:tcPr>
                <w:p w14:paraId="292F0360"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3.737</w:t>
                  </w:r>
                </w:p>
              </w:tc>
              <w:tc>
                <w:tcPr>
                  <w:tcW w:w="1559" w:type="dxa"/>
                  <w:vAlign w:val="center"/>
                </w:tcPr>
                <w:p w14:paraId="0BA13200"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3.884</w:t>
                  </w:r>
                </w:p>
              </w:tc>
              <w:tc>
                <w:tcPr>
                  <w:tcW w:w="1825" w:type="dxa"/>
                  <w:vAlign w:val="center"/>
                </w:tcPr>
                <w:p w14:paraId="4207DF59"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9.03%</w:t>
                  </w:r>
                </w:p>
              </w:tc>
            </w:tr>
          </w:tbl>
          <w:p w14:paraId="616ADAEE"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Fuente. Dirección de Talento Humano – PONAL</w:t>
            </w:r>
          </w:p>
          <w:p w14:paraId="5B5DB40D" w14:textId="77777777" w:rsidR="00C454A1" w:rsidRPr="00833016" w:rsidRDefault="00C454A1" w:rsidP="00881E6A">
            <w:pPr>
              <w:ind w:right="272"/>
              <w:rPr>
                <w:rFonts w:cs="Times New Roman"/>
                <w:lang w:val="es-ES"/>
              </w:rPr>
            </w:pPr>
          </w:p>
          <w:p w14:paraId="34D13D86" w14:textId="77777777" w:rsidR="00C454A1" w:rsidRPr="00833016" w:rsidRDefault="00C454A1" w:rsidP="00881E6A">
            <w:pPr>
              <w:ind w:right="272"/>
              <w:rPr>
                <w:rFonts w:cs="Times New Roman"/>
                <w:lang w:val="es-ES"/>
              </w:rPr>
            </w:pPr>
            <w:r w:rsidRPr="00833016">
              <w:rPr>
                <w:rFonts w:cs="Times New Roman"/>
                <w:lang w:val="es-ES"/>
              </w:rPr>
              <w:lastRenderedPageBreak/>
              <w:t>De otro lado, en cuanto a las medidas ordinarias disponibles para mantener el control territorial, preservar el orden público y afrontar escalamientos inusitados de violencia indicó que, con fundamento en las disposiciones constitucionales, legales y reglamentarias que regulan la actividad de policía, “los gobernadores y alcaldes como garantes del orden público en cada una de sus jurisdicciones”</w:t>
            </w:r>
            <w:r w:rsidRPr="00833016">
              <w:rPr>
                <w:rStyle w:val="Refdenotaalpie"/>
                <w:rFonts w:cs="Times New Roman"/>
                <w:lang w:val="es-ES"/>
              </w:rPr>
              <w:footnoteReference w:id="657"/>
            </w:r>
            <w:r w:rsidRPr="00833016">
              <w:rPr>
                <w:rFonts w:cs="Times New Roman"/>
                <w:lang w:val="es-ES"/>
              </w:rPr>
              <w:t xml:space="preserve">, pueden disponer de acciones como: </w:t>
            </w:r>
            <w:r w:rsidRPr="00C37297">
              <w:rPr>
                <w:rFonts w:cs="Times New Roman"/>
                <w:i/>
                <w:iCs/>
                <w:lang w:val="es-ES"/>
              </w:rPr>
              <w:t xml:space="preserve">(i) </w:t>
            </w:r>
            <w:r w:rsidRPr="00833016">
              <w:rPr>
                <w:rFonts w:cs="Times New Roman"/>
                <w:lang w:val="es-ES"/>
              </w:rPr>
              <w:t xml:space="preserve">restricciones a la circulación de personas y vehículos; </w:t>
            </w:r>
            <w:r w:rsidRPr="00C37297">
              <w:rPr>
                <w:rFonts w:cs="Times New Roman"/>
                <w:i/>
                <w:iCs/>
                <w:lang w:val="es-ES"/>
              </w:rPr>
              <w:t>(ii)</w:t>
            </w:r>
            <w:r w:rsidRPr="00833016">
              <w:rPr>
                <w:rFonts w:cs="Times New Roman"/>
                <w:lang w:val="es-ES"/>
              </w:rPr>
              <w:t xml:space="preserve"> suspensión de permisos para porte de armas de fuego; </w:t>
            </w:r>
            <w:r w:rsidRPr="00C37297">
              <w:rPr>
                <w:rFonts w:cs="Times New Roman"/>
                <w:i/>
                <w:iCs/>
                <w:lang w:val="es-ES"/>
              </w:rPr>
              <w:t>(iii)</w:t>
            </w:r>
            <w:r w:rsidRPr="00833016">
              <w:rPr>
                <w:rFonts w:cs="Times New Roman"/>
                <w:lang w:val="es-ES"/>
              </w:rPr>
              <w:t xml:space="preserve"> prohibir el consumo de bebidas embriagantes y </w:t>
            </w:r>
            <w:r w:rsidRPr="00C37297">
              <w:rPr>
                <w:rFonts w:cs="Times New Roman"/>
                <w:i/>
                <w:iCs/>
                <w:lang w:val="es-ES"/>
              </w:rPr>
              <w:t>(iv)</w:t>
            </w:r>
            <w:r w:rsidRPr="00833016">
              <w:rPr>
                <w:rFonts w:cs="Times New Roman"/>
                <w:lang w:val="es-ES"/>
              </w:rPr>
              <w:t xml:space="preserve"> limitaciones respecto del uso del espacio público.  </w:t>
            </w:r>
          </w:p>
          <w:p w14:paraId="5A321F9C" w14:textId="77777777" w:rsidR="00C454A1" w:rsidRPr="00833016" w:rsidRDefault="00C454A1" w:rsidP="00881E6A">
            <w:pPr>
              <w:ind w:right="272"/>
              <w:rPr>
                <w:rFonts w:cs="Times New Roman"/>
                <w:lang w:val="es-ES"/>
              </w:rPr>
            </w:pPr>
          </w:p>
          <w:p w14:paraId="4FF38D05" w14:textId="77777777" w:rsidR="00C454A1" w:rsidRPr="00833016" w:rsidRDefault="00C454A1" w:rsidP="00881E6A">
            <w:pPr>
              <w:ind w:right="272"/>
              <w:rPr>
                <w:rFonts w:eastAsia="Times New Roman" w:cs="Times New Roman"/>
                <w:lang w:val="es-ES"/>
              </w:rPr>
            </w:pPr>
            <w:r w:rsidRPr="00833016">
              <w:rPr>
                <w:rFonts w:cs="Times New Roman"/>
                <w:lang w:val="es-ES"/>
              </w:rPr>
              <w:t>En adición, indicó que “la Policía Nacional, desde el ámbito de sus competencias constitucionales y reglamentarias, ha generado acciones preventivas, investigativas y de inteligencia”</w:t>
            </w:r>
            <w:r w:rsidRPr="00833016">
              <w:rPr>
                <w:rStyle w:val="Refdenotaalpie"/>
                <w:rFonts w:cs="Times New Roman"/>
                <w:lang w:val="es-ES"/>
              </w:rPr>
              <w:footnoteReference w:id="658"/>
            </w:r>
            <w:r w:rsidRPr="00833016">
              <w:rPr>
                <w:rFonts w:cs="Times New Roman"/>
                <w:lang w:val="es-ES"/>
              </w:rPr>
              <w:t>, con el fin de contribuir al restablecimiento de la seguridad en la región del Catatumbo, y el área metropolitana de Cúcuta, y los municipios de Río de Oro y González. Ahora bien, “para efectos de llevar a cabo el despliegue de acciones institucionales, (…) demandan de la apropiación de recursos que permitan garantizar el despliegue y ejecución en la jurisdicción, mismos que involucran capacidades en materia de talento humano, presupuesto, logística y articulación operacional”</w:t>
            </w:r>
            <w:r w:rsidRPr="00833016">
              <w:rPr>
                <w:rStyle w:val="Refdenotaalpie"/>
                <w:rFonts w:cs="Times New Roman"/>
                <w:lang w:val="es-ES"/>
              </w:rPr>
              <w:footnoteReference w:id="659"/>
            </w:r>
            <w:r w:rsidRPr="00833016">
              <w:rPr>
                <w:rFonts w:cs="Times New Roman"/>
                <w:lang w:val="es-ES"/>
              </w:rPr>
              <w:t xml:space="preserve">. </w:t>
            </w:r>
          </w:p>
        </w:tc>
      </w:tr>
      <w:tr w:rsidR="00C454A1" w:rsidRPr="00F8202F" w14:paraId="726EB67F" w14:textId="77777777" w:rsidTr="005F4A6F">
        <w:trPr>
          <w:trHeight w:val="300"/>
        </w:trPr>
        <w:tc>
          <w:tcPr>
            <w:tcW w:w="642" w:type="pct"/>
            <w:vAlign w:val="center"/>
          </w:tcPr>
          <w:p w14:paraId="3E586F19" w14:textId="77777777" w:rsidR="00C454A1" w:rsidRPr="00833016" w:rsidRDefault="00C454A1" w:rsidP="00881E6A">
            <w:pPr>
              <w:ind w:right="272"/>
              <w:jc w:val="center"/>
              <w:rPr>
                <w:rFonts w:eastAsia="Times New Roman" w:cs="Times New Roman"/>
                <w:lang w:val="es-ES"/>
              </w:rPr>
            </w:pPr>
            <w:r w:rsidRPr="00833016">
              <w:rPr>
                <w:rFonts w:cs="Times New Roman"/>
                <w:b/>
                <w:lang w:val="es-ES"/>
              </w:rPr>
              <w:lastRenderedPageBreak/>
              <w:t>Municipio de Ocaña II</w:t>
            </w:r>
          </w:p>
        </w:tc>
        <w:tc>
          <w:tcPr>
            <w:tcW w:w="4358" w:type="pct"/>
          </w:tcPr>
          <w:p w14:paraId="61AAE121" w14:textId="77777777" w:rsidR="00C454A1" w:rsidRPr="00833016" w:rsidRDefault="00C454A1" w:rsidP="00881E6A">
            <w:pPr>
              <w:ind w:right="272"/>
              <w:rPr>
                <w:rFonts w:cs="Times New Roman"/>
                <w:lang w:val="es-ES"/>
              </w:rPr>
            </w:pPr>
            <w:r w:rsidRPr="00833016">
              <w:rPr>
                <w:rFonts w:cs="Times New Roman"/>
                <w:lang w:val="es-ES"/>
              </w:rPr>
              <w:t>El Alcalde del municipio de Ocaña remitió la siguiente información en relación con las preguntas planteadas en el auto de pruebas respecto de cada uno de los presupuestos:</w:t>
            </w:r>
          </w:p>
          <w:p w14:paraId="738BA107" w14:textId="77777777" w:rsidR="00C454A1" w:rsidRPr="00833016" w:rsidRDefault="00C454A1" w:rsidP="00881E6A">
            <w:pPr>
              <w:ind w:right="272"/>
              <w:rPr>
                <w:rFonts w:cs="Times New Roman"/>
                <w:b/>
                <w:lang w:val="es-ES"/>
              </w:rPr>
            </w:pPr>
          </w:p>
          <w:p w14:paraId="4EAD74EA" w14:textId="77777777" w:rsidR="00C454A1" w:rsidRPr="00833016" w:rsidRDefault="00C454A1" w:rsidP="00881E6A">
            <w:pPr>
              <w:ind w:right="272"/>
              <w:rPr>
                <w:rFonts w:cs="Times New Roman"/>
                <w:lang w:val="es-ES"/>
              </w:rPr>
            </w:pPr>
            <w:r w:rsidRPr="00833016">
              <w:rPr>
                <w:rFonts w:cs="Times New Roman"/>
                <w:b/>
                <w:bCs/>
                <w:i/>
                <w:iCs/>
                <w:lang w:val="es-ES"/>
              </w:rPr>
              <w:t>Presupuesto fáctico</w:t>
            </w:r>
            <w:r w:rsidRPr="00833016">
              <w:rPr>
                <w:rFonts w:cs="Times New Roman"/>
                <w:b/>
                <w:bCs/>
                <w:lang w:val="es-ES"/>
              </w:rPr>
              <w:t>.</w:t>
            </w:r>
            <w:r w:rsidRPr="00833016">
              <w:rPr>
                <w:rFonts w:cs="Times New Roman"/>
                <w:lang w:val="es-ES"/>
              </w:rPr>
              <w:t xml:space="preserve"> El 6 de febrero de 2024, el Alcalde del municipio de Ocaña manifestó que este municipio “no ha sido escenario de desplazamientos forzados de su población, pero sí ha sido un municipio receptor de personas desplazadas provenientes de otras regiones, principalmente debido a la presencia y accionar de grupos armados ilegales en zonas rurales y municipios vecinos”</w:t>
            </w:r>
            <w:r w:rsidRPr="00833016">
              <w:rPr>
                <w:rStyle w:val="Refdenotaalpie"/>
                <w:rFonts w:cs="Times New Roman"/>
                <w:lang w:val="es-ES"/>
              </w:rPr>
              <w:footnoteReference w:id="660"/>
            </w:r>
            <w:r w:rsidRPr="00833016">
              <w:rPr>
                <w:rFonts w:cs="Times New Roman"/>
                <w:lang w:val="es-ES"/>
              </w:rPr>
              <w:t xml:space="preserve">. En efecto, este municipio ha recibido “10.228 personas organizadas en 4.089 </w:t>
            </w:r>
            <w:r w:rsidRPr="00833016">
              <w:rPr>
                <w:rFonts w:cs="Times New Roman"/>
                <w:lang w:val="es-ES"/>
              </w:rPr>
              <w:lastRenderedPageBreak/>
              <w:t>núcleos familiares”</w:t>
            </w:r>
            <w:r w:rsidRPr="00833016">
              <w:rPr>
                <w:rStyle w:val="Refdenotaalpie"/>
                <w:rFonts w:cs="Times New Roman"/>
                <w:lang w:val="es-ES"/>
              </w:rPr>
              <w:footnoteReference w:id="661"/>
            </w:r>
            <w:r w:rsidRPr="00833016">
              <w:rPr>
                <w:rFonts w:cs="Times New Roman"/>
                <w:lang w:val="es-ES"/>
              </w:rPr>
              <w:t>. Esta es una cifra que desborda “por completo la capacidad operativa, logística y financiera de la Administración Municipal, generando una emergencia que requirió la intervención urgente de otros niveles de gobierno”</w:t>
            </w:r>
            <w:r w:rsidRPr="00833016">
              <w:rPr>
                <w:rStyle w:val="Refdenotaalpie"/>
                <w:rFonts w:cs="Times New Roman"/>
                <w:lang w:val="es-ES"/>
              </w:rPr>
              <w:footnoteReference w:id="662"/>
            </w:r>
            <w:r w:rsidRPr="00833016">
              <w:rPr>
                <w:rFonts w:cs="Times New Roman"/>
                <w:lang w:val="es-ES"/>
              </w:rPr>
              <w:t>.</w:t>
            </w:r>
          </w:p>
          <w:p w14:paraId="6F6B1A15" w14:textId="77777777" w:rsidR="00C454A1" w:rsidRPr="00833016" w:rsidRDefault="00C454A1" w:rsidP="00881E6A">
            <w:pPr>
              <w:ind w:right="272"/>
              <w:rPr>
                <w:rFonts w:cs="Times New Roman"/>
                <w:lang w:val="es-ES"/>
              </w:rPr>
            </w:pPr>
          </w:p>
          <w:p w14:paraId="7AD4991A" w14:textId="77777777" w:rsidR="00C454A1" w:rsidRPr="00833016" w:rsidRDefault="00C454A1" w:rsidP="00881E6A">
            <w:pPr>
              <w:ind w:right="272"/>
              <w:rPr>
                <w:rFonts w:cs="Times New Roman"/>
                <w:lang w:val="es-ES"/>
              </w:rPr>
            </w:pPr>
            <w:r w:rsidRPr="00833016">
              <w:rPr>
                <w:rFonts w:cs="Times New Roman"/>
                <w:lang w:val="es-ES"/>
              </w:rPr>
              <w:t>Para atender dicha situación, inicialmente, la Alcaldía de Ocaña activó sus mecanismos de respuesta inmediata, disponiendo la suscripción del contrato “SG UM 001 DE 2025 operación logística para atender las necesidades de atención humanitaria inmediata entregada a víctimas del conflicto armado, acorde a la urgencia manifiesta declarada por el municipio de Ocaña Norte de Santander mediante el Decreto N°007 de fecha 17 de enero del 2025, por un valor de $71,397,491.00”</w:t>
            </w:r>
            <w:r w:rsidRPr="00833016">
              <w:rPr>
                <w:rStyle w:val="Refdenotaalpie"/>
                <w:rFonts w:cs="Times New Roman"/>
                <w:lang w:val="es-ES"/>
              </w:rPr>
              <w:footnoteReference w:id="663"/>
            </w:r>
            <w:r w:rsidRPr="00833016">
              <w:rPr>
                <w:rFonts w:cs="Times New Roman"/>
                <w:lang w:val="es-ES"/>
              </w:rPr>
              <w:t>. De esta manera, fue posible entregar 10 toneladas de ayudas, constituidas en kits de alimentación, aseo, frazadas, vajillas, colchonetas entre otros. Además, se lograron habilitar espacios temporales de acogida, la distribución de alimentos y agua potable, así como prestación de algunos servicios de salud</w:t>
            </w:r>
            <w:r w:rsidRPr="00833016">
              <w:rPr>
                <w:rStyle w:val="Refdenotaalpie"/>
                <w:rFonts w:cs="Times New Roman"/>
                <w:lang w:val="es-ES"/>
              </w:rPr>
              <w:footnoteReference w:id="664"/>
            </w:r>
            <w:r w:rsidRPr="00833016">
              <w:rPr>
                <w:rFonts w:cs="Times New Roman"/>
                <w:lang w:val="es-ES"/>
              </w:rPr>
              <w:t>. No obstante, “la magnitud de la crisis superó rápidamente las capacidades institucionales del municipio”</w:t>
            </w:r>
            <w:r w:rsidRPr="00833016">
              <w:rPr>
                <w:rStyle w:val="Refdenotaalpie"/>
                <w:rFonts w:cs="Times New Roman"/>
                <w:lang w:val="es-ES"/>
              </w:rPr>
              <w:footnoteReference w:id="665"/>
            </w:r>
            <w:r w:rsidRPr="00833016">
              <w:rPr>
                <w:rFonts w:cs="Times New Roman"/>
                <w:lang w:val="es-ES"/>
              </w:rPr>
              <w:t>. Sin perjuicio de todos los esfuerzos descritos, los recursos siguen siendo insuficiente para atender de manera integral las necesidades de la población afectada</w:t>
            </w:r>
            <w:r w:rsidRPr="00833016">
              <w:rPr>
                <w:rStyle w:val="Refdenotaalpie"/>
                <w:rFonts w:cs="Times New Roman"/>
                <w:lang w:val="es-ES"/>
              </w:rPr>
              <w:footnoteReference w:id="666"/>
            </w:r>
            <w:r w:rsidRPr="00833016">
              <w:rPr>
                <w:rFonts w:cs="Times New Roman"/>
                <w:lang w:val="es-ES"/>
              </w:rPr>
              <w:t xml:space="preserve">. </w:t>
            </w:r>
          </w:p>
          <w:p w14:paraId="490275DA" w14:textId="77777777" w:rsidR="00C454A1" w:rsidRPr="00833016" w:rsidRDefault="00C454A1" w:rsidP="00881E6A">
            <w:pPr>
              <w:ind w:right="272"/>
              <w:rPr>
                <w:rFonts w:cs="Times New Roman"/>
                <w:lang w:val="es-ES"/>
              </w:rPr>
            </w:pPr>
          </w:p>
          <w:p w14:paraId="7E700C53" w14:textId="77777777" w:rsidR="00C454A1" w:rsidRPr="00833016" w:rsidRDefault="00C454A1" w:rsidP="00881E6A">
            <w:pPr>
              <w:ind w:right="272"/>
              <w:rPr>
                <w:rFonts w:cs="Times New Roman"/>
                <w:lang w:val="es-ES"/>
              </w:rPr>
            </w:pPr>
            <w:r w:rsidRPr="00833016">
              <w:rPr>
                <w:rFonts w:cs="Times New Roman"/>
                <w:lang w:val="es-ES"/>
              </w:rPr>
              <w:t>Por otro lado, en el periodo señalado por el auto de pruebas, no se reportaron homicidios, desapariciones forzadas ni ataques en contra de firmantes del Acuerdo de Paz o líderes sociales. No obstante, “en cuanto a delitos como extorsión, secuestro, amenazas y ataques contra la población civil, sí se registraron denuncias en las que se identifican como presuntos responsables estructuras delincuenciales y grupos armados organizados que operan en la región”</w:t>
            </w:r>
            <w:r w:rsidRPr="00833016">
              <w:rPr>
                <w:rStyle w:val="Refdenotaalpie"/>
                <w:rFonts w:cs="Times New Roman"/>
                <w:lang w:val="es-ES"/>
              </w:rPr>
              <w:footnoteReference w:id="667"/>
            </w:r>
            <w:r w:rsidRPr="00833016">
              <w:rPr>
                <w:rFonts w:cs="Times New Roman"/>
                <w:lang w:val="es-ES"/>
              </w:rPr>
              <w:t xml:space="preserve">. En </w:t>
            </w:r>
            <w:r w:rsidRPr="00833016">
              <w:rPr>
                <w:rFonts w:cs="Times New Roman"/>
                <w:lang w:val="es-ES"/>
              </w:rPr>
              <w:lastRenderedPageBreak/>
              <w:t>relación con “los homicidios y lesiones personales, las cifras recopiladas reflejan que, en su mayoría, estos hechos están relacionados con disputas entre estructuras criminales, ajustes de cuentas y conflictos interpersonales”</w:t>
            </w:r>
            <w:r w:rsidRPr="00833016">
              <w:rPr>
                <w:rStyle w:val="Refdenotaalpie"/>
                <w:rFonts w:cs="Times New Roman"/>
                <w:lang w:val="es-ES"/>
              </w:rPr>
              <w:footnoteReference w:id="668"/>
            </w:r>
            <w:r w:rsidRPr="00833016">
              <w:rPr>
                <w:rFonts w:cs="Times New Roman"/>
                <w:lang w:val="es-ES"/>
              </w:rPr>
              <w:t xml:space="preserve">. </w:t>
            </w:r>
          </w:p>
          <w:p w14:paraId="2B95CE14" w14:textId="77777777" w:rsidR="00C454A1" w:rsidRPr="00833016" w:rsidRDefault="00C454A1" w:rsidP="00881E6A">
            <w:pPr>
              <w:ind w:right="272"/>
              <w:rPr>
                <w:rFonts w:cs="Times New Roman"/>
                <w:lang w:val="es-ES"/>
              </w:rPr>
            </w:pPr>
          </w:p>
          <w:p w14:paraId="2D0FADE8" w14:textId="77777777" w:rsidR="00C454A1" w:rsidRPr="00833016" w:rsidRDefault="00C454A1" w:rsidP="00881E6A">
            <w:pPr>
              <w:ind w:right="272"/>
              <w:rPr>
                <w:rFonts w:cs="Times New Roman"/>
                <w:lang w:val="es-ES"/>
              </w:rPr>
            </w:pPr>
            <w:r w:rsidRPr="00833016">
              <w:rPr>
                <w:rFonts w:cs="Times New Roman"/>
                <w:lang w:val="es-ES"/>
              </w:rPr>
              <w:t>Ahora bien, el Alcalde aclaró que, “si bien en la jurisdicción del municipio Ocaña no se han presentado acciones directas del ELN, los GAOr Segunda Marquetalia y Estado Mayor Central, el GDO los ‘Pelusos’ y el Clan del Golfo, estos grupos afectan directamente las condiciones de seguridad en el municipio de Ocaña toda vez que de acuerdo a las actividades ilícitas desarrolladas en la región del Catatumbo, en el municipio de Ocaña se presentan casos de extorción en nombre de estos grupos, microtráfico y homicidios por ajuste de cuentas”</w:t>
            </w:r>
            <w:r w:rsidRPr="00833016">
              <w:rPr>
                <w:rStyle w:val="Refdenotaalpie"/>
                <w:rFonts w:cs="Times New Roman"/>
                <w:lang w:val="es-ES"/>
              </w:rPr>
              <w:footnoteReference w:id="669"/>
            </w:r>
            <w:r w:rsidRPr="00833016">
              <w:rPr>
                <w:rFonts w:cs="Times New Roman"/>
                <w:lang w:val="es-ES"/>
              </w:rPr>
              <w:t>. Por esta razón, “la administración municipal, en conjunto con la Fuerza Pública, ha fortalecido estrategias de prevención y seguridad para mitigar estos riesgos y garantizar la tranquilidad de los ciudadanos”</w:t>
            </w:r>
            <w:r w:rsidRPr="00833016">
              <w:rPr>
                <w:rStyle w:val="Refdenotaalpie"/>
                <w:rFonts w:cs="Times New Roman"/>
                <w:lang w:val="es-ES"/>
              </w:rPr>
              <w:footnoteReference w:id="670"/>
            </w:r>
            <w:r w:rsidRPr="00833016">
              <w:rPr>
                <w:rFonts w:cs="Times New Roman"/>
                <w:lang w:val="es-ES"/>
              </w:rPr>
              <w:t>. En concreto, se activó el denominado “Plan Candado”, así como patrullajes mixtos y el Nuevo Modelo de Servicio de Policía, basado en el Trinomio de la Seguridad</w:t>
            </w:r>
            <w:r w:rsidRPr="00833016">
              <w:rPr>
                <w:rStyle w:val="Refdenotaalpie"/>
                <w:rFonts w:cs="Times New Roman"/>
                <w:lang w:val="es-ES"/>
              </w:rPr>
              <w:footnoteReference w:id="671"/>
            </w:r>
            <w:r w:rsidRPr="00833016">
              <w:rPr>
                <w:rFonts w:cs="Times New Roman"/>
                <w:lang w:val="es-ES"/>
              </w:rPr>
              <w:t xml:space="preserve">. </w:t>
            </w:r>
          </w:p>
          <w:p w14:paraId="4D8F728D" w14:textId="77777777" w:rsidR="00C454A1" w:rsidRPr="00833016" w:rsidRDefault="00C454A1" w:rsidP="00881E6A">
            <w:pPr>
              <w:ind w:right="272"/>
              <w:rPr>
                <w:rFonts w:cs="Times New Roman"/>
                <w:lang w:val="es-ES"/>
              </w:rPr>
            </w:pPr>
          </w:p>
          <w:p w14:paraId="132A59D3" w14:textId="77777777" w:rsidR="00C454A1" w:rsidRPr="00833016" w:rsidRDefault="00C454A1" w:rsidP="00881E6A">
            <w:pPr>
              <w:ind w:right="272"/>
              <w:rPr>
                <w:rFonts w:cs="Times New Roman"/>
                <w:lang w:val="es-ES"/>
              </w:rPr>
            </w:pPr>
            <w:r w:rsidRPr="00833016">
              <w:rPr>
                <w:rFonts w:cs="Times New Roman"/>
                <w:lang w:val="es-ES"/>
              </w:rPr>
              <w:t>En cuando a la evolución de las confrontaciones entre grupos armados al margen de la ley ocurridas desde el 2022, refirió que, al respecto, la Defensoría del Pueblo ha emitido diversas advertencias sobre la evolución del conflicto armado y la vulneración de derechos fundamentales en la jurisdicción de Ocaña y la subregión del Catatumbo. En particular, “la Alerta Temprana de Inminencia N.° 026-2024 identifica múltiples escenarios de riesgo, los actores involucrados y las Medidas adoptadas por el Gobierno Nacional”</w:t>
            </w:r>
            <w:r w:rsidRPr="00833016">
              <w:rPr>
                <w:rStyle w:val="Refdenotaalpie"/>
                <w:rFonts w:cs="Times New Roman"/>
                <w:lang w:val="es-ES"/>
              </w:rPr>
              <w:footnoteReference w:id="672"/>
            </w:r>
            <w:r w:rsidRPr="00833016">
              <w:rPr>
                <w:rFonts w:cs="Times New Roman"/>
                <w:lang w:val="es-ES"/>
              </w:rPr>
              <w:t>. Uno de los principales escenarios de riesgo en la región “es la escalada del conflicto armado tras el fin del Cese al Fuego Bilateral y Temporal con el ELN, lo que ha generado un aumento en los ataques contra la Fuerza Pública y ha provocado daños colaterales a la población civil, especialmente en municipios como Ocaña, El Carmen, Convención y Teorama”</w:t>
            </w:r>
            <w:r w:rsidRPr="00833016">
              <w:rPr>
                <w:rStyle w:val="Refdenotaalpie"/>
                <w:rFonts w:cs="Times New Roman"/>
                <w:lang w:val="es-ES"/>
              </w:rPr>
              <w:footnoteReference w:id="673"/>
            </w:r>
            <w:r w:rsidRPr="00833016">
              <w:rPr>
                <w:rFonts w:cs="Times New Roman"/>
                <w:lang w:val="es-ES"/>
              </w:rPr>
              <w:t xml:space="preserve">. También se identificó un “proceso </w:t>
            </w:r>
            <w:r w:rsidRPr="00833016">
              <w:rPr>
                <w:rFonts w:cs="Times New Roman"/>
                <w:lang w:val="es-ES"/>
              </w:rPr>
              <w:lastRenderedPageBreak/>
              <w:t>de reacomodo del EPL (‘Los Pelusos’), lo que ha generado nuevas disputas por el control territorial, particularmente en Ábrego y La Playa de Belén”</w:t>
            </w:r>
            <w:r w:rsidRPr="00833016">
              <w:rPr>
                <w:rStyle w:val="Refdenotaalpie"/>
                <w:rFonts w:cs="Times New Roman"/>
                <w:lang w:val="es-ES"/>
              </w:rPr>
              <w:footnoteReference w:id="674"/>
            </w:r>
            <w:r w:rsidRPr="00833016">
              <w:rPr>
                <w:rFonts w:cs="Times New Roman"/>
                <w:lang w:val="es-ES"/>
              </w:rPr>
              <w:t>. Un factor adicional de riesgo es la expansión del Frente 33 de disidencias de las FARC, “que ha extendido su presencia hacia municipios donde no tenían una actividad histórica, afectando directamente la seguridad en Ocaña, Río de Oro y González”</w:t>
            </w:r>
            <w:r w:rsidRPr="00833016">
              <w:rPr>
                <w:rStyle w:val="Refdenotaalpie"/>
                <w:rFonts w:cs="Times New Roman"/>
                <w:lang w:val="es-ES"/>
              </w:rPr>
              <w:footnoteReference w:id="675"/>
            </w:r>
            <w:r w:rsidRPr="00833016">
              <w:rPr>
                <w:rFonts w:cs="Times New Roman"/>
                <w:lang w:val="es-ES"/>
              </w:rPr>
              <w:t xml:space="preserve">. En todo caso, el </w:t>
            </w:r>
            <w:r>
              <w:rPr>
                <w:rFonts w:cs="Times New Roman"/>
                <w:lang w:val="es-ES"/>
              </w:rPr>
              <w:t>a</w:t>
            </w:r>
            <w:r w:rsidRPr="00833016">
              <w:rPr>
                <w:rFonts w:cs="Times New Roman"/>
                <w:lang w:val="es-ES"/>
              </w:rPr>
              <w:t>lcalde precisó que en el municipio de Ocaña “no se han registrado daños a bienes protegidos ni afectaciones al medio ambiente”</w:t>
            </w:r>
            <w:r w:rsidRPr="00833016">
              <w:rPr>
                <w:rStyle w:val="Refdenotaalpie"/>
                <w:rFonts w:cs="Times New Roman"/>
                <w:lang w:val="es-ES"/>
              </w:rPr>
              <w:footnoteReference w:id="676"/>
            </w:r>
            <w:r w:rsidRPr="00833016">
              <w:rPr>
                <w:rFonts w:cs="Times New Roman"/>
                <w:lang w:val="es-ES"/>
              </w:rPr>
              <w:t xml:space="preserve">. </w:t>
            </w:r>
          </w:p>
          <w:p w14:paraId="5AC4BBE2" w14:textId="77777777" w:rsidR="00C454A1" w:rsidRPr="00833016" w:rsidRDefault="00C454A1" w:rsidP="00881E6A">
            <w:pPr>
              <w:ind w:right="272"/>
              <w:rPr>
                <w:rFonts w:cs="Times New Roman"/>
                <w:lang w:val="es-ES"/>
              </w:rPr>
            </w:pPr>
          </w:p>
          <w:p w14:paraId="4868AAD6" w14:textId="77777777" w:rsidR="00C454A1" w:rsidRPr="00833016" w:rsidRDefault="00C454A1" w:rsidP="00881E6A">
            <w:pPr>
              <w:ind w:right="272"/>
              <w:rPr>
                <w:rFonts w:eastAsia="Times New Roman" w:cs="Times New Roman"/>
                <w:lang w:val="es-ES"/>
              </w:rPr>
            </w:pPr>
            <w:r w:rsidRPr="00833016">
              <w:rPr>
                <w:rFonts w:cs="Times New Roman"/>
                <w:b/>
                <w:i/>
                <w:lang w:val="es-ES"/>
              </w:rPr>
              <w:t>Presupuesto de suficiencia</w:t>
            </w:r>
            <w:r w:rsidRPr="00833016">
              <w:rPr>
                <w:rFonts w:cs="Times New Roman"/>
                <w:b/>
                <w:lang w:val="es-ES"/>
              </w:rPr>
              <w:t xml:space="preserve">. </w:t>
            </w:r>
            <w:r w:rsidRPr="00833016">
              <w:rPr>
                <w:rFonts w:cs="Times New Roman"/>
                <w:lang w:val="es-ES"/>
              </w:rPr>
              <w:t xml:space="preserve">En cuanto a la gestión de recursos presupuestales al Gobierno </w:t>
            </w:r>
            <w:r>
              <w:rPr>
                <w:rFonts w:cs="Times New Roman"/>
                <w:lang w:val="es-ES"/>
              </w:rPr>
              <w:t>n</w:t>
            </w:r>
            <w:r w:rsidRPr="00833016">
              <w:rPr>
                <w:rFonts w:cs="Times New Roman"/>
                <w:lang w:val="es-ES"/>
              </w:rPr>
              <w:t>acional manifestó que ha “gestionado ante el Departamento de Policía de Norte de Santander y la Dirección de Seguridad Ciudadana de la Policía Nacional el aumento del pie de fuerza en el municipio, con el objetivo de fortalecer la presencia institucional, mejorar las capacidades de reacción ante situaciones que puedan afectar el orden público y reforzar las estrategias de seguridad en la zona”</w:t>
            </w:r>
            <w:r w:rsidRPr="00833016">
              <w:rPr>
                <w:rStyle w:val="Refdenotaalpie"/>
                <w:rFonts w:cs="Times New Roman"/>
                <w:lang w:val="es-ES"/>
              </w:rPr>
              <w:footnoteReference w:id="677"/>
            </w:r>
            <w:r w:rsidRPr="00833016">
              <w:rPr>
                <w:rFonts w:cs="Times New Roman"/>
                <w:lang w:val="es-ES"/>
              </w:rPr>
              <w:t>. Por lo anterior, “a finales de 2024 fueron asignadas 40 unidades a la estación de Policía de Ocaña, fortaleciendo así las condiciones de seguridad en el municipio”</w:t>
            </w:r>
            <w:r w:rsidRPr="00833016">
              <w:rPr>
                <w:rStyle w:val="Refdenotaalpie"/>
                <w:rFonts w:cs="Times New Roman"/>
                <w:lang w:val="es-ES"/>
              </w:rPr>
              <w:footnoteReference w:id="678"/>
            </w:r>
            <w:r w:rsidRPr="00833016">
              <w:rPr>
                <w:rFonts w:cs="Times New Roman"/>
                <w:lang w:val="es-ES"/>
              </w:rPr>
              <w:t xml:space="preserve">. En todo caso, señaló que sí requieren un apoyo del Gobierno </w:t>
            </w:r>
            <w:r>
              <w:rPr>
                <w:rFonts w:cs="Times New Roman"/>
                <w:lang w:val="es-ES"/>
              </w:rPr>
              <w:t>n</w:t>
            </w:r>
            <w:r w:rsidRPr="00833016">
              <w:rPr>
                <w:rFonts w:cs="Times New Roman"/>
                <w:lang w:val="es-ES"/>
              </w:rPr>
              <w:t xml:space="preserve">acional en materia de seguridad, asistencia a la población desplazada y fortalecimiento de la capacidad operativa de las autoridades locales. </w:t>
            </w:r>
          </w:p>
        </w:tc>
      </w:tr>
      <w:tr w:rsidR="00C454A1" w:rsidRPr="00F8202F" w14:paraId="33FCC1DC" w14:textId="77777777" w:rsidTr="005F4A6F">
        <w:trPr>
          <w:trHeight w:val="300"/>
        </w:trPr>
        <w:tc>
          <w:tcPr>
            <w:tcW w:w="642" w:type="pct"/>
            <w:vAlign w:val="center"/>
          </w:tcPr>
          <w:p w14:paraId="1C5C0F6A" w14:textId="77777777" w:rsidR="00C454A1" w:rsidRPr="00833016" w:rsidRDefault="00C454A1" w:rsidP="00881E6A">
            <w:pPr>
              <w:ind w:right="272"/>
              <w:jc w:val="center"/>
              <w:rPr>
                <w:rFonts w:eastAsia="Times New Roman" w:cs="Times New Roman"/>
                <w:lang w:val="es-ES"/>
              </w:rPr>
            </w:pPr>
            <w:r w:rsidRPr="00833016">
              <w:rPr>
                <w:rFonts w:cs="Times New Roman"/>
                <w:b/>
                <w:lang w:val="es-ES"/>
              </w:rPr>
              <w:lastRenderedPageBreak/>
              <w:t>Municipio de Ocaña I y II-Anexos</w:t>
            </w:r>
          </w:p>
        </w:tc>
        <w:tc>
          <w:tcPr>
            <w:tcW w:w="4358" w:type="pct"/>
          </w:tcPr>
          <w:p w14:paraId="12C810EE" w14:textId="77777777" w:rsidR="00C454A1" w:rsidRPr="00833016" w:rsidRDefault="00C454A1" w:rsidP="00881E6A">
            <w:pPr>
              <w:ind w:right="272"/>
              <w:rPr>
                <w:rFonts w:cs="Times New Roman"/>
                <w:lang w:val="es-ES"/>
              </w:rPr>
            </w:pPr>
            <w:r w:rsidRPr="00833016">
              <w:rPr>
                <w:rFonts w:cs="Times New Roman"/>
                <w:lang w:val="es-ES"/>
              </w:rPr>
              <w:t xml:space="preserve">El Alcalde de Ocaña aportó, como anexo, su respuesta al informe de seguimiento de la </w:t>
            </w:r>
            <w:r>
              <w:rPr>
                <w:rFonts w:cs="Times New Roman"/>
                <w:lang w:val="es-ES"/>
              </w:rPr>
              <w:t>A</w:t>
            </w:r>
            <w:r w:rsidRPr="00833016">
              <w:rPr>
                <w:rFonts w:cs="Times New Roman"/>
                <w:lang w:val="es-ES"/>
              </w:rPr>
              <w:t>lerta</w:t>
            </w:r>
            <w:r>
              <w:rPr>
                <w:rFonts w:cs="Times New Roman"/>
                <w:lang w:val="es-ES"/>
              </w:rPr>
              <w:t xml:space="preserve"> Temprana</w:t>
            </w:r>
            <w:r w:rsidRPr="00833016">
              <w:rPr>
                <w:rFonts w:cs="Times New Roman"/>
                <w:lang w:val="es-ES"/>
              </w:rPr>
              <w:t xml:space="preserve"> 026 de 2024 emitida por la Defensoría del Pueblo</w:t>
            </w:r>
            <w:r w:rsidRPr="00833016">
              <w:rPr>
                <w:rStyle w:val="Refdenotaalpie"/>
                <w:rFonts w:cs="Times New Roman"/>
                <w:lang w:val="es-ES"/>
              </w:rPr>
              <w:footnoteReference w:id="679"/>
            </w:r>
            <w:r w:rsidRPr="00833016">
              <w:rPr>
                <w:rFonts w:cs="Times New Roman"/>
                <w:lang w:val="es-ES"/>
              </w:rPr>
              <w:t>. En dicha respuesta señaló lo siguiente:</w:t>
            </w:r>
          </w:p>
          <w:p w14:paraId="203E2F83" w14:textId="77777777" w:rsidR="00C454A1" w:rsidRPr="00833016" w:rsidRDefault="00C454A1" w:rsidP="00881E6A">
            <w:pPr>
              <w:ind w:right="272"/>
              <w:rPr>
                <w:rFonts w:cs="Times New Roman"/>
                <w:lang w:val="es-ES"/>
              </w:rPr>
            </w:pPr>
          </w:p>
          <w:p w14:paraId="0CB17F26" w14:textId="77777777" w:rsidR="00C454A1" w:rsidRPr="00833016" w:rsidRDefault="00C454A1" w:rsidP="005F4A6F">
            <w:pPr>
              <w:pStyle w:val="Prrafodelista"/>
              <w:numPr>
                <w:ilvl w:val="0"/>
                <w:numId w:val="33"/>
              </w:numPr>
              <w:ind w:right="272"/>
              <w:rPr>
                <w:rFonts w:cs="Times New Roman"/>
                <w:lang w:val="es-ES"/>
              </w:rPr>
            </w:pPr>
            <w:r w:rsidRPr="00833016">
              <w:rPr>
                <w:rFonts w:cs="Times New Roman"/>
                <w:lang w:val="es-ES"/>
              </w:rPr>
              <w:t xml:space="preserve">Se consolidó documento estratégico que coordina la intervención conjunta de las instituciones y organizaciones del SNARIV. Su propósito es garantizar una atención oportuna e integral durante situaciones de urgencia y emergencia, identificando escenarios de riesgo, planificando presupuestos y diseñando acciones de protección individual y colectiva para personas y comunidades en riesgo. </w:t>
            </w:r>
          </w:p>
          <w:p w14:paraId="10677E05" w14:textId="77777777" w:rsidR="00C454A1" w:rsidRPr="00833016" w:rsidRDefault="00C454A1" w:rsidP="005F4A6F">
            <w:pPr>
              <w:pStyle w:val="Prrafodelista"/>
              <w:numPr>
                <w:ilvl w:val="0"/>
                <w:numId w:val="33"/>
              </w:numPr>
              <w:ind w:right="272"/>
              <w:rPr>
                <w:rFonts w:cs="Times New Roman"/>
                <w:lang w:val="es-ES"/>
              </w:rPr>
            </w:pPr>
            <w:r w:rsidRPr="00833016">
              <w:rPr>
                <w:rFonts w:cs="Times New Roman"/>
                <w:lang w:val="es-ES"/>
              </w:rPr>
              <w:lastRenderedPageBreak/>
              <w:t>Mediante el contrato SGOB CONV ASOC 002 del 14 de noviembre de 2024, se invirtieron $100,000,000 en el mantenimiento de las cámaras de seguridad del municipio, asegurando su correcto funcionamiento como herramienta fundamental en la prevención del delito y el monitoreo de situaciones de riesgo.</w:t>
            </w:r>
          </w:p>
          <w:p w14:paraId="6D5A358B" w14:textId="77777777" w:rsidR="00C454A1" w:rsidRPr="00833016" w:rsidRDefault="00C454A1" w:rsidP="005F4A6F">
            <w:pPr>
              <w:pStyle w:val="Prrafodelista"/>
              <w:numPr>
                <w:ilvl w:val="0"/>
                <w:numId w:val="33"/>
              </w:numPr>
              <w:ind w:right="272"/>
              <w:rPr>
                <w:rFonts w:cs="Times New Roman"/>
                <w:lang w:val="es-ES"/>
              </w:rPr>
            </w:pPr>
            <w:r w:rsidRPr="00833016">
              <w:rPr>
                <w:rFonts w:cs="Times New Roman"/>
                <w:lang w:val="es-ES"/>
              </w:rPr>
              <w:t xml:space="preserve">Diseño, aprobación e implementación del plan integral de prevención y protección en derechos humanos como política pública donde se identifica escenarios de riesgos, se planifica presupuesto, se diseña e implementa acciones para proteger de manera individual y colectiva a personas o comunidades en riesgo. En igual sentido, se ejecutaron 25 millones de pesos para la atención de 97 personas con transportes de emergencia para prevención temprana y urgente de carácter individual y colectiva de aquellas personas que salieron de su lugar de domicilio arraigado en de la ciudad de Ocaña a efectos de salvaguardar sus vidas e integridad personal y física. </w:t>
            </w:r>
          </w:p>
          <w:p w14:paraId="38C50A63" w14:textId="77777777" w:rsidR="00C454A1" w:rsidRPr="00833016" w:rsidRDefault="00C454A1" w:rsidP="005F4A6F">
            <w:pPr>
              <w:pStyle w:val="Prrafodelista"/>
              <w:numPr>
                <w:ilvl w:val="0"/>
                <w:numId w:val="33"/>
              </w:numPr>
              <w:ind w:right="272"/>
              <w:rPr>
                <w:rFonts w:cs="Times New Roman"/>
                <w:lang w:val="es-ES"/>
              </w:rPr>
            </w:pPr>
            <w:r w:rsidRPr="00833016">
              <w:rPr>
                <w:rFonts w:cs="Times New Roman"/>
                <w:lang w:val="es-ES"/>
              </w:rPr>
              <w:t>Actualizó la ruta de prevención para el restablecimiento de derechos, protegiendo a niños, niñas y jóvenes del municipio frente a este flagelo.</w:t>
            </w:r>
          </w:p>
          <w:p w14:paraId="7A2C3939" w14:textId="77777777" w:rsidR="00C454A1" w:rsidRPr="00833016" w:rsidRDefault="00C454A1" w:rsidP="005F4A6F">
            <w:pPr>
              <w:pStyle w:val="Prrafodelista"/>
              <w:numPr>
                <w:ilvl w:val="0"/>
                <w:numId w:val="33"/>
              </w:numPr>
              <w:ind w:right="272"/>
              <w:rPr>
                <w:rFonts w:cs="Times New Roman"/>
                <w:lang w:val="es-ES"/>
              </w:rPr>
            </w:pPr>
            <w:r w:rsidRPr="00833016">
              <w:rPr>
                <w:rFonts w:cs="Times New Roman"/>
                <w:lang w:val="es-ES"/>
              </w:rPr>
              <w:t>Se han venido realizando capacitaciones a docentes, directivos y administrativos sobre el manejo en situaciones que pongan en riesgo la integridad de Niños, niñas y adolescentes en los entornos escolares. Asimismo, en la observancia de las acciones sugeridas por el Plan de Acción Nacional sobre Escuelas Seguras, se han articulado estrategias entre todos los actores del sector educativo en busca de generar y proporcionar entornos escolares seguros y mantener a la población estudiantil salvaguardada de los riesgos del conflicto armado.</w:t>
            </w:r>
          </w:p>
          <w:p w14:paraId="0D9C47EE" w14:textId="77777777" w:rsidR="00C454A1" w:rsidRDefault="00C454A1" w:rsidP="005F4A6F">
            <w:pPr>
              <w:pStyle w:val="Prrafodelista"/>
              <w:numPr>
                <w:ilvl w:val="0"/>
                <w:numId w:val="33"/>
              </w:numPr>
              <w:ind w:right="272"/>
              <w:rPr>
                <w:rFonts w:cs="Times New Roman"/>
                <w:lang w:val="es-ES"/>
              </w:rPr>
            </w:pPr>
            <w:r w:rsidRPr="00833016">
              <w:rPr>
                <w:rFonts w:cs="Times New Roman"/>
                <w:lang w:val="es-ES"/>
              </w:rPr>
              <w:t xml:space="preserve">Por parte de la coordinación de la mujer se han venido realizando talleres de empoderamiento y autoestima: </w:t>
            </w:r>
            <w:r>
              <w:rPr>
                <w:rFonts w:cs="Times New Roman"/>
                <w:lang w:val="es-ES"/>
              </w:rPr>
              <w:t>f</w:t>
            </w:r>
            <w:r w:rsidRPr="00833016">
              <w:rPr>
                <w:rFonts w:cs="Times New Roman"/>
                <w:lang w:val="es-ES"/>
              </w:rPr>
              <w:t xml:space="preserve">omentar la resiliencia y fortalecer la confianza de las mujeres en su capacidad para enfrentar la situación. También se creó un grupo de apoyo emocional y empoderamiento económico. Asimismo, se han realizado campañas de concientización en las comunidades sobre los efectos de la violencia armada, los derechos de las mujeres y las estrategias de prevención de la violencia. </w:t>
            </w:r>
          </w:p>
          <w:p w14:paraId="3F8031A1" w14:textId="77777777" w:rsidR="00C454A1" w:rsidRPr="004C479A" w:rsidRDefault="00C454A1" w:rsidP="005F4A6F">
            <w:pPr>
              <w:pStyle w:val="Prrafodelista"/>
              <w:numPr>
                <w:ilvl w:val="0"/>
                <w:numId w:val="33"/>
              </w:numPr>
              <w:ind w:right="272"/>
              <w:rPr>
                <w:rFonts w:cs="Times New Roman"/>
                <w:lang w:val="es-ES"/>
              </w:rPr>
            </w:pPr>
            <w:r w:rsidRPr="004C479A">
              <w:rPr>
                <w:rFonts w:cs="Times New Roman"/>
                <w:lang w:val="es-ES"/>
              </w:rPr>
              <w:t>Se diseñaron y difundieron piezas comunicativas que promueven el respeto por la labor de la misión médica, las instituciones y los organismos internacionales que desarrollan acciones humanitarias en el territorio. Esta iniciativa busca mitigar los impactos del conflicto armado y sensibilizar sobre la importancia de su trabajo.</w:t>
            </w:r>
          </w:p>
        </w:tc>
      </w:tr>
      <w:tr w:rsidR="00C454A1" w:rsidRPr="00F8202F" w14:paraId="125F8DBA" w14:textId="77777777" w:rsidTr="005F4A6F">
        <w:trPr>
          <w:trHeight w:val="300"/>
        </w:trPr>
        <w:tc>
          <w:tcPr>
            <w:tcW w:w="642" w:type="pct"/>
            <w:vAlign w:val="center"/>
          </w:tcPr>
          <w:p w14:paraId="02A5DCA2" w14:textId="77777777" w:rsidR="00C454A1" w:rsidRPr="00833016" w:rsidRDefault="00C454A1" w:rsidP="00881E6A">
            <w:pPr>
              <w:ind w:right="272"/>
              <w:jc w:val="center"/>
              <w:rPr>
                <w:rFonts w:eastAsia="Times New Roman" w:cs="Times New Roman"/>
                <w:lang w:val="es-ES"/>
              </w:rPr>
            </w:pPr>
            <w:r w:rsidRPr="00833016">
              <w:rPr>
                <w:rFonts w:cs="Times New Roman"/>
                <w:b/>
                <w:lang w:val="es-ES"/>
              </w:rPr>
              <w:lastRenderedPageBreak/>
              <w:t>Municipio de Sardinata</w:t>
            </w:r>
          </w:p>
        </w:tc>
        <w:tc>
          <w:tcPr>
            <w:tcW w:w="4358" w:type="pct"/>
          </w:tcPr>
          <w:p w14:paraId="300DDFCF" w14:textId="77777777" w:rsidR="00C454A1" w:rsidRPr="00833016" w:rsidRDefault="00C454A1" w:rsidP="00881E6A">
            <w:pPr>
              <w:ind w:right="272"/>
              <w:rPr>
                <w:rFonts w:cs="Times New Roman"/>
                <w:lang w:val="es-ES"/>
              </w:rPr>
            </w:pPr>
            <w:r w:rsidRPr="00833016">
              <w:rPr>
                <w:rFonts w:cs="Times New Roman"/>
                <w:lang w:val="es-ES"/>
              </w:rPr>
              <w:t>El Secretario de Gobierno del municipio de Sardinata remitió la siguiente información en relación con las preguntas planteadas en el auto de pruebas respecto de cada uno de los presupuestos:</w:t>
            </w:r>
          </w:p>
          <w:p w14:paraId="1F4FE172" w14:textId="77777777" w:rsidR="00C454A1" w:rsidRPr="00833016" w:rsidRDefault="00C454A1" w:rsidP="00881E6A">
            <w:pPr>
              <w:ind w:right="272"/>
              <w:rPr>
                <w:rFonts w:cs="Times New Roman"/>
                <w:lang w:val="es-ES"/>
              </w:rPr>
            </w:pPr>
          </w:p>
          <w:p w14:paraId="56888357" w14:textId="77777777" w:rsidR="00C454A1" w:rsidRPr="00833016" w:rsidRDefault="00C454A1" w:rsidP="00881E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72"/>
              <w:rPr>
                <w:rFonts w:cs="Times New Roman"/>
                <w:color w:val="000000"/>
                <w:lang w:val="es-ES"/>
              </w:rPr>
            </w:pPr>
            <w:r w:rsidRPr="00833016">
              <w:rPr>
                <w:rFonts w:cs="Times New Roman"/>
                <w:b/>
                <w:bCs/>
                <w:i/>
                <w:iCs/>
                <w:color w:val="000000"/>
                <w:lang w:val="es-ES"/>
              </w:rPr>
              <w:lastRenderedPageBreak/>
              <w:t>Presupuesto fáctico</w:t>
            </w:r>
            <w:r w:rsidRPr="00833016">
              <w:rPr>
                <w:rFonts w:cs="Times New Roman"/>
                <w:b/>
                <w:bCs/>
                <w:color w:val="000000"/>
                <w:lang w:val="es-ES"/>
              </w:rPr>
              <w:t>.</w:t>
            </w:r>
            <w:r w:rsidRPr="00833016">
              <w:rPr>
                <w:rFonts w:cs="Times New Roman"/>
                <w:color w:val="000000"/>
                <w:lang w:val="es-ES"/>
              </w:rPr>
              <w:t xml:space="preserve"> El 6 de febrero de 2025, el Secretario de Gobierno del municipio de Sardinada informó que en dicho municipio 161 personas han sido desplazadas. Además, se registra 1 caso constitutivo de desaparición forzada</w:t>
            </w:r>
            <w:r w:rsidRPr="00833016">
              <w:rPr>
                <w:rStyle w:val="Refdenotaalpie"/>
                <w:rFonts w:cs="Times New Roman"/>
                <w:color w:val="000000"/>
                <w:lang w:val="es-ES"/>
              </w:rPr>
              <w:footnoteReference w:id="680"/>
            </w:r>
            <w:r w:rsidRPr="00833016">
              <w:rPr>
                <w:rFonts w:cs="Times New Roman"/>
                <w:color w:val="000000"/>
                <w:lang w:val="es-ES"/>
              </w:rPr>
              <w:t xml:space="preserve">. En dicho municipio se identifica la presencia de los siguiente Grupos Armados Organizados (GAO): </w:t>
            </w:r>
            <w:r w:rsidRPr="004B562F">
              <w:rPr>
                <w:rFonts w:cs="Times New Roman"/>
                <w:i/>
                <w:iCs/>
                <w:color w:val="000000"/>
                <w:lang w:val="es-ES"/>
              </w:rPr>
              <w:t>(i)</w:t>
            </w:r>
            <w:r w:rsidRPr="00833016">
              <w:rPr>
                <w:rFonts w:cs="Times New Roman"/>
                <w:color w:val="000000"/>
                <w:lang w:val="es-ES"/>
              </w:rPr>
              <w:t xml:space="preserve"> Ejército de Liberación Nacional – ELN; </w:t>
            </w:r>
            <w:r w:rsidRPr="004B562F">
              <w:rPr>
                <w:rFonts w:cs="Times New Roman"/>
                <w:i/>
                <w:iCs/>
                <w:color w:val="000000"/>
                <w:lang w:val="es-ES"/>
              </w:rPr>
              <w:t>(ii)</w:t>
            </w:r>
            <w:r w:rsidRPr="00833016">
              <w:rPr>
                <w:rFonts w:cs="Times New Roman"/>
                <w:color w:val="000000"/>
                <w:lang w:val="es-ES"/>
              </w:rPr>
              <w:t xml:space="preserve"> Ejército Popular de Liberación – EPL y </w:t>
            </w:r>
            <w:r w:rsidRPr="004B562F">
              <w:rPr>
                <w:rFonts w:cs="Times New Roman"/>
                <w:i/>
                <w:iCs/>
                <w:color w:val="000000"/>
                <w:lang w:val="es-ES"/>
              </w:rPr>
              <w:t>(iii)</w:t>
            </w:r>
            <w:r w:rsidRPr="00833016">
              <w:rPr>
                <w:rFonts w:cs="Times New Roman"/>
                <w:color w:val="000000"/>
                <w:lang w:val="es-ES"/>
              </w:rPr>
              <w:t xml:space="preserve"> Residual FARC – EP 33. Asimismo, indicó que, en la vigencia de 2025, se reportan 71 menores de edad como víctimas de los enfrentamientos de estos grupos</w:t>
            </w:r>
            <w:r w:rsidRPr="00833016">
              <w:rPr>
                <w:rStyle w:val="Refdenotaalpie"/>
                <w:rFonts w:cs="Times New Roman"/>
                <w:color w:val="000000"/>
                <w:lang w:val="es-ES"/>
              </w:rPr>
              <w:footnoteReference w:id="681"/>
            </w:r>
            <w:r w:rsidRPr="00833016">
              <w:rPr>
                <w:rFonts w:cs="Times New Roman"/>
                <w:color w:val="000000"/>
                <w:lang w:val="es-ES"/>
              </w:rPr>
              <w:t>.</w:t>
            </w:r>
          </w:p>
          <w:p w14:paraId="4E2391E6" w14:textId="77777777" w:rsidR="00C454A1" w:rsidRPr="00833016" w:rsidRDefault="00C454A1" w:rsidP="00881E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72"/>
              <w:rPr>
                <w:rFonts w:cs="Times New Roman"/>
                <w:color w:val="000000"/>
                <w:lang w:val="es-ES"/>
              </w:rPr>
            </w:pPr>
          </w:p>
          <w:p w14:paraId="45A0F09B" w14:textId="77777777" w:rsidR="00C454A1" w:rsidRPr="00833016" w:rsidRDefault="00C454A1" w:rsidP="00881E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72"/>
              <w:rPr>
                <w:rFonts w:cs="Times New Roman"/>
                <w:color w:val="000000"/>
                <w:lang w:val="es-ES"/>
              </w:rPr>
            </w:pPr>
            <w:r w:rsidRPr="00833016">
              <w:rPr>
                <w:rFonts w:cs="Times New Roman"/>
                <w:color w:val="000000"/>
                <w:lang w:val="es-ES"/>
              </w:rPr>
              <w:t>En la actualidad, indicó que el municipio de Sardinata “ha desbordado la capacidad presupuestal para atender la emergencia de manera inmediata, pero es gestión con la unidad nacional para las víctimas y gobernación, de Norte de Santander, hemos tenido apoyo para la atención de esta emergencia”</w:t>
            </w:r>
            <w:r w:rsidRPr="00833016">
              <w:rPr>
                <w:rStyle w:val="Refdenotaalpie"/>
                <w:rFonts w:cs="Times New Roman"/>
                <w:color w:val="000000"/>
                <w:lang w:val="es-ES"/>
              </w:rPr>
              <w:footnoteReference w:id="682"/>
            </w:r>
            <w:r w:rsidRPr="00833016">
              <w:rPr>
                <w:rFonts w:cs="Times New Roman"/>
                <w:color w:val="000000"/>
                <w:lang w:val="es-ES"/>
              </w:rPr>
              <w:t>. Tradicionalmente, este municipio “ha sido escenario de una serie de hechos que implican la constante violación de derechos humanos. La presencia de cultivos ilícitos ha sido uno de los factores que influyen en la generación de violencia y que afecta la integridad de las personas y de las comunidades de la zona rural y urbana”. En el 2020 Sardinata “sufrió las consecuencias del paro armado en el Catatumbo llevado a cabo por el EPL (Gaor Pelusos) y el Ejército de Liberación Nacional (ELN) quienes desde el año 2017, en consecuencia, del rompimiento de acuerdos entre los dos grupos, han librado una confrontación por el control del territorio y las rutas del narcotráfico, contrabando de hidrocarburos entre otras cosas”</w:t>
            </w:r>
            <w:r w:rsidRPr="00833016">
              <w:rPr>
                <w:rStyle w:val="Refdenotaalpie"/>
                <w:rFonts w:cs="Times New Roman"/>
                <w:color w:val="000000"/>
                <w:lang w:val="es-ES"/>
              </w:rPr>
              <w:footnoteReference w:id="683"/>
            </w:r>
            <w:r w:rsidRPr="00833016">
              <w:rPr>
                <w:rFonts w:cs="Times New Roman"/>
                <w:color w:val="000000"/>
                <w:lang w:val="es-ES"/>
              </w:rPr>
              <w:t xml:space="preserve">. Por lo anterior, en ese año se presentaron desplazamientos masivos. En el 2021 también ocurrieron hechos relevantes como “los accidentes de minas antipersonal ocurridos en la vereda La Reforma y la vereda paramillo del Corregimiento de las Mercedes Municipio de Sardinata, así mismo en el marco del paro nacional promovido por asociaciones campesinas del Catatumbo y asociaciones productoras agrícolas, iniciaron unos bloqueos por más de dos meses, lo que conllevo a los habitantes del casco urbano vincularse a los diálogos con los representantes del paro y los diferentes mandatarios </w:t>
            </w:r>
            <w:r w:rsidRPr="00833016">
              <w:rPr>
                <w:rFonts w:cs="Times New Roman"/>
                <w:color w:val="000000"/>
                <w:lang w:val="es-ES"/>
              </w:rPr>
              <w:lastRenderedPageBreak/>
              <w:t>municipales y departamentales, para que por medio de la conversación se llegara a un acuerdo de desbloquear la vía principal que conduce al Municipio de Sardinata – Cúcuta”. En el 2022 la situación no cambión. Por esto, en el 2023 la Defensoría del Pueblo emitió la Alerta Temprana No. 009. En el 2024 hubo enfrentamientos entre el Ejército Nacional y el ELN. Como consecuencia de estos enfrentamientos “se desplazaron 49 personas, 12 núcleos familiares”</w:t>
            </w:r>
            <w:r w:rsidRPr="00833016">
              <w:rPr>
                <w:rStyle w:val="Refdenotaalpie"/>
                <w:rFonts w:cs="Times New Roman"/>
                <w:color w:val="000000"/>
                <w:lang w:val="es-ES"/>
              </w:rPr>
              <w:footnoteReference w:id="684"/>
            </w:r>
            <w:r w:rsidRPr="00833016">
              <w:rPr>
                <w:rFonts w:cs="Times New Roman"/>
                <w:color w:val="000000"/>
                <w:lang w:val="es-ES"/>
              </w:rPr>
              <w:t xml:space="preserve">. </w:t>
            </w:r>
          </w:p>
          <w:p w14:paraId="4A3B5229" w14:textId="77777777" w:rsidR="00C454A1" w:rsidRPr="00833016" w:rsidRDefault="00C454A1" w:rsidP="00881E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72"/>
              <w:rPr>
                <w:rFonts w:cs="Times New Roman"/>
                <w:color w:val="000000"/>
                <w:lang w:val="es-ES"/>
              </w:rPr>
            </w:pPr>
          </w:p>
          <w:p w14:paraId="60CBBF4A" w14:textId="77777777" w:rsidR="00C454A1" w:rsidRPr="00833016" w:rsidRDefault="00C454A1" w:rsidP="00881E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72"/>
              <w:rPr>
                <w:rFonts w:cs="Times New Roman"/>
                <w:color w:val="000000"/>
                <w:lang w:val="es-ES"/>
              </w:rPr>
            </w:pPr>
            <w:r w:rsidRPr="00833016">
              <w:rPr>
                <w:rFonts w:cs="Times New Roman"/>
                <w:color w:val="000000"/>
                <w:lang w:val="es-ES"/>
              </w:rPr>
              <w:t xml:space="preserve">Para mitigar las consecuencias de esos enfrentamientos, informó que el municipio tiene un plan de contingencia que prevé rutas de atención a hechos victimizantes. Asimismo, se prevé un plan integral de prevención temprana y se realizan consejos de seguridad. Hasta el momento no ha habido daños de bienes protegidos y ambientales. </w:t>
            </w:r>
          </w:p>
          <w:p w14:paraId="03767645" w14:textId="77777777" w:rsidR="00C454A1" w:rsidRPr="00833016" w:rsidRDefault="00C454A1" w:rsidP="00881E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72"/>
              <w:rPr>
                <w:rFonts w:cs="Times New Roman"/>
                <w:color w:val="000000"/>
                <w:lang w:val="es-ES"/>
              </w:rPr>
            </w:pPr>
          </w:p>
          <w:p w14:paraId="72A3D642" w14:textId="77777777" w:rsidR="00C454A1" w:rsidRPr="00833016" w:rsidRDefault="00C454A1" w:rsidP="00881E6A">
            <w:pPr>
              <w:ind w:right="272"/>
              <w:rPr>
                <w:rFonts w:eastAsia="Times New Roman" w:cs="Times New Roman"/>
                <w:lang w:val="es-ES"/>
              </w:rPr>
            </w:pPr>
            <w:r w:rsidRPr="00833016">
              <w:rPr>
                <w:rFonts w:cs="Times New Roman"/>
                <w:b/>
                <w:i/>
                <w:color w:val="000000"/>
                <w:lang w:val="es-ES"/>
              </w:rPr>
              <w:t>Presupuesto de suficiencia</w:t>
            </w:r>
            <w:r w:rsidRPr="00833016">
              <w:rPr>
                <w:rFonts w:cs="Times New Roman"/>
                <w:b/>
                <w:color w:val="000000"/>
                <w:lang w:val="es-ES"/>
              </w:rPr>
              <w:t xml:space="preserve">. </w:t>
            </w:r>
            <w:r w:rsidRPr="00833016">
              <w:rPr>
                <w:rFonts w:cs="Times New Roman"/>
                <w:color w:val="000000"/>
                <w:lang w:val="es-ES"/>
              </w:rPr>
              <w:t>Por lo demás, en relación con este presupuesto señaló que “la Administración Municipal no ha solicitado montos adicionales a los asignados por el Gobierno Nacional a través del Sistema General de Participaciones (SGP)”</w:t>
            </w:r>
            <w:r w:rsidRPr="00833016">
              <w:rPr>
                <w:rStyle w:val="Refdenotaalpie"/>
                <w:rFonts w:cs="Times New Roman"/>
                <w:color w:val="000000"/>
                <w:lang w:val="es-ES"/>
              </w:rPr>
              <w:footnoteReference w:id="685"/>
            </w:r>
            <w:r w:rsidRPr="00833016">
              <w:rPr>
                <w:rFonts w:cs="Times New Roman"/>
                <w:color w:val="000000"/>
                <w:lang w:val="es-ES"/>
              </w:rPr>
              <w:t>.</w:t>
            </w:r>
          </w:p>
        </w:tc>
      </w:tr>
      <w:tr w:rsidR="00C454A1" w:rsidRPr="00802114" w14:paraId="263324DA" w14:textId="77777777" w:rsidTr="005F4A6F">
        <w:trPr>
          <w:trHeight w:val="300"/>
        </w:trPr>
        <w:tc>
          <w:tcPr>
            <w:tcW w:w="642" w:type="pct"/>
            <w:vAlign w:val="center"/>
          </w:tcPr>
          <w:p w14:paraId="76CCD3D6" w14:textId="77777777" w:rsidR="00C454A1" w:rsidRPr="00833016" w:rsidRDefault="00C454A1" w:rsidP="00881E6A">
            <w:pPr>
              <w:ind w:right="272"/>
              <w:jc w:val="center"/>
              <w:rPr>
                <w:rFonts w:eastAsia="Times New Roman" w:cs="Times New Roman"/>
                <w:lang w:val="es-ES"/>
              </w:rPr>
            </w:pPr>
            <w:r w:rsidRPr="00833016">
              <w:rPr>
                <w:rFonts w:cs="Times New Roman"/>
                <w:b/>
                <w:lang w:val="es-ES"/>
              </w:rPr>
              <w:lastRenderedPageBreak/>
              <w:t>UNP</w:t>
            </w:r>
          </w:p>
        </w:tc>
        <w:tc>
          <w:tcPr>
            <w:tcW w:w="4358" w:type="pct"/>
          </w:tcPr>
          <w:p w14:paraId="2AE7AC95" w14:textId="77777777" w:rsidR="00C454A1" w:rsidRPr="00833016" w:rsidRDefault="00C454A1" w:rsidP="00881E6A">
            <w:pPr>
              <w:ind w:right="272"/>
              <w:rPr>
                <w:rFonts w:cs="Times New Roman"/>
                <w:lang w:val="es-ES"/>
              </w:rPr>
            </w:pPr>
            <w:r w:rsidRPr="00833016">
              <w:rPr>
                <w:rFonts w:cs="Times New Roman"/>
                <w:lang w:val="es-ES"/>
              </w:rPr>
              <w:t>La Unidad Nacional de Protección (UNP) remitió la siguiente información en relación con las preguntas planteadas en el auto de pruebas</w:t>
            </w:r>
            <w:r>
              <w:rPr>
                <w:rFonts w:cs="Times New Roman"/>
                <w:lang w:val="es-ES"/>
              </w:rPr>
              <w:t>, principalmente,</w:t>
            </w:r>
            <w:r w:rsidRPr="00833016">
              <w:rPr>
                <w:rFonts w:cs="Times New Roman"/>
                <w:lang w:val="es-ES"/>
              </w:rPr>
              <w:t xml:space="preserve"> respecto del presupuesto fáctico</w:t>
            </w:r>
            <w:r>
              <w:rPr>
                <w:rFonts w:cs="Times New Roman"/>
                <w:lang w:val="es-ES"/>
              </w:rPr>
              <w:t xml:space="preserve"> y de suficiencia</w:t>
            </w:r>
            <w:r w:rsidRPr="00833016">
              <w:rPr>
                <w:rFonts w:cs="Times New Roman"/>
                <w:lang w:val="es-ES"/>
              </w:rPr>
              <w:t>:</w:t>
            </w:r>
          </w:p>
          <w:p w14:paraId="14D4A314" w14:textId="77777777" w:rsidR="00C454A1" w:rsidRPr="00833016" w:rsidRDefault="00C454A1" w:rsidP="00881E6A">
            <w:pPr>
              <w:ind w:right="272"/>
              <w:rPr>
                <w:rFonts w:cs="Times New Roman"/>
                <w:lang w:val="es-ES"/>
              </w:rPr>
            </w:pPr>
          </w:p>
          <w:p w14:paraId="3C80ECAA" w14:textId="77777777" w:rsidR="00C454A1" w:rsidRPr="00833016" w:rsidRDefault="00C454A1" w:rsidP="00881E6A">
            <w:pPr>
              <w:ind w:right="272"/>
              <w:rPr>
                <w:rFonts w:cs="Times New Roman"/>
                <w:lang w:val="es-ES"/>
              </w:rPr>
            </w:pPr>
            <w:r w:rsidRPr="00833016">
              <w:rPr>
                <w:rFonts w:cs="Times New Roman"/>
                <w:b/>
                <w:i/>
                <w:lang w:val="es-ES"/>
              </w:rPr>
              <w:t>Presupuesto fáctico</w:t>
            </w:r>
            <w:r w:rsidRPr="00833016">
              <w:rPr>
                <w:rFonts w:cs="Times New Roman"/>
                <w:b/>
                <w:lang w:val="es-ES"/>
              </w:rPr>
              <w:t xml:space="preserve">. </w:t>
            </w:r>
            <w:r w:rsidRPr="00833016">
              <w:rPr>
                <w:rFonts w:cs="Times New Roman"/>
                <w:lang w:val="es-ES"/>
              </w:rPr>
              <w:t xml:space="preserve">En cuanto al riesgo extraordinario en firmantes del acuerdo de paz, </w:t>
            </w:r>
            <w:r>
              <w:rPr>
                <w:rFonts w:cs="Times New Roman"/>
                <w:lang w:val="es-ES"/>
              </w:rPr>
              <w:t>informó</w:t>
            </w:r>
            <w:r w:rsidRPr="00833016">
              <w:rPr>
                <w:rFonts w:cs="Times New Roman"/>
                <w:lang w:val="es-ES"/>
              </w:rPr>
              <w:t xml:space="preserve"> que ese se presenta desde el año 2017. Fue en esta fecha que se creó la Subdirección Especializada de Seguridad y Protección (SEPS), por medio del Decreto 299 de 2017</w:t>
            </w:r>
            <w:r w:rsidRPr="00833016">
              <w:rPr>
                <w:rStyle w:val="Refdenotaalpie"/>
                <w:rFonts w:cs="Times New Roman"/>
                <w:lang w:val="es-ES"/>
              </w:rPr>
              <w:footnoteReference w:id="686"/>
            </w:r>
            <w:r w:rsidRPr="00833016">
              <w:rPr>
                <w:rFonts w:cs="Times New Roman"/>
                <w:lang w:val="es-ES"/>
              </w:rPr>
              <w:t xml:space="preserve">. En adición, indicó que “una vez revisada la información histórica que reposa en las bases de datos del Grupo de Recepción, Análisis, Evaluación de Riesgos y Recomendaciones (GRAEER), se encontró que, desde el año 2017 se han adelantado estudios de nivel de riesgo en la zona geográficamente determinada por el </w:t>
            </w:r>
            <w:r w:rsidRPr="00833016">
              <w:rPr>
                <w:rFonts w:cs="Times New Roman"/>
                <w:lang w:val="es-ES"/>
              </w:rPr>
              <w:lastRenderedPageBreak/>
              <w:t>Decreto 0062 de 2025 que declara el Estado de Conmoción Interior, siendo el primer caso registrado un Trámite de Emergencia adelantado a un firmante de paz y su familia, ubicados en el municipio El Tarra”</w:t>
            </w:r>
            <w:r w:rsidRPr="00833016">
              <w:rPr>
                <w:rStyle w:val="Refdenotaalpie"/>
                <w:rFonts w:cs="Times New Roman"/>
                <w:lang w:val="es-ES"/>
              </w:rPr>
              <w:footnoteReference w:id="687"/>
            </w:r>
            <w:r w:rsidRPr="00833016">
              <w:rPr>
                <w:rFonts w:cs="Times New Roman"/>
                <w:lang w:val="es-ES"/>
              </w:rPr>
              <w:t>.</w:t>
            </w:r>
          </w:p>
          <w:p w14:paraId="39040AA7" w14:textId="77777777" w:rsidR="00C454A1" w:rsidRPr="00833016" w:rsidRDefault="00C454A1" w:rsidP="00881E6A">
            <w:pPr>
              <w:ind w:right="272"/>
              <w:rPr>
                <w:rFonts w:cs="Times New Roman"/>
                <w:lang w:val="es-ES"/>
              </w:rPr>
            </w:pPr>
          </w:p>
          <w:p w14:paraId="6B197AC9" w14:textId="77777777" w:rsidR="00C454A1" w:rsidRPr="00833016" w:rsidRDefault="00C454A1" w:rsidP="00881E6A">
            <w:pPr>
              <w:ind w:right="272"/>
              <w:rPr>
                <w:rFonts w:cs="Times New Roman"/>
                <w:lang w:val="es-ES"/>
              </w:rPr>
            </w:pPr>
            <w:r w:rsidRPr="00833016">
              <w:rPr>
                <w:rFonts w:cs="Times New Roman"/>
                <w:lang w:val="es-ES"/>
              </w:rPr>
              <w:t>Ahora bien, en el 2019, “a través de la Alerta Temprana AT 011-2019, se puso en conocimiento de esta Unidad sobre una posible situación de riesgo de firmantes del Acuerdo de Paz en el Norte de Santander”. Ante esta situación, la entidad “adelantó las gestiones para dar cumplimiento a las recomendaciones de las Alertas Tempranas emitidas desde el 2019”</w:t>
            </w:r>
            <w:r w:rsidRPr="00833016">
              <w:rPr>
                <w:rStyle w:val="Refdenotaalpie"/>
                <w:rFonts w:cs="Times New Roman"/>
                <w:lang w:val="es-ES"/>
              </w:rPr>
              <w:footnoteReference w:id="688"/>
            </w:r>
            <w:r w:rsidRPr="00833016">
              <w:rPr>
                <w:rFonts w:cs="Times New Roman"/>
                <w:lang w:val="es-ES"/>
              </w:rPr>
              <w:t xml:space="preserve">. En concreto, </w:t>
            </w:r>
            <w:r w:rsidRPr="006E38E5">
              <w:rPr>
                <w:rFonts w:cs="Times New Roman"/>
                <w:i/>
                <w:iCs/>
                <w:lang w:val="es-ES"/>
              </w:rPr>
              <w:t>(i)</w:t>
            </w:r>
            <w:r w:rsidRPr="00833016">
              <w:rPr>
                <w:rFonts w:cs="Times New Roman"/>
                <w:lang w:val="es-ES"/>
              </w:rPr>
              <w:t xml:space="preserve"> priorizó las evaluaciones de riesgo en atención a los municipios referidos en las alertas tempranas; </w:t>
            </w:r>
            <w:r w:rsidRPr="006E38E5">
              <w:rPr>
                <w:rFonts w:cs="Times New Roman"/>
                <w:i/>
                <w:iCs/>
                <w:lang w:val="es-ES"/>
              </w:rPr>
              <w:t>(ii)</w:t>
            </w:r>
            <w:r w:rsidRPr="00833016">
              <w:rPr>
                <w:rFonts w:cs="Times New Roman"/>
                <w:lang w:val="es-ES"/>
              </w:rPr>
              <w:t xml:space="preserve"> tramitó las solicitudes de protección, cuyo crecimiento ha sido exponencial en lo que va del 2025, y, por último, </w:t>
            </w:r>
            <w:r w:rsidRPr="006E38E5">
              <w:rPr>
                <w:rFonts w:cs="Times New Roman"/>
                <w:i/>
                <w:iCs/>
                <w:lang w:val="es-ES"/>
              </w:rPr>
              <w:t>(i</w:t>
            </w:r>
            <w:r>
              <w:rPr>
                <w:rFonts w:cs="Times New Roman"/>
                <w:i/>
                <w:iCs/>
                <w:lang w:val="es-ES"/>
              </w:rPr>
              <w:t>i</w:t>
            </w:r>
            <w:r w:rsidRPr="006E38E5">
              <w:rPr>
                <w:rFonts w:cs="Times New Roman"/>
                <w:i/>
                <w:iCs/>
                <w:lang w:val="es-ES"/>
              </w:rPr>
              <w:t>i)</w:t>
            </w:r>
            <w:r w:rsidRPr="00833016">
              <w:rPr>
                <w:rFonts w:cs="Times New Roman"/>
                <w:lang w:val="es-ES"/>
              </w:rPr>
              <w:t xml:space="preserve"> ajustó las medidas de protección</w:t>
            </w:r>
            <w:r w:rsidRPr="00833016">
              <w:rPr>
                <w:rStyle w:val="Refdenotaalpie"/>
                <w:rFonts w:cs="Times New Roman"/>
                <w:lang w:val="es-ES"/>
              </w:rPr>
              <w:footnoteReference w:id="689"/>
            </w:r>
            <w:r w:rsidRPr="00833016">
              <w:rPr>
                <w:rFonts w:cs="Times New Roman"/>
                <w:lang w:val="es-ES"/>
              </w:rPr>
              <w:t>. Entre el 2022 y el 4 de febrero de 2025 se ha recibido el siguiente número de solicitudes: en el 2022, 42 solicitudes; en el 2023, 24 solicitudes; en el 2024, 39 solicitudes y, en el 2025, 93 solicitudes.</w:t>
            </w:r>
          </w:p>
          <w:p w14:paraId="4B887438" w14:textId="77777777" w:rsidR="00C454A1" w:rsidRPr="00833016" w:rsidRDefault="00C454A1" w:rsidP="00881E6A">
            <w:pPr>
              <w:ind w:right="272"/>
              <w:rPr>
                <w:rFonts w:cs="Times New Roman"/>
                <w:lang w:val="es-ES"/>
              </w:rPr>
            </w:pPr>
          </w:p>
          <w:p w14:paraId="4CDF6448" w14:textId="77777777" w:rsidR="00C454A1" w:rsidRPr="00833016" w:rsidRDefault="00C454A1" w:rsidP="00881E6A">
            <w:pPr>
              <w:ind w:right="272"/>
              <w:rPr>
                <w:rFonts w:cs="Times New Roman"/>
                <w:lang w:val="es-ES"/>
              </w:rPr>
            </w:pPr>
            <w:r w:rsidRPr="00833016">
              <w:rPr>
                <w:rFonts w:cs="Times New Roman"/>
                <w:lang w:val="es-ES"/>
              </w:rPr>
              <w:t>En particular, el día 4 de febrero de 2025, “se recibió solicitud de activación de ruta de protección mediante Trámite de Emergencia por parte del Consejo Nacional de Reincorporación - CNR-Comunes, adjuntándose para el efecto, un listado de 177 personas”</w:t>
            </w:r>
            <w:r w:rsidRPr="00833016">
              <w:rPr>
                <w:rStyle w:val="Refdenotaalpie"/>
                <w:rFonts w:cs="Times New Roman"/>
                <w:lang w:val="es-ES"/>
              </w:rPr>
              <w:footnoteReference w:id="690"/>
            </w:r>
            <w:r w:rsidRPr="00833016">
              <w:rPr>
                <w:rFonts w:cs="Times New Roman"/>
                <w:lang w:val="es-ES"/>
              </w:rPr>
              <w:t>. Esta solicitud se encuentra en trámite.</w:t>
            </w:r>
          </w:p>
          <w:p w14:paraId="3116F320" w14:textId="77777777" w:rsidR="00C454A1" w:rsidRPr="00833016" w:rsidRDefault="00C454A1" w:rsidP="00881E6A">
            <w:pPr>
              <w:ind w:right="272"/>
              <w:rPr>
                <w:rFonts w:cs="Times New Roman"/>
                <w:lang w:val="es-ES"/>
              </w:rPr>
            </w:pPr>
          </w:p>
          <w:p w14:paraId="5879EBB7" w14:textId="77777777" w:rsidR="00C454A1" w:rsidRPr="00833016" w:rsidRDefault="00C454A1" w:rsidP="00881E6A">
            <w:pPr>
              <w:ind w:right="272"/>
              <w:rPr>
                <w:rFonts w:cs="Times New Roman"/>
                <w:lang w:val="es-ES"/>
              </w:rPr>
            </w:pPr>
            <w:r w:rsidRPr="00833016">
              <w:rPr>
                <w:rFonts w:cs="Times New Roman"/>
                <w:lang w:val="es-ES"/>
              </w:rPr>
              <w:t>En suma, conforme a lo expuesto, es claro que en lo que va del 2025 “se ha recibido una mayor cantidad de solicitudes de protección por parte de firmantes del acuerdo de paz, comparado con anualidades anteriores. Situación que permite inferir la existencia de un nivel de riesgo mayor (inminente, extremo y excepcional) en los municipios en los que el Gobierno Nacional declaró la conmoción interior para dicha población”</w:t>
            </w:r>
            <w:r w:rsidRPr="00833016">
              <w:rPr>
                <w:rStyle w:val="Refdenotaalpie"/>
                <w:rFonts w:cs="Times New Roman"/>
                <w:lang w:val="es-ES"/>
              </w:rPr>
              <w:footnoteReference w:id="691"/>
            </w:r>
            <w:r w:rsidRPr="00833016">
              <w:rPr>
                <w:rFonts w:cs="Times New Roman"/>
                <w:lang w:val="es-ES"/>
              </w:rPr>
              <w:t>.</w:t>
            </w:r>
          </w:p>
          <w:p w14:paraId="5854A432" w14:textId="77777777" w:rsidR="00C454A1" w:rsidRPr="00833016" w:rsidRDefault="00C454A1" w:rsidP="00881E6A">
            <w:pPr>
              <w:ind w:right="272"/>
              <w:rPr>
                <w:rFonts w:cs="Times New Roman"/>
                <w:lang w:val="es-ES"/>
              </w:rPr>
            </w:pPr>
          </w:p>
          <w:p w14:paraId="422BEE67" w14:textId="77777777" w:rsidR="00C454A1" w:rsidRPr="00833016" w:rsidRDefault="00C454A1" w:rsidP="00881E6A">
            <w:pPr>
              <w:ind w:right="272"/>
              <w:rPr>
                <w:rFonts w:cs="Times New Roman"/>
                <w:lang w:val="es-ES"/>
              </w:rPr>
            </w:pPr>
            <w:r w:rsidRPr="00833016">
              <w:rPr>
                <w:rFonts w:cs="Times New Roman"/>
                <w:lang w:val="es-ES"/>
              </w:rPr>
              <w:lastRenderedPageBreak/>
              <w:t xml:space="preserve">La evolución de la implementación de las medidas de </w:t>
            </w:r>
            <w:r>
              <w:rPr>
                <w:rFonts w:cs="Times New Roman"/>
                <w:lang w:val="es-ES"/>
              </w:rPr>
              <w:t>p</w:t>
            </w:r>
            <w:r w:rsidRPr="00833016">
              <w:rPr>
                <w:rFonts w:cs="Times New Roman"/>
                <w:lang w:val="es-ES"/>
              </w:rPr>
              <w:t xml:space="preserve">rotección de </w:t>
            </w:r>
            <w:r>
              <w:rPr>
                <w:rFonts w:cs="Times New Roman"/>
                <w:lang w:val="es-ES"/>
              </w:rPr>
              <w:t xml:space="preserve">la </w:t>
            </w:r>
            <w:r w:rsidRPr="00833016">
              <w:rPr>
                <w:rFonts w:cs="Times New Roman"/>
                <w:lang w:val="es-ES"/>
              </w:rPr>
              <w:t>SEPS, desde el año 2022 a la fecha, se evidencia en la siguiente tabla:</w:t>
            </w:r>
          </w:p>
          <w:p w14:paraId="2A65AFE6" w14:textId="77777777" w:rsidR="00C454A1" w:rsidRDefault="00C454A1" w:rsidP="00881E6A">
            <w:pPr>
              <w:ind w:right="272"/>
              <w:rPr>
                <w:rFonts w:cs="Times New Roman"/>
                <w:lang w:val="es-ES"/>
              </w:rPr>
            </w:pPr>
          </w:p>
          <w:p w14:paraId="1A19D32A" w14:textId="77777777" w:rsidR="00C454A1" w:rsidRPr="00802114" w:rsidRDefault="00C454A1" w:rsidP="00881E6A">
            <w:pPr>
              <w:ind w:right="272"/>
              <w:jc w:val="center"/>
              <w:rPr>
                <w:rFonts w:cs="Times New Roman"/>
                <w:i/>
                <w:iCs/>
                <w:sz w:val="20"/>
                <w:szCs w:val="20"/>
                <w:lang w:val="es-ES"/>
              </w:rPr>
            </w:pPr>
            <w:r w:rsidRPr="00802114">
              <w:rPr>
                <w:rFonts w:cs="Times New Roman"/>
                <w:i/>
                <w:iCs/>
                <w:sz w:val="20"/>
                <w:szCs w:val="20"/>
                <w:lang w:val="es-ES"/>
              </w:rPr>
              <w:t>Tabla 23: evolución de la implementación de las medidas de protección de la SEPS desde 2022</w:t>
            </w:r>
          </w:p>
          <w:tbl>
            <w:tblPr>
              <w:tblStyle w:val="Tablaconcuadrcula"/>
              <w:tblW w:w="0" w:type="auto"/>
              <w:jc w:val="center"/>
              <w:tblLook w:val="04A0" w:firstRow="1" w:lastRow="0" w:firstColumn="1" w:lastColumn="0" w:noHBand="0" w:noVBand="1"/>
            </w:tblPr>
            <w:tblGrid>
              <w:gridCol w:w="1288"/>
              <w:gridCol w:w="1299"/>
              <w:gridCol w:w="1299"/>
              <w:gridCol w:w="1333"/>
              <w:gridCol w:w="1333"/>
              <w:gridCol w:w="1610"/>
              <w:gridCol w:w="1677"/>
              <w:gridCol w:w="1444"/>
            </w:tblGrid>
            <w:tr w:rsidR="00C454A1" w:rsidRPr="00802114" w14:paraId="1CFDC929" w14:textId="77777777" w:rsidTr="001F3006">
              <w:trPr>
                <w:jc w:val="center"/>
              </w:trPr>
              <w:tc>
                <w:tcPr>
                  <w:tcW w:w="1016" w:type="dxa"/>
                  <w:shd w:val="clear" w:color="auto" w:fill="D1D1D1" w:themeFill="background2" w:themeFillShade="E6"/>
                  <w:vAlign w:val="center"/>
                </w:tcPr>
                <w:p w14:paraId="6BC6A61B" w14:textId="77777777" w:rsidR="00C454A1" w:rsidRPr="00833016" w:rsidRDefault="00C454A1" w:rsidP="00881E6A">
                  <w:pPr>
                    <w:ind w:right="272"/>
                    <w:rPr>
                      <w:rFonts w:cs="Times New Roman"/>
                      <w:sz w:val="20"/>
                      <w:szCs w:val="20"/>
                      <w:lang w:val="es-ES"/>
                    </w:rPr>
                  </w:pPr>
                </w:p>
              </w:tc>
              <w:tc>
                <w:tcPr>
                  <w:tcW w:w="3306" w:type="dxa"/>
                  <w:gridSpan w:val="3"/>
                  <w:shd w:val="clear" w:color="auto" w:fill="D1D1D1" w:themeFill="background2" w:themeFillShade="E6"/>
                  <w:vAlign w:val="center"/>
                </w:tcPr>
                <w:p w14:paraId="3EDF4E53"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Esquemas de protección</w:t>
                  </w:r>
                </w:p>
              </w:tc>
              <w:tc>
                <w:tcPr>
                  <w:tcW w:w="4976" w:type="dxa"/>
                  <w:gridSpan w:val="4"/>
                  <w:shd w:val="clear" w:color="auto" w:fill="D1D1D1" w:themeFill="background2" w:themeFillShade="E6"/>
                  <w:vAlign w:val="center"/>
                </w:tcPr>
                <w:p w14:paraId="17CC8B04"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Medidas complementarias de protección</w:t>
                  </w:r>
                </w:p>
              </w:tc>
            </w:tr>
            <w:tr w:rsidR="00C454A1" w:rsidRPr="00802114" w14:paraId="1957590A" w14:textId="77777777" w:rsidTr="001F3006">
              <w:trPr>
                <w:jc w:val="center"/>
              </w:trPr>
              <w:tc>
                <w:tcPr>
                  <w:tcW w:w="1016" w:type="dxa"/>
                  <w:shd w:val="clear" w:color="auto" w:fill="D1D1D1" w:themeFill="background2" w:themeFillShade="E6"/>
                  <w:vAlign w:val="center"/>
                </w:tcPr>
                <w:p w14:paraId="4F1ADFEB" w14:textId="77777777" w:rsidR="00C454A1" w:rsidRPr="00833016" w:rsidRDefault="00C454A1" w:rsidP="00881E6A">
                  <w:pPr>
                    <w:ind w:right="272"/>
                    <w:rPr>
                      <w:rFonts w:cs="Times New Roman"/>
                      <w:sz w:val="20"/>
                      <w:szCs w:val="20"/>
                      <w:lang w:val="es-ES"/>
                    </w:rPr>
                  </w:pPr>
                </w:p>
              </w:tc>
              <w:tc>
                <w:tcPr>
                  <w:tcW w:w="1230" w:type="dxa"/>
                  <w:shd w:val="clear" w:color="auto" w:fill="D1D1D1" w:themeFill="background2" w:themeFillShade="E6"/>
                  <w:vAlign w:val="center"/>
                </w:tcPr>
                <w:p w14:paraId="550D12C9"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Número de Esquemas</w:t>
                  </w:r>
                </w:p>
              </w:tc>
              <w:tc>
                <w:tcPr>
                  <w:tcW w:w="1015" w:type="dxa"/>
                  <w:shd w:val="clear" w:color="auto" w:fill="D1D1D1" w:themeFill="background2" w:themeFillShade="E6"/>
                  <w:vAlign w:val="center"/>
                </w:tcPr>
                <w:p w14:paraId="71968FBE"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Vehículos</w:t>
                  </w:r>
                </w:p>
              </w:tc>
              <w:tc>
                <w:tcPr>
                  <w:tcW w:w="1061" w:type="dxa"/>
                  <w:shd w:val="clear" w:color="auto" w:fill="D1D1D1" w:themeFill="background2" w:themeFillShade="E6"/>
                  <w:vAlign w:val="center"/>
                </w:tcPr>
                <w:p w14:paraId="38156D5A"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Personas con protección</w:t>
                  </w:r>
                </w:p>
              </w:tc>
              <w:tc>
                <w:tcPr>
                  <w:tcW w:w="1061" w:type="dxa"/>
                  <w:shd w:val="clear" w:color="auto" w:fill="D1D1D1" w:themeFill="background2" w:themeFillShade="E6"/>
                  <w:vAlign w:val="center"/>
                </w:tcPr>
                <w:p w14:paraId="2910DCF4"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Chalecos de protección balística</w:t>
                  </w:r>
                </w:p>
              </w:tc>
              <w:tc>
                <w:tcPr>
                  <w:tcW w:w="1338" w:type="dxa"/>
                  <w:shd w:val="clear" w:color="auto" w:fill="D1D1D1" w:themeFill="background2" w:themeFillShade="E6"/>
                  <w:vAlign w:val="center"/>
                </w:tcPr>
                <w:p w14:paraId="06F94C85"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Medios de comunicación</w:t>
                  </w:r>
                </w:p>
              </w:tc>
              <w:tc>
                <w:tcPr>
                  <w:tcW w:w="1405" w:type="dxa"/>
                  <w:shd w:val="clear" w:color="auto" w:fill="D1D1D1" w:themeFill="background2" w:themeFillShade="E6"/>
                  <w:vAlign w:val="center"/>
                </w:tcPr>
                <w:p w14:paraId="24F92F8F"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Cursos de autoprotección</w:t>
                  </w:r>
                </w:p>
              </w:tc>
              <w:tc>
                <w:tcPr>
                  <w:tcW w:w="1172" w:type="dxa"/>
                  <w:shd w:val="clear" w:color="auto" w:fill="D1D1D1" w:themeFill="background2" w:themeFillShade="E6"/>
                  <w:vAlign w:val="center"/>
                </w:tcPr>
                <w:p w14:paraId="06A23EFE"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Apoyos económicos</w:t>
                  </w:r>
                </w:p>
              </w:tc>
            </w:tr>
            <w:tr w:rsidR="00C454A1" w:rsidRPr="00802114" w14:paraId="131ED36F" w14:textId="77777777" w:rsidTr="001F3006">
              <w:trPr>
                <w:jc w:val="center"/>
              </w:trPr>
              <w:tc>
                <w:tcPr>
                  <w:tcW w:w="1016" w:type="dxa"/>
                  <w:vAlign w:val="center"/>
                </w:tcPr>
                <w:p w14:paraId="46FF820A"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A junio de 2022</w:t>
                  </w:r>
                </w:p>
              </w:tc>
              <w:tc>
                <w:tcPr>
                  <w:tcW w:w="1230" w:type="dxa"/>
                  <w:vAlign w:val="center"/>
                </w:tcPr>
                <w:p w14:paraId="532C9651"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8</w:t>
                  </w:r>
                </w:p>
              </w:tc>
              <w:tc>
                <w:tcPr>
                  <w:tcW w:w="1015" w:type="dxa"/>
                  <w:vAlign w:val="center"/>
                </w:tcPr>
                <w:p w14:paraId="708F95B6"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16</w:t>
                  </w:r>
                </w:p>
              </w:tc>
              <w:tc>
                <w:tcPr>
                  <w:tcW w:w="1061" w:type="dxa"/>
                  <w:vAlign w:val="center"/>
                </w:tcPr>
                <w:p w14:paraId="4F6F63B9"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32</w:t>
                  </w:r>
                </w:p>
              </w:tc>
              <w:tc>
                <w:tcPr>
                  <w:tcW w:w="1061" w:type="dxa"/>
                  <w:vAlign w:val="center"/>
                </w:tcPr>
                <w:p w14:paraId="7F518CBD"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13</w:t>
                  </w:r>
                </w:p>
              </w:tc>
              <w:tc>
                <w:tcPr>
                  <w:tcW w:w="1338" w:type="dxa"/>
                  <w:vAlign w:val="center"/>
                </w:tcPr>
                <w:p w14:paraId="76913B5F"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13</w:t>
                  </w:r>
                </w:p>
              </w:tc>
              <w:tc>
                <w:tcPr>
                  <w:tcW w:w="1405" w:type="dxa"/>
                  <w:vAlign w:val="center"/>
                </w:tcPr>
                <w:p w14:paraId="3C9FB083"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w:t>
                  </w:r>
                </w:p>
              </w:tc>
              <w:tc>
                <w:tcPr>
                  <w:tcW w:w="1172" w:type="dxa"/>
                  <w:vAlign w:val="center"/>
                </w:tcPr>
                <w:p w14:paraId="554354F3"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128</w:t>
                  </w:r>
                </w:p>
              </w:tc>
            </w:tr>
            <w:tr w:rsidR="00C454A1" w:rsidRPr="00802114" w14:paraId="73AB20AE" w14:textId="77777777" w:rsidTr="001F3006">
              <w:trPr>
                <w:jc w:val="center"/>
              </w:trPr>
              <w:tc>
                <w:tcPr>
                  <w:tcW w:w="1016" w:type="dxa"/>
                  <w:vAlign w:val="center"/>
                </w:tcPr>
                <w:p w14:paraId="20A2050B"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A diciembre de 2022</w:t>
                  </w:r>
                </w:p>
              </w:tc>
              <w:tc>
                <w:tcPr>
                  <w:tcW w:w="1230" w:type="dxa"/>
                  <w:vAlign w:val="center"/>
                </w:tcPr>
                <w:p w14:paraId="02A847EC"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9</w:t>
                  </w:r>
                </w:p>
              </w:tc>
              <w:tc>
                <w:tcPr>
                  <w:tcW w:w="1015" w:type="dxa"/>
                  <w:vAlign w:val="center"/>
                </w:tcPr>
                <w:p w14:paraId="0CDBE2CF"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14</w:t>
                  </w:r>
                </w:p>
              </w:tc>
              <w:tc>
                <w:tcPr>
                  <w:tcW w:w="1061" w:type="dxa"/>
                  <w:vAlign w:val="center"/>
                </w:tcPr>
                <w:p w14:paraId="6A98C9E9"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38</w:t>
                  </w:r>
                </w:p>
              </w:tc>
              <w:tc>
                <w:tcPr>
                  <w:tcW w:w="1061" w:type="dxa"/>
                  <w:vAlign w:val="center"/>
                </w:tcPr>
                <w:p w14:paraId="0286CEA6"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22</w:t>
                  </w:r>
                </w:p>
              </w:tc>
              <w:tc>
                <w:tcPr>
                  <w:tcW w:w="1338" w:type="dxa"/>
                  <w:vAlign w:val="center"/>
                </w:tcPr>
                <w:p w14:paraId="08B266C9"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30</w:t>
                  </w:r>
                </w:p>
              </w:tc>
              <w:tc>
                <w:tcPr>
                  <w:tcW w:w="1405" w:type="dxa"/>
                  <w:vAlign w:val="center"/>
                </w:tcPr>
                <w:p w14:paraId="3F1DF481"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22</w:t>
                  </w:r>
                </w:p>
              </w:tc>
              <w:tc>
                <w:tcPr>
                  <w:tcW w:w="1172" w:type="dxa"/>
                  <w:vAlign w:val="center"/>
                </w:tcPr>
                <w:p w14:paraId="7B39CE45"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135</w:t>
                  </w:r>
                </w:p>
              </w:tc>
            </w:tr>
            <w:tr w:rsidR="00C454A1" w:rsidRPr="00802114" w14:paraId="57C0341C" w14:textId="77777777" w:rsidTr="001F3006">
              <w:trPr>
                <w:jc w:val="center"/>
              </w:trPr>
              <w:tc>
                <w:tcPr>
                  <w:tcW w:w="1016" w:type="dxa"/>
                  <w:vAlign w:val="center"/>
                </w:tcPr>
                <w:p w14:paraId="0711978B"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A junio de 2023</w:t>
                  </w:r>
                </w:p>
              </w:tc>
              <w:tc>
                <w:tcPr>
                  <w:tcW w:w="1230" w:type="dxa"/>
                  <w:vAlign w:val="center"/>
                </w:tcPr>
                <w:p w14:paraId="48EF6B5D"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12</w:t>
                  </w:r>
                </w:p>
              </w:tc>
              <w:tc>
                <w:tcPr>
                  <w:tcW w:w="1015" w:type="dxa"/>
                  <w:vAlign w:val="center"/>
                </w:tcPr>
                <w:p w14:paraId="23F6ADA5"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18</w:t>
                  </w:r>
                </w:p>
              </w:tc>
              <w:tc>
                <w:tcPr>
                  <w:tcW w:w="1061" w:type="dxa"/>
                  <w:vAlign w:val="center"/>
                </w:tcPr>
                <w:p w14:paraId="49706B22"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44</w:t>
                  </w:r>
                </w:p>
              </w:tc>
              <w:tc>
                <w:tcPr>
                  <w:tcW w:w="1061" w:type="dxa"/>
                  <w:vAlign w:val="center"/>
                </w:tcPr>
                <w:p w14:paraId="78CAC92C"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28</w:t>
                  </w:r>
                </w:p>
              </w:tc>
              <w:tc>
                <w:tcPr>
                  <w:tcW w:w="1338" w:type="dxa"/>
                  <w:vAlign w:val="center"/>
                </w:tcPr>
                <w:p w14:paraId="16948450"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35</w:t>
                  </w:r>
                </w:p>
              </w:tc>
              <w:tc>
                <w:tcPr>
                  <w:tcW w:w="1405" w:type="dxa"/>
                  <w:vAlign w:val="center"/>
                </w:tcPr>
                <w:p w14:paraId="5AA4B71F"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23</w:t>
                  </w:r>
                </w:p>
              </w:tc>
              <w:tc>
                <w:tcPr>
                  <w:tcW w:w="1172" w:type="dxa"/>
                  <w:vAlign w:val="center"/>
                </w:tcPr>
                <w:p w14:paraId="7C11F3BA"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175</w:t>
                  </w:r>
                </w:p>
              </w:tc>
            </w:tr>
            <w:tr w:rsidR="00C454A1" w:rsidRPr="00802114" w14:paraId="7D7635FA" w14:textId="77777777" w:rsidTr="001F3006">
              <w:trPr>
                <w:jc w:val="center"/>
              </w:trPr>
              <w:tc>
                <w:tcPr>
                  <w:tcW w:w="1016" w:type="dxa"/>
                  <w:vAlign w:val="center"/>
                </w:tcPr>
                <w:p w14:paraId="039BF4A9"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A diciembre de 2023</w:t>
                  </w:r>
                </w:p>
              </w:tc>
              <w:tc>
                <w:tcPr>
                  <w:tcW w:w="1230" w:type="dxa"/>
                  <w:vAlign w:val="center"/>
                </w:tcPr>
                <w:p w14:paraId="1105ACBF"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13</w:t>
                  </w:r>
                </w:p>
              </w:tc>
              <w:tc>
                <w:tcPr>
                  <w:tcW w:w="1015" w:type="dxa"/>
                  <w:vAlign w:val="center"/>
                </w:tcPr>
                <w:p w14:paraId="21C0DB74"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27</w:t>
                  </w:r>
                </w:p>
              </w:tc>
              <w:tc>
                <w:tcPr>
                  <w:tcW w:w="1061" w:type="dxa"/>
                  <w:vAlign w:val="center"/>
                </w:tcPr>
                <w:p w14:paraId="7EAFB03A"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53</w:t>
                  </w:r>
                </w:p>
              </w:tc>
              <w:tc>
                <w:tcPr>
                  <w:tcW w:w="1061" w:type="dxa"/>
                  <w:vAlign w:val="center"/>
                </w:tcPr>
                <w:p w14:paraId="35089F07"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62</w:t>
                  </w:r>
                </w:p>
              </w:tc>
              <w:tc>
                <w:tcPr>
                  <w:tcW w:w="1338" w:type="dxa"/>
                  <w:vAlign w:val="center"/>
                </w:tcPr>
                <w:p w14:paraId="26C9900F"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68</w:t>
                  </w:r>
                </w:p>
              </w:tc>
              <w:tc>
                <w:tcPr>
                  <w:tcW w:w="1405" w:type="dxa"/>
                  <w:vAlign w:val="center"/>
                </w:tcPr>
                <w:p w14:paraId="1DA851FD"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31</w:t>
                  </w:r>
                </w:p>
              </w:tc>
              <w:tc>
                <w:tcPr>
                  <w:tcW w:w="1172" w:type="dxa"/>
                  <w:vAlign w:val="center"/>
                </w:tcPr>
                <w:p w14:paraId="5D5E15C6"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186</w:t>
                  </w:r>
                </w:p>
              </w:tc>
            </w:tr>
            <w:tr w:rsidR="00C454A1" w:rsidRPr="00802114" w14:paraId="73FEACB4" w14:textId="77777777" w:rsidTr="001F3006">
              <w:trPr>
                <w:jc w:val="center"/>
              </w:trPr>
              <w:tc>
                <w:tcPr>
                  <w:tcW w:w="1016" w:type="dxa"/>
                  <w:vAlign w:val="center"/>
                </w:tcPr>
                <w:p w14:paraId="3B01AAFC"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A junio de 2024</w:t>
                  </w:r>
                </w:p>
              </w:tc>
              <w:tc>
                <w:tcPr>
                  <w:tcW w:w="1230" w:type="dxa"/>
                  <w:vAlign w:val="center"/>
                </w:tcPr>
                <w:p w14:paraId="4A09666E"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13</w:t>
                  </w:r>
                </w:p>
              </w:tc>
              <w:tc>
                <w:tcPr>
                  <w:tcW w:w="1015" w:type="dxa"/>
                  <w:vAlign w:val="center"/>
                </w:tcPr>
                <w:p w14:paraId="65AB5E7A"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29</w:t>
                  </w:r>
                </w:p>
              </w:tc>
              <w:tc>
                <w:tcPr>
                  <w:tcW w:w="1061" w:type="dxa"/>
                  <w:vAlign w:val="center"/>
                </w:tcPr>
                <w:p w14:paraId="7A546A53"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50</w:t>
                  </w:r>
                </w:p>
              </w:tc>
              <w:tc>
                <w:tcPr>
                  <w:tcW w:w="1061" w:type="dxa"/>
                  <w:vAlign w:val="center"/>
                </w:tcPr>
                <w:p w14:paraId="137FE399"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68</w:t>
                  </w:r>
                </w:p>
              </w:tc>
              <w:tc>
                <w:tcPr>
                  <w:tcW w:w="1338" w:type="dxa"/>
                  <w:vAlign w:val="center"/>
                </w:tcPr>
                <w:p w14:paraId="2C4B185C"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79</w:t>
                  </w:r>
                </w:p>
              </w:tc>
              <w:tc>
                <w:tcPr>
                  <w:tcW w:w="1405" w:type="dxa"/>
                  <w:vAlign w:val="center"/>
                </w:tcPr>
                <w:p w14:paraId="57F2489A"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31</w:t>
                  </w:r>
                </w:p>
              </w:tc>
              <w:tc>
                <w:tcPr>
                  <w:tcW w:w="1172" w:type="dxa"/>
                  <w:vAlign w:val="center"/>
                </w:tcPr>
                <w:p w14:paraId="04D82B38"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275</w:t>
                  </w:r>
                </w:p>
              </w:tc>
            </w:tr>
            <w:tr w:rsidR="00C454A1" w:rsidRPr="00802114" w14:paraId="2AB721F6" w14:textId="77777777" w:rsidTr="001F3006">
              <w:trPr>
                <w:jc w:val="center"/>
              </w:trPr>
              <w:tc>
                <w:tcPr>
                  <w:tcW w:w="1016" w:type="dxa"/>
                  <w:vAlign w:val="center"/>
                </w:tcPr>
                <w:p w14:paraId="0C34596C"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A diciembre de 2024</w:t>
                  </w:r>
                </w:p>
              </w:tc>
              <w:tc>
                <w:tcPr>
                  <w:tcW w:w="1230" w:type="dxa"/>
                  <w:vAlign w:val="center"/>
                </w:tcPr>
                <w:p w14:paraId="4F574A97"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14</w:t>
                  </w:r>
                </w:p>
              </w:tc>
              <w:tc>
                <w:tcPr>
                  <w:tcW w:w="1015" w:type="dxa"/>
                  <w:vAlign w:val="center"/>
                </w:tcPr>
                <w:p w14:paraId="62D57232"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32</w:t>
                  </w:r>
                </w:p>
              </w:tc>
              <w:tc>
                <w:tcPr>
                  <w:tcW w:w="1061" w:type="dxa"/>
                  <w:vAlign w:val="center"/>
                </w:tcPr>
                <w:p w14:paraId="318AE538"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67</w:t>
                  </w:r>
                </w:p>
              </w:tc>
              <w:tc>
                <w:tcPr>
                  <w:tcW w:w="1061" w:type="dxa"/>
                  <w:vAlign w:val="center"/>
                </w:tcPr>
                <w:p w14:paraId="38887541"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101</w:t>
                  </w:r>
                </w:p>
              </w:tc>
              <w:tc>
                <w:tcPr>
                  <w:tcW w:w="1338" w:type="dxa"/>
                  <w:vAlign w:val="center"/>
                </w:tcPr>
                <w:p w14:paraId="66070545"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98</w:t>
                  </w:r>
                </w:p>
              </w:tc>
              <w:tc>
                <w:tcPr>
                  <w:tcW w:w="1405" w:type="dxa"/>
                  <w:vAlign w:val="center"/>
                </w:tcPr>
                <w:p w14:paraId="36620CEC"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41</w:t>
                  </w:r>
                </w:p>
              </w:tc>
              <w:tc>
                <w:tcPr>
                  <w:tcW w:w="1172" w:type="dxa"/>
                  <w:vAlign w:val="center"/>
                </w:tcPr>
                <w:p w14:paraId="6A967FF1"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295</w:t>
                  </w:r>
                </w:p>
              </w:tc>
            </w:tr>
            <w:tr w:rsidR="00C454A1" w:rsidRPr="00802114" w14:paraId="18354386" w14:textId="77777777" w:rsidTr="001F3006">
              <w:trPr>
                <w:jc w:val="center"/>
              </w:trPr>
              <w:tc>
                <w:tcPr>
                  <w:tcW w:w="1016" w:type="dxa"/>
                  <w:vAlign w:val="center"/>
                </w:tcPr>
                <w:p w14:paraId="4E9E92F0" w14:textId="77777777" w:rsidR="00C454A1" w:rsidRPr="00833016" w:rsidRDefault="00C454A1" w:rsidP="00881E6A">
                  <w:pPr>
                    <w:ind w:right="272"/>
                    <w:rPr>
                      <w:rFonts w:cs="Times New Roman"/>
                      <w:sz w:val="20"/>
                      <w:szCs w:val="20"/>
                      <w:lang w:val="es-ES"/>
                    </w:rPr>
                  </w:pPr>
                  <w:r w:rsidRPr="00833016">
                    <w:rPr>
                      <w:rFonts w:cs="Times New Roman"/>
                      <w:sz w:val="20"/>
                      <w:szCs w:val="20"/>
                      <w:lang w:val="es-ES"/>
                    </w:rPr>
                    <w:t>A febrero de 2025</w:t>
                  </w:r>
                </w:p>
              </w:tc>
              <w:tc>
                <w:tcPr>
                  <w:tcW w:w="1230" w:type="dxa"/>
                  <w:vAlign w:val="center"/>
                </w:tcPr>
                <w:p w14:paraId="3477E059"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14</w:t>
                  </w:r>
                </w:p>
              </w:tc>
              <w:tc>
                <w:tcPr>
                  <w:tcW w:w="1015" w:type="dxa"/>
                  <w:vAlign w:val="center"/>
                </w:tcPr>
                <w:p w14:paraId="75E68408"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32</w:t>
                  </w:r>
                </w:p>
              </w:tc>
              <w:tc>
                <w:tcPr>
                  <w:tcW w:w="1061" w:type="dxa"/>
                  <w:vAlign w:val="center"/>
                </w:tcPr>
                <w:p w14:paraId="27640E9C"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67</w:t>
                  </w:r>
                </w:p>
              </w:tc>
              <w:tc>
                <w:tcPr>
                  <w:tcW w:w="1061" w:type="dxa"/>
                  <w:vAlign w:val="center"/>
                </w:tcPr>
                <w:p w14:paraId="44913922"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102</w:t>
                  </w:r>
                </w:p>
              </w:tc>
              <w:tc>
                <w:tcPr>
                  <w:tcW w:w="1338" w:type="dxa"/>
                  <w:vAlign w:val="center"/>
                </w:tcPr>
                <w:p w14:paraId="1249AB9D"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109</w:t>
                  </w:r>
                </w:p>
              </w:tc>
              <w:tc>
                <w:tcPr>
                  <w:tcW w:w="1405" w:type="dxa"/>
                  <w:vAlign w:val="center"/>
                </w:tcPr>
                <w:p w14:paraId="2F496CD8"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44</w:t>
                  </w:r>
                </w:p>
              </w:tc>
              <w:tc>
                <w:tcPr>
                  <w:tcW w:w="1172" w:type="dxa"/>
                  <w:vAlign w:val="center"/>
                </w:tcPr>
                <w:p w14:paraId="2EE166E6" w14:textId="77777777" w:rsidR="00C454A1" w:rsidRPr="00833016" w:rsidRDefault="00C454A1" w:rsidP="00881E6A">
                  <w:pPr>
                    <w:ind w:right="272"/>
                    <w:jc w:val="center"/>
                    <w:rPr>
                      <w:rFonts w:cs="Times New Roman"/>
                      <w:sz w:val="20"/>
                      <w:szCs w:val="20"/>
                      <w:lang w:val="es-ES"/>
                    </w:rPr>
                  </w:pPr>
                  <w:r w:rsidRPr="00833016">
                    <w:rPr>
                      <w:rFonts w:cs="Times New Roman"/>
                      <w:sz w:val="20"/>
                      <w:szCs w:val="20"/>
                      <w:lang w:val="es-ES"/>
                    </w:rPr>
                    <w:t>301</w:t>
                  </w:r>
                </w:p>
              </w:tc>
            </w:tr>
          </w:tbl>
          <w:p w14:paraId="4E6C2779" w14:textId="77777777" w:rsidR="00C454A1" w:rsidRPr="00833016" w:rsidRDefault="00C454A1" w:rsidP="00881E6A">
            <w:pPr>
              <w:ind w:right="272"/>
              <w:rPr>
                <w:rFonts w:eastAsia="Times New Roman" w:cs="Times New Roman"/>
                <w:lang w:val="es-ES"/>
              </w:rPr>
            </w:pPr>
          </w:p>
        </w:tc>
      </w:tr>
      <w:tr w:rsidR="00C454A1" w:rsidRPr="00802114" w14:paraId="3FE03850" w14:textId="77777777" w:rsidTr="005F4A6F">
        <w:trPr>
          <w:trHeight w:val="300"/>
        </w:trPr>
        <w:tc>
          <w:tcPr>
            <w:tcW w:w="642" w:type="pct"/>
            <w:vAlign w:val="center"/>
          </w:tcPr>
          <w:p w14:paraId="13197526" w14:textId="77777777" w:rsidR="00C454A1" w:rsidRPr="00833016" w:rsidRDefault="00C454A1" w:rsidP="00881E6A">
            <w:pPr>
              <w:ind w:right="272"/>
              <w:jc w:val="center"/>
              <w:rPr>
                <w:rFonts w:cs="Times New Roman"/>
                <w:b/>
                <w:lang w:val="es-ES"/>
              </w:rPr>
            </w:pPr>
          </w:p>
        </w:tc>
        <w:tc>
          <w:tcPr>
            <w:tcW w:w="4358" w:type="pct"/>
          </w:tcPr>
          <w:p w14:paraId="52AFDDE3" w14:textId="77777777" w:rsidR="00C454A1" w:rsidRPr="00833016" w:rsidRDefault="00C454A1" w:rsidP="00881E6A">
            <w:pPr>
              <w:ind w:right="272"/>
              <w:rPr>
                <w:rFonts w:cs="Times New Roman"/>
                <w:lang w:val="es-ES"/>
              </w:rPr>
            </w:pPr>
          </w:p>
        </w:tc>
      </w:tr>
      <w:tr w:rsidR="00C454A1" w:rsidRPr="00F8202F" w14:paraId="7D8F031B" w14:textId="77777777" w:rsidTr="005F4A6F">
        <w:trPr>
          <w:trHeight w:val="300"/>
        </w:trPr>
        <w:tc>
          <w:tcPr>
            <w:tcW w:w="642" w:type="pct"/>
            <w:vAlign w:val="center"/>
          </w:tcPr>
          <w:p w14:paraId="17DD2FA7" w14:textId="77777777" w:rsidR="00C454A1" w:rsidRPr="00DA6C7F" w:rsidRDefault="00C454A1" w:rsidP="00881E6A">
            <w:pPr>
              <w:ind w:right="272"/>
              <w:jc w:val="center"/>
              <w:rPr>
                <w:rFonts w:eastAsia="Times New Roman" w:cs="Times New Roman"/>
              </w:rPr>
            </w:pPr>
            <w:r w:rsidRPr="00DA6C7F">
              <w:rPr>
                <w:rFonts w:cs="Times New Roman"/>
                <w:b/>
              </w:rPr>
              <w:t>Ministerio de Hacienda y Crédito Público</w:t>
            </w:r>
          </w:p>
        </w:tc>
        <w:tc>
          <w:tcPr>
            <w:tcW w:w="4358" w:type="pct"/>
          </w:tcPr>
          <w:p w14:paraId="1B79E44D" w14:textId="77777777" w:rsidR="00C454A1" w:rsidRPr="00DA6C7F" w:rsidRDefault="00C454A1" w:rsidP="00881E6A">
            <w:pPr>
              <w:ind w:right="272"/>
              <w:rPr>
                <w:rFonts w:cs="Times New Roman"/>
              </w:rPr>
            </w:pPr>
            <w:r>
              <w:rPr>
                <w:rFonts w:cs="Times New Roman"/>
              </w:rPr>
              <w:t>R</w:t>
            </w:r>
            <w:r w:rsidRPr="00DA6C7F">
              <w:rPr>
                <w:rFonts w:cs="Times New Roman"/>
              </w:rPr>
              <w:t>emitió la siguiente información en relación con las preguntas planteadas en el auto de pruebas respecto del presupuesto de suficiencia:</w:t>
            </w:r>
          </w:p>
          <w:p w14:paraId="2E380E27" w14:textId="77777777" w:rsidR="00C454A1" w:rsidRPr="00DA6C7F" w:rsidRDefault="00C454A1" w:rsidP="00881E6A">
            <w:pPr>
              <w:ind w:right="272"/>
              <w:rPr>
                <w:rFonts w:cs="Times New Roman"/>
              </w:rPr>
            </w:pPr>
          </w:p>
          <w:p w14:paraId="3783C024" w14:textId="77777777" w:rsidR="00C454A1" w:rsidRPr="00DA6C7F" w:rsidRDefault="00C454A1" w:rsidP="00881E6A">
            <w:pPr>
              <w:ind w:right="272"/>
              <w:rPr>
                <w:rFonts w:cs="Times New Roman"/>
                <w:lang w:val="es-ES"/>
              </w:rPr>
            </w:pPr>
            <w:r w:rsidRPr="00DA6C7F">
              <w:rPr>
                <w:rFonts w:cs="Times New Roman"/>
                <w:b/>
                <w:bCs/>
                <w:i/>
                <w:iCs/>
                <w:lang w:val="es-ES"/>
              </w:rPr>
              <w:t>Presupuesto de Suficiencia</w:t>
            </w:r>
            <w:r w:rsidRPr="00DA6C7F">
              <w:rPr>
                <w:rFonts w:cs="Times New Roman"/>
                <w:b/>
                <w:bCs/>
                <w:lang w:val="es-ES"/>
              </w:rPr>
              <w:t>.</w:t>
            </w:r>
            <w:r w:rsidRPr="00DA6C7F">
              <w:rPr>
                <w:rFonts w:cs="Times New Roman"/>
                <w:lang w:val="es-ES"/>
              </w:rPr>
              <w:t xml:space="preserve"> </w:t>
            </w:r>
            <w:r>
              <w:rPr>
                <w:rFonts w:cs="Times New Roman"/>
                <w:lang w:val="es-ES"/>
              </w:rPr>
              <w:t>Se</w:t>
            </w:r>
            <w:r w:rsidRPr="00DA6C7F">
              <w:rPr>
                <w:rFonts w:cs="Times New Roman"/>
                <w:lang w:val="es-ES"/>
              </w:rPr>
              <w:t xml:space="preserve"> refirió a (</w:t>
            </w:r>
            <w:r w:rsidRPr="00B921AF">
              <w:rPr>
                <w:rFonts w:cs="Times New Roman"/>
                <w:i/>
                <w:iCs/>
                <w:lang w:val="es-ES"/>
              </w:rPr>
              <w:t>i</w:t>
            </w:r>
            <w:r w:rsidRPr="00DA6C7F">
              <w:rPr>
                <w:rFonts w:cs="Times New Roman"/>
                <w:lang w:val="es-ES"/>
              </w:rPr>
              <w:t xml:space="preserve">) los mecanismos, atribuciones y competencias presupuestales y fiscales ordinarias con los que cuenta el Gobierno </w:t>
            </w:r>
            <w:r>
              <w:rPr>
                <w:rFonts w:cs="Times New Roman"/>
                <w:lang w:val="es-ES"/>
              </w:rPr>
              <w:t>n</w:t>
            </w:r>
            <w:r w:rsidRPr="00DA6C7F">
              <w:rPr>
                <w:rFonts w:cs="Times New Roman"/>
                <w:lang w:val="es-ES"/>
              </w:rPr>
              <w:t xml:space="preserve">acional para incrementar, modificar o redireccionar recursos del </w:t>
            </w:r>
            <w:r>
              <w:rPr>
                <w:rFonts w:cs="Times New Roman"/>
                <w:lang w:val="es-ES"/>
              </w:rPr>
              <w:t xml:space="preserve">PGN </w:t>
            </w:r>
            <w:r w:rsidRPr="00DA6C7F">
              <w:rPr>
                <w:rFonts w:cs="Times New Roman"/>
                <w:lang w:val="es-ES"/>
              </w:rPr>
              <w:t>para atender crisis humanitarias o escaladas de violencia en el territorio; (</w:t>
            </w:r>
            <w:r w:rsidRPr="00B921AF">
              <w:rPr>
                <w:rFonts w:cs="Times New Roman"/>
                <w:i/>
                <w:iCs/>
                <w:lang w:val="es-ES"/>
              </w:rPr>
              <w:t>ii</w:t>
            </w:r>
            <w:r w:rsidRPr="00DA6C7F">
              <w:rPr>
                <w:rFonts w:cs="Times New Roman"/>
                <w:lang w:val="es-ES"/>
              </w:rPr>
              <w:t xml:space="preserve">) las medidas presupuestales o fiscales a través </w:t>
            </w:r>
            <w:r w:rsidRPr="00DA6C7F">
              <w:rPr>
                <w:rFonts w:cs="Times New Roman"/>
                <w:lang w:val="es-ES"/>
              </w:rPr>
              <w:lastRenderedPageBreak/>
              <w:t xml:space="preserve">de las cuales el Gobierno </w:t>
            </w:r>
            <w:r>
              <w:rPr>
                <w:rFonts w:cs="Times New Roman"/>
                <w:lang w:val="es-ES"/>
              </w:rPr>
              <w:t>n</w:t>
            </w:r>
            <w:r w:rsidRPr="00DA6C7F">
              <w:rPr>
                <w:rFonts w:cs="Times New Roman"/>
                <w:lang w:val="es-ES"/>
              </w:rPr>
              <w:t>acional buscaría recaudar o invertir recursos para superar la crisis, así como la destinación proyectada de los recursos; (</w:t>
            </w:r>
            <w:r w:rsidRPr="00B921AF">
              <w:rPr>
                <w:rFonts w:cs="Times New Roman"/>
                <w:i/>
                <w:iCs/>
                <w:lang w:val="es-ES"/>
              </w:rPr>
              <w:t>iii</w:t>
            </w:r>
            <w:r w:rsidRPr="00DA6C7F">
              <w:rPr>
                <w:rFonts w:cs="Times New Roman"/>
                <w:lang w:val="es-ES"/>
              </w:rPr>
              <w:t xml:space="preserve">) los recursos presupuestales que, desde el año 2022, el Gobierno </w:t>
            </w:r>
            <w:r>
              <w:rPr>
                <w:rFonts w:cs="Times New Roman"/>
                <w:lang w:val="es-ES"/>
              </w:rPr>
              <w:t>n</w:t>
            </w:r>
            <w:r w:rsidRPr="00DA6C7F">
              <w:rPr>
                <w:rFonts w:cs="Times New Roman"/>
                <w:lang w:val="es-ES"/>
              </w:rPr>
              <w:t>acional ha asignado a (</w:t>
            </w:r>
            <w:r w:rsidRPr="0026380E">
              <w:rPr>
                <w:rFonts w:cs="Times New Roman"/>
                <w:i/>
                <w:iCs/>
                <w:lang w:val="es-ES"/>
              </w:rPr>
              <w:t>a</w:t>
            </w:r>
            <w:r w:rsidRPr="00DA6C7F">
              <w:rPr>
                <w:rFonts w:cs="Times New Roman"/>
                <w:lang w:val="es-ES"/>
              </w:rPr>
              <w:t>) seguridad y defensa y, en concreto, las Fuerzas Militares, (b) la atención humanitaria para la población desplazada en la región del Catatumbo, el área metropolitana de Cúcuta, así como los municipios de Río de Oro y González y (c) la implementación del PNIS específicamente en la región del Catatumbo, el área metropolitana de Cúcuta, así como los municipios de Río de Oro y González; (</w:t>
            </w:r>
            <w:r w:rsidRPr="0026380E">
              <w:rPr>
                <w:rFonts w:cs="Times New Roman"/>
                <w:i/>
                <w:iCs/>
                <w:lang w:val="es-ES"/>
              </w:rPr>
              <w:t>iv</w:t>
            </w:r>
            <w:r w:rsidRPr="00DA6C7F">
              <w:rPr>
                <w:rFonts w:cs="Times New Roman"/>
                <w:lang w:val="es-ES"/>
              </w:rPr>
              <w:t>) los recursos del SGP y del SGR asignados en la presente vigencia fiscal para la seguridad y defensa en la región del Catatumbo, el área metropolitana de Cúcuta, así como los municipios de Río de Oro y González, habida cuenta de las Alertas Tempranas proferidas durante 2024 en relación con los inminentes enfrentamientos de grupos armados y ataques a la población civil.</w:t>
            </w:r>
          </w:p>
          <w:p w14:paraId="546EF3FA" w14:textId="77777777" w:rsidR="00C454A1" w:rsidRPr="00DA6C7F" w:rsidRDefault="00C454A1" w:rsidP="00881E6A">
            <w:pPr>
              <w:ind w:right="272"/>
              <w:rPr>
                <w:rFonts w:cs="Times New Roman"/>
              </w:rPr>
            </w:pPr>
          </w:p>
          <w:p w14:paraId="3F92A1ED" w14:textId="77777777" w:rsidR="00C454A1" w:rsidRPr="00DA6C7F" w:rsidRDefault="00C454A1" w:rsidP="005F4A6F">
            <w:pPr>
              <w:pStyle w:val="Prrafodelista"/>
              <w:numPr>
                <w:ilvl w:val="0"/>
                <w:numId w:val="34"/>
              </w:numPr>
              <w:ind w:left="0" w:right="272" w:firstLine="0"/>
              <w:rPr>
                <w:rFonts w:cs="Times New Roman"/>
              </w:rPr>
            </w:pPr>
            <w:r w:rsidRPr="00DA6C7F">
              <w:rPr>
                <w:rFonts w:cs="Times New Roman"/>
                <w:i/>
              </w:rPr>
              <w:t xml:space="preserve">Mecanismos, atribuciones y competencias presupuestales y fiscales ordinarias con los que cuenta el Gobierno </w:t>
            </w:r>
            <w:r>
              <w:rPr>
                <w:rFonts w:cs="Times New Roman"/>
                <w:i/>
              </w:rPr>
              <w:t>n</w:t>
            </w:r>
            <w:r w:rsidRPr="00DA6C7F">
              <w:rPr>
                <w:rFonts w:cs="Times New Roman"/>
                <w:i/>
              </w:rPr>
              <w:t>acional para incrementar, modificar o redireccionar recursos del Presupuesto General de la Nación</w:t>
            </w:r>
            <w:r w:rsidRPr="00DA6C7F">
              <w:rPr>
                <w:rFonts w:cs="Times New Roman"/>
              </w:rPr>
              <w:t xml:space="preserve">. Al respecto, el Ministerio explicó que el </w:t>
            </w:r>
            <w:r>
              <w:rPr>
                <w:rFonts w:cs="Times New Roman"/>
              </w:rPr>
              <w:t>PGN</w:t>
            </w:r>
            <w:r w:rsidRPr="00DA6C7F">
              <w:rPr>
                <w:rFonts w:cs="Times New Roman"/>
              </w:rPr>
              <w:t xml:space="preserve"> se rige por los principios de legalidad y especialización del gasto. La aplicación de estos principios impide que “el Gobierno utilice una partida de gasto aprobada por el Congreso para una finalidad distinta de aquella para la cual ésta fue apropiada”</w:t>
            </w:r>
            <w:r w:rsidRPr="00DA6C7F">
              <w:rPr>
                <w:rStyle w:val="Refdenotaalpie"/>
                <w:rFonts w:cs="Times New Roman"/>
              </w:rPr>
              <w:footnoteReference w:id="692"/>
            </w:r>
            <w:r w:rsidRPr="00DA6C7F">
              <w:rPr>
                <w:rFonts w:cs="Times New Roman"/>
              </w:rPr>
              <w:t>. De un lado, el principio de legalidad exige que “los ingresos y los gastos no sólo deben ser decretados previamente, sino que, además, deben estar apropiados en el presupuesto para ser efectivamente realizados”</w:t>
            </w:r>
            <w:r w:rsidRPr="00DA6C7F">
              <w:rPr>
                <w:rStyle w:val="Refdenotaalpie"/>
                <w:rFonts w:cs="Times New Roman"/>
              </w:rPr>
              <w:footnoteReference w:id="693"/>
            </w:r>
            <w:r w:rsidRPr="00DA6C7F">
              <w:rPr>
                <w:rFonts w:cs="Times New Roman"/>
              </w:rPr>
              <w:t>. De otro lado, el principio de especialización implica que “no se podrá ‘transferir crédito alguno a un objeto no previsto en el respectivo presupuesto’”</w:t>
            </w:r>
            <w:r w:rsidRPr="00DA6C7F">
              <w:rPr>
                <w:rStyle w:val="Refdenotaalpie"/>
                <w:rFonts w:cs="Times New Roman"/>
              </w:rPr>
              <w:footnoteReference w:id="694"/>
            </w:r>
            <w:r w:rsidRPr="00DA6C7F">
              <w:rPr>
                <w:rFonts w:cs="Times New Roman"/>
              </w:rPr>
              <w:t>.</w:t>
            </w:r>
          </w:p>
          <w:p w14:paraId="775ACE58" w14:textId="77777777" w:rsidR="00C454A1" w:rsidRPr="00DA6C7F" w:rsidRDefault="00C454A1" w:rsidP="00881E6A">
            <w:pPr>
              <w:pStyle w:val="Prrafodelista"/>
              <w:ind w:left="459" w:right="272"/>
              <w:rPr>
                <w:rFonts w:cs="Times New Roman"/>
              </w:rPr>
            </w:pPr>
          </w:p>
          <w:p w14:paraId="71AB1095" w14:textId="77777777" w:rsidR="00C454A1" w:rsidRPr="0026380E" w:rsidRDefault="00C454A1" w:rsidP="00881E6A">
            <w:pPr>
              <w:ind w:right="272"/>
              <w:rPr>
                <w:rFonts w:cs="Times New Roman"/>
                <w:color w:val="000000"/>
                <w:lang w:val="es-ES"/>
              </w:rPr>
            </w:pPr>
            <w:r w:rsidRPr="0026380E">
              <w:rPr>
                <w:rFonts w:cs="Times New Roman"/>
                <w:lang w:val="es-ES"/>
              </w:rPr>
              <w:t xml:space="preserve">En este contexto, el “ordenamiento jurídico prevé que en condiciones normales el presupuesto asignado a las entidades públicas pueda ser modificado a través de dos herramientas: (i) traslados presupuestales, o (ii) distribuciones </w:t>
            </w:r>
            <w:r w:rsidRPr="0026380E">
              <w:rPr>
                <w:rFonts w:cs="Times New Roman"/>
                <w:lang w:val="es-ES"/>
              </w:rPr>
              <w:lastRenderedPageBreak/>
              <w:t>presupuestales”</w:t>
            </w:r>
            <w:r w:rsidRPr="00DA6C7F">
              <w:rPr>
                <w:rStyle w:val="Refdenotaalpie"/>
                <w:rFonts w:cs="Times New Roman"/>
                <w:lang w:val="es-ES"/>
              </w:rPr>
              <w:footnoteReference w:id="695"/>
            </w:r>
            <w:r w:rsidRPr="0026380E">
              <w:rPr>
                <w:rFonts w:cs="Times New Roman"/>
                <w:lang w:val="es-ES"/>
              </w:rPr>
              <w:t>. Frente a lo primero, si el traslado presupuestal afecta “montos asignados entre secciones (entidades públicas), entre tipos de presupuesto (funcionamiento, inversión, servicio de la deuda), o entre programas y/o subprogramas, el traslado deberá hacerse mediante ley”</w:t>
            </w:r>
            <w:r w:rsidRPr="00DA6C7F">
              <w:rPr>
                <w:rStyle w:val="Refdenotaalpie"/>
                <w:rFonts w:cs="Times New Roman"/>
                <w:lang w:val="es-ES"/>
              </w:rPr>
              <w:footnoteReference w:id="696"/>
            </w:r>
            <w:r w:rsidRPr="0026380E">
              <w:rPr>
                <w:rFonts w:cs="Times New Roman"/>
                <w:lang w:val="es-ES"/>
              </w:rPr>
              <w:t>. No obstante, si se trata de “traslados destinados a atender los gastos ocasionados por la declaratoria de estados de excepción, el competente para efectuarlos será el Gobierno, mediante decreto”</w:t>
            </w:r>
            <w:r w:rsidRPr="00DA6C7F">
              <w:rPr>
                <w:rStyle w:val="Refdenotaalpie"/>
                <w:rFonts w:cs="Times New Roman"/>
                <w:lang w:val="es-ES"/>
              </w:rPr>
              <w:footnoteReference w:id="697"/>
            </w:r>
            <w:r w:rsidRPr="0026380E">
              <w:rPr>
                <w:rFonts w:cs="Times New Roman"/>
                <w:lang w:val="es-ES"/>
              </w:rPr>
              <w:t>. En cuanto las distribuciones presupuestales, estas aplican respecto de las partidas que se aprueban anualmente para propósitos generales. En efecto, “</w:t>
            </w:r>
            <w:r w:rsidRPr="0026380E">
              <w:rPr>
                <w:rFonts w:cs="Times New Roman"/>
                <w:color w:val="000000"/>
                <w:lang w:val="es-ES"/>
              </w:rPr>
              <w:t>hay partidas presupuestales que se aprueban para propósitos que son difíciles de prever, como por ejemplo una catástrofe ecológica”</w:t>
            </w:r>
            <w:r w:rsidRPr="00DA6C7F">
              <w:rPr>
                <w:rStyle w:val="Refdenotaalpie"/>
                <w:rFonts w:cs="Times New Roman"/>
                <w:color w:val="000000"/>
                <w:lang w:val="es-ES"/>
              </w:rPr>
              <w:footnoteReference w:id="698"/>
            </w:r>
            <w:r w:rsidRPr="0026380E">
              <w:rPr>
                <w:rFonts w:cs="Times New Roman"/>
                <w:color w:val="000000"/>
                <w:lang w:val="es-ES"/>
              </w:rPr>
              <w:t>. Estas partidas pueden ser distribuidas entre distintas entidades públicas, o entre distintas secciones, dependencias, regionales, proyectos o subproyectos de una entidad pública, para efectos de suplir una finalidad específica señalada por el legislador, sin que la forma exacta de distribución pueda determinarse con precisión al momento de la aprobación de la partida presupuestal correspondiente, pues esto depende de eventos contingentes, eventuales, futuros. En todo caso, esos recursos son limitados</w:t>
            </w:r>
            <w:r w:rsidRPr="00DA6C7F">
              <w:rPr>
                <w:rStyle w:val="Refdenotaalpie"/>
                <w:rFonts w:cs="Times New Roman"/>
                <w:color w:val="000000"/>
                <w:lang w:val="es-ES"/>
              </w:rPr>
              <w:footnoteReference w:id="699"/>
            </w:r>
            <w:r w:rsidRPr="0026380E">
              <w:rPr>
                <w:rFonts w:cs="Times New Roman"/>
                <w:color w:val="000000"/>
                <w:lang w:val="es-ES"/>
              </w:rPr>
              <w:t xml:space="preserve">. </w:t>
            </w:r>
          </w:p>
          <w:p w14:paraId="4AA825D4" w14:textId="77777777" w:rsidR="00C454A1" w:rsidRPr="00DA6C7F" w:rsidRDefault="00C454A1" w:rsidP="00881E6A">
            <w:pPr>
              <w:pStyle w:val="Prrafodelista"/>
              <w:ind w:left="459" w:right="272"/>
              <w:rPr>
                <w:rFonts w:cs="Times New Roman"/>
                <w:color w:val="000000"/>
              </w:rPr>
            </w:pPr>
          </w:p>
          <w:p w14:paraId="2FC0200A" w14:textId="77777777" w:rsidR="00C454A1" w:rsidRPr="0026380E" w:rsidRDefault="00C454A1" w:rsidP="00881E6A">
            <w:pPr>
              <w:ind w:right="272"/>
              <w:rPr>
                <w:rFonts w:cs="Times New Roman"/>
                <w:color w:val="000000"/>
              </w:rPr>
            </w:pPr>
            <w:r w:rsidRPr="0026380E">
              <w:rPr>
                <w:rFonts w:cs="Times New Roman"/>
                <w:color w:val="000000"/>
              </w:rPr>
              <w:t>Para la situación de conmoción interior actual, “se estima que las circunstancias que motivaron la grave perturbación del orden público y la declaratoria de conmoción interior objeto de análisis no son superables con el presupuesto asignado a cada entidad”</w:t>
            </w:r>
            <w:r w:rsidRPr="00DA6C7F">
              <w:rPr>
                <w:rStyle w:val="Refdenotaalpie"/>
                <w:rFonts w:cs="Times New Roman"/>
                <w:color w:val="000000"/>
              </w:rPr>
              <w:footnoteReference w:id="700"/>
            </w:r>
            <w:r w:rsidRPr="0026380E">
              <w:rPr>
                <w:rFonts w:cs="Times New Roman"/>
                <w:color w:val="000000"/>
              </w:rPr>
              <w:t xml:space="preserve">. Por tanto, aun cuando para conjurar las causas de la conmoción interior </w:t>
            </w:r>
            <w:r>
              <w:rPr>
                <w:rFonts w:cs="Times New Roman"/>
                <w:color w:val="000000"/>
              </w:rPr>
              <w:t xml:space="preserve">e </w:t>
            </w:r>
            <w:r w:rsidRPr="0026380E">
              <w:rPr>
                <w:rFonts w:cs="Times New Roman"/>
                <w:color w:val="000000"/>
              </w:rPr>
              <w:t xml:space="preserve">impedir la extensión de sus efectos, “las entidades públicas, en el marco de sus posibilidades, atendiendo las restricciones que establece el principio de legalidad del gasto, destinen recursos de su presupuesto, resulta necesario que, durante esta vigencia fiscal, se les adicione, traslade o distribuya recursos presupuestales adicionales con el propósito de evitar que </w:t>
            </w:r>
            <w:r w:rsidRPr="0026380E">
              <w:rPr>
                <w:rFonts w:cs="Times New Roman"/>
                <w:color w:val="000000"/>
              </w:rPr>
              <w:lastRenderedPageBreak/>
              <w:t>no puedan dar cumplimiento al normal desarrollo de las competencias a su cargo o se presenten situaciones complejas de liquidez”</w:t>
            </w:r>
            <w:r w:rsidRPr="00DA6C7F">
              <w:rPr>
                <w:rStyle w:val="Refdenotaalpie"/>
                <w:rFonts w:cs="Times New Roman"/>
                <w:color w:val="000000"/>
              </w:rPr>
              <w:footnoteReference w:id="701"/>
            </w:r>
            <w:r w:rsidRPr="0026380E">
              <w:rPr>
                <w:rFonts w:cs="Times New Roman"/>
                <w:color w:val="000000"/>
              </w:rPr>
              <w:t>.</w:t>
            </w:r>
          </w:p>
          <w:p w14:paraId="7899FA4B" w14:textId="77777777" w:rsidR="00C454A1" w:rsidRPr="00DA6C7F" w:rsidRDefault="00C454A1" w:rsidP="00881E6A">
            <w:pPr>
              <w:pStyle w:val="Prrafodelista"/>
              <w:ind w:left="459" w:right="272"/>
              <w:rPr>
                <w:rFonts w:cs="Times New Roman"/>
                <w:color w:val="000000"/>
              </w:rPr>
            </w:pPr>
          </w:p>
          <w:p w14:paraId="46240735" w14:textId="77777777" w:rsidR="00C454A1" w:rsidRPr="0026380E" w:rsidRDefault="00C454A1" w:rsidP="00881E6A">
            <w:pPr>
              <w:ind w:right="272"/>
              <w:rPr>
                <w:rFonts w:cs="Times New Roman"/>
              </w:rPr>
            </w:pPr>
            <w:r w:rsidRPr="0026380E">
              <w:rPr>
                <w:rFonts w:cs="Times New Roman"/>
                <w:color w:val="000000"/>
              </w:rPr>
              <w:t>Ahora bien, “como se indicó, para realizar una modificación al PGN, que le permita contar con recursos adicionales a dicha sección presupuestal o a las otras involucradas en la atención de la Conmoción Interior, resulta necesaria, por una parte, la determinación de una fuente de recursos y por otra, una norma con fuerza de ley que modifique el presupuesto”</w:t>
            </w:r>
            <w:r w:rsidRPr="00DA6C7F">
              <w:rPr>
                <w:rStyle w:val="Refdenotaalpie"/>
                <w:rFonts w:cs="Times New Roman"/>
                <w:color w:val="000000"/>
              </w:rPr>
              <w:footnoteReference w:id="702"/>
            </w:r>
            <w:r w:rsidRPr="0026380E">
              <w:rPr>
                <w:rFonts w:cs="Times New Roman"/>
                <w:color w:val="000000"/>
              </w:rPr>
              <w:t xml:space="preserve">. </w:t>
            </w:r>
          </w:p>
          <w:p w14:paraId="6F354EBF" w14:textId="77777777" w:rsidR="00C454A1" w:rsidRPr="00DA6C7F" w:rsidRDefault="00C454A1" w:rsidP="00881E6A">
            <w:pPr>
              <w:pStyle w:val="Prrafodelista"/>
              <w:ind w:left="459" w:right="272"/>
              <w:rPr>
                <w:rFonts w:cs="Times New Roman"/>
              </w:rPr>
            </w:pPr>
          </w:p>
          <w:p w14:paraId="6B1AF510" w14:textId="77777777" w:rsidR="00C454A1" w:rsidRPr="00DA6C7F" w:rsidRDefault="00C454A1" w:rsidP="005F4A6F">
            <w:pPr>
              <w:pStyle w:val="Prrafodelista"/>
              <w:numPr>
                <w:ilvl w:val="0"/>
                <w:numId w:val="34"/>
              </w:numPr>
              <w:ind w:left="0" w:right="272" w:firstLine="0"/>
              <w:rPr>
                <w:rFonts w:cs="Times New Roman"/>
                <w:lang w:val="es-ES"/>
              </w:rPr>
            </w:pPr>
            <w:r w:rsidRPr="00DA6C7F">
              <w:rPr>
                <w:rFonts w:cs="Times New Roman"/>
                <w:i/>
                <w:iCs/>
                <w:lang w:val="es-ES"/>
              </w:rPr>
              <w:t xml:space="preserve">Medidas presupuestales o fiscales a través de las cuales el Gobierno </w:t>
            </w:r>
            <w:r>
              <w:rPr>
                <w:rFonts w:cs="Times New Roman"/>
                <w:i/>
                <w:iCs/>
                <w:lang w:val="es-ES"/>
              </w:rPr>
              <w:t>n</w:t>
            </w:r>
            <w:r w:rsidRPr="00DA6C7F">
              <w:rPr>
                <w:rFonts w:cs="Times New Roman"/>
                <w:i/>
                <w:iCs/>
                <w:lang w:val="es-ES"/>
              </w:rPr>
              <w:t>acional buscaría recaudar o invertir recursos para superar la crisis, así como la destinación proyectada de los recursos</w:t>
            </w:r>
            <w:r w:rsidRPr="00DA6C7F">
              <w:rPr>
                <w:rFonts w:cs="Times New Roman"/>
                <w:lang w:val="es-ES"/>
              </w:rPr>
              <w:t xml:space="preserve">. </w:t>
            </w:r>
            <w:r w:rsidRPr="00DA6C7F">
              <w:rPr>
                <w:rFonts w:cs="Times New Roman"/>
                <w:color w:val="000000"/>
                <w:lang w:val="es-ES"/>
              </w:rPr>
              <w:t xml:space="preserve">En atención a lo previsto por el literal </w:t>
            </w:r>
            <w:r w:rsidRPr="00DA6C7F">
              <w:rPr>
                <w:rFonts w:cs="Times New Roman"/>
                <w:i/>
                <w:iCs/>
                <w:color w:val="000000"/>
                <w:lang w:val="es-ES"/>
              </w:rPr>
              <w:t>l)</w:t>
            </w:r>
            <w:r w:rsidRPr="00DA6C7F">
              <w:rPr>
                <w:rFonts w:cs="Times New Roman"/>
                <w:color w:val="000000"/>
                <w:lang w:val="es-ES"/>
              </w:rPr>
              <w:t xml:space="preserve"> del artículo 38 de la Ley 137 de 1994</w:t>
            </w:r>
            <w:r>
              <w:rPr>
                <w:rFonts w:cs="Times New Roman"/>
                <w:color w:val="000000"/>
                <w:lang w:val="es-ES"/>
              </w:rPr>
              <w:t xml:space="preserve">, el </w:t>
            </w:r>
            <w:r w:rsidRPr="00DA6C7F">
              <w:rPr>
                <w:rFonts w:cs="Times New Roman"/>
                <w:color w:val="000000"/>
                <w:lang w:val="es-ES"/>
              </w:rPr>
              <w:t xml:space="preserve">Gobierno </w:t>
            </w:r>
            <w:r>
              <w:rPr>
                <w:rFonts w:cs="Times New Roman"/>
                <w:color w:val="000000"/>
                <w:lang w:val="es-ES"/>
              </w:rPr>
              <w:t xml:space="preserve">está facultado </w:t>
            </w:r>
            <w:r w:rsidRPr="00DA6C7F">
              <w:rPr>
                <w:rFonts w:cs="Times New Roman"/>
                <w:color w:val="000000"/>
                <w:lang w:val="es-ES"/>
              </w:rPr>
              <w:t>para que durante el estado de conmoción interior imponga “contribuciones fiscales o parafiscales para una sola vigencia fiscal, o durante la vigencia de la conmoción, [perciba] contribuciones o impuestos que no figuren en el presupuesto de rentas y [haga] erogaciones con cargo al Tesoro que no se hallen incluidas en el de gastos”</w:t>
            </w:r>
            <w:r>
              <w:rPr>
                <w:rFonts w:cs="Times New Roman"/>
                <w:color w:val="000000"/>
                <w:lang w:val="es-ES"/>
              </w:rPr>
              <w:t>.</w:t>
            </w:r>
            <w:r w:rsidRPr="00DA6C7F">
              <w:rPr>
                <w:rFonts w:cs="Times New Roman"/>
                <w:color w:val="000000"/>
                <w:lang w:val="es-ES"/>
              </w:rPr>
              <w:t xml:space="preserve"> </w:t>
            </w:r>
            <w:r>
              <w:rPr>
                <w:rFonts w:cs="Times New Roman"/>
                <w:color w:val="000000"/>
                <w:lang w:val="es-ES"/>
              </w:rPr>
              <w:t>E</w:t>
            </w:r>
            <w:r w:rsidRPr="00DA6C7F">
              <w:rPr>
                <w:rFonts w:cs="Times New Roman"/>
                <w:color w:val="000000"/>
                <w:lang w:val="es-ES"/>
              </w:rPr>
              <w:t>l Ministerio “ha evaluado la consecución de recursos adicionales a través de la imposición de gravámenes de causación inmediata con el fin de que, sin sacrificar los supuestos de disciplina fiscal, se (i) garantice la obtención de recursos con la celeridad requerida, (ii) el recaudo sea eficiente y (iii) no se afecten a los ciudadanos de menores ingresos”</w:t>
            </w:r>
            <w:r w:rsidRPr="00DA6C7F">
              <w:rPr>
                <w:rStyle w:val="Refdenotaalpie"/>
                <w:rFonts w:cs="Times New Roman"/>
                <w:color w:val="000000"/>
                <w:lang w:val="es-ES"/>
              </w:rPr>
              <w:footnoteReference w:id="703"/>
            </w:r>
            <w:r w:rsidRPr="00DA6C7F">
              <w:rPr>
                <w:rFonts w:cs="Times New Roman"/>
                <w:color w:val="000000"/>
                <w:lang w:val="es-ES"/>
              </w:rPr>
              <w:t xml:space="preserve">. En concreto, se plantean tres tributos: (i) el impuesto al valor agregado – IVA a los juegos de suerte y azar operados exclusivamente por internet en el territorio nacional o desde el exterior; (ii) un impuesto especial con destino al Catatumbo a cargo del sector extractivo de hidrocarburos y carbón; y, por último, (iii) la modificación de la tarifa del impuesto de timbre en el 1% sobre los instrumentos públicos y documentos privados. </w:t>
            </w:r>
          </w:p>
          <w:p w14:paraId="04385470" w14:textId="77777777" w:rsidR="00C454A1" w:rsidRPr="00DA6C7F" w:rsidRDefault="00C454A1" w:rsidP="00881E6A">
            <w:pPr>
              <w:pStyle w:val="Prrafodelista"/>
              <w:ind w:left="459" w:right="272"/>
              <w:rPr>
                <w:rFonts w:cs="Times New Roman"/>
              </w:rPr>
            </w:pPr>
          </w:p>
          <w:p w14:paraId="000BF647" w14:textId="77777777" w:rsidR="00C454A1" w:rsidRPr="00585374" w:rsidRDefault="00C454A1" w:rsidP="005F4A6F">
            <w:pPr>
              <w:pStyle w:val="Prrafodelista"/>
              <w:numPr>
                <w:ilvl w:val="0"/>
                <w:numId w:val="34"/>
              </w:numPr>
              <w:ind w:left="0" w:right="272" w:firstLine="0"/>
              <w:rPr>
                <w:rFonts w:cs="Times New Roman"/>
              </w:rPr>
            </w:pPr>
            <w:r w:rsidRPr="00DA6C7F">
              <w:rPr>
                <w:rFonts w:cs="Times New Roman"/>
                <w:i/>
              </w:rPr>
              <w:t xml:space="preserve">Recursos presupuestales que, desde el año 2022, el Gobierno </w:t>
            </w:r>
            <w:r>
              <w:rPr>
                <w:rFonts w:cs="Times New Roman"/>
                <w:i/>
              </w:rPr>
              <w:t>n</w:t>
            </w:r>
            <w:r w:rsidRPr="00DA6C7F">
              <w:rPr>
                <w:rFonts w:cs="Times New Roman"/>
                <w:i/>
              </w:rPr>
              <w:t xml:space="preserve">acional ha asignado a (a) seguridad y defensa y, en concreto, las Fuerzas Militares, (b) la atención humanitaria para la población desplazada en la región del </w:t>
            </w:r>
            <w:r w:rsidRPr="00DA6C7F">
              <w:rPr>
                <w:rFonts w:cs="Times New Roman"/>
                <w:i/>
              </w:rPr>
              <w:lastRenderedPageBreak/>
              <w:t>Catatumbo, el área metropolitana de Cúcuta, así como los municipios de Río de Oro y González y (c) la implementación del PNIS específicamente en la región del Catatumbo, el área metropolitana de Cúcuta, así como los municipios de Río de Oro y González</w:t>
            </w:r>
            <w:r w:rsidRPr="00DA6C7F">
              <w:rPr>
                <w:rFonts w:cs="Times New Roman"/>
              </w:rPr>
              <w:t>.</w:t>
            </w:r>
          </w:p>
          <w:p w14:paraId="65F3AE00" w14:textId="77777777" w:rsidR="00C454A1" w:rsidRPr="00585374" w:rsidRDefault="00C454A1" w:rsidP="00881E6A">
            <w:pPr>
              <w:pStyle w:val="Prrafodelista"/>
              <w:ind w:right="272"/>
              <w:rPr>
                <w:rFonts w:cs="Times New Roman"/>
              </w:rPr>
            </w:pPr>
          </w:p>
          <w:p w14:paraId="50671649" w14:textId="77777777" w:rsidR="00C454A1" w:rsidRPr="00DA6C7F" w:rsidRDefault="00C454A1" w:rsidP="00881E6A">
            <w:pPr>
              <w:pStyle w:val="Prrafodelista"/>
              <w:ind w:left="0" w:right="272"/>
              <w:rPr>
                <w:rFonts w:cs="Times New Roman"/>
              </w:rPr>
            </w:pPr>
            <w:r>
              <w:rPr>
                <w:rFonts w:cs="Times New Roman"/>
              </w:rPr>
              <w:t>(</w:t>
            </w:r>
            <w:r w:rsidRPr="00585374">
              <w:rPr>
                <w:rFonts w:cs="Times New Roman"/>
                <w:i/>
                <w:iCs/>
              </w:rPr>
              <w:t>a</w:t>
            </w:r>
            <w:r>
              <w:rPr>
                <w:rFonts w:cs="Times New Roman"/>
              </w:rPr>
              <w:t xml:space="preserve">) </w:t>
            </w:r>
            <w:r w:rsidRPr="00DA6C7F">
              <w:rPr>
                <w:rFonts w:cs="Times New Roman"/>
              </w:rPr>
              <w:t xml:space="preserve">En cuanto al monto de los recursos presupuestales que, desde el año 2022, el Gobierno </w:t>
            </w:r>
            <w:r>
              <w:rPr>
                <w:rFonts w:cs="Times New Roman"/>
              </w:rPr>
              <w:t>n</w:t>
            </w:r>
            <w:r w:rsidRPr="00DA6C7F">
              <w:rPr>
                <w:rFonts w:cs="Times New Roman"/>
              </w:rPr>
              <w:t xml:space="preserve">acional ha asignado a seguridad y defensa, y, en concreto, las Fuerzas Militares, indicó que, para el año 2022 la asignación total, que incluye gastos de funcionamiento, servicio a la deuda e inversión, fue de $43.616.000.000; para el año 2023 ascendió a $49.628.000.000; para el año 2024 se incrementó a </w:t>
            </w:r>
            <w:r>
              <w:rPr>
                <w:rFonts w:cs="Times New Roman"/>
              </w:rPr>
              <w:t>$</w:t>
            </w:r>
            <w:r w:rsidRPr="00DA6C7F">
              <w:rPr>
                <w:rFonts w:cs="Times New Roman"/>
              </w:rPr>
              <w:t>56.314.000.000 y, finalmente, para el 2025 es de $61.137.000.000</w:t>
            </w:r>
            <w:r w:rsidRPr="00DA6C7F">
              <w:rPr>
                <w:rStyle w:val="Refdenotaalpie"/>
                <w:rFonts w:cs="Times New Roman"/>
              </w:rPr>
              <w:footnoteReference w:id="704"/>
            </w:r>
            <w:r w:rsidRPr="00DA6C7F">
              <w:rPr>
                <w:rFonts w:cs="Times New Roman"/>
              </w:rPr>
              <w:t xml:space="preserve">. </w:t>
            </w:r>
          </w:p>
          <w:p w14:paraId="1DCEBF4B" w14:textId="77777777" w:rsidR="00C454A1" w:rsidRPr="00DA6C7F" w:rsidRDefault="00C454A1" w:rsidP="00881E6A">
            <w:pPr>
              <w:pStyle w:val="Prrafodelista"/>
              <w:ind w:left="459" w:right="272"/>
              <w:rPr>
                <w:rFonts w:cs="Times New Roman"/>
              </w:rPr>
            </w:pPr>
          </w:p>
          <w:p w14:paraId="1F8D72BF" w14:textId="77777777" w:rsidR="00C454A1" w:rsidRPr="0026380E" w:rsidRDefault="00C454A1" w:rsidP="00881E6A">
            <w:pPr>
              <w:ind w:right="272"/>
              <w:rPr>
                <w:rFonts w:cs="Times New Roman"/>
                <w:color w:val="000000"/>
              </w:rPr>
            </w:pPr>
            <w:r>
              <w:rPr>
                <w:rFonts w:cs="Times New Roman"/>
              </w:rPr>
              <w:t>(</w:t>
            </w:r>
            <w:r w:rsidRPr="00585374">
              <w:rPr>
                <w:rFonts w:cs="Times New Roman"/>
                <w:i/>
                <w:iCs/>
              </w:rPr>
              <w:t>b</w:t>
            </w:r>
            <w:r>
              <w:rPr>
                <w:rFonts w:cs="Times New Roman"/>
              </w:rPr>
              <w:t xml:space="preserve">) </w:t>
            </w:r>
            <w:r w:rsidRPr="0026380E">
              <w:rPr>
                <w:rFonts w:cs="Times New Roman"/>
              </w:rPr>
              <w:t>En relación con la atención humanitaria, aclaró que esta “</w:t>
            </w:r>
            <w:r w:rsidRPr="0026380E">
              <w:rPr>
                <w:rFonts w:cs="Times New Roman"/>
                <w:color w:val="000000"/>
              </w:rPr>
              <w:t>se ha canalizado por medio de la Unidad Nacional para la Gestión del Riesgo de Desastres – UNGRD”</w:t>
            </w:r>
            <w:r w:rsidRPr="00DA6C7F">
              <w:rPr>
                <w:rStyle w:val="Refdenotaalpie"/>
                <w:rFonts w:cs="Times New Roman"/>
                <w:color w:val="000000"/>
              </w:rPr>
              <w:footnoteReference w:id="705"/>
            </w:r>
            <w:r w:rsidRPr="0026380E">
              <w:rPr>
                <w:rFonts w:cs="Times New Roman"/>
                <w:color w:val="000000"/>
              </w:rPr>
              <w:t>. En particular, dado “el desplazamiento forzado producto del conflicto armado interno en la zona del Catatumbo, aquella entidad requiere recursos por valor de $611.725.040.000 destinados para atender la emergencia humanitaria generada por las aglomeraciones de personas desplazadas”</w:t>
            </w:r>
            <w:r w:rsidRPr="00DA6C7F">
              <w:rPr>
                <w:rStyle w:val="Refdenotaalpie"/>
                <w:rFonts w:cs="Times New Roman"/>
                <w:color w:val="000000"/>
              </w:rPr>
              <w:footnoteReference w:id="706"/>
            </w:r>
            <w:r w:rsidRPr="0026380E">
              <w:rPr>
                <w:rFonts w:cs="Times New Roman"/>
                <w:color w:val="000000"/>
              </w:rPr>
              <w:t>.</w:t>
            </w:r>
          </w:p>
          <w:p w14:paraId="1077BC57" w14:textId="77777777" w:rsidR="00C454A1" w:rsidRPr="00DA6C7F" w:rsidRDefault="00C454A1" w:rsidP="00881E6A">
            <w:pPr>
              <w:pStyle w:val="Prrafodelista"/>
              <w:ind w:left="459" w:right="272"/>
              <w:rPr>
                <w:rFonts w:cs="Times New Roman"/>
                <w:color w:val="000000"/>
              </w:rPr>
            </w:pPr>
          </w:p>
          <w:p w14:paraId="5C811CDC" w14:textId="77777777" w:rsidR="00C454A1" w:rsidRPr="0026380E" w:rsidRDefault="00C454A1" w:rsidP="00881E6A">
            <w:pPr>
              <w:ind w:right="272"/>
              <w:rPr>
                <w:rFonts w:cs="Times New Roman"/>
              </w:rPr>
            </w:pPr>
            <w:r>
              <w:rPr>
                <w:rFonts w:cs="Times New Roman"/>
              </w:rPr>
              <w:t>(</w:t>
            </w:r>
            <w:r w:rsidRPr="00585374">
              <w:rPr>
                <w:rFonts w:cs="Times New Roman"/>
                <w:i/>
                <w:iCs/>
              </w:rPr>
              <w:t>c</w:t>
            </w:r>
            <w:r>
              <w:rPr>
                <w:rFonts w:cs="Times New Roman"/>
              </w:rPr>
              <w:t xml:space="preserve">) </w:t>
            </w:r>
            <w:r w:rsidRPr="0026380E">
              <w:rPr>
                <w:rFonts w:cs="Times New Roman"/>
              </w:rPr>
              <w:t>Finalmente, frente a las cifras históricas de los recursos asignados al PNIS</w:t>
            </w:r>
            <w:r>
              <w:rPr>
                <w:rFonts w:cs="Times New Roman"/>
              </w:rPr>
              <w:t>,</w:t>
            </w:r>
            <w:r w:rsidRPr="0026380E">
              <w:rPr>
                <w:rFonts w:cs="Times New Roman"/>
              </w:rPr>
              <w:t xml:space="preserve"> informó que “no es posible indicar el detalle de la implementación”</w:t>
            </w:r>
            <w:r w:rsidRPr="00DA6C7F">
              <w:rPr>
                <w:rStyle w:val="Refdenotaalpie"/>
                <w:rFonts w:cs="Times New Roman"/>
              </w:rPr>
              <w:footnoteReference w:id="707"/>
            </w:r>
            <w:r w:rsidRPr="0026380E">
              <w:rPr>
                <w:rFonts w:cs="Times New Roman"/>
              </w:rPr>
              <w:t>. Esto, por cuanto “al tratarse de un patrimonio autónomo, cuyos recursos se entienden ejecutados al salir del Presupuesto General de la Nación, no es posible tener acceso a cifras concretas, con el nivel de detalle requerido por la Corte, desde el PGN o desde SIIF Nación”</w:t>
            </w:r>
            <w:r w:rsidRPr="00DA6C7F">
              <w:rPr>
                <w:vertAlign w:val="superscript"/>
              </w:rPr>
              <w:footnoteReference w:id="708"/>
            </w:r>
            <w:r w:rsidRPr="0026380E">
              <w:rPr>
                <w:rFonts w:cs="Times New Roman"/>
              </w:rPr>
              <w:t xml:space="preserve">. En todo caso, señaló que, “según información suministrada por la Dirección de Sustitución de Cultivos Ilícitos, esta se encuentra ejecutando el PNIS en la región del </w:t>
            </w:r>
            <w:r w:rsidRPr="0026380E">
              <w:rPr>
                <w:rFonts w:cs="Times New Roman"/>
              </w:rPr>
              <w:lastRenderedPageBreak/>
              <w:t>Catatumbo en los municipios de Tibú y Sardinata”</w:t>
            </w:r>
            <w:r w:rsidRPr="00DA6C7F">
              <w:rPr>
                <w:rStyle w:val="Refdenotaalpie"/>
                <w:rFonts w:cs="Times New Roman"/>
              </w:rPr>
              <w:footnoteReference w:id="709"/>
            </w:r>
            <w:r w:rsidRPr="0026380E">
              <w:rPr>
                <w:rFonts w:cs="Times New Roman"/>
              </w:rPr>
              <w:t>. Asimismo, indicó que “en el programa se inscribieron 2.898 familias de dicha región, de las cuales actualmente están activas 2.328”</w:t>
            </w:r>
            <w:r w:rsidRPr="00DA6C7F">
              <w:rPr>
                <w:rStyle w:val="Refdenotaalpie"/>
                <w:rFonts w:cs="Times New Roman"/>
              </w:rPr>
              <w:footnoteReference w:id="710"/>
            </w:r>
            <w:r w:rsidRPr="0026380E">
              <w:rPr>
                <w:rFonts w:cs="Times New Roman"/>
              </w:rPr>
              <w:t xml:space="preserve">. Estas familias se distribuyen en 634 antiguos recolectores de hoja de coca, 1.470 familias cultivadoras de hoja de coca y 224 familias no cultivadoras que habitan en las zonas de intervención. Este reporte también precisa que se han ejecutado aproximadamente $36.290 millones. </w:t>
            </w:r>
          </w:p>
          <w:p w14:paraId="603D1A28" w14:textId="77777777" w:rsidR="00C454A1" w:rsidRPr="00DA6C7F" w:rsidRDefault="00C454A1" w:rsidP="00881E6A">
            <w:pPr>
              <w:pStyle w:val="Prrafodelista"/>
              <w:ind w:left="459" w:right="272"/>
              <w:rPr>
                <w:rFonts w:cs="Times New Roman"/>
                <w:color w:val="000000"/>
              </w:rPr>
            </w:pPr>
          </w:p>
          <w:p w14:paraId="23216280" w14:textId="77777777" w:rsidR="00C454A1" w:rsidRPr="0026380E" w:rsidRDefault="00C454A1" w:rsidP="00881E6A">
            <w:pPr>
              <w:ind w:right="272"/>
              <w:rPr>
                <w:rFonts w:cs="Times New Roman"/>
              </w:rPr>
            </w:pPr>
            <w:r w:rsidRPr="0026380E">
              <w:rPr>
                <w:rFonts w:cs="Times New Roman"/>
                <w:color w:val="000000"/>
              </w:rPr>
              <w:t>Por otra parte, indicó que, “según la información remitida, dados los retrasos y las dificultades en la ejecución del PNIS en estos municipios, así como los elementos dispuestos en el artículo 10 de la Ley 2294 de 2023, en el año 2024 se adelantó el proceso de renegociación para modificar la operación del componente de proyectos productivos. Esto permitió la suscripción de planes de inversión con 1.565 familias”</w:t>
            </w:r>
            <w:r w:rsidRPr="00DA6C7F">
              <w:rPr>
                <w:rStyle w:val="Refdenotaalpie"/>
                <w:rFonts w:cs="Times New Roman"/>
                <w:color w:val="000000"/>
              </w:rPr>
              <w:footnoteReference w:id="711"/>
            </w:r>
            <w:r w:rsidRPr="0026380E">
              <w:rPr>
                <w:rFonts w:cs="Times New Roman"/>
                <w:color w:val="000000"/>
              </w:rPr>
              <w:t>. Por último, manifestó que, en la actualidad, “para la adecuada y oportuna ejecución del Programa en medio de la crisis humanitaria, la DSCI requiere de $31.802 millones de pesos”</w:t>
            </w:r>
            <w:r w:rsidRPr="00DA6C7F">
              <w:rPr>
                <w:rStyle w:val="Refdenotaalpie"/>
                <w:rFonts w:cs="Times New Roman"/>
                <w:color w:val="000000"/>
              </w:rPr>
              <w:footnoteReference w:id="712"/>
            </w:r>
            <w:r w:rsidRPr="0026380E">
              <w:rPr>
                <w:rFonts w:cs="Times New Roman"/>
                <w:color w:val="000000"/>
              </w:rPr>
              <w:t>.</w:t>
            </w:r>
          </w:p>
          <w:p w14:paraId="52CC868A" w14:textId="77777777" w:rsidR="00C454A1" w:rsidRPr="00DA6C7F" w:rsidRDefault="00C454A1" w:rsidP="00881E6A">
            <w:pPr>
              <w:ind w:right="272"/>
              <w:rPr>
                <w:rFonts w:cs="Times New Roman"/>
              </w:rPr>
            </w:pPr>
          </w:p>
          <w:p w14:paraId="0B524543" w14:textId="77777777" w:rsidR="00C454A1" w:rsidRPr="00DA6C7F" w:rsidRDefault="00C454A1" w:rsidP="005F4A6F">
            <w:pPr>
              <w:pStyle w:val="Prrafodelista"/>
              <w:numPr>
                <w:ilvl w:val="0"/>
                <w:numId w:val="34"/>
              </w:numPr>
              <w:ind w:left="0" w:right="272" w:firstLine="0"/>
              <w:rPr>
                <w:rFonts w:cs="Times New Roman"/>
              </w:rPr>
            </w:pPr>
            <w:r w:rsidRPr="00DA6C7F">
              <w:rPr>
                <w:rFonts w:cs="Times New Roman"/>
                <w:i/>
              </w:rPr>
              <w:t>Recursos del Sistema General de Participaciones (SGP) y del Sistema General de Regalías (SGR) asignados en la presente vigencia fiscal para la seguridad y defensa en la región del Catatumbo, el área metropolitana de Cúcuta, así como los municipios de Río de Oro y González, habida cuenta de las Alertas Tempranas proferidas durante 2024 en relación con los inminentes enfrentamientos de grupos armados y ataques a la población civil.</w:t>
            </w:r>
            <w:r w:rsidRPr="00DA6C7F">
              <w:rPr>
                <w:rFonts w:cs="Times New Roman"/>
              </w:rPr>
              <w:t xml:space="preserve"> En primer lugar, el Ministerio señaló que la Constitución “define porcentajes de distribución para la totalidad de los ingresos corrientes del SGR”</w:t>
            </w:r>
            <w:r w:rsidRPr="00DA6C7F">
              <w:rPr>
                <w:rStyle w:val="Refdenotaalpie"/>
                <w:rFonts w:cs="Times New Roman"/>
              </w:rPr>
              <w:footnoteReference w:id="713"/>
            </w:r>
            <w:r w:rsidRPr="00DA6C7F">
              <w:rPr>
                <w:rFonts w:cs="Times New Roman"/>
              </w:rPr>
              <w:t>. Asimismo, “establece los tipos de gasto susceptibles de ser financiados con cada tipo de ingreso (corrientes, por rendimientos financieros y por mayor recaudo), de manera que, en la práctica, el presupuesto bienal del SGR está preasignado por mandato constitucional”</w:t>
            </w:r>
            <w:r w:rsidRPr="00DA6C7F">
              <w:rPr>
                <w:rStyle w:val="Refdenotaalpie"/>
                <w:rFonts w:cs="Times New Roman"/>
              </w:rPr>
              <w:footnoteReference w:id="714"/>
            </w:r>
            <w:r w:rsidRPr="00DA6C7F">
              <w:rPr>
                <w:rFonts w:cs="Times New Roman"/>
              </w:rPr>
              <w:t>.</w:t>
            </w:r>
          </w:p>
          <w:p w14:paraId="6E37C8BE" w14:textId="77777777" w:rsidR="00C454A1" w:rsidRPr="00DA6C7F" w:rsidRDefault="00C454A1" w:rsidP="00881E6A">
            <w:pPr>
              <w:pStyle w:val="Prrafodelista"/>
              <w:ind w:left="459" w:right="272"/>
              <w:rPr>
                <w:rFonts w:cs="Times New Roman"/>
                <w:b/>
              </w:rPr>
            </w:pPr>
          </w:p>
          <w:p w14:paraId="6D1D2412" w14:textId="77777777" w:rsidR="00C454A1" w:rsidRPr="0026380E" w:rsidRDefault="00C454A1" w:rsidP="00881E6A">
            <w:pPr>
              <w:ind w:right="272"/>
              <w:rPr>
                <w:rFonts w:cs="Times New Roman"/>
                <w:color w:val="000000"/>
                <w:lang w:val="es-ES"/>
              </w:rPr>
            </w:pPr>
            <w:r w:rsidRPr="0026380E">
              <w:rPr>
                <w:rFonts w:cs="Times New Roman"/>
                <w:color w:val="000000"/>
                <w:lang w:val="es-ES"/>
              </w:rPr>
              <w:t>El SGR está compuesto por ocho componentes básicos, seis de los cuales son para inversión</w:t>
            </w:r>
            <w:r w:rsidRPr="00DA6C7F">
              <w:rPr>
                <w:rStyle w:val="Refdenotaalpie"/>
                <w:rFonts w:cs="Times New Roman"/>
                <w:color w:val="000000"/>
                <w:lang w:val="es-ES"/>
              </w:rPr>
              <w:footnoteReference w:id="715"/>
            </w:r>
            <w:r w:rsidRPr="0026380E">
              <w:rPr>
                <w:rFonts w:cs="Times New Roman"/>
                <w:color w:val="000000"/>
                <w:lang w:val="es-ES"/>
              </w:rPr>
              <w:t>: (</w:t>
            </w:r>
            <w:r w:rsidRPr="00CC5E43">
              <w:rPr>
                <w:rFonts w:cs="Times New Roman"/>
                <w:i/>
                <w:iCs/>
                <w:color w:val="000000"/>
                <w:lang w:val="es-ES"/>
              </w:rPr>
              <w:t>i</w:t>
            </w:r>
            <w:r w:rsidRPr="0026380E">
              <w:rPr>
                <w:rFonts w:cs="Times New Roman"/>
                <w:color w:val="000000"/>
                <w:lang w:val="es-ES"/>
              </w:rPr>
              <w:t>) Asignaciones Directas; (</w:t>
            </w:r>
            <w:r w:rsidRPr="00CC5E43">
              <w:rPr>
                <w:rFonts w:cs="Times New Roman"/>
                <w:i/>
                <w:iCs/>
                <w:color w:val="000000"/>
                <w:lang w:val="es-ES"/>
              </w:rPr>
              <w:t>ii</w:t>
            </w:r>
            <w:r w:rsidRPr="0026380E">
              <w:rPr>
                <w:rFonts w:cs="Times New Roman"/>
                <w:color w:val="000000"/>
                <w:lang w:val="es-ES"/>
              </w:rPr>
              <w:t>) Asignación para la Inversión Local para los municipios más pobres del país; (</w:t>
            </w:r>
            <w:r w:rsidRPr="00CC5E43">
              <w:rPr>
                <w:rFonts w:cs="Times New Roman"/>
                <w:i/>
                <w:iCs/>
                <w:color w:val="000000"/>
                <w:lang w:val="es-ES"/>
              </w:rPr>
              <w:t>iii</w:t>
            </w:r>
            <w:r w:rsidRPr="0026380E">
              <w:rPr>
                <w:rFonts w:cs="Times New Roman"/>
                <w:color w:val="000000"/>
                <w:lang w:val="es-ES"/>
              </w:rPr>
              <w:t>) Asignación Regional; (</w:t>
            </w:r>
            <w:r w:rsidRPr="00CC5E43">
              <w:rPr>
                <w:rFonts w:cs="Times New Roman"/>
                <w:i/>
                <w:iCs/>
                <w:color w:val="000000"/>
                <w:lang w:val="es-ES"/>
              </w:rPr>
              <w:t>iv</w:t>
            </w:r>
            <w:r w:rsidRPr="0026380E">
              <w:rPr>
                <w:rFonts w:cs="Times New Roman"/>
                <w:color w:val="000000"/>
                <w:lang w:val="es-ES"/>
              </w:rPr>
              <w:t>) Asignación para la Ciencia, Tecnología e Innovación; (</w:t>
            </w:r>
            <w:r w:rsidRPr="00CC5E43">
              <w:rPr>
                <w:rFonts w:cs="Times New Roman"/>
                <w:i/>
                <w:iCs/>
                <w:color w:val="000000"/>
                <w:lang w:val="es-ES"/>
              </w:rPr>
              <w:t>v</w:t>
            </w:r>
            <w:r w:rsidRPr="0026380E">
              <w:rPr>
                <w:rFonts w:cs="Times New Roman"/>
                <w:color w:val="000000"/>
                <w:lang w:val="es-ES"/>
              </w:rPr>
              <w:t>) Asignación para la Paz; y (</w:t>
            </w:r>
            <w:r w:rsidRPr="00CC5E43">
              <w:rPr>
                <w:rFonts w:cs="Times New Roman"/>
                <w:i/>
                <w:iCs/>
                <w:color w:val="000000"/>
                <w:lang w:val="es-ES"/>
              </w:rPr>
              <w:t>vi</w:t>
            </w:r>
            <w:r w:rsidRPr="0026380E">
              <w:rPr>
                <w:rFonts w:cs="Times New Roman"/>
                <w:color w:val="000000"/>
                <w:lang w:val="es-ES"/>
              </w:rPr>
              <w:t>) Asignación Ambiental. Los dos componentes restantes corresponden a: (</w:t>
            </w:r>
            <w:r w:rsidRPr="00CC5E43">
              <w:rPr>
                <w:rFonts w:cs="Times New Roman"/>
                <w:i/>
                <w:iCs/>
                <w:color w:val="000000"/>
                <w:lang w:val="es-ES"/>
              </w:rPr>
              <w:t>vii</w:t>
            </w:r>
            <w:r w:rsidRPr="0026380E">
              <w:rPr>
                <w:rFonts w:cs="Times New Roman"/>
                <w:color w:val="000000"/>
                <w:lang w:val="es-ES"/>
              </w:rPr>
              <w:t>) Funcionamiento, fiscalización, operación y administración; Seguimiento, evaluación y control, y (</w:t>
            </w:r>
            <w:r w:rsidRPr="00CC5E43">
              <w:rPr>
                <w:rFonts w:cs="Times New Roman"/>
                <w:i/>
                <w:iCs/>
                <w:color w:val="000000"/>
                <w:lang w:val="es-ES"/>
              </w:rPr>
              <w:t>viii</w:t>
            </w:r>
            <w:r w:rsidRPr="0026380E">
              <w:rPr>
                <w:rFonts w:cs="Times New Roman"/>
                <w:color w:val="000000"/>
                <w:lang w:val="es-ES"/>
              </w:rPr>
              <w:t>) Ahorro.</w:t>
            </w:r>
          </w:p>
          <w:p w14:paraId="11FDBAE8" w14:textId="77777777" w:rsidR="00C454A1" w:rsidRPr="00DA6C7F" w:rsidRDefault="00C454A1" w:rsidP="00881E6A">
            <w:pPr>
              <w:pStyle w:val="Prrafodelista"/>
              <w:ind w:left="459" w:right="272"/>
              <w:rPr>
                <w:rFonts w:cs="Times New Roman"/>
                <w:color w:val="000000"/>
              </w:rPr>
            </w:pPr>
          </w:p>
          <w:p w14:paraId="4DF80D34" w14:textId="77777777" w:rsidR="00C454A1" w:rsidRPr="0024785F" w:rsidRDefault="00C454A1" w:rsidP="00881E6A">
            <w:pPr>
              <w:ind w:right="272"/>
              <w:rPr>
                <w:rFonts w:cs="Times New Roman"/>
                <w:color w:val="000000"/>
                <w:lang w:val="es-ES"/>
              </w:rPr>
            </w:pPr>
            <w:r w:rsidRPr="0024785F">
              <w:rPr>
                <w:rFonts w:cs="Times New Roman"/>
                <w:color w:val="000000"/>
                <w:lang w:val="es-ES"/>
              </w:rPr>
              <w:t>En este sentido, “la reglamentación vigente que regula el SGR (Ley 2056 de 2020) no contempla una asignación específica para la seguridad y defensa en la región del Catatumbo, el área metropolitana de Cúcuta, así como los municipios de Río de Oro y González”</w:t>
            </w:r>
            <w:r w:rsidRPr="0024785F">
              <w:rPr>
                <w:rFonts w:cs="Times New Roman"/>
                <w:vertAlign w:val="superscript"/>
                <w:lang w:val="es-ES"/>
              </w:rPr>
              <w:footnoteReference w:id="716"/>
            </w:r>
            <w:r w:rsidRPr="0024785F">
              <w:rPr>
                <w:rFonts w:cs="Times New Roman"/>
                <w:color w:val="000000"/>
                <w:lang w:val="es-ES"/>
              </w:rPr>
              <w:t xml:space="preserve">. Sin embargo, precisa que nada impide que se pueda utilizar la Asignación para la Paz prevista para la subregión del Catatumbo. En concreto, explicó que, conforme a lo previsto por el Acto Legislativo 04 de 2017, el Gobierno </w:t>
            </w:r>
            <w:r>
              <w:rPr>
                <w:rFonts w:cs="Times New Roman"/>
                <w:color w:val="000000"/>
                <w:lang w:val="es-ES"/>
              </w:rPr>
              <w:t>n</w:t>
            </w:r>
            <w:r w:rsidRPr="0024785F">
              <w:rPr>
                <w:rFonts w:cs="Times New Roman"/>
                <w:color w:val="000000"/>
                <w:lang w:val="es-ES"/>
              </w:rPr>
              <w:t>acional expidió el Decreto Ley 413 de 2018, por medio del cual se definieron las reglas de priorización de las entidades territoriales beneficiarias de la Asignación para la Paz. En particular, el artículo 3 de este Decreto Ley “señaló las variables para la medición de los criterios de priorización territorial de entidades beneficiarias de la Asignación para la Paz”</w:t>
            </w:r>
            <w:r w:rsidRPr="0024785F">
              <w:rPr>
                <w:rStyle w:val="Refdenotaalpie"/>
                <w:rFonts w:cs="Times New Roman"/>
                <w:color w:val="000000"/>
                <w:lang w:val="es-ES"/>
              </w:rPr>
              <w:footnoteReference w:id="717"/>
            </w:r>
            <w:r w:rsidRPr="0024785F">
              <w:rPr>
                <w:rFonts w:cs="Times New Roman"/>
                <w:color w:val="000000"/>
                <w:lang w:val="es-ES"/>
              </w:rPr>
              <w:t>. Con fundamento en lo anterior, “el Gobierno nacional expidió el Decreto 893 de 2017, que tuvo por objeto crear los Programas de Desarrollo con Enfoque Territorial [PDTE] como un instrumento de planificación y gestión para implementar de manera prioritaria los planes sectoriales y programas en el marco de la Reforma Rural Integral y las medidas pertinentes establecidas en el Acuerdo Final, en articulación con los planes territoriales, en los municipios priorizados en dicho Decreto de conformidad con los criterios establecidos en el Acuerdo Final”</w:t>
            </w:r>
            <w:r w:rsidRPr="0024785F">
              <w:rPr>
                <w:rStyle w:val="Refdenotaalpie"/>
                <w:rFonts w:cs="Times New Roman"/>
                <w:color w:val="000000"/>
                <w:lang w:val="es-ES"/>
              </w:rPr>
              <w:footnoteReference w:id="718"/>
            </w:r>
            <w:r w:rsidRPr="0024785F">
              <w:rPr>
                <w:rFonts w:cs="Times New Roman"/>
                <w:color w:val="000000"/>
                <w:lang w:val="es-ES"/>
              </w:rPr>
              <w:t>.</w:t>
            </w:r>
          </w:p>
          <w:p w14:paraId="401F6333" w14:textId="77777777" w:rsidR="00C454A1" w:rsidRPr="00DA6C7F" w:rsidRDefault="00C454A1" w:rsidP="00881E6A">
            <w:pPr>
              <w:pStyle w:val="Prrafodelista"/>
              <w:ind w:left="459" w:right="272"/>
              <w:rPr>
                <w:rFonts w:cs="Times New Roman"/>
                <w:color w:val="000000"/>
              </w:rPr>
            </w:pPr>
          </w:p>
          <w:p w14:paraId="0F2D772B" w14:textId="77777777" w:rsidR="00C454A1" w:rsidRPr="0026380E" w:rsidRDefault="00C454A1" w:rsidP="00881E6A">
            <w:pPr>
              <w:ind w:right="272"/>
              <w:rPr>
                <w:rFonts w:cs="Times New Roman"/>
                <w:color w:val="000000"/>
              </w:rPr>
            </w:pPr>
            <w:r w:rsidRPr="0026380E">
              <w:rPr>
                <w:rFonts w:cs="Times New Roman"/>
                <w:color w:val="000000"/>
              </w:rPr>
              <w:t>La región del Catatumbo cuenta con trece municipios; ocho de estos son beneficiarios de los Programas de Desarrollo con Enfoque Territorial (PDE</w:t>
            </w:r>
            <w:r>
              <w:rPr>
                <w:rFonts w:cs="Times New Roman"/>
                <w:color w:val="000000"/>
              </w:rPr>
              <w:t>T</w:t>
            </w:r>
            <w:r w:rsidRPr="0026380E">
              <w:rPr>
                <w:rFonts w:cs="Times New Roman"/>
                <w:color w:val="000000"/>
              </w:rPr>
              <w:t xml:space="preserve">) creados por el Decreto 893 de 2017, y cuya finalidad es  “la transformación estructural </w:t>
            </w:r>
            <w:r w:rsidRPr="0026380E">
              <w:rPr>
                <w:rFonts w:cs="Times New Roman"/>
                <w:color w:val="000000"/>
              </w:rPr>
              <w:lastRenderedPageBreak/>
              <w:t xml:space="preserve">del campo y el ámbito rural, y un relacionamiento equitativo entre el campo y la ciudad en las zonas priorizadas a las que se refiere el artículo 3 del presente Decreto, asegurando el bienestar y el buen vivir, la protección de la riqueza pluriétnica y multicultural, el desarrollo de la economía campesina y familiar y las formas propias de producción de las [pueblos, comunidades y grupos étnicos], </w:t>
            </w:r>
            <w:r w:rsidRPr="0026380E">
              <w:rPr>
                <w:rFonts w:cs="Times New Roman"/>
                <w:b/>
                <w:color w:val="000000"/>
              </w:rPr>
              <w:t>el desarrollo y la integración de las regiones abandonadas y golpeadas por el conflicto</w:t>
            </w:r>
            <w:r w:rsidRPr="0026380E">
              <w:rPr>
                <w:rFonts w:cs="Times New Roman"/>
                <w:color w:val="000000"/>
              </w:rPr>
              <w:t xml:space="preserve"> y el reconocimiento y la promoción a las organizaciones de mujeres rurales, y hacer del campo colombiano un escenario de reconciliación”</w:t>
            </w:r>
            <w:r w:rsidRPr="00DA6C7F">
              <w:rPr>
                <w:rStyle w:val="Refdenotaalpie"/>
                <w:rFonts w:cs="Times New Roman"/>
                <w:color w:val="000000"/>
              </w:rPr>
              <w:footnoteReference w:id="719"/>
            </w:r>
            <w:r w:rsidRPr="0026380E">
              <w:rPr>
                <w:rFonts w:cs="Times New Roman"/>
                <w:color w:val="000000"/>
              </w:rPr>
              <w:t>.</w:t>
            </w:r>
          </w:p>
          <w:p w14:paraId="5E4165B7" w14:textId="77777777" w:rsidR="00C454A1" w:rsidRPr="00DA6C7F" w:rsidRDefault="00C454A1" w:rsidP="00881E6A">
            <w:pPr>
              <w:pStyle w:val="Prrafodelista"/>
              <w:ind w:left="459" w:right="272"/>
              <w:rPr>
                <w:rFonts w:cs="Times New Roman"/>
                <w:color w:val="000000"/>
              </w:rPr>
            </w:pPr>
          </w:p>
          <w:p w14:paraId="0DE8070F" w14:textId="77777777" w:rsidR="00C454A1" w:rsidRPr="0026380E" w:rsidRDefault="00C454A1" w:rsidP="00881E6A">
            <w:pPr>
              <w:ind w:right="272"/>
              <w:rPr>
                <w:rFonts w:cs="Times New Roman"/>
                <w:color w:val="000000"/>
                <w:lang w:val="es-ES"/>
              </w:rPr>
            </w:pPr>
            <w:r w:rsidRPr="0026380E">
              <w:rPr>
                <w:rFonts w:cs="Times New Roman"/>
                <w:color w:val="000000"/>
                <w:lang w:val="es-ES"/>
              </w:rPr>
              <w:t>La Asignación para La Paz de la subregión de Catatumbo corresponde a $373.618 millones. No obstante, dichos recursos no se pueden utilizar de manera inmediata. La legislación prevé “requisitos, condiciones y procedimientos que las entidades territoriales deben cumplir para lograr la financiación de proyectos de inversión con los recursos del SGR se encuentran, por ejemplo, (i) la distribución de los recursos mediante instrumentos como los planes de convocatorias; (ii) la presentación de los proyectos a través de convocatorias públicas; y (iii) la emisión de conceptos técnicos para la viabilización (sic) y aprobación de los proyectos, entre otros”</w:t>
            </w:r>
            <w:r w:rsidRPr="00DA6C7F">
              <w:rPr>
                <w:vertAlign w:val="superscript"/>
                <w:lang w:val="es-ES"/>
              </w:rPr>
              <w:footnoteReference w:id="720"/>
            </w:r>
            <w:r w:rsidRPr="0026380E">
              <w:rPr>
                <w:rFonts w:cs="Times New Roman"/>
                <w:color w:val="000000"/>
                <w:lang w:val="es-ES"/>
              </w:rPr>
              <w:t>. Por ejemplo, “los trámites para la definición de los proyectos de inversión a ser financiados con recursos de la Asignación para la Paz del SGR contemplan un tiempo estimado promedio de diez meses”</w:t>
            </w:r>
            <w:r w:rsidRPr="00DA6C7F">
              <w:rPr>
                <w:rStyle w:val="Refdenotaalpie"/>
                <w:rFonts w:cs="Times New Roman"/>
                <w:color w:val="000000"/>
                <w:lang w:val="es-ES"/>
              </w:rPr>
              <w:footnoteReference w:id="721"/>
            </w:r>
            <w:r w:rsidRPr="0026380E">
              <w:rPr>
                <w:rFonts w:cs="Times New Roman"/>
                <w:color w:val="000000"/>
                <w:lang w:val="es-ES"/>
              </w:rPr>
              <w:t>. Situación similar se presenta con los recursos de la Asignación Ambiental. En consecuencia, resulta necesaria “la adopción de medidas extraordinarias que flexibilicen algunos aspectos de la presentación de proyectos de inversión con cargo a los recursos de la Asignación para la Paz, la Asignación para la Inversión Regional en cabeza de las regiones y la Asignación Ambiental es fundamental para facilitar la inversión en las entidades que conforman la región del Catatumbo”</w:t>
            </w:r>
            <w:r w:rsidRPr="00DA6C7F">
              <w:rPr>
                <w:rStyle w:val="Refdenotaalpie"/>
                <w:rFonts w:cs="Times New Roman"/>
                <w:color w:val="000000"/>
                <w:lang w:val="es-ES"/>
              </w:rPr>
              <w:footnoteReference w:id="722"/>
            </w:r>
            <w:r w:rsidRPr="0026380E">
              <w:rPr>
                <w:rFonts w:cs="Times New Roman"/>
                <w:color w:val="000000"/>
                <w:lang w:val="es-ES"/>
              </w:rPr>
              <w:t xml:space="preserve">. </w:t>
            </w:r>
          </w:p>
          <w:p w14:paraId="19637B4E" w14:textId="77777777" w:rsidR="00C454A1" w:rsidRPr="00DA6C7F" w:rsidRDefault="00C454A1" w:rsidP="00881E6A">
            <w:pPr>
              <w:pStyle w:val="Prrafodelista"/>
              <w:ind w:left="459" w:right="272"/>
              <w:rPr>
                <w:rFonts w:cs="Times New Roman"/>
                <w:color w:val="000000"/>
              </w:rPr>
            </w:pPr>
          </w:p>
          <w:p w14:paraId="187E234C" w14:textId="77777777" w:rsidR="00C454A1" w:rsidRPr="0026380E" w:rsidRDefault="00C454A1" w:rsidP="00881E6A">
            <w:pPr>
              <w:ind w:right="272"/>
              <w:rPr>
                <w:rFonts w:cs="Times New Roman"/>
                <w:color w:val="000000"/>
              </w:rPr>
            </w:pPr>
            <w:r w:rsidRPr="0026380E">
              <w:rPr>
                <w:rFonts w:cs="Times New Roman"/>
                <w:color w:val="000000"/>
              </w:rPr>
              <w:lastRenderedPageBreak/>
              <w:t>El Decreto 62 de 2025 advierte de estos límites y, por tanto, señala es necesario adoptar medidas que faciliten el uso de los recursos del SGR, sin modificar las disposiciones constitucionales aplicables. Esto, porque, se repite, la distribución de los ingresos corrientes del SGR están definidos desde el artículo 361 superior y se sujetan a las reglas establecidas en la Ley 2056 de 2020. Por ello, lo que se busca es “agilizar la gestión de los proyectos susceptibles de ser financiados con los recursos del SGR”</w:t>
            </w:r>
            <w:r w:rsidRPr="00DA6C7F">
              <w:rPr>
                <w:rStyle w:val="Refdenotaalpie"/>
                <w:rFonts w:cs="Times New Roman"/>
                <w:color w:val="000000"/>
              </w:rPr>
              <w:footnoteReference w:id="723"/>
            </w:r>
            <w:r w:rsidRPr="0026380E">
              <w:rPr>
                <w:rFonts w:cs="Times New Roman"/>
                <w:color w:val="000000"/>
              </w:rPr>
              <w:t>, para que las entidades territoriales que conforman la región del Catatumbo pueden acceder los recursos con mayor agilidad “a través de la presentación de los proyectos de inversión tendientes a superar las causas de la grave perturbación del orden público e impedir la extensión de sus efectos”</w:t>
            </w:r>
            <w:r w:rsidRPr="00DA6C7F">
              <w:rPr>
                <w:rStyle w:val="Refdenotaalpie"/>
                <w:rFonts w:cs="Times New Roman"/>
                <w:color w:val="000000"/>
              </w:rPr>
              <w:footnoteReference w:id="724"/>
            </w:r>
            <w:r w:rsidRPr="0026380E">
              <w:rPr>
                <w:rFonts w:cs="Times New Roman"/>
                <w:color w:val="000000"/>
              </w:rPr>
              <w:t>.</w:t>
            </w:r>
          </w:p>
          <w:p w14:paraId="3A1CEAC9" w14:textId="77777777" w:rsidR="00C454A1" w:rsidRPr="00DA6C7F" w:rsidRDefault="00C454A1" w:rsidP="00881E6A">
            <w:pPr>
              <w:pStyle w:val="Prrafodelista"/>
              <w:ind w:left="459" w:right="272"/>
              <w:rPr>
                <w:rFonts w:cs="Times New Roman"/>
                <w:color w:val="000000"/>
              </w:rPr>
            </w:pPr>
          </w:p>
          <w:p w14:paraId="0267E223" w14:textId="77777777" w:rsidR="00C454A1" w:rsidRPr="0026380E" w:rsidRDefault="00C454A1" w:rsidP="00881E6A">
            <w:pPr>
              <w:ind w:right="272"/>
              <w:rPr>
                <w:rFonts w:cs="Times New Roman"/>
                <w:color w:val="000000"/>
                <w:lang w:val="es-ES"/>
              </w:rPr>
            </w:pPr>
            <w:r w:rsidRPr="0026380E">
              <w:rPr>
                <w:rFonts w:cs="Times New Roman"/>
                <w:color w:val="000000"/>
                <w:lang w:val="es-ES"/>
              </w:rPr>
              <w:t>Para lograr lo anterior, es necesario “suspender la aplicación de normas legales incompatibles con la declaratoria del estado de excepción para agilizar los términos, los trámites y los procedimientos establecidos en cada una de las etapas del ciclo de los proyectos, con el fin de que las entidades e instancias competentes decidan sobre la viabilización, (sic) priorización y aprobación de los proyectos de inversión que presenten las entidades territoriales de la región del Catatumbo o el Gobierno nacional, y que directa y específicamente tengan por objeto conjurar las causas de la perturbación del orden público e impedir la extensión de sus efectos”</w:t>
            </w:r>
            <w:r w:rsidRPr="00DA6C7F">
              <w:rPr>
                <w:rStyle w:val="Refdenotaalpie"/>
                <w:rFonts w:cs="Times New Roman"/>
                <w:color w:val="000000"/>
                <w:lang w:val="es-ES"/>
              </w:rPr>
              <w:footnoteReference w:id="725"/>
            </w:r>
            <w:r w:rsidRPr="0026380E">
              <w:rPr>
                <w:rFonts w:cs="Times New Roman"/>
                <w:color w:val="000000"/>
                <w:lang w:val="es-ES"/>
              </w:rPr>
              <w:t>. En particular, sería el DNP quien “para agilizar procesos, defina los términos y condiciones, teniendo en cuenta que, en su condición de secretaría técnica de los OCAD Regionales y el OCAD Paz, debe realizar la priorización (AIR 40%), adelantar la verificación de requisitos (Asignación Paz), solicitar el concepto único sectorial a los Ministerios o Departamentos Administrativos (Ambas fuentes) y adelantar los trámites administrativos necesarios tales como citaciones, elaboración de Actas y Acuerdos de las sesiones, entre otros”</w:t>
            </w:r>
            <w:r w:rsidRPr="00DA6C7F">
              <w:rPr>
                <w:rStyle w:val="Refdenotaalpie"/>
                <w:rFonts w:cs="Times New Roman"/>
                <w:color w:val="000000"/>
                <w:lang w:val="es-ES"/>
              </w:rPr>
              <w:footnoteReference w:id="726"/>
            </w:r>
            <w:r w:rsidRPr="0026380E">
              <w:rPr>
                <w:rFonts w:cs="Times New Roman"/>
                <w:color w:val="000000"/>
                <w:lang w:val="es-ES"/>
              </w:rPr>
              <w:t xml:space="preserve">. </w:t>
            </w:r>
          </w:p>
          <w:p w14:paraId="665B0645" w14:textId="77777777" w:rsidR="00C454A1" w:rsidRPr="00DA6C7F" w:rsidRDefault="00C454A1" w:rsidP="00881E6A">
            <w:pPr>
              <w:pStyle w:val="Prrafodelista"/>
              <w:ind w:left="459" w:right="272"/>
              <w:rPr>
                <w:rFonts w:cs="Times New Roman"/>
                <w:color w:val="000000"/>
              </w:rPr>
            </w:pPr>
          </w:p>
          <w:p w14:paraId="4D0C6FB1" w14:textId="77777777" w:rsidR="00C454A1" w:rsidRPr="0026380E" w:rsidRDefault="00C454A1" w:rsidP="00881E6A">
            <w:pPr>
              <w:ind w:right="272"/>
              <w:rPr>
                <w:rFonts w:cs="Times New Roman"/>
                <w:color w:val="000000"/>
              </w:rPr>
            </w:pPr>
            <w:r w:rsidRPr="0026380E">
              <w:rPr>
                <w:rFonts w:cs="Times New Roman"/>
                <w:color w:val="000000"/>
              </w:rPr>
              <w:lastRenderedPageBreak/>
              <w:t>Asimismo, sería e</w:t>
            </w:r>
            <w:r>
              <w:rPr>
                <w:rFonts w:cs="Times New Roman"/>
                <w:color w:val="000000"/>
              </w:rPr>
              <w:t>l</w:t>
            </w:r>
            <w:r w:rsidRPr="0026380E">
              <w:rPr>
                <w:rFonts w:cs="Times New Roman"/>
                <w:color w:val="000000"/>
              </w:rPr>
              <w:t xml:space="preserve"> Ministerio de Ambiente y Desarrollo Sostenible “la entidad que de manera extraordinaria defina los plazos, los términos y las condiciones para la distribución de los recursos de la Asignación Ambiental con los que se contará para la presentación de los proyectos de inversión por parte de las entidades de la región del Catatumbo, los municipios del área metropolitana de Cúcuta y los municipios de Río de Oro y González del departamento del Cesar, que será de manera directa y no requerirá para tal fin de convocatoria.”</w:t>
            </w:r>
            <w:r w:rsidRPr="00DA6C7F">
              <w:rPr>
                <w:rStyle w:val="Refdenotaalpie"/>
                <w:rFonts w:cs="Times New Roman"/>
                <w:color w:val="000000"/>
              </w:rPr>
              <w:footnoteReference w:id="727"/>
            </w:r>
            <w:r w:rsidRPr="0026380E">
              <w:rPr>
                <w:rFonts w:cs="Times New Roman"/>
                <w:color w:val="000000"/>
              </w:rPr>
              <w:t>.</w:t>
            </w:r>
          </w:p>
          <w:p w14:paraId="7125B5FC" w14:textId="77777777" w:rsidR="00C454A1" w:rsidRPr="00DA6C7F" w:rsidRDefault="00C454A1" w:rsidP="00881E6A">
            <w:pPr>
              <w:pStyle w:val="Prrafodelista"/>
              <w:ind w:left="459" w:right="272"/>
              <w:rPr>
                <w:rFonts w:cs="Times New Roman"/>
                <w:color w:val="000000"/>
              </w:rPr>
            </w:pPr>
          </w:p>
          <w:p w14:paraId="4EC378D6" w14:textId="77777777" w:rsidR="00C454A1" w:rsidRPr="0026380E" w:rsidRDefault="00C454A1" w:rsidP="00881E6A">
            <w:pPr>
              <w:ind w:right="272"/>
              <w:rPr>
                <w:rFonts w:cs="Times New Roman"/>
                <w:color w:val="000000"/>
              </w:rPr>
            </w:pPr>
            <w:r w:rsidRPr="0026380E">
              <w:rPr>
                <w:rFonts w:cs="Times New Roman"/>
                <w:color w:val="000000"/>
              </w:rPr>
              <w:t xml:space="preserve">En cuanto al </w:t>
            </w:r>
            <w:r>
              <w:rPr>
                <w:rFonts w:cs="Times New Roman"/>
                <w:color w:val="000000"/>
              </w:rPr>
              <w:t>SGP</w:t>
            </w:r>
            <w:r w:rsidRPr="0026380E">
              <w:rPr>
                <w:rFonts w:cs="Times New Roman"/>
                <w:color w:val="000000"/>
              </w:rPr>
              <w:t xml:space="preserve">, en este tampoco existe una destinación específica para </w:t>
            </w:r>
            <w:r>
              <w:rPr>
                <w:rFonts w:cs="Times New Roman"/>
                <w:color w:val="000000"/>
              </w:rPr>
              <w:t>a</w:t>
            </w:r>
            <w:r w:rsidRPr="0026380E">
              <w:rPr>
                <w:rFonts w:cs="Times New Roman"/>
                <w:color w:val="000000"/>
              </w:rPr>
              <w:t>tender los gastos de seguridad y defensa por parte de las entidades territoriales</w:t>
            </w:r>
            <w:r w:rsidRPr="00DA6C7F">
              <w:rPr>
                <w:rStyle w:val="Refdenotaalpie"/>
                <w:rFonts w:cs="Times New Roman"/>
                <w:color w:val="000000"/>
              </w:rPr>
              <w:footnoteReference w:id="728"/>
            </w:r>
            <w:r w:rsidRPr="0026380E">
              <w:rPr>
                <w:rFonts w:cs="Times New Roman"/>
                <w:color w:val="000000"/>
              </w:rPr>
              <w:t>. No obstante, existe una participación de “propósito general” que se podría destinar a inversión en seguridad y defensa. En efecto, la normativa “vigente determina que de los recursos de “propósito general” se debe destinar para los municipios de categorías especial y de 1ª, 2ª y 3ª categoría, como mínimo, el 8% a deporte y recreación, el 6% a cultura, el 10% al Fondo Nacional de Pensiones de las Entidades Territoriales –FONPET y el remanente para la inversión en otros sectores, que eventualmente podrían destinarse a inversiones en seguridad y defensa, pero en todo caso el uso de estos recursos es de autonomía plena de las entidades territoriales”</w:t>
            </w:r>
            <w:r w:rsidRPr="00DA6C7F">
              <w:rPr>
                <w:rStyle w:val="Refdenotaalpie"/>
                <w:rFonts w:cs="Times New Roman"/>
                <w:color w:val="000000"/>
              </w:rPr>
              <w:footnoteReference w:id="729"/>
            </w:r>
            <w:r w:rsidRPr="0026380E">
              <w:rPr>
                <w:rFonts w:cs="Times New Roman"/>
                <w:color w:val="000000"/>
              </w:rPr>
              <w:t>.</w:t>
            </w:r>
          </w:p>
          <w:p w14:paraId="3BFF7FFC" w14:textId="77777777" w:rsidR="00C454A1" w:rsidRPr="00DA6C7F" w:rsidRDefault="00C454A1" w:rsidP="00881E6A">
            <w:pPr>
              <w:pStyle w:val="Prrafodelista"/>
              <w:ind w:left="459" w:right="272"/>
              <w:rPr>
                <w:rFonts w:cs="Times New Roman"/>
                <w:color w:val="000000"/>
              </w:rPr>
            </w:pPr>
          </w:p>
          <w:p w14:paraId="53DDC302" w14:textId="77777777" w:rsidR="00C454A1" w:rsidRPr="00DA6C7F" w:rsidRDefault="00C454A1" w:rsidP="00881E6A">
            <w:pPr>
              <w:ind w:right="272"/>
              <w:rPr>
                <w:rFonts w:eastAsia="Times New Roman" w:cs="Times New Roman"/>
              </w:rPr>
            </w:pPr>
            <w:r w:rsidRPr="00DA6C7F">
              <w:rPr>
                <w:rFonts w:cs="Times New Roman"/>
                <w:color w:val="000000"/>
              </w:rPr>
              <w:t>Fue en este contexto que se planeó “la estructuración de medidas extraordinarias que flexibilicen algunos gastos y usos en los sectores que hacen parte del Sistema que sí podrían apalancarse con recursos del SGP y que ayudarían a conjurar los efectos de la grave perturbación de orden público e impedir la extensión de sus efectos”</w:t>
            </w:r>
            <w:r w:rsidRPr="00DA6C7F">
              <w:rPr>
                <w:rStyle w:val="Refdenotaalpie"/>
                <w:rFonts w:cs="Times New Roman"/>
                <w:color w:val="000000"/>
              </w:rPr>
              <w:footnoteReference w:id="730"/>
            </w:r>
            <w:r w:rsidRPr="00DA6C7F">
              <w:rPr>
                <w:rFonts w:cs="Times New Roman"/>
                <w:color w:val="000000"/>
              </w:rPr>
              <w:t>. Por ejemplo, “en el sector de agua potable y saneamiento básico los artículos 10 y 11 de la Ley 1176 de 2007 establecen la destinación específica de los recursos del Sistema General de Participaciones para Agua Potable y Saneamiento Básico (SGP-APSB)”</w:t>
            </w:r>
            <w:r w:rsidRPr="00DA6C7F">
              <w:rPr>
                <w:rStyle w:val="Refdenotaalpie"/>
                <w:rFonts w:cs="Times New Roman"/>
                <w:color w:val="000000"/>
              </w:rPr>
              <w:footnoteReference w:id="731"/>
            </w:r>
            <w:r w:rsidRPr="00DA6C7F">
              <w:rPr>
                <w:rFonts w:cs="Times New Roman"/>
                <w:color w:val="000000"/>
              </w:rPr>
              <w:t xml:space="preserve">. No obstante, “se requiere ampliar el alcance de la destinación específica a la provisión de agua para consumo </w:t>
            </w:r>
            <w:r w:rsidRPr="00DA6C7F">
              <w:rPr>
                <w:rFonts w:cs="Times New Roman"/>
                <w:color w:val="000000"/>
              </w:rPr>
              <w:lastRenderedPageBreak/>
              <w:t>humano a través de medios alternos o la posibilidad de brindar subsidios para garantizar el mínimo vital de agua y saneamiento básico de la población”</w:t>
            </w:r>
            <w:r w:rsidRPr="00DA6C7F">
              <w:rPr>
                <w:rStyle w:val="Refdenotaalpie"/>
                <w:rFonts w:cs="Times New Roman"/>
                <w:color w:val="000000"/>
              </w:rPr>
              <w:footnoteReference w:id="732"/>
            </w:r>
            <w:r w:rsidRPr="00DA6C7F">
              <w:rPr>
                <w:rFonts w:cs="Times New Roman"/>
                <w:color w:val="000000"/>
              </w:rPr>
              <w:t>. Además, “autorizar que con cargo a los mismos recursos se asuman costos y actividades de operación y mantenimiento de los sistemas de acueducto, alcantarillado, aseo, esquemas diferenciales o medios alternos”</w:t>
            </w:r>
            <w:r w:rsidRPr="00DA6C7F">
              <w:rPr>
                <w:rStyle w:val="Refdenotaalpie"/>
                <w:rFonts w:cs="Times New Roman"/>
                <w:color w:val="000000"/>
              </w:rPr>
              <w:footnoteReference w:id="733"/>
            </w:r>
            <w:r w:rsidRPr="00DA6C7F">
              <w:rPr>
                <w:rFonts w:cs="Times New Roman"/>
                <w:color w:val="000000"/>
              </w:rPr>
              <w:t>.</w:t>
            </w:r>
          </w:p>
        </w:tc>
      </w:tr>
      <w:tr w:rsidR="00C454A1" w:rsidRPr="00DA6C7F" w14:paraId="71F06781" w14:textId="77777777" w:rsidTr="005F4A6F">
        <w:trPr>
          <w:trHeight w:val="300"/>
        </w:trPr>
        <w:tc>
          <w:tcPr>
            <w:tcW w:w="642" w:type="pct"/>
            <w:vAlign w:val="center"/>
          </w:tcPr>
          <w:p w14:paraId="72772BC6" w14:textId="77777777" w:rsidR="00C454A1" w:rsidRPr="00DA6C7F" w:rsidRDefault="00C454A1" w:rsidP="00881E6A">
            <w:pPr>
              <w:ind w:right="272"/>
              <w:jc w:val="center"/>
              <w:rPr>
                <w:rFonts w:eastAsia="Times New Roman" w:cs="Times New Roman"/>
              </w:rPr>
            </w:pPr>
            <w:r w:rsidRPr="00DA6C7F">
              <w:rPr>
                <w:rFonts w:cs="Times New Roman"/>
                <w:b/>
              </w:rPr>
              <w:lastRenderedPageBreak/>
              <w:t>Defensoría del Pueblo I</w:t>
            </w:r>
          </w:p>
        </w:tc>
        <w:tc>
          <w:tcPr>
            <w:tcW w:w="4358" w:type="pct"/>
          </w:tcPr>
          <w:p w14:paraId="60D74CA1" w14:textId="77777777" w:rsidR="00C454A1" w:rsidRPr="00ED03F2" w:rsidRDefault="00C454A1" w:rsidP="00881E6A">
            <w:pPr>
              <w:ind w:right="272"/>
              <w:rPr>
                <w:rFonts w:cs="Times New Roman"/>
                <w:color w:val="000000" w:themeColor="text1"/>
              </w:rPr>
            </w:pPr>
            <w:r w:rsidRPr="00ED03F2">
              <w:rPr>
                <w:rFonts w:cs="Times New Roman"/>
                <w:color w:val="000000" w:themeColor="text1"/>
              </w:rPr>
              <w:t>La defensora delegada para la prevención del riesgo de violaciones de DDHH e infracciones al DIH remitió información relacionada con las preguntas planteadas en la Sección II (requisitos materiales), numeral 1º, grupo de preguntas número 1.2 del auto de pruebas del 31 de enero del año 2025 (</w:t>
            </w:r>
            <w:r w:rsidRPr="00ED03F2">
              <w:rPr>
                <w:rFonts w:cs="Times New Roman"/>
                <w:b/>
                <w:color w:val="000000" w:themeColor="text1"/>
                <w:u w:val="single"/>
              </w:rPr>
              <w:t>presupuesto fáctico</w:t>
            </w:r>
            <w:r w:rsidRPr="00ED03F2">
              <w:rPr>
                <w:rFonts w:cs="Times New Roman"/>
                <w:color w:val="000000" w:themeColor="text1"/>
              </w:rPr>
              <w:t>).</w:t>
            </w:r>
          </w:p>
          <w:p w14:paraId="3EA3A683" w14:textId="77777777" w:rsidR="00C454A1" w:rsidRPr="00ED03F2" w:rsidRDefault="00C454A1" w:rsidP="00881E6A">
            <w:pPr>
              <w:ind w:right="272"/>
              <w:rPr>
                <w:rFonts w:cs="Times New Roman"/>
                <w:color w:val="000000" w:themeColor="text1"/>
              </w:rPr>
            </w:pPr>
          </w:p>
          <w:p w14:paraId="2737CA41" w14:textId="77777777" w:rsidR="00C454A1" w:rsidRPr="00ED03F2" w:rsidRDefault="00C454A1" w:rsidP="00881E6A">
            <w:pPr>
              <w:ind w:right="272"/>
              <w:rPr>
                <w:rFonts w:cs="Times New Roman"/>
                <w:color w:val="000000" w:themeColor="text1"/>
                <w:lang w:val="es-ES"/>
              </w:rPr>
            </w:pPr>
            <w:r w:rsidRPr="00ED03F2">
              <w:rPr>
                <w:rFonts w:cs="Times New Roman"/>
                <w:i/>
                <w:color w:val="000000" w:themeColor="text1"/>
                <w:lang w:val="es-ES"/>
              </w:rPr>
              <w:t xml:space="preserve">Alertas tempranas. </w:t>
            </w:r>
            <w:r w:rsidRPr="00ED03F2">
              <w:rPr>
                <w:rFonts w:cs="Times New Roman"/>
                <w:color w:val="000000" w:themeColor="text1"/>
                <w:lang w:val="es-ES"/>
              </w:rPr>
              <w:t xml:space="preserve">La entidad informó que, desde el 2022, ha emitido cuatro alertas tempranas para la región del Catatumbo: </w:t>
            </w:r>
            <w:r w:rsidRPr="00ED03F2">
              <w:rPr>
                <w:rFonts w:cs="Times New Roman"/>
                <w:i/>
                <w:color w:val="000000" w:themeColor="text1"/>
                <w:lang w:val="es-ES"/>
              </w:rPr>
              <w:t xml:space="preserve">(i) </w:t>
            </w:r>
            <w:r w:rsidRPr="00ED03F2">
              <w:rPr>
                <w:rFonts w:cs="Times New Roman"/>
                <w:color w:val="000000" w:themeColor="text1"/>
                <w:lang w:val="es-ES"/>
              </w:rPr>
              <w:t xml:space="preserve">AT 009 del 9 de marzo de 2023; </w:t>
            </w:r>
            <w:r w:rsidRPr="00ED03F2">
              <w:rPr>
                <w:rFonts w:cs="Times New Roman"/>
                <w:i/>
                <w:color w:val="000000" w:themeColor="text1"/>
                <w:lang w:val="es-ES"/>
              </w:rPr>
              <w:t xml:space="preserve">(ii) </w:t>
            </w:r>
            <w:r w:rsidRPr="00ED03F2">
              <w:rPr>
                <w:rFonts w:cs="Times New Roman"/>
                <w:color w:val="000000" w:themeColor="text1"/>
                <w:lang w:val="es-ES"/>
              </w:rPr>
              <w:t xml:space="preserve">AT 026 del 29 de junio de 2023; </w:t>
            </w:r>
            <w:r w:rsidRPr="00ED03F2">
              <w:rPr>
                <w:rFonts w:cs="Times New Roman"/>
                <w:i/>
                <w:color w:val="000000" w:themeColor="text1"/>
                <w:lang w:val="es-ES"/>
              </w:rPr>
              <w:t xml:space="preserve">(iii) </w:t>
            </w:r>
            <w:r w:rsidRPr="00ED03F2">
              <w:rPr>
                <w:rFonts w:cs="Times New Roman"/>
                <w:color w:val="000000" w:themeColor="text1"/>
                <w:lang w:val="es-ES"/>
              </w:rPr>
              <w:t xml:space="preserve">AT 026 del 15 de noviembre de 2024; y </w:t>
            </w:r>
            <w:r w:rsidRPr="00ED03F2">
              <w:rPr>
                <w:rFonts w:cs="Times New Roman"/>
                <w:i/>
                <w:color w:val="000000" w:themeColor="text1"/>
                <w:lang w:val="es-ES"/>
              </w:rPr>
              <w:t xml:space="preserve">(iv) </w:t>
            </w:r>
            <w:r w:rsidRPr="00ED03F2">
              <w:rPr>
                <w:rFonts w:cs="Times New Roman"/>
                <w:color w:val="000000" w:themeColor="text1"/>
                <w:lang w:val="es-ES"/>
              </w:rPr>
              <w:t>AT 027 del 19 de diciembre de 2024. Además, dijo que ha proferido un informe de seguimiento de la AT 050 de 2020, para el municipio de Tibú. En el documento de respuesta se indica la fecha de cada una de las alertas, la zona específica de ocurrencia y una breve enunciación de los hechos objeto de alerta (se incluyen actores), los riesgos creados para la población civil y una brevísima explicación de la problemática asociada con el riesgo de violación de los derechos fundamentales de la población civil.</w:t>
            </w:r>
          </w:p>
          <w:p w14:paraId="2256F136" w14:textId="77777777" w:rsidR="00C454A1" w:rsidRPr="00ED03F2" w:rsidRDefault="00C454A1" w:rsidP="00881E6A">
            <w:pPr>
              <w:ind w:right="272"/>
              <w:rPr>
                <w:rFonts w:cs="Times New Roman"/>
                <w:color w:val="000000" w:themeColor="text1"/>
              </w:rPr>
            </w:pPr>
          </w:p>
          <w:p w14:paraId="7C707709" w14:textId="77777777" w:rsidR="00C454A1" w:rsidRPr="00ED03F2" w:rsidRDefault="00C454A1" w:rsidP="00881E6A">
            <w:pPr>
              <w:ind w:right="272"/>
              <w:rPr>
                <w:rFonts w:cs="Times New Roman"/>
                <w:color w:val="000000" w:themeColor="text1"/>
              </w:rPr>
            </w:pPr>
            <w:r w:rsidRPr="00ED03F2">
              <w:rPr>
                <w:rFonts w:cs="Times New Roman"/>
                <w:i/>
                <w:color w:val="000000" w:themeColor="text1"/>
              </w:rPr>
              <w:t xml:space="preserve">Hechos causantes de violación de los derechos fundamentales. </w:t>
            </w:r>
            <w:r w:rsidRPr="00ED03F2">
              <w:rPr>
                <w:rFonts w:cs="Times New Roman"/>
                <w:color w:val="000000" w:themeColor="text1"/>
              </w:rPr>
              <w:t>La defensora delegada manifestó que, principalmente, se han perpetrado homicidios, retenciones ilegales en el marco del conflicto armado interno, amenazas, confinamientos y desplazamientos forzados</w:t>
            </w:r>
            <w:r w:rsidRPr="00ED03F2">
              <w:rPr>
                <w:rStyle w:val="Refdenotaalpie"/>
                <w:rFonts w:cs="Times New Roman"/>
                <w:color w:val="000000" w:themeColor="text1"/>
              </w:rPr>
              <w:footnoteReference w:id="734"/>
            </w:r>
            <w:r w:rsidRPr="00ED03F2">
              <w:rPr>
                <w:rFonts w:cs="Times New Roman"/>
                <w:color w:val="000000" w:themeColor="text1"/>
              </w:rPr>
              <w:t>.</w:t>
            </w:r>
          </w:p>
          <w:p w14:paraId="01938CFC" w14:textId="77777777" w:rsidR="00C454A1" w:rsidRPr="00ED03F2" w:rsidRDefault="00C454A1" w:rsidP="00881E6A">
            <w:pPr>
              <w:ind w:right="272"/>
              <w:rPr>
                <w:rFonts w:cs="Times New Roman"/>
                <w:i/>
                <w:color w:val="000000" w:themeColor="text1"/>
              </w:rPr>
            </w:pPr>
          </w:p>
          <w:p w14:paraId="149444A4" w14:textId="77777777" w:rsidR="00C454A1" w:rsidRPr="00ED03F2" w:rsidRDefault="00C454A1" w:rsidP="00881E6A">
            <w:pPr>
              <w:ind w:right="272"/>
              <w:rPr>
                <w:rFonts w:cs="Times New Roman"/>
                <w:color w:val="000000" w:themeColor="text1"/>
              </w:rPr>
            </w:pPr>
            <w:r w:rsidRPr="00ED03F2">
              <w:rPr>
                <w:rFonts w:cs="Times New Roman"/>
                <w:i/>
                <w:color w:val="000000" w:themeColor="text1"/>
              </w:rPr>
              <w:lastRenderedPageBreak/>
              <w:t xml:space="preserve">Titulares de los derechos fundamentales afectados. </w:t>
            </w:r>
            <w:r w:rsidRPr="00ED03F2">
              <w:rPr>
                <w:rFonts w:cs="Times New Roman"/>
                <w:color w:val="000000" w:themeColor="text1"/>
              </w:rPr>
              <w:t>La entidad informó que se han visto afectados firmantes de Acuerdo Final del Paz (desde aquí, AFP), lideres sociales, mujeres, niños, niñas, adolescentes, adultos mayores, personas en condición de discapacidad, los pueblos indígenas Barí y Yukpa, población migrante y algunas personas de la población con orientación sexual e identidad de género diversas</w:t>
            </w:r>
            <w:r w:rsidRPr="00ED03F2">
              <w:rPr>
                <w:rStyle w:val="Refdenotaalpie"/>
                <w:rFonts w:cs="Times New Roman"/>
                <w:color w:val="000000" w:themeColor="text1"/>
              </w:rPr>
              <w:footnoteReference w:id="735"/>
            </w:r>
            <w:r w:rsidRPr="00ED03F2">
              <w:rPr>
                <w:rFonts w:cs="Times New Roman"/>
                <w:color w:val="000000" w:themeColor="text1"/>
              </w:rPr>
              <w:t>.</w:t>
            </w:r>
          </w:p>
          <w:p w14:paraId="1719F7B0" w14:textId="77777777" w:rsidR="00C454A1" w:rsidRPr="00ED03F2" w:rsidRDefault="00C454A1" w:rsidP="00881E6A">
            <w:pPr>
              <w:ind w:right="272"/>
              <w:rPr>
                <w:rFonts w:cs="Times New Roman"/>
                <w:color w:val="000000" w:themeColor="text1"/>
              </w:rPr>
            </w:pPr>
          </w:p>
          <w:p w14:paraId="5A3FCB14" w14:textId="77777777" w:rsidR="00C454A1" w:rsidRPr="00ED03F2" w:rsidRDefault="00C454A1" w:rsidP="00881E6A">
            <w:pPr>
              <w:ind w:right="272"/>
              <w:rPr>
                <w:rFonts w:cs="Times New Roman"/>
                <w:color w:val="000000" w:themeColor="text1"/>
                <w:lang w:val="es-ES"/>
              </w:rPr>
            </w:pPr>
            <w:r w:rsidRPr="00ED03F2">
              <w:rPr>
                <w:rFonts w:cs="Times New Roman"/>
                <w:i/>
                <w:color w:val="000000" w:themeColor="text1"/>
                <w:lang w:val="es-ES"/>
              </w:rPr>
              <w:t xml:space="preserve">Responsables de las afectaciones de los derechos fundamentales. </w:t>
            </w:r>
            <w:r w:rsidRPr="00ED03F2">
              <w:rPr>
                <w:rFonts w:cs="Times New Roman"/>
                <w:color w:val="000000" w:themeColor="text1"/>
                <w:lang w:val="es-ES"/>
              </w:rPr>
              <w:t>En la respuesta se menciona que en “los territorios” hacen presencia las facciones disidentes de las antiguas FARC-EP (Frente 33), el Ejército de Liberación Nacional (en adelante, ELN), las autodenominadas Autodefensas Gaitanistas de Colombia y grupos de criminalidad organizada (al parecer, se refiere a Grupos de Delincuencia Organizada - GDO)</w:t>
            </w:r>
            <w:r w:rsidRPr="00ED03F2">
              <w:rPr>
                <w:rStyle w:val="Refdenotaalpie"/>
                <w:rFonts w:cs="Times New Roman"/>
                <w:color w:val="000000" w:themeColor="text1"/>
                <w:lang w:val="es-ES"/>
              </w:rPr>
              <w:footnoteReference w:id="736"/>
            </w:r>
            <w:r w:rsidRPr="00ED03F2">
              <w:rPr>
                <w:rFonts w:cs="Times New Roman"/>
                <w:color w:val="000000" w:themeColor="text1"/>
                <w:lang w:val="es-ES"/>
              </w:rPr>
              <w:t>.</w:t>
            </w:r>
          </w:p>
          <w:p w14:paraId="5C5E9FEF" w14:textId="77777777" w:rsidR="00C454A1" w:rsidRPr="00ED03F2" w:rsidRDefault="00C454A1" w:rsidP="00881E6A">
            <w:pPr>
              <w:ind w:right="272"/>
              <w:rPr>
                <w:rFonts w:cs="Times New Roman"/>
                <w:color w:val="000000" w:themeColor="text1"/>
              </w:rPr>
            </w:pPr>
          </w:p>
          <w:p w14:paraId="352A77EE" w14:textId="77777777" w:rsidR="00C454A1" w:rsidRPr="00ED03F2" w:rsidRDefault="00C454A1" w:rsidP="00881E6A">
            <w:pPr>
              <w:ind w:right="272"/>
              <w:rPr>
                <w:rFonts w:cs="Times New Roman"/>
                <w:color w:val="000000" w:themeColor="text1"/>
                <w:lang w:val="es-ES"/>
              </w:rPr>
            </w:pPr>
            <w:r w:rsidRPr="00ED03F2">
              <w:rPr>
                <w:rFonts w:cs="Times New Roman"/>
                <w:i/>
                <w:color w:val="000000" w:themeColor="text1"/>
                <w:lang w:val="es-ES"/>
              </w:rPr>
              <w:t xml:space="preserve">Otra información relevante. </w:t>
            </w:r>
            <w:r w:rsidRPr="00ED03F2">
              <w:rPr>
                <w:rFonts w:cs="Times New Roman"/>
                <w:color w:val="000000" w:themeColor="text1"/>
                <w:lang w:val="es-ES"/>
              </w:rPr>
              <w:t xml:space="preserve">La Defensoría aporto copia de la </w:t>
            </w:r>
            <w:r w:rsidRPr="00ED03F2">
              <w:rPr>
                <w:rFonts w:cs="Times New Roman"/>
                <w:i/>
                <w:color w:val="000000" w:themeColor="text1"/>
                <w:lang w:val="es-ES"/>
              </w:rPr>
              <w:t>Alerta Temprana de Inminencia No. 026 del 15 de noviembre de 2024</w:t>
            </w:r>
            <w:r w:rsidRPr="00ED03F2">
              <w:rPr>
                <w:rFonts w:cs="Times New Roman"/>
                <w:color w:val="000000" w:themeColor="text1"/>
                <w:lang w:val="es-ES"/>
              </w:rPr>
              <w:t>, la cual sirve como justificación del presupuesto fáctico, incluso, es citada en el decreto objeto de control (pág. 4). La información de este y todos los anexos es muy valiosa para estudiar el presupuesto fáctico y, en general, entender la conflictividad del territorio y la manera como esta se ha venido agravando, al menos, desde el año 2020. También se puede entender el contexto de riesgo de la población civil y los firmantes del AFP, para lo que hay que tener en cuenta que en el municipio de Tibú estaba uno de los 24 Espacios Territoriales de Capacitación y Reincorporación (ETCR Caño Indio). En general, los documentos anexos contienen la siguiente información</w:t>
            </w:r>
            <w:r w:rsidRPr="00ED03F2">
              <w:rPr>
                <w:rStyle w:val="Refdenotaalpie"/>
                <w:rFonts w:cs="Times New Roman"/>
                <w:color w:val="000000" w:themeColor="text1"/>
                <w:lang w:val="es-ES"/>
              </w:rPr>
              <w:footnoteReference w:id="737"/>
            </w:r>
            <w:r w:rsidRPr="00ED03F2">
              <w:rPr>
                <w:rFonts w:cs="Times New Roman"/>
                <w:color w:val="000000" w:themeColor="text1"/>
                <w:lang w:val="es-ES"/>
              </w:rPr>
              <w:t>:</w:t>
            </w:r>
          </w:p>
          <w:p w14:paraId="3947B2B6" w14:textId="77777777" w:rsidR="00C454A1" w:rsidRDefault="00C454A1" w:rsidP="00881E6A">
            <w:pPr>
              <w:ind w:right="272"/>
              <w:rPr>
                <w:rFonts w:cs="Times New Roman"/>
                <w:color w:val="000000" w:themeColor="text1"/>
              </w:rPr>
            </w:pPr>
          </w:p>
          <w:p w14:paraId="0E9FD460" w14:textId="77777777" w:rsidR="00C454A1" w:rsidRPr="00872057" w:rsidRDefault="00C454A1" w:rsidP="00881E6A">
            <w:pPr>
              <w:ind w:right="272"/>
              <w:jc w:val="center"/>
              <w:rPr>
                <w:rFonts w:cs="Times New Roman"/>
                <w:i/>
                <w:iCs/>
                <w:color w:val="000000" w:themeColor="text1"/>
                <w:sz w:val="20"/>
                <w:szCs w:val="20"/>
              </w:rPr>
            </w:pPr>
            <w:r w:rsidRPr="00872057">
              <w:rPr>
                <w:rFonts w:cs="Times New Roman"/>
                <w:i/>
                <w:iCs/>
                <w:color w:val="000000" w:themeColor="text1"/>
                <w:sz w:val="20"/>
                <w:szCs w:val="20"/>
              </w:rPr>
              <w:t>Tabla 24: Información alertas tempranas adoptadas en la región</w:t>
            </w:r>
          </w:p>
          <w:tbl>
            <w:tblPr>
              <w:tblStyle w:val="Tablaconcuadrcula"/>
              <w:tblW w:w="0" w:type="auto"/>
              <w:jc w:val="center"/>
              <w:tblLook w:val="04A0" w:firstRow="1" w:lastRow="0" w:firstColumn="1" w:lastColumn="0" w:noHBand="0" w:noVBand="1"/>
            </w:tblPr>
            <w:tblGrid>
              <w:gridCol w:w="2007"/>
              <w:gridCol w:w="3220"/>
              <w:gridCol w:w="2731"/>
              <w:gridCol w:w="2762"/>
              <w:gridCol w:w="2811"/>
            </w:tblGrid>
            <w:tr w:rsidR="00C454A1" w:rsidRPr="00F8202F" w14:paraId="55613DD0" w14:textId="77777777" w:rsidTr="001F3006">
              <w:trPr>
                <w:jc w:val="center"/>
              </w:trPr>
              <w:tc>
                <w:tcPr>
                  <w:tcW w:w="2074" w:type="dxa"/>
                  <w:tcBorders>
                    <w:bottom w:val="single" w:sz="4" w:space="0" w:color="auto"/>
                  </w:tcBorders>
                </w:tcPr>
                <w:p w14:paraId="24A31BB4" w14:textId="77777777" w:rsidR="00C454A1" w:rsidRPr="00ED03F2" w:rsidRDefault="00C454A1" w:rsidP="00881E6A">
                  <w:pPr>
                    <w:ind w:right="272"/>
                    <w:rPr>
                      <w:rFonts w:cs="Times New Roman"/>
                      <w:color w:val="000000" w:themeColor="text1"/>
                      <w:sz w:val="22"/>
                      <w:szCs w:val="22"/>
                    </w:rPr>
                  </w:pPr>
                </w:p>
              </w:tc>
              <w:tc>
                <w:tcPr>
                  <w:tcW w:w="3402" w:type="dxa"/>
                  <w:shd w:val="clear" w:color="auto" w:fill="D9D9D9" w:themeFill="background1" w:themeFillShade="D9"/>
                </w:tcPr>
                <w:p w14:paraId="206A7E0B"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Localización geográfica del riesgo y contexto general de la región del Catatumbo.</w:t>
                  </w:r>
                </w:p>
              </w:tc>
              <w:tc>
                <w:tcPr>
                  <w:tcW w:w="2835" w:type="dxa"/>
                  <w:shd w:val="clear" w:color="auto" w:fill="D9D9D9" w:themeFill="background1" w:themeFillShade="D9"/>
                </w:tcPr>
                <w:p w14:paraId="30722192"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 xml:space="preserve">Descripción del riesgo (contexto social y territorial, población en riesgo, caracterización del riesgo, motivaciones </w:t>
                  </w:r>
                  <w:r w:rsidRPr="00ED03F2">
                    <w:rPr>
                      <w:rFonts w:cs="Times New Roman"/>
                      <w:color w:val="000000" w:themeColor="text1"/>
                      <w:sz w:val="22"/>
                      <w:szCs w:val="22"/>
                    </w:rPr>
                    <w:lastRenderedPageBreak/>
                    <w:t>de los actores armados, entre otros).</w:t>
                  </w:r>
                </w:p>
              </w:tc>
              <w:tc>
                <w:tcPr>
                  <w:tcW w:w="2893" w:type="dxa"/>
                  <w:shd w:val="clear" w:color="auto" w:fill="D9D9D9" w:themeFill="background1" w:themeFillShade="D9"/>
                </w:tcPr>
                <w:p w14:paraId="257EB302" w14:textId="77777777" w:rsidR="00C454A1" w:rsidRPr="00ED03F2" w:rsidRDefault="00C454A1" w:rsidP="00881E6A">
                  <w:pPr>
                    <w:ind w:right="272"/>
                    <w:rPr>
                      <w:rFonts w:cs="Times New Roman"/>
                      <w:color w:val="000000" w:themeColor="text1"/>
                      <w:sz w:val="22"/>
                      <w:szCs w:val="22"/>
                      <w:lang w:val="es-ES"/>
                    </w:rPr>
                  </w:pPr>
                  <w:r w:rsidRPr="00ED03F2">
                    <w:rPr>
                      <w:rFonts w:cs="Times New Roman"/>
                      <w:color w:val="000000" w:themeColor="text1"/>
                      <w:sz w:val="22"/>
                      <w:szCs w:val="22"/>
                      <w:lang w:val="es-ES"/>
                    </w:rPr>
                    <w:lastRenderedPageBreak/>
                    <w:t>Registros de los antecedentes recientes de violencia y del impacto de las mismas sobre la población civil.</w:t>
                  </w:r>
                </w:p>
              </w:tc>
              <w:tc>
                <w:tcPr>
                  <w:tcW w:w="2894" w:type="dxa"/>
                  <w:shd w:val="clear" w:color="auto" w:fill="D9D9D9" w:themeFill="background1" w:themeFillShade="D9"/>
                </w:tcPr>
                <w:p w14:paraId="08A62CD2"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 xml:space="preserve">Recomendaciones con varias orientaciones (respuesta rápida, disuasión, control y mitigación del contexto de la amenaza, medidas de </w:t>
                  </w:r>
                  <w:r w:rsidRPr="00ED03F2">
                    <w:rPr>
                      <w:rFonts w:cs="Times New Roman"/>
                      <w:color w:val="000000" w:themeColor="text1"/>
                      <w:sz w:val="22"/>
                      <w:szCs w:val="22"/>
                    </w:rPr>
                    <w:lastRenderedPageBreak/>
                    <w:t>prevención urgente, judicialización y acceso a la justicia, implementación de acciones de asistencia y atención humanitaria y, en algunos casos, medidas de acompañamiento.</w:t>
                  </w:r>
                </w:p>
                <w:p w14:paraId="6A1226A3" w14:textId="77777777" w:rsidR="00C454A1" w:rsidRPr="00ED03F2" w:rsidRDefault="00C454A1" w:rsidP="00881E6A">
                  <w:pPr>
                    <w:ind w:right="272"/>
                    <w:rPr>
                      <w:rFonts w:cs="Times New Roman"/>
                      <w:color w:val="000000" w:themeColor="text1"/>
                      <w:sz w:val="22"/>
                      <w:szCs w:val="22"/>
                    </w:rPr>
                  </w:pPr>
                </w:p>
              </w:tc>
            </w:tr>
            <w:tr w:rsidR="00C454A1" w:rsidRPr="00ED03F2" w14:paraId="07C7CACB" w14:textId="77777777" w:rsidTr="001F3006">
              <w:trPr>
                <w:jc w:val="center"/>
              </w:trPr>
              <w:tc>
                <w:tcPr>
                  <w:tcW w:w="2074" w:type="dxa"/>
                  <w:shd w:val="clear" w:color="auto" w:fill="D9D9D9" w:themeFill="background1" w:themeFillShade="D9"/>
                </w:tcPr>
                <w:p w14:paraId="0E8D4568"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lastRenderedPageBreak/>
                    <w:t>AT 050 de 2020 (riesgo alto)</w:t>
                  </w:r>
                </w:p>
              </w:tc>
              <w:tc>
                <w:tcPr>
                  <w:tcW w:w="3402" w:type="dxa"/>
                </w:tcPr>
                <w:p w14:paraId="5CAC6F63"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 (Defensoría I, Pág. 162)</w:t>
                  </w:r>
                </w:p>
              </w:tc>
              <w:tc>
                <w:tcPr>
                  <w:tcW w:w="2835" w:type="dxa"/>
                </w:tcPr>
                <w:p w14:paraId="5E3A032D"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4 (Defensoría I, Pág. 165)</w:t>
                  </w:r>
                </w:p>
              </w:tc>
              <w:tc>
                <w:tcPr>
                  <w:tcW w:w="2893" w:type="dxa"/>
                </w:tcPr>
                <w:p w14:paraId="7298C9DC"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24 (Defensoría I, Pág. 185)</w:t>
                  </w:r>
                </w:p>
              </w:tc>
              <w:tc>
                <w:tcPr>
                  <w:tcW w:w="2894" w:type="dxa"/>
                </w:tcPr>
                <w:p w14:paraId="6A84E811"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36 (Defensoría I, Pág. 197)</w:t>
                  </w:r>
                </w:p>
              </w:tc>
            </w:tr>
            <w:tr w:rsidR="00C454A1" w:rsidRPr="00ED03F2" w14:paraId="59881234" w14:textId="77777777" w:rsidTr="001F3006">
              <w:trPr>
                <w:jc w:val="center"/>
              </w:trPr>
              <w:tc>
                <w:tcPr>
                  <w:tcW w:w="2074" w:type="dxa"/>
                  <w:shd w:val="clear" w:color="auto" w:fill="D9D9D9" w:themeFill="background1" w:themeFillShade="D9"/>
                </w:tcPr>
                <w:p w14:paraId="16BB6F77"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AT 009 de 2023</w:t>
                  </w:r>
                </w:p>
                <w:p w14:paraId="2FAFF808"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(riesgo alto)</w:t>
                  </w:r>
                </w:p>
              </w:tc>
              <w:tc>
                <w:tcPr>
                  <w:tcW w:w="3402" w:type="dxa"/>
                </w:tcPr>
                <w:p w14:paraId="0CCB0F8B"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 (Defensoría I, Pág. 79)</w:t>
                  </w:r>
                </w:p>
              </w:tc>
              <w:tc>
                <w:tcPr>
                  <w:tcW w:w="2835" w:type="dxa"/>
                </w:tcPr>
                <w:p w14:paraId="652009A8"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3 (Defensoría I, p. 81)</w:t>
                  </w:r>
                  <w:r w:rsidRPr="00ED03F2">
                    <w:rPr>
                      <w:rStyle w:val="Refdenotaalpie"/>
                      <w:rFonts w:cs="Times New Roman"/>
                      <w:color w:val="000000" w:themeColor="text1"/>
                      <w:sz w:val="22"/>
                      <w:szCs w:val="22"/>
                    </w:rPr>
                    <w:footnoteReference w:id="738"/>
                  </w:r>
                </w:p>
              </w:tc>
              <w:tc>
                <w:tcPr>
                  <w:tcW w:w="2893" w:type="dxa"/>
                </w:tcPr>
                <w:p w14:paraId="191F5AC9"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21 (Defensoría I, p. 99)</w:t>
                  </w:r>
                </w:p>
              </w:tc>
              <w:tc>
                <w:tcPr>
                  <w:tcW w:w="2894" w:type="dxa"/>
                </w:tcPr>
                <w:p w14:paraId="62EA81F2"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44 (Defensoría I, Pág. 122)</w:t>
                  </w:r>
                </w:p>
              </w:tc>
            </w:tr>
            <w:tr w:rsidR="00C454A1" w:rsidRPr="00ED03F2" w14:paraId="747B456F" w14:textId="77777777" w:rsidTr="001F3006">
              <w:trPr>
                <w:jc w:val="center"/>
              </w:trPr>
              <w:tc>
                <w:tcPr>
                  <w:tcW w:w="2074" w:type="dxa"/>
                  <w:shd w:val="clear" w:color="auto" w:fill="D9D9D9" w:themeFill="background1" w:themeFillShade="D9"/>
                </w:tcPr>
                <w:p w14:paraId="542F474E"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AT 026 de 2023 (riesgo alto)</w:t>
                  </w:r>
                </w:p>
              </w:tc>
              <w:tc>
                <w:tcPr>
                  <w:tcW w:w="3402" w:type="dxa"/>
                </w:tcPr>
                <w:p w14:paraId="34CF6330"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 (Defensoría I, Pág. 133)</w:t>
                  </w:r>
                </w:p>
              </w:tc>
              <w:tc>
                <w:tcPr>
                  <w:tcW w:w="2835" w:type="dxa"/>
                </w:tcPr>
                <w:p w14:paraId="131CF8D7"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3 (Defensoría I, Pág. 135)</w:t>
                  </w:r>
                  <w:r w:rsidRPr="00ED03F2">
                    <w:rPr>
                      <w:rStyle w:val="Refdenotaalpie"/>
                      <w:rFonts w:cs="Times New Roman"/>
                      <w:color w:val="000000" w:themeColor="text1"/>
                      <w:sz w:val="22"/>
                      <w:szCs w:val="22"/>
                    </w:rPr>
                    <w:footnoteReference w:id="739"/>
                  </w:r>
                </w:p>
              </w:tc>
              <w:tc>
                <w:tcPr>
                  <w:tcW w:w="2893" w:type="dxa"/>
                </w:tcPr>
                <w:p w14:paraId="5982FFC2"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16 (Defensoría I, p. 148)</w:t>
                  </w:r>
                </w:p>
              </w:tc>
              <w:tc>
                <w:tcPr>
                  <w:tcW w:w="2894" w:type="dxa"/>
                </w:tcPr>
                <w:p w14:paraId="119AA366"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25 (Defensoría I, Pág. 157)</w:t>
                  </w:r>
                </w:p>
              </w:tc>
            </w:tr>
            <w:tr w:rsidR="00C454A1" w:rsidRPr="00F8202F" w14:paraId="3A61CCD0" w14:textId="77777777" w:rsidTr="001F3006">
              <w:trPr>
                <w:jc w:val="center"/>
              </w:trPr>
              <w:tc>
                <w:tcPr>
                  <w:tcW w:w="2074" w:type="dxa"/>
                  <w:shd w:val="clear" w:color="auto" w:fill="D9D9D9" w:themeFill="background1" w:themeFillShade="D9"/>
                </w:tcPr>
                <w:p w14:paraId="3823BB2C"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AT 035 de 2023</w:t>
                  </w:r>
                </w:p>
              </w:tc>
              <w:tc>
                <w:tcPr>
                  <w:tcW w:w="3402" w:type="dxa"/>
                </w:tcPr>
                <w:p w14:paraId="4DD04699"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 (Defensoría II, Anexo, Pág. 30)</w:t>
                  </w:r>
                </w:p>
              </w:tc>
              <w:tc>
                <w:tcPr>
                  <w:tcW w:w="2835" w:type="dxa"/>
                </w:tcPr>
                <w:p w14:paraId="4A313D97"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3 (Defensoría II, Anexo, Pág. 32)</w:t>
                  </w:r>
                </w:p>
              </w:tc>
              <w:tc>
                <w:tcPr>
                  <w:tcW w:w="2893" w:type="dxa"/>
                </w:tcPr>
                <w:p w14:paraId="5E1493CF"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15 (Defensoría II, Anexo, Pág. 44)</w:t>
                  </w:r>
                </w:p>
              </w:tc>
              <w:tc>
                <w:tcPr>
                  <w:tcW w:w="2894" w:type="dxa"/>
                </w:tcPr>
                <w:p w14:paraId="567750C0"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22 (Defensoría II, Anexo, Pág. 51)</w:t>
                  </w:r>
                </w:p>
              </w:tc>
            </w:tr>
            <w:tr w:rsidR="00C454A1" w:rsidRPr="00ED03F2" w14:paraId="4D179A3B" w14:textId="77777777" w:rsidTr="001F3006">
              <w:trPr>
                <w:jc w:val="center"/>
              </w:trPr>
              <w:tc>
                <w:tcPr>
                  <w:tcW w:w="2074" w:type="dxa"/>
                  <w:shd w:val="clear" w:color="auto" w:fill="D9D9D9" w:themeFill="background1" w:themeFillShade="D9"/>
                </w:tcPr>
                <w:p w14:paraId="54FB1317"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AT 021 de 2024 (riesgo alto)</w:t>
                  </w:r>
                </w:p>
              </w:tc>
              <w:tc>
                <w:tcPr>
                  <w:tcW w:w="3402" w:type="dxa"/>
                </w:tcPr>
                <w:p w14:paraId="3F1836CB"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2 (no fue aportado, pero se puede consultar en internet)</w:t>
                  </w:r>
                  <w:r w:rsidRPr="00ED03F2">
                    <w:rPr>
                      <w:rStyle w:val="Refdenotaalpie"/>
                      <w:rFonts w:cs="Times New Roman"/>
                      <w:color w:val="000000" w:themeColor="text1"/>
                      <w:sz w:val="22"/>
                      <w:szCs w:val="22"/>
                    </w:rPr>
                    <w:footnoteReference w:id="740"/>
                  </w:r>
                </w:p>
              </w:tc>
              <w:tc>
                <w:tcPr>
                  <w:tcW w:w="2835" w:type="dxa"/>
                </w:tcPr>
                <w:p w14:paraId="1EFAD0A1"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 xml:space="preserve">Pág. 3 </w:t>
                  </w:r>
                </w:p>
              </w:tc>
              <w:tc>
                <w:tcPr>
                  <w:tcW w:w="2893" w:type="dxa"/>
                </w:tcPr>
                <w:p w14:paraId="172283E3"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N/A</w:t>
                  </w:r>
                </w:p>
              </w:tc>
              <w:tc>
                <w:tcPr>
                  <w:tcW w:w="2894" w:type="dxa"/>
                </w:tcPr>
                <w:p w14:paraId="222A5550"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7</w:t>
                  </w:r>
                </w:p>
              </w:tc>
            </w:tr>
            <w:tr w:rsidR="00C454A1" w:rsidRPr="00ED03F2" w14:paraId="54E8CE8C" w14:textId="77777777" w:rsidTr="001F3006">
              <w:trPr>
                <w:jc w:val="center"/>
              </w:trPr>
              <w:tc>
                <w:tcPr>
                  <w:tcW w:w="2074" w:type="dxa"/>
                  <w:shd w:val="clear" w:color="auto" w:fill="D9D9D9" w:themeFill="background1" w:themeFillShade="D9"/>
                </w:tcPr>
                <w:p w14:paraId="1D849DCE"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AT 026 de 2024</w:t>
                  </w:r>
                </w:p>
                <w:p w14:paraId="03A6AF8C"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(panorama crítico)</w:t>
                  </w:r>
                </w:p>
              </w:tc>
              <w:tc>
                <w:tcPr>
                  <w:tcW w:w="3402" w:type="dxa"/>
                </w:tcPr>
                <w:p w14:paraId="2CA93AD1"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3 (Defensoría I, Pág. 8)</w:t>
                  </w:r>
                </w:p>
              </w:tc>
              <w:tc>
                <w:tcPr>
                  <w:tcW w:w="2835" w:type="dxa"/>
                </w:tcPr>
                <w:p w14:paraId="73423D2A"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5 (Defensoría I, Pág. 10)</w:t>
                  </w:r>
                </w:p>
              </w:tc>
              <w:tc>
                <w:tcPr>
                  <w:tcW w:w="2893" w:type="dxa"/>
                </w:tcPr>
                <w:p w14:paraId="4F315AE9"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12 (Defensoría I, Pág. 17)</w:t>
                  </w:r>
                </w:p>
              </w:tc>
              <w:tc>
                <w:tcPr>
                  <w:tcW w:w="2894" w:type="dxa"/>
                </w:tcPr>
                <w:p w14:paraId="337970CA"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15 (Defensoría I, Pág. 20)</w:t>
                  </w:r>
                </w:p>
              </w:tc>
            </w:tr>
            <w:tr w:rsidR="00C454A1" w:rsidRPr="00ED03F2" w14:paraId="3772DE06" w14:textId="77777777" w:rsidTr="001F3006">
              <w:trPr>
                <w:jc w:val="center"/>
              </w:trPr>
              <w:tc>
                <w:tcPr>
                  <w:tcW w:w="2074" w:type="dxa"/>
                  <w:shd w:val="clear" w:color="auto" w:fill="D9D9D9" w:themeFill="background1" w:themeFillShade="D9"/>
                </w:tcPr>
                <w:p w14:paraId="0248B08C"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AT 027 de 2024</w:t>
                  </w:r>
                </w:p>
                <w:p w14:paraId="39A99C9D"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(riesgo alto)</w:t>
                  </w:r>
                </w:p>
              </w:tc>
              <w:tc>
                <w:tcPr>
                  <w:tcW w:w="3402" w:type="dxa"/>
                </w:tcPr>
                <w:p w14:paraId="3AE9FDE4"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 (Defensoría I, Pág. 204)</w:t>
                  </w:r>
                </w:p>
              </w:tc>
              <w:tc>
                <w:tcPr>
                  <w:tcW w:w="2835" w:type="dxa"/>
                </w:tcPr>
                <w:p w14:paraId="3DBDEFEA"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4 (Defensoría I, Pág. 207)</w:t>
                  </w:r>
                  <w:r w:rsidRPr="00ED03F2">
                    <w:rPr>
                      <w:rStyle w:val="Refdenotaalpie"/>
                      <w:rFonts w:cs="Times New Roman"/>
                      <w:color w:val="000000" w:themeColor="text1"/>
                      <w:sz w:val="22"/>
                      <w:szCs w:val="22"/>
                    </w:rPr>
                    <w:footnoteReference w:id="741"/>
                  </w:r>
                </w:p>
              </w:tc>
              <w:tc>
                <w:tcPr>
                  <w:tcW w:w="2893" w:type="dxa"/>
                </w:tcPr>
                <w:p w14:paraId="3AA9C6EA"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15 (Defensoría I, Pág. 218)</w:t>
                  </w:r>
                </w:p>
              </w:tc>
              <w:tc>
                <w:tcPr>
                  <w:tcW w:w="2894" w:type="dxa"/>
                </w:tcPr>
                <w:p w14:paraId="1E40CFDC" w14:textId="77777777" w:rsidR="00C454A1" w:rsidRPr="00ED03F2" w:rsidRDefault="00C454A1" w:rsidP="00881E6A">
                  <w:pPr>
                    <w:ind w:right="272"/>
                    <w:rPr>
                      <w:rFonts w:cs="Times New Roman"/>
                      <w:color w:val="000000" w:themeColor="text1"/>
                      <w:sz w:val="22"/>
                      <w:szCs w:val="22"/>
                    </w:rPr>
                  </w:pPr>
                  <w:r w:rsidRPr="00ED03F2">
                    <w:rPr>
                      <w:rFonts w:cs="Times New Roman"/>
                      <w:color w:val="000000" w:themeColor="text1"/>
                      <w:sz w:val="22"/>
                      <w:szCs w:val="22"/>
                    </w:rPr>
                    <w:t>Pág. 38 (Defensoría I, Pág. 241)</w:t>
                  </w:r>
                </w:p>
              </w:tc>
            </w:tr>
          </w:tbl>
          <w:p w14:paraId="4CBC615F" w14:textId="77777777" w:rsidR="00C454A1" w:rsidRPr="00ED03F2" w:rsidRDefault="00C454A1" w:rsidP="00881E6A">
            <w:pPr>
              <w:ind w:right="272"/>
              <w:jc w:val="center"/>
              <w:rPr>
                <w:rFonts w:eastAsia="Times New Roman" w:cs="Times New Roman"/>
                <w:color w:val="000000" w:themeColor="text1"/>
              </w:rPr>
            </w:pPr>
          </w:p>
        </w:tc>
      </w:tr>
      <w:tr w:rsidR="00C454A1" w:rsidRPr="00F8202F" w14:paraId="57A7B15C" w14:textId="77777777" w:rsidTr="005F4A6F">
        <w:trPr>
          <w:trHeight w:val="300"/>
        </w:trPr>
        <w:tc>
          <w:tcPr>
            <w:tcW w:w="642" w:type="pct"/>
            <w:vAlign w:val="center"/>
          </w:tcPr>
          <w:p w14:paraId="2EBFB294" w14:textId="77777777" w:rsidR="00C454A1" w:rsidRPr="00DA6C7F" w:rsidRDefault="00C454A1" w:rsidP="00881E6A">
            <w:pPr>
              <w:ind w:right="272"/>
              <w:jc w:val="center"/>
              <w:rPr>
                <w:rFonts w:cs="Times New Roman"/>
                <w:b/>
              </w:rPr>
            </w:pPr>
            <w:r w:rsidRPr="00DA6C7F">
              <w:rPr>
                <w:rFonts w:cs="Times New Roman"/>
                <w:b/>
              </w:rPr>
              <w:lastRenderedPageBreak/>
              <w:t>Municipio de González, Cesar</w:t>
            </w:r>
          </w:p>
        </w:tc>
        <w:tc>
          <w:tcPr>
            <w:tcW w:w="4358" w:type="pct"/>
          </w:tcPr>
          <w:p w14:paraId="0B32B534" w14:textId="77777777" w:rsidR="00C454A1" w:rsidRPr="00606E01" w:rsidRDefault="00C454A1" w:rsidP="00881E6A">
            <w:pPr>
              <w:ind w:right="272"/>
              <w:rPr>
                <w:rFonts w:cs="Times New Roman"/>
                <w:color w:val="000000" w:themeColor="text1"/>
              </w:rPr>
            </w:pPr>
            <w:r w:rsidRPr="18A5A279">
              <w:rPr>
                <w:rFonts w:cs="Times New Roman"/>
                <w:color w:val="000000" w:themeColor="text1"/>
              </w:rPr>
              <w:t xml:space="preserve">La </w:t>
            </w:r>
            <w:r w:rsidRPr="18A5A279">
              <w:rPr>
                <w:rFonts w:eastAsia="Times New Roman" w:cs="Times New Roman"/>
                <w:color w:val="000000" w:themeColor="text1"/>
              </w:rPr>
              <w:t>alcaldesa municipal remitió información relacionada con las preguntas planteadas en la Sección II (requisitos materiales), numeral 1º, grupo de preguntas número 1.5 del auto de pruebas del 31 de enero de 2025 (</w:t>
            </w:r>
            <w:r w:rsidRPr="18A5A279">
              <w:rPr>
                <w:rFonts w:eastAsia="Times New Roman" w:cs="Times New Roman"/>
                <w:b/>
                <w:bCs/>
                <w:color w:val="000000" w:themeColor="text1"/>
                <w:u w:val="single"/>
              </w:rPr>
              <w:t>presupuesto fáctico</w:t>
            </w:r>
            <w:r w:rsidRPr="18A5A279">
              <w:rPr>
                <w:rFonts w:eastAsia="Times New Roman" w:cs="Times New Roman"/>
                <w:color w:val="000000" w:themeColor="text1"/>
              </w:rPr>
              <w:t>). Se precisa que, pese a que la entidad territorial también fue consultada sobre el presupuesto de suficiencia (numeral 3º, grupo de preguntas 3.7), lo cierto es que no emitió ninguna respuesta sobre dicha temática.</w:t>
            </w:r>
          </w:p>
          <w:p w14:paraId="335E52C6" w14:textId="77777777" w:rsidR="00C454A1" w:rsidRPr="00606E01" w:rsidRDefault="00C454A1" w:rsidP="00881E6A">
            <w:pPr>
              <w:ind w:right="272"/>
              <w:rPr>
                <w:rFonts w:eastAsia="Times New Roman" w:cs="Times New Roman"/>
                <w:color w:val="000000" w:themeColor="text1"/>
              </w:rPr>
            </w:pPr>
          </w:p>
          <w:p w14:paraId="449A4953" w14:textId="77777777" w:rsidR="00C454A1" w:rsidRPr="00606E01" w:rsidRDefault="00C454A1" w:rsidP="00881E6A">
            <w:pPr>
              <w:ind w:right="272"/>
              <w:rPr>
                <w:rFonts w:cs="Times New Roman"/>
                <w:color w:val="000000" w:themeColor="text1"/>
              </w:rPr>
            </w:pPr>
            <w:r w:rsidRPr="18A5A279">
              <w:rPr>
                <w:rFonts w:eastAsia="Times New Roman" w:cs="Times New Roman"/>
                <w:i/>
                <w:iCs/>
                <w:color w:val="000000" w:themeColor="text1"/>
              </w:rPr>
              <w:t>Conductas penales que han ocurrido en la jurisdicción municipal.</w:t>
            </w:r>
            <w:r w:rsidRPr="18A5A279">
              <w:rPr>
                <w:rFonts w:eastAsia="Times New Roman" w:cs="Times New Roman"/>
                <w:color w:val="000000" w:themeColor="text1"/>
              </w:rPr>
              <w:t xml:space="preserve"> La alcaldesa informó sobre las siguientes temáticas, frente a cada una de las cuales aportó cifras y la información que consideró relevante, a saber </w:t>
            </w:r>
            <w:r w:rsidRPr="18A5A279">
              <w:rPr>
                <w:rFonts w:eastAsia="Times New Roman" w:cs="Times New Roman"/>
                <w:i/>
                <w:iCs/>
                <w:color w:val="000000" w:themeColor="text1"/>
              </w:rPr>
              <w:t xml:space="preserve">(i) </w:t>
            </w:r>
            <w:r w:rsidRPr="18A5A279">
              <w:rPr>
                <w:rFonts w:eastAsia="Times New Roman" w:cs="Times New Roman"/>
                <w:color w:val="000000" w:themeColor="text1"/>
              </w:rPr>
              <w:t xml:space="preserve">el desplazamiento forzado de la población civil, en relación con el cual se distinguió entre (a) el que se originó con destino a otros municipios, (b) el que se presentó de las veredas y corregimientos hacia el casco urbano del mismo municipio y (c) algunos eventos de retorno de la población víctima de desplazamiento; </w:t>
            </w:r>
            <w:r w:rsidRPr="18A5A279">
              <w:rPr>
                <w:rFonts w:eastAsia="Times New Roman" w:cs="Times New Roman"/>
                <w:i/>
                <w:iCs/>
                <w:color w:val="000000" w:themeColor="text1"/>
              </w:rPr>
              <w:t xml:space="preserve">(ii) </w:t>
            </w:r>
            <w:r w:rsidRPr="18A5A279">
              <w:rPr>
                <w:rFonts w:eastAsia="Times New Roman" w:cs="Times New Roman"/>
                <w:color w:val="000000" w:themeColor="text1"/>
              </w:rPr>
              <w:t xml:space="preserve">ataques contra firmantes del AFP y líderes sociales; </w:t>
            </w:r>
            <w:r w:rsidRPr="18A5A279">
              <w:rPr>
                <w:rFonts w:eastAsia="Times New Roman" w:cs="Times New Roman"/>
                <w:i/>
                <w:iCs/>
                <w:color w:val="000000" w:themeColor="text1"/>
              </w:rPr>
              <w:t xml:space="preserve">(iii) </w:t>
            </w:r>
            <w:r w:rsidRPr="18A5A279">
              <w:rPr>
                <w:rFonts w:eastAsia="Times New Roman" w:cs="Times New Roman"/>
                <w:color w:val="000000" w:themeColor="text1"/>
              </w:rPr>
              <w:t xml:space="preserve">extorsiones, secuestros, amenazas y ataques contra la población civil; y </w:t>
            </w:r>
            <w:r w:rsidRPr="18A5A279">
              <w:rPr>
                <w:rFonts w:eastAsia="Times New Roman" w:cs="Times New Roman"/>
                <w:i/>
                <w:iCs/>
                <w:color w:val="000000" w:themeColor="text1"/>
              </w:rPr>
              <w:t xml:space="preserve">(iv) </w:t>
            </w:r>
            <w:r w:rsidRPr="18A5A279">
              <w:rPr>
                <w:rFonts w:eastAsia="Times New Roman" w:cs="Times New Roman"/>
                <w:color w:val="000000" w:themeColor="text1"/>
              </w:rPr>
              <w:t xml:space="preserve">desaparición forzada, homicidios y lesiones personales. </w:t>
            </w:r>
          </w:p>
          <w:p w14:paraId="6DFBD55C" w14:textId="77777777" w:rsidR="00C454A1" w:rsidRPr="00606E01" w:rsidRDefault="00C454A1" w:rsidP="00881E6A">
            <w:pPr>
              <w:ind w:right="272"/>
              <w:rPr>
                <w:rFonts w:cs="Times New Roman"/>
                <w:color w:val="000000" w:themeColor="text1"/>
              </w:rPr>
            </w:pPr>
            <w:r w:rsidRPr="18A5A279">
              <w:rPr>
                <w:rFonts w:eastAsia="Times New Roman" w:cs="Times New Roman"/>
                <w:color w:val="000000" w:themeColor="text1"/>
              </w:rPr>
              <w:t xml:space="preserve"> </w:t>
            </w:r>
          </w:p>
          <w:p w14:paraId="71350CF3" w14:textId="77777777" w:rsidR="00C454A1" w:rsidRPr="00606E01" w:rsidRDefault="00C454A1" w:rsidP="00881E6A">
            <w:pPr>
              <w:ind w:right="272"/>
              <w:rPr>
                <w:rFonts w:cs="Times New Roman"/>
                <w:color w:val="000000" w:themeColor="text1"/>
              </w:rPr>
            </w:pPr>
            <w:r w:rsidRPr="18A5A279">
              <w:rPr>
                <w:rFonts w:eastAsia="Times New Roman" w:cs="Times New Roman"/>
                <w:color w:val="000000" w:themeColor="text1"/>
              </w:rPr>
              <w:t>La información aportada se puede observar en los siguientes cuadros y referencias:</w:t>
            </w:r>
          </w:p>
          <w:p w14:paraId="1B3EC116" w14:textId="77777777" w:rsidR="00C454A1" w:rsidRPr="00606E01" w:rsidRDefault="00C454A1" w:rsidP="00881E6A">
            <w:pPr>
              <w:ind w:right="272"/>
              <w:rPr>
                <w:rFonts w:cs="Times New Roman"/>
                <w:color w:val="000000" w:themeColor="text1"/>
              </w:rPr>
            </w:pPr>
            <w:r w:rsidRPr="18A5A279">
              <w:rPr>
                <w:rFonts w:eastAsia="Times New Roman" w:cs="Times New Roman"/>
                <w:color w:val="000000" w:themeColor="text1"/>
              </w:rPr>
              <w:t xml:space="preserve"> </w:t>
            </w:r>
          </w:p>
          <w:p w14:paraId="518237BE" w14:textId="77777777" w:rsidR="00C454A1" w:rsidRPr="00606E01" w:rsidRDefault="00C454A1" w:rsidP="005F4A6F">
            <w:pPr>
              <w:pStyle w:val="Prrafodelista"/>
              <w:numPr>
                <w:ilvl w:val="0"/>
                <w:numId w:val="36"/>
              </w:numPr>
              <w:spacing w:line="276" w:lineRule="auto"/>
              <w:ind w:left="1080" w:right="272" w:hanging="720"/>
              <w:rPr>
                <w:rFonts w:eastAsia="Times New Roman" w:cs="Times New Roman"/>
                <w:color w:val="000000" w:themeColor="text1"/>
              </w:rPr>
            </w:pPr>
            <w:r w:rsidRPr="18A5A279">
              <w:rPr>
                <w:rFonts w:eastAsia="Times New Roman" w:cs="Times New Roman"/>
                <w:color w:val="000000" w:themeColor="text1"/>
              </w:rPr>
              <w:t>Respecto del secuestro, en total son 33 familias desplazadas</w:t>
            </w:r>
            <w:r w:rsidRPr="18A5A279">
              <w:rPr>
                <w:rStyle w:val="Refdenotaalpie"/>
                <w:rFonts w:eastAsia="Times New Roman" w:cs="Times New Roman"/>
                <w:color w:val="000000" w:themeColor="text1"/>
              </w:rPr>
              <w:footnoteReference w:id="742"/>
            </w:r>
            <w:r w:rsidRPr="18A5A279">
              <w:rPr>
                <w:rFonts w:cs="Times New Roman"/>
                <w:color w:val="000000" w:themeColor="text1"/>
              </w:rPr>
              <w:t xml:space="preserve"> </w:t>
            </w:r>
            <w:r w:rsidRPr="18A5A279">
              <w:rPr>
                <w:rFonts w:eastAsia="Times New Roman" w:cs="Times New Roman"/>
                <w:color w:val="000000" w:themeColor="text1"/>
              </w:rPr>
              <w:t>con una total de 82 personas:</w:t>
            </w:r>
          </w:p>
          <w:p w14:paraId="0BA14A32" w14:textId="77777777" w:rsidR="00C454A1" w:rsidRDefault="00C454A1" w:rsidP="00881E6A">
            <w:pPr>
              <w:ind w:right="272"/>
              <w:rPr>
                <w:rFonts w:cs="Times New Roman"/>
                <w:color w:val="000000" w:themeColor="text1"/>
              </w:rPr>
            </w:pPr>
          </w:p>
          <w:p w14:paraId="45A80F4B" w14:textId="77777777" w:rsidR="00C454A1" w:rsidRPr="00872057" w:rsidRDefault="00C454A1" w:rsidP="00881E6A">
            <w:pPr>
              <w:ind w:right="272"/>
              <w:jc w:val="center"/>
              <w:rPr>
                <w:rFonts w:cs="Times New Roman"/>
                <w:i/>
                <w:iCs/>
                <w:color w:val="000000" w:themeColor="text1"/>
                <w:sz w:val="20"/>
                <w:szCs w:val="20"/>
              </w:rPr>
            </w:pPr>
            <w:r w:rsidRPr="00872057">
              <w:rPr>
                <w:rFonts w:cs="Times New Roman"/>
                <w:i/>
                <w:iCs/>
                <w:color w:val="000000" w:themeColor="text1"/>
                <w:sz w:val="20"/>
                <w:szCs w:val="20"/>
              </w:rPr>
              <w:t>Tabla 25: información sobre desplazamientos forzados reportada por la Alcaldía del municipio de González</w:t>
            </w:r>
          </w:p>
          <w:tbl>
            <w:tblPr>
              <w:tblStyle w:val="Tablaconcuadrcula"/>
              <w:tblW w:w="11479" w:type="dxa"/>
              <w:jc w:val="center"/>
              <w:tblLook w:val="04A0" w:firstRow="1" w:lastRow="0" w:firstColumn="1" w:lastColumn="0" w:noHBand="0" w:noVBand="1"/>
            </w:tblPr>
            <w:tblGrid>
              <w:gridCol w:w="3116"/>
              <w:gridCol w:w="4111"/>
              <w:gridCol w:w="4252"/>
            </w:tblGrid>
            <w:tr w:rsidR="00C454A1" w:rsidRPr="00F8202F" w14:paraId="44828856" w14:textId="77777777" w:rsidTr="001F3006">
              <w:trPr>
                <w:jc w:val="center"/>
              </w:trPr>
              <w:tc>
                <w:tcPr>
                  <w:tcW w:w="3116" w:type="dxa"/>
                </w:tcPr>
                <w:p w14:paraId="5B5F93C0"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Desplazamiento por edad</w:t>
                  </w:r>
                </w:p>
              </w:tc>
              <w:tc>
                <w:tcPr>
                  <w:tcW w:w="4111" w:type="dxa"/>
                </w:tcPr>
                <w:p w14:paraId="7CB40EFA"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Desplazamiento por lugar de destino</w:t>
                  </w:r>
                </w:p>
              </w:tc>
              <w:tc>
                <w:tcPr>
                  <w:tcW w:w="4252" w:type="dxa"/>
                </w:tcPr>
                <w:p w14:paraId="22AF920C"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Desplazamiento por lugar de origen</w:t>
                  </w:r>
                </w:p>
              </w:tc>
            </w:tr>
            <w:tr w:rsidR="00C454A1" w:rsidRPr="00F8202F" w14:paraId="458B1D07" w14:textId="77777777" w:rsidTr="001F3006">
              <w:trPr>
                <w:jc w:val="center"/>
              </w:trPr>
              <w:tc>
                <w:tcPr>
                  <w:tcW w:w="3116" w:type="dxa"/>
                </w:tcPr>
                <w:p w14:paraId="5EB52B00"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9 personas (entre 0 y 5 años): 6 niñas y 3 niños</w:t>
                  </w:r>
                </w:p>
              </w:tc>
              <w:tc>
                <w:tcPr>
                  <w:tcW w:w="4111" w:type="dxa"/>
                </w:tcPr>
                <w:p w14:paraId="673F7E15"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Municipio de Teorama: 48 personas</w:t>
                  </w:r>
                </w:p>
              </w:tc>
              <w:tc>
                <w:tcPr>
                  <w:tcW w:w="4252" w:type="dxa"/>
                </w:tcPr>
                <w:p w14:paraId="09D4D8BA"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Caso urbano del municipio: 25 personas</w:t>
                  </w:r>
                </w:p>
              </w:tc>
            </w:tr>
            <w:tr w:rsidR="00C454A1" w:rsidRPr="00606E01" w14:paraId="1694100E" w14:textId="77777777" w:rsidTr="001F3006">
              <w:trPr>
                <w:jc w:val="center"/>
              </w:trPr>
              <w:tc>
                <w:tcPr>
                  <w:tcW w:w="3116" w:type="dxa"/>
                </w:tcPr>
                <w:p w14:paraId="04E57DFF"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8 personas (entre 6 y 11 años): 3 niñas y 5 niños</w:t>
                  </w:r>
                </w:p>
              </w:tc>
              <w:tc>
                <w:tcPr>
                  <w:tcW w:w="4111" w:type="dxa"/>
                </w:tcPr>
                <w:p w14:paraId="731F5B0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Municipio de Convención: 13 personas</w:t>
                  </w:r>
                </w:p>
              </w:tc>
              <w:tc>
                <w:tcPr>
                  <w:tcW w:w="4252" w:type="dxa"/>
                </w:tcPr>
                <w:p w14:paraId="14F50380"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Vereda Bujuriama: 26 personas</w:t>
                  </w:r>
                </w:p>
              </w:tc>
            </w:tr>
            <w:tr w:rsidR="00C454A1" w:rsidRPr="00606E01" w14:paraId="1E124674" w14:textId="77777777" w:rsidTr="001F3006">
              <w:trPr>
                <w:jc w:val="center"/>
              </w:trPr>
              <w:tc>
                <w:tcPr>
                  <w:tcW w:w="3116" w:type="dxa"/>
                </w:tcPr>
                <w:p w14:paraId="4938B8A9"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11 personas (entre 12 y 17 años): 7 niñas y 4 niños</w:t>
                  </w:r>
                </w:p>
              </w:tc>
              <w:tc>
                <w:tcPr>
                  <w:tcW w:w="4111" w:type="dxa"/>
                </w:tcPr>
                <w:p w14:paraId="2011017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Municipio de Tibú: 12 personas</w:t>
                  </w:r>
                </w:p>
              </w:tc>
              <w:tc>
                <w:tcPr>
                  <w:tcW w:w="4252" w:type="dxa"/>
                </w:tcPr>
                <w:p w14:paraId="4772E6EF"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Corregimiento San Isidro: 8 personas</w:t>
                  </w:r>
                </w:p>
              </w:tc>
            </w:tr>
            <w:tr w:rsidR="00C454A1" w:rsidRPr="00606E01" w14:paraId="1FDBC362" w14:textId="77777777" w:rsidTr="001F3006">
              <w:trPr>
                <w:jc w:val="center"/>
              </w:trPr>
              <w:tc>
                <w:tcPr>
                  <w:tcW w:w="3116" w:type="dxa"/>
                </w:tcPr>
                <w:p w14:paraId="3E258BA2"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17 personas (entre 18 y 28 años): 5 mujeres y 12 hombres</w:t>
                  </w:r>
                </w:p>
              </w:tc>
              <w:tc>
                <w:tcPr>
                  <w:tcW w:w="4111" w:type="dxa"/>
                  <w:vMerge w:val="restart"/>
                </w:tcPr>
                <w:p w14:paraId="416AA83C"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Municipio de El Carmen: 9 personas</w:t>
                  </w:r>
                </w:p>
              </w:tc>
              <w:tc>
                <w:tcPr>
                  <w:tcW w:w="4252" w:type="dxa"/>
                </w:tcPr>
                <w:p w14:paraId="33C4CC3B"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Corregimiento Vijagual: 5 personas</w:t>
                  </w:r>
                </w:p>
              </w:tc>
            </w:tr>
            <w:tr w:rsidR="00C454A1" w:rsidRPr="00606E01" w14:paraId="032F0225" w14:textId="77777777" w:rsidTr="001F3006">
              <w:trPr>
                <w:jc w:val="center"/>
              </w:trPr>
              <w:tc>
                <w:tcPr>
                  <w:tcW w:w="3116" w:type="dxa"/>
                </w:tcPr>
                <w:p w14:paraId="4CE3592C"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35 personas (entre 29 y 60 años): 15 mujeres y 20 hombres</w:t>
                  </w:r>
                </w:p>
              </w:tc>
              <w:tc>
                <w:tcPr>
                  <w:tcW w:w="4111" w:type="dxa"/>
                  <w:vMerge/>
                </w:tcPr>
                <w:p w14:paraId="48E0CD44" w14:textId="77777777" w:rsidR="00C454A1" w:rsidRPr="00606E01" w:rsidRDefault="00C454A1" w:rsidP="00881E6A">
                  <w:pPr>
                    <w:pStyle w:val="Prrafodelista"/>
                    <w:ind w:left="0" w:right="272"/>
                    <w:rPr>
                      <w:rFonts w:cs="Times New Roman"/>
                      <w:sz w:val="22"/>
                      <w:szCs w:val="22"/>
                      <w:lang w:val="es-ES_tradnl"/>
                    </w:rPr>
                  </w:pPr>
                </w:p>
              </w:tc>
              <w:tc>
                <w:tcPr>
                  <w:tcW w:w="4252" w:type="dxa"/>
                </w:tcPr>
                <w:p w14:paraId="732F933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Vereda Tequendama: 3 personas</w:t>
                  </w:r>
                </w:p>
              </w:tc>
            </w:tr>
            <w:tr w:rsidR="00C454A1" w:rsidRPr="00606E01" w14:paraId="3AA838A2" w14:textId="77777777" w:rsidTr="001F3006">
              <w:trPr>
                <w:jc w:val="center"/>
              </w:trPr>
              <w:tc>
                <w:tcPr>
                  <w:tcW w:w="3116" w:type="dxa"/>
                  <w:vMerge w:val="restart"/>
                </w:tcPr>
                <w:p w14:paraId="3D71E73C"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 personas (mayores de 60 años): 1 mujer y 1 hombre</w:t>
                  </w:r>
                </w:p>
              </w:tc>
              <w:tc>
                <w:tcPr>
                  <w:tcW w:w="4111" w:type="dxa"/>
                  <w:vMerge/>
                </w:tcPr>
                <w:p w14:paraId="55C0BF91" w14:textId="77777777" w:rsidR="00C454A1" w:rsidRPr="00606E01" w:rsidRDefault="00C454A1" w:rsidP="00881E6A">
                  <w:pPr>
                    <w:pStyle w:val="Prrafodelista"/>
                    <w:ind w:left="0" w:right="272"/>
                    <w:rPr>
                      <w:rFonts w:cs="Times New Roman"/>
                      <w:sz w:val="22"/>
                      <w:szCs w:val="22"/>
                      <w:lang w:val="es-ES_tradnl"/>
                    </w:rPr>
                  </w:pPr>
                </w:p>
              </w:tc>
              <w:tc>
                <w:tcPr>
                  <w:tcW w:w="4252" w:type="dxa"/>
                </w:tcPr>
                <w:p w14:paraId="5E81F53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Vereda Cerro Azul: 1 persona</w:t>
                  </w:r>
                </w:p>
              </w:tc>
            </w:tr>
            <w:tr w:rsidR="00C454A1" w:rsidRPr="00606E01" w14:paraId="48C8F01C" w14:textId="77777777" w:rsidTr="001F3006">
              <w:trPr>
                <w:jc w:val="center"/>
              </w:trPr>
              <w:tc>
                <w:tcPr>
                  <w:tcW w:w="3116" w:type="dxa"/>
                  <w:vMerge/>
                </w:tcPr>
                <w:p w14:paraId="629184E7" w14:textId="77777777" w:rsidR="00C454A1" w:rsidRPr="00606E01" w:rsidRDefault="00C454A1" w:rsidP="00881E6A">
                  <w:pPr>
                    <w:pStyle w:val="Prrafodelista"/>
                    <w:ind w:left="0" w:right="272"/>
                    <w:rPr>
                      <w:rFonts w:cs="Times New Roman"/>
                      <w:sz w:val="22"/>
                      <w:szCs w:val="22"/>
                      <w:lang w:val="es-ES_tradnl"/>
                    </w:rPr>
                  </w:pPr>
                </w:p>
              </w:tc>
              <w:tc>
                <w:tcPr>
                  <w:tcW w:w="4111" w:type="dxa"/>
                  <w:vMerge/>
                </w:tcPr>
                <w:p w14:paraId="03A47AE6" w14:textId="77777777" w:rsidR="00C454A1" w:rsidRPr="00606E01" w:rsidRDefault="00C454A1" w:rsidP="00881E6A">
                  <w:pPr>
                    <w:pStyle w:val="Prrafodelista"/>
                    <w:ind w:left="0" w:right="272"/>
                    <w:rPr>
                      <w:rFonts w:cs="Times New Roman"/>
                      <w:sz w:val="22"/>
                      <w:szCs w:val="22"/>
                      <w:lang w:val="es-ES_tradnl"/>
                    </w:rPr>
                  </w:pPr>
                </w:p>
              </w:tc>
              <w:tc>
                <w:tcPr>
                  <w:tcW w:w="4252" w:type="dxa"/>
                </w:tcPr>
                <w:p w14:paraId="580B6906"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Corregimiento Montera: 1 persona</w:t>
                  </w:r>
                </w:p>
              </w:tc>
            </w:tr>
            <w:tr w:rsidR="00C454A1" w:rsidRPr="00606E01" w14:paraId="5098CD64" w14:textId="77777777" w:rsidTr="001F3006">
              <w:trPr>
                <w:jc w:val="center"/>
              </w:trPr>
              <w:tc>
                <w:tcPr>
                  <w:tcW w:w="3116" w:type="dxa"/>
                  <w:vMerge/>
                </w:tcPr>
                <w:p w14:paraId="5FB02F59" w14:textId="77777777" w:rsidR="00C454A1" w:rsidRPr="00606E01" w:rsidRDefault="00C454A1" w:rsidP="00881E6A">
                  <w:pPr>
                    <w:pStyle w:val="Prrafodelista"/>
                    <w:ind w:left="0" w:right="272"/>
                    <w:rPr>
                      <w:rFonts w:cs="Times New Roman"/>
                      <w:sz w:val="22"/>
                      <w:szCs w:val="22"/>
                      <w:lang w:val="es-ES_tradnl"/>
                    </w:rPr>
                  </w:pPr>
                </w:p>
              </w:tc>
              <w:tc>
                <w:tcPr>
                  <w:tcW w:w="4111" w:type="dxa"/>
                  <w:vMerge/>
                </w:tcPr>
                <w:p w14:paraId="0515469F" w14:textId="77777777" w:rsidR="00C454A1" w:rsidRPr="00606E01" w:rsidRDefault="00C454A1" w:rsidP="00881E6A">
                  <w:pPr>
                    <w:pStyle w:val="Prrafodelista"/>
                    <w:ind w:left="0" w:right="272"/>
                    <w:rPr>
                      <w:rFonts w:cs="Times New Roman"/>
                      <w:sz w:val="22"/>
                      <w:szCs w:val="22"/>
                      <w:lang w:val="es-ES_tradnl"/>
                    </w:rPr>
                  </w:pPr>
                </w:p>
              </w:tc>
              <w:tc>
                <w:tcPr>
                  <w:tcW w:w="4252" w:type="dxa"/>
                </w:tcPr>
                <w:p w14:paraId="1C42FAB6"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Corregimiento El Potrero: 1 persona</w:t>
                  </w:r>
                </w:p>
              </w:tc>
            </w:tr>
            <w:tr w:rsidR="00C454A1" w:rsidRPr="00F8202F" w14:paraId="0510DEA7" w14:textId="77777777" w:rsidTr="001F3006">
              <w:trPr>
                <w:jc w:val="center"/>
              </w:trPr>
              <w:tc>
                <w:tcPr>
                  <w:tcW w:w="3116" w:type="dxa"/>
                  <w:vMerge/>
                </w:tcPr>
                <w:p w14:paraId="110C54CA" w14:textId="77777777" w:rsidR="00C454A1" w:rsidRPr="00606E01" w:rsidRDefault="00C454A1" w:rsidP="00881E6A">
                  <w:pPr>
                    <w:pStyle w:val="Prrafodelista"/>
                    <w:ind w:left="0" w:right="272"/>
                    <w:rPr>
                      <w:rFonts w:cs="Times New Roman"/>
                      <w:sz w:val="22"/>
                      <w:szCs w:val="22"/>
                      <w:lang w:val="es-ES_tradnl"/>
                    </w:rPr>
                  </w:pPr>
                </w:p>
              </w:tc>
              <w:tc>
                <w:tcPr>
                  <w:tcW w:w="4111" w:type="dxa"/>
                  <w:vMerge/>
                </w:tcPr>
                <w:p w14:paraId="211D8C99" w14:textId="77777777" w:rsidR="00C454A1" w:rsidRPr="00606E01" w:rsidRDefault="00C454A1" w:rsidP="00881E6A">
                  <w:pPr>
                    <w:pStyle w:val="Prrafodelista"/>
                    <w:ind w:left="0" w:right="272"/>
                    <w:rPr>
                      <w:rFonts w:cs="Times New Roman"/>
                      <w:sz w:val="22"/>
                      <w:szCs w:val="22"/>
                      <w:lang w:val="es-ES_tradnl"/>
                    </w:rPr>
                  </w:pPr>
                </w:p>
              </w:tc>
              <w:tc>
                <w:tcPr>
                  <w:tcW w:w="4252" w:type="dxa"/>
                </w:tcPr>
                <w:p w14:paraId="05A77A70"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Corregimiento Mata de Fique: 6 personas</w:t>
                  </w:r>
                </w:p>
              </w:tc>
            </w:tr>
            <w:tr w:rsidR="00C454A1" w:rsidRPr="00F8202F" w14:paraId="027B7A0A" w14:textId="77777777" w:rsidTr="001F3006">
              <w:trPr>
                <w:jc w:val="center"/>
              </w:trPr>
              <w:tc>
                <w:tcPr>
                  <w:tcW w:w="3116" w:type="dxa"/>
                  <w:vMerge/>
                </w:tcPr>
                <w:p w14:paraId="733A567A" w14:textId="77777777" w:rsidR="00C454A1" w:rsidRPr="00606E01" w:rsidRDefault="00C454A1" w:rsidP="00881E6A">
                  <w:pPr>
                    <w:pStyle w:val="Prrafodelista"/>
                    <w:ind w:left="0" w:right="272"/>
                    <w:rPr>
                      <w:rFonts w:cs="Times New Roman"/>
                      <w:sz w:val="22"/>
                      <w:szCs w:val="22"/>
                      <w:lang w:val="es-ES_tradnl"/>
                    </w:rPr>
                  </w:pPr>
                </w:p>
              </w:tc>
              <w:tc>
                <w:tcPr>
                  <w:tcW w:w="4111" w:type="dxa"/>
                  <w:vMerge/>
                </w:tcPr>
                <w:p w14:paraId="20146DCC" w14:textId="77777777" w:rsidR="00C454A1" w:rsidRPr="00606E01" w:rsidRDefault="00C454A1" w:rsidP="00881E6A">
                  <w:pPr>
                    <w:pStyle w:val="Prrafodelista"/>
                    <w:ind w:left="0" w:right="272"/>
                    <w:rPr>
                      <w:rFonts w:cs="Times New Roman"/>
                      <w:sz w:val="22"/>
                      <w:szCs w:val="22"/>
                      <w:lang w:val="es-ES_tradnl"/>
                    </w:rPr>
                  </w:pPr>
                </w:p>
              </w:tc>
              <w:tc>
                <w:tcPr>
                  <w:tcW w:w="4252" w:type="dxa"/>
                </w:tcPr>
                <w:p w14:paraId="4AC4FF1B"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Vereda El Oso: 4 personas</w:t>
                  </w:r>
                </w:p>
              </w:tc>
            </w:tr>
            <w:tr w:rsidR="00C454A1" w:rsidRPr="00F8202F" w14:paraId="49D81390" w14:textId="77777777" w:rsidTr="001F3006">
              <w:trPr>
                <w:jc w:val="center"/>
              </w:trPr>
              <w:tc>
                <w:tcPr>
                  <w:tcW w:w="3116" w:type="dxa"/>
                  <w:vMerge/>
                </w:tcPr>
                <w:p w14:paraId="56059332" w14:textId="77777777" w:rsidR="00C454A1" w:rsidRPr="00606E01" w:rsidRDefault="00C454A1" w:rsidP="00881E6A">
                  <w:pPr>
                    <w:pStyle w:val="Prrafodelista"/>
                    <w:ind w:left="0" w:right="272"/>
                    <w:rPr>
                      <w:rFonts w:cs="Times New Roman"/>
                      <w:sz w:val="22"/>
                      <w:szCs w:val="22"/>
                      <w:lang w:val="es-ES_tradnl"/>
                    </w:rPr>
                  </w:pPr>
                </w:p>
              </w:tc>
              <w:tc>
                <w:tcPr>
                  <w:tcW w:w="4111" w:type="dxa"/>
                  <w:vMerge/>
                </w:tcPr>
                <w:p w14:paraId="2EECBC89" w14:textId="77777777" w:rsidR="00C454A1" w:rsidRPr="00606E01" w:rsidRDefault="00C454A1" w:rsidP="00881E6A">
                  <w:pPr>
                    <w:pStyle w:val="Prrafodelista"/>
                    <w:ind w:left="0" w:right="272"/>
                    <w:rPr>
                      <w:rFonts w:cs="Times New Roman"/>
                      <w:sz w:val="22"/>
                      <w:szCs w:val="22"/>
                      <w:lang w:val="es-ES_tradnl"/>
                    </w:rPr>
                  </w:pPr>
                </w:p>
              </w:tc>
              <w:tc>
                <w:tcPr>
                  <w:tcW w:w="4252" w:type="dxa"/>
                </w:tcPr>
                <w:p w14:paraId="4B09964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Vereda Cotorrera: 2 personas</w:t>
                  </w:r>
                </w:p>
              </w:tc>
            </w:tr>
          </w:tbl>
          <w:p w14:paraId="0173645E" w14:textId="77777777" w:rsidR="00C454A1" w:rsidRDefault="00C454A1" w:rsidP="00881E6A">
            <w:pPr>
              <w:ind w:right="272"/>
              <w:rPr>
                <w:rFonts w:cs="Times New Roman"/>
                <w:color w:val="000000" w:themeColor="text1"/>
              </w:rPr>
            </w:pPr>
          </w:p>
          <w:p w14:paraId="42DE1096" w14:textId="77777777" w:rsidR="00C454A1" w:rsidRPr="00AE2E75" w:rsidRDefault="00C454A1" w:rsidP="00881E6A">
            <w:pPr>
              <w:ind w:right="272"/>
              <w:rPr>
                <w:rFonts w:cs="Times New Roman"/>
                <w:color w:val="000000" w:themeColor="text1"/>
                <w:lang w:val="es-ES"/>
              </w:rPr>
            </w:pPr>
            <w:r w:rsidRPr="00AE2E75">
              <w:rPr>
                <w:rFonts w:cs="Times New Roman"/>
                <w:color w:val="000000" w:themeColor="text1"/>
                <w:lang w:val="es-ES"/>
              </w:rPr>
              <w:t>Sin perjuicio de lo anterior, el ente territorial informó que entre el 25 y el 30 de enero de 2025, doce familias, compuestas por un total de 34 personas, decidieron regresar a sus respectivos lugares de origen.</w:t>
            </w:r>
          </w:p>
          <w:p w14:paraId="5C2F2B4D" w14:textId="77777777" w:rsidR="00C454A1" w:rsidRPr="00606E01" w:rsidRDefault="00C454A1" w:rsidP="00881E6A">
            <w:pPr>
              <w:pStyle w:val="Prrafodelista"/>
              <w:ind w:left="1080" w:right="272"/>
              <w:rPr>
                <w:rFonts w:cs="Times New Roman"/>
                <w:color w:val="000000" w:themeColor="text1"/>
                <w:lang w:val="es-ES"/>
              </w:rPr>
            </w:pPr>
          </w:p>
          <w:p w14:paraId="189D01FD" w14:textId="77777777" w:rsidR="00C454A1" w:rsidRPr="00606E01" w:rsidRDefault="00C454A1" w:rsidP="005F4A6F">
            <w:pPr>
              <w:pStyle w:val="Prrafodelista"/>
              <w:numPr>
                <w:ilvl w:val="0"/>
                <w:numId w:val="72"/>
              </w:numPr>
              <w:spacing w:after="160" w:line="278" w:lineRule="auto"/>
              <w:ind w:left="357" w:right="272" w:firstLine="19"/>
              <w:rPr>
                <w:rFonts w:cs="Times New Roman"/>
                <w:color w:val="000000" w:themeColor="text1"/>
                <w:lang w:val="es-ES"/>
              </w:rPr>
            </w:pPr>
            <w:r w:rsidRPr="18A5A279">
              <w:rPr>
                <w:rFonts w:cs="Times New Roman"/>
                <w:color w:val="000000" w:themeColor="text1"/>
                <w:lang w:val="es-ES"/>
              </w:rPr>
              <w:t>Respecto de los ataques contra firmantes de paz y líderes sociales, la entidad informó que, en febrero del año 2024, se registró un ataque contra un líder social y exfuncionario público, quien, junto a su equipo de seguridad, fue secuestrado por un grupo de hombres armados, mientras estos y aquel se movilizaban en la región. Esta persona, sin embargo, fue liberada dentro de las veinticuatro horas siguientes al secuestro.</w:t>
            </w:r>
          </w:p>
          <w:p w14:paraId="5A6218A8" w14:textId="77777777" w:rsidR="00C454A1" w:rsidRPr="00606E01" w:rsidRDefault="00C454A1" w:rsidP="00881E6A">
            <w:pPr>
              <w:pStyle w:val="Prrafodelista"/>
              <w:spacing w:after="160" w:line="278" w:lineRule="auto"/>
              <w:ind w:left="1080" w:right="272"/>
              <w:rPr>
                <w:rFonts w:cs="Times New Roman"/>
                <w:color w:val="000000" w:themeColor="text1"/>
                <w:lang w:val="es-ES"/>
              </w:rPr>
            </w:pPr>
          </w:p>
          <w:p w14:paraId="0058C565" w14:textId="77777777" w:rsidR="00C454A1" w:rsidRPr="00606E01" w:rsidRDefault="00C454A1" w:rsidP="005F4A6F">
            <w:pPr>
              <w:pStyle w:val="Prrafodelista"/>
              <w:numPr>
                <w:ilvl w:val="0"/>
                <w:numId w:val="72"/>
              </w:numPr>
              <w:ind w:left="357" w:right="272" w:firstLine="30"/>
              <w:rPr>
                <w:rFonts w:cs="Times New Roman"/>
                <w:color w:val="000000" w:themeColor="text1"/>
                <w:lang w:val="es-ES"/>
              </w:rPr>
            </w:pPr>
            <w:r w:rsidRPr="18A5A279">
              <w:rPr>
                <w:rFonts w:cs="Times New Roman"/>
                <w:color w:val="000000" w:themeColor="text1"/>
                <w:lang w:val="es-ES"/>
              </w:rPr>
              <w:t>Frente a la extorsión, secuestros y amenazas</w:t>
            </w:r>
            <w:r w:rsidRPr="18A5A279">
              <w:rPr>
                <w:rStyle w:val="Refdenotaalpie"/>
                <w:rFonts w:cs="Times New Roman"/>
                <w:color w:val="000000" w:themeColor="text1"/>
                <w:lang w:val="es-ES"/>
              </w:rPr>
              <w:footnoteReference w:id="743"/>
            </w:r>
            <w:r w:rsidRPr="18A5A279">
              <w:rPr>
                <w:rFonts w:cs="Times New Roman"/>
                <w:color w:val="000000" w:themeColor="text1"/>
                <w:lang w:val="es-ES"/>
              </w:rPr>
              <w:t xml:space="preserve"> en contra de la población civil, el ente territorial informó que se han presentado dos casos de extorsión y un ataque, consistente este último en la “quema de maquinaria amarilla y vehículos particulares”. Respecto de las amenazas presentó la siguiente información:</w:t>
            </w:r>
          </w:p>
          <w:p w14:paraId="6899576E" w14:textId="77777777" w:rsidR="00C454A1" w:rsidRDefault="00C454A1" w:rsidP="00881E6A">
            <w:pPr>
              <w:pStyle w:val="Prrafodelista"/>
              <w:ind w:right="272"/>
              <w:rPr>
                <w:rFonts w:cs="Times New Roman"/>
                <w:color w:val="000000" w:themeColor="text1"/>
                <w:lang w:val="es-ES"/>
              </w:rPr>
            </w:pPr>
          </w:p>
          <w:p w14:paraId="5DBC0974" w14:textId="77777777" w:rsidR="00C454A1" w:rsidRPr="002D5351" w:rsidRDefault="00C454A1" w:rsidP="00881E6A">
            <w:pPr>
              <w:pStyle w:val="Prrafodelista"/>
              <w:ind w:right="272"/>
              <w:jc w:val="center"/>
              <w:rPr>
                <w:rFonts w:cs="Times New Roman"/>
                <w:i/>
                <w:iCs/>
                <w:color w:val="000000" w:themeColor="text1"/>
                <w:sz w:val="20"/>
                <w:szCs w:val="20"/>
                <w:lang w:val="es-ES"/>
              </w:rPr>
            </w:pPr>
            <w:r w:rsidRPr="002D5351">
              <w:rPr>
                <w:rFonts w:cs="Times New Roman"/>
                <w:i/>
                <w:iCs/>
                <w:color w:val="000000" w:themeColor="text1"/>
                <w:sz w:val="20"/>
                <w:szCs w:val="20"/>
                <w:lang w:val="es-ES"/>
              </w:rPr>
              <w:t xml:space="preserve">Tabla 26: información sobre extorsión, secuestros y amenazas </w:t>
            </w:r>
            <w:r w:rsidRPr="002D5351">
              <w:rPr>
                <w:rFonts w:cs="Times New Roman"/>
                <w:i/>
                <w:iCs/>
                <w:color w:val="000000" w:themeColor="text1"/>
                <w:sz w:val="20"/>
                <w:szCs w:val="20"/>
              </w:rPr>
              <w:t>reportada por la Alcaldía del municipio de González</w:t>
            </w:r>
          </w:p>
          <w:tbl>
            <w:tblPr>
              <w:tblStyle w:val="Tablaconcuadrcula"/>
              <w:tblW w:w="7227" w:type="dxa"/>
              <w:jc w:val="center"/>
              <w:tblLook w:val="04A0" w:firstRow="1" w:lastRow="0" w:firstColumn="1" w:lastColumn="0" w:noHBand="0" w:noVBand="1"/>
            </w:tblPr>
            <w:tblGrid>
              <w:gridCol w:w="3116"/>
              <w:gridCol w:w="4111"/>
            </w:tblGrid>
            <w:tr w:rsidR="00C454A1" w:rsidRPr="00606E01" w14:paraId="05D29553" w14:textId="77777777" w:rsidTr="001F3006">
              <w:trPr>
                <w:jc w:val="center"/>
              </w:trPr>
              <w:tc>
                <w:tcPr>
                  <w:tcW w:w="3116" w:type="dxa"/>
                </w:tcPr>
                <w:p w14:paraId="11C37DFC"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Amenazas por edad</w:t>
                  </w:r>
                </w:p>
              </w:tc>
              <w:tc>
                <w:tcPr>
                  <w:tcW w:w="4111" w:type="dxa"/>
                </w:tcPr>
                <w:p w14:paraId="13C4F408"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Amenazas por “enfoque diferencial”</w:t>
                  </w:r>
                  <w:r w:rsidRPr="18A5A279">
                    <w:rPr>
                      <w:rStyle w:val="Refdenotaalpie"/>
                      <w:rFonts w:cs="Times New Roman"/>
                      <w:color w:val="000000" w:themeColor="text1"/>
                      <w:sz w:val="22"/>
                      <w:szCs w:val="22"/>
                      <w:lang w:val="es-ES"/>
                    </w:rPr>
                    <w:footnoteReference w:id="744"/>
                  </w:r>
                </w:p>
              </w:tc>
            </w:tr>
            <w:tr w:rsidR="00C454A1" w:rsidRPr="00606E01" w14:paraId="77B23D31" w14:textId="77777777" w:rsidTr="001F3006">
              <w:trPr>
                <w:jc w:val="center"/>
              </w:trPr>
              <w:tc>
                <w:tcPr>
                  <w:tcW w:w="3116" w:type="dxa"/>
                </w:tcPr>
                <w:p w14:paraId="7AB7506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3 casos (entre 0 y 5 años)</w:t>
                  </w:r>
                </w:p>
              </w:tc>
              <w:tc>
                <w:tcPr>
                  <w:tcW w:w="4111" w:type="dxa"/>
                </w:tcPr>
                <w:p w14:paraId="6593F1DB"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Mujer: 44 personas</w:t>
                  </w:r>
                </w:p>
              </w:tc>
            </w:tr>
            <w:tr w:rsidR="00C454A1" w:rsidRPr="00606E01" w14:paraId="7FE3D24F" w14:textId="77777777" w:rsidTr="001F3006">
              <w:trPr>
                <w:jc w:val="center"/>
              </w:trPr>
              <w:tc>
                <w:tcPr>
                  <w:tcW w:w="3116" w:type="dxa"/>
                </w:tcPr>
                <w:p w14:paraId="0BE26A74"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7 casos (entre 6 y 11 años)</w:t>
                  </w:r>
                </w:p>
              </w:tc>
              <w:tc>
                <w:tcPr>
                  <w:tcW w:w="4111" w:type="dxa"/>
                </w:tcPr>
                <w:p w14:paraId="081A9C1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Discapacidad: 7 personas</w:t>
                  </w:r>
                </w:p>
              </w:tc>
            </w:tr>
            <w:tr w:rsidR="00C454A1" w:rsidRPr="00606E01" w14:paraId="118002B4" w14:textId="77777777" w:rsidTr="001F3006">
              <w:trPr>
                <w:jc w:val="center"/>
              </w:trPr>
              <w:tc>
                <w:tcPr>
                  <w:tcW w:w="3116" w:type="dxa"/>
                </w:tcPr>
                <w:p w14:paraId="62080F5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7 casos (entre 12 y 17 años)</w:t>
                  </w:r>
                </w:p>
              </w:tc>
              <w:tc>
                <w:tcPr>
                  <w:tcW w:w="4111" w:type="dxa"/>
                  <w:vMerge w:val="restart"/>
                </w:tcPr>
                <w:p w14:paraId="6A426DE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Afrodescendiente: 4 personas</w:t>
                  </w:r>
                </w:p>
              </w:tc>
            </w:tr>
            <w:tr w:rsidR="00C454A1" w:rsidRPr="00606E01" w14:paraId="7435BE45" w14:textId="77777777" w:rsidTr="001F3006">
              <w:trPr>
                <w:jc w:val="center"/>
              </w:trPr>
              <w:tc>
                <w:tcPr>
                  <w:tcW w:w="3116" w:type="dxa"/>
                </w:tcPr>
                <w:p w14:paraId="76F4728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10 casos (entre 18 y 28 años)</w:t>
                  </w:r>
                </w:p>
              </w:tc>
              <w:tc>
                <w:tcPr>
                  <w:tcW w:w="4111" w:type="dxa"/>
                  <w:vMerge/>
                </w:tcPr>
                <w:p w14:paraId="1ADB9026" w14:textId="77777777" w:rsidR="00C454A1" w:rsidRPr="00606E01" w:rsidRDefault="00C454A1" w:rsidP="00881E6A">
                  <w:pPr>
                    <w:pStyle w:val="Prrafodelista"/>
                    <w:ind w:left="0" w:right="272"/>
                    <w:rPr>
                      <w:rFonts w:cs="Times New Roman"/>
                      <w:sz w:val="22"/>
                      <w:szCs w:val="22"/>
                      <w:lang w:val="es-ES_tradnl"/>
                    </w:rPr>
                  </w:pPr>
                </w:p>
              </w:tc>
            </w:tr>
            <w:tr w:rsidR="00C454A1" w:rsidRPr="00606E01" w14:paraId="66FD5E14" w14:textId="77777777" w:rsidTr="001F3006">
              <w:trPr>
                <w:jc w:val="center"/>
              </w:trPr>
              <w:tc>
                <w:tcPr>
                  <w:tcW w:w="3116" w:type="dxa"/>
                </w:tcPr>
                <w:p w14:paraId="4CD14D4F"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30 casos (entre 29 y 59 años)</w:t>
                  </w:r>
                </w:p>
              </w:tc>
              <w:tc>
                <w:tcPr>
                  <w:tcW w:w="4111" w:type="dxa"/>
                  <w:vMerge/>
                </w:tcPr>
                <w:p w14:paraId="148FAD70" w14:textId="77777777" w:rsidR="00C454A1" w:rsidRPr="00606E01" w:rsidRDefault="00C454A1" w:rsidP="00881E6A">
                  <w:pPr>
                    <w:pStyle w:val="Prrafodelista"/>
                    <w:ind w:left="0" w:right="272"/>
                    <w:rPr>
                      <w:rFonts w:cs="Times New Roman"/>
                      <w:sz w:val="22"/>
                      <w:szCs w:val="22"/>
                      <w:lang w:val="es-ES_tradnl"/>
                    </w:rPr>
                  </w:pPr>
                </w:p>
              </w:tc>
            </w:tr>
            <w:tr w:rsidR="00C454A1" w:rsidRPr="00606E01" w14:paraId="75BFFD8C" w14:textId="77777777" w:rsidTr="001F3006">
              <w:trPr>
                <w:trHeight w:val="383"/>
                <w:jc w:val="center"/>
              </w:trPr>
              <w:tc>
                <w:tcPr>
                  <w:tcW w:w="3116" w:type="dxa"/>
                  <w:tcBorders>
                    <w:bottom w:val="single" w:sz="4" w:space="0" w:color="auto"/>
                  </w:tcBorders>
                </w:tcPr>
                <w:p w14:paraId="210F0E8B" w14:textId="77777777" w:rsidR="00C454A1" w:rsidRPr="00606E01" w:rsidRDefault="00C454A1" w:rsidP="005F4A6F">
                  <w:pPr>
                    <w:pStyle w:val="Prrafodelista"/>
                    <w:numPr>
                      <w:ilvl w:val="0"/>
                      <w:numId w:val="73"/>
                    </w:numPr>
                    <w:ind w:right="272"/>
                    <w:rPr>
                      <w:rFonts w:cs="Times New Roman"/>
                      <w:color w:val="000000" w:themeColor="text1"/>
                      <w:sz w:val="22"/>
                      <w:szCs w:val="22"/>
                      <w:lang w:val="es-ES"/>
                    </w:rPr>
                  </w:pPr>
                  <w:r w:rsidRPr="18A5A279">
                    <w:rPr>
                      <w:rFonts w:cs="Times New Roman"/>
                      <w:color w:val="000000" w:themeColor="text1"/>
                      <w:sz w:val="22"/>
                      <w:szCs w:val="22"/>
                      <w:lang w:val="es-ES"/>
                    </w:rPr>
                    <w:lastRenderedPageBreak/>
                    <w:t>casos (mayores de 60 años)</w:t>
                  </w:r>
                </w:p>
              </w:tc>
              <w:tc>
                <w:tcPr>
                  <w:tcW w:w="4111" w:type="dxa"/>
                  <w:vMerge/>
                </w:tcPr>
                <w:p w14:paraId="59ADA5D7" w14:textId="77777777" w:rsidR="00C454A1" w:rsidRPr="00606E01" w:rsidRDefault="00C454A1" w:rsidP="00881E6A">
                  <w:pPr>
                    <w:pStyle w:val="Prrafodelista"/>
                    <w:ind w:left="0" w:right="272"/>
                    <w:rPr>
                      <w:rFonts w:cs="Times New Roman"/>
                      <w:sz w:val="22"/>
                      <w:szCs w:val="22"/>
                      <w:lang w:val="es-ES_tradnl"/>
                    </w:rPr>
                  </w:pPr>
                </w:p>
              </w:tc>
            </w:tr>
          </w:tbl>
          <w:p w14:paraId="616ED8E5" w14:textId="77777777" w:rsidR="00C454A1" w:rsidRDefault="00C454A1" w:rsidP="00881E6A">
            <w:pPr>
              <w:pStyle w:val="Prrafodelista"/>
              <w:ind w:left="1096" w:right="272"/>
              <w:rPr>
                <w:rFonts w:cs="Times New Roman"/>
                <w:color w:val="000000" w:themeColor="text1"/>
                <w:lang w:val="es-ES"/>
              </w:rPr>
            </w:pPr>
          </w:p>
          <w:p w14:paraId="7483BEE7" w14:textId="77777777" w:rsidR="00C454A1" w:rsidRPr="00606E01" w:rsidRDefault="00C454A1" w:rsidP="005F4A6F">
            <w:pPr>
              <w:pStyle w:val="Prrafodelista"/>
              <w:numPr>
                <w:ilvl w:val="0"/>
                <w:numId w:val="72"/>
              </w:numPr>
              <w:ind w:left="1096" w:right="272"/>
              <w:rPr>
                <w:rFonts w:cs="Times New Roman"/>
                <w:color w:val="000000" w:themeColor="text1"/>
                <w:lang w:val="es-ES"/>
              </w:rPr>
            </w:pPr>
            <w:r w:rsidRPr="18A5A279">
              <w:rPr>
                <w:rFonts w:cs="Times New Roman"/>
                <w:color w:val="000000" w:themeColor="text1"/>
                <w:lang w:val="es-ES"/>
              </w:rPr>
              <w:t>Frente a los homicidios</w:t>
            </w:r>
            <w:r w:rsidRPr="18A5A279">
              <w:rPr>
                <w:rStyle w:val="Refdenotaalpie"/>
                <w:rFonts w:cs="Times New Roman"/>
                <w:color w:val="000000" w:themeColor="text1"/>
                <w:lang w:val="es-ES"/>
              </w:rPr>
              <w:footnoteReference w:id="745"/>
            </w:r>
            <w:r w:rsidRPr="18A5A279">
              <w:rPr>
                <w:rFonts w:cs="Times New Roman"/>
                <w:color w:val="000000" w:themeColor="text1"/>
                <w:lang w:val="es-ES"/>
              </w:rPr>
              <w:t xml:space="preserve"> y lesiones personales, el municipio señaló que, entre 2022 y 2023, se perpetraron 16 homicidios, discriminados así:</w:t>
            </w:r>
          </w:p>
          <w:p w14:paraId="7D3F8B77" w14:textId="77777777" w:rsidR="00C454A1" w:rsidRDefault="00C454A1" w:rsidP="00881E6A">
            <w:pPr>
              <w:ind w:right="272"/>
              <w:rPr>
                <w:rFonts w:cs="Times New Roman"/>
                <w:color w:val="000000" w:themeColor="text1"/>
                <w:lang w:val="es-ES"/>
              </w:rPr>
            </w:pPr>
          </w:p>
          <w:p w14:paraId="09D655A3" w14:textId="77777777" w:rsidR="00C454A1" w:rsidRPr="002D5351" w:rsidRDefault="00C454A1" w:rsidP="00881E6A">
            <w:pPr>
              <w:pStyle w:val="Prrafodelista"/>
              <w:ind w:right="272"/>
              <w:jc w:val="center"/>
              <w:rPr>
                <w:rFonts w:cs="Times New Roman"/>
                <w:i/>
                <w:iCs/>
                <w:color w:val="000000" w:themeColor="text1"/>
                <w:sz w:val="20"/>
                <w:szCs w:val="20"/>
                <w:lang w:val="es-ES"/>
              </w:rPr>
            </w:pPr>
            <w:r w:rsidRPr="002D5351">
              <w:rPr>
                <w:rFonts w:cs="Times New Roman"/>
                <w:i/>
                <w:iCs/>
                <w:color w:val="000000" w:themeColor="text1"/>
                <w:sz w:val="20"/>
                <w:szCs w:val="20"/>
                <w:lang w:val="es-ES"/>
              </w:rPr>
              <w:t>Tabla 2</w:t>
            </w:r>
            <w:r>
              <w:rPr>
                <w:rFonts w:cs="Times New Roman"/>
                <w:i/>
                <w:iCs/>
                <w:color w:val="000000" w:themeColor="text1"/>
                <w:sz w:val="20"/>
                <w:szCs w:val="20"/>
                <w:lang w:val="es-ES"/>
              </w:rPr>
              <w:t>7</w:t>
            </w:r>
            <w:r w:rsidRPr="002D5351">
              <w:rPr>
                <w:rFonts w:cs="Times New Roman"/>
                <w:i/>
                <w:iCs/>
                <w:color w:val="000000" w:themeColor="text1"/>
                <w:sz w:val="20"/>
                <w:szCs w:val="20"/>
                <w:lang w:val="es-ES"/>
              </w:rPr>
              <w:t xml:space="preserve">: información sobre </w:t>
            </w:r>
            <w:r>
              <w:rPr>
                <w:rFonts w:cs="Times New Roman"/>
                <w:i/>
                <w:iCs/>
                <w:color w:val="000000" w:themeColor="text1"/>
                <w:sz w:val="20"/>
                <w:szCs w:val="20"/>
                <w:lang w:val="es-ES"/>
              </w:rPr>
              <w:t>homicidios y lesiones personales</w:t>
            </w:r>
            <w:r w:rsidRPr="002D5351">
              <w:rPr>
                <w:rFonts w:cs="Times New Roman"/>
                <w:i/>
                <w:iCs/>
                <w:color w:val="000000" w:themeColor="text1"/>
                <w:sz w:val="20"/>
                <w:szCs w:val="20"/>
                <w:lang w:val="es-ES"/>
              </w:rPr>
              <w:t xml:space="preserve"> </w:t>
            </w:r>
            <w:r w:rsidRPr="002D5351">
              <w:rPr>
                <w:rFonts w:cs="Times New Roman"/>
                <w:i/>
                <w:iCs/>
                <w:color w:val="000000" w:themeColor="text1"/>
                <w:sz w:val="20"/>
                <w:szCs w:val="20"/>
              </w:rPr>
              <w:t>reportada por la Alcaldía del municipio de González</w:t>
            </w:r>
          </w:p>
          <w:tbl>
            <w:tblPr>
              <w:tblStyle w:val="Tablaconcuadrcula"/>
              <w:tblW w:w="0" w:type="auto"/>
              <w:jc w:val="center"/>
              <w:tblLook w:val="04A0" w:firstRow="1" w:lastRow="0" w:firstColumn="1" w:lastColumn="0" w:noHBand="0" w:noVBand="1"/>
            </w:tblPr>
            <w:tblGrid>
              <w:gridCol w:w="1708"/>
              <w:gridCol w:w="1673"/>
              <w:gridCol w:w="1209"/>
              <w:gridCol w:w="1246"/>
              <w:gridCol w:w="1430"/>
              <w:gridCol w:w="1283"/>
              <w:gridCol w:w="1466"/>
              <w:gridCol w:w="1551"/>
              <w:gridCol w:w="1197"/>
            </w:tblGrid>
            <w:tr w:rsidR="00C454A1" w:rsidRPr="00606E01" w14:paraId="0B79F08C" w14:textId="77777777" w:rsidTr="001F3006">
              <w:trPr>
                <w:jc w:val="center"/>
              </w:trPr>
              <w:tc>
                <w:tcPr>
                  <w:tcW w:w="1708" w:type="dxa"/>
                  <w:vAlign w:val="center"/>
                </w:tcPr>
                <w:p w14:paraId="7E9FF600"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Ciclo Vital</w:t>
                  </w:r>
                </w:p>
              </w:tc>
              <w:tc>
                <w:tcPr>
                  <w:tcW w:w="1509" w:type="dxa"/>
                  <w:vAlign w:val="center"/>
                </w:tcPr>
                <w:p w14:paraId="59AD4925"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Discapacidad</w:t>
                  </w:r>
                </w:p>
              </w:tc>
              <w:tc>
                <w:tcPr>
                  <w:tcW w:w="1003" w:type="dxa"/>
                  <w:vAlign w:val="center"/>
                </w:tcPr>
                <w:p w14:paraId="67DC070D"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Sexo</w:t>
                  </w:r>
                </w:p>
              </w:tc>
              <w:tc>
                <w:tcPr>
                  <w:tcW w:w="1113" w:type="dxa"/>
                  <w:vAlign w:val="center"/>
                </w:tcPr>
                <w:p w14:paraId="7F076C2A"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Etnia</w:t>
                  </w:r>
                </w:p>
              </w:tc>
              <w:tc>
                <w:tcPr>
                  <w:tcW w:w="1275" w:type="dxa"/>
                  <w:vAlign w:val="center"/>
                </w:tcPr>
                <w:p w14:paraId="5ACD7D6B"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Hecho</w:t>
                  </w:r>
                </w:p>
              </w:tc>
              <w:tc>
                <w:tcPr>
                  <w:tcW w:w="1132" w:type="dxa"/>
                  <w:vAlign w:val="center"/>
                </w:tcPr>
                <w:p w14:paraId="18515CF2"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Vigencia</w:t>
                  </w:r>
                </w:p>
              </w:tc>
              <w:tc>
                <w:tcPr>
                  <w:tcW w:w="1282" w:type="dxa"/>
                  <w:vAlign w:val="center"/>
                </w:tcPr>
                <w:p w14:paraId="0467790C"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Víctimas</w:t>
                  </w:r>
                </w:p>
                <w:p w14:paraId="109B7FA1"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Ocurrencia</w:t>
                  </w:r>
                </w:p>
              </w:tc>
              <w:tc>
                <w:tcPr>
                  <w:tcW w:w="1376" w:type="dxa"/>
                  <w:vAlign w:val="center"/>
                </w:tcPr>
                <w:p w14:paraId="387BF4CB"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Víctimas</w:t>
                  </w:r>
                </w:p>
                <w:p w14:paraId="066AD728"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Declaración</w:t>
                  </w:r>
                </w:p>
              </w:tc>
              <w:tc>
                <w:tcPr>
                  <w:tcW w:w="1059" w:type="dxa"/>
                  <w:vAlign w:val="center"/>
                </w:tcPr>
                <w:p w14:paraId="4BCCD0FA"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Eventos</w:t>
                  </w:r>
                </w:p>
              </w:tc>
            </w:tr>
            <w:tr w:rsidR="00C454A1" w:rsidRPr="00606E01" w14:paraId="6BC17053" w14:textId="77777777" w:rsidTr="001F3006">
              <w:trPr>
                <w:jc w:val="center"/>
              </w:trPr>
              <w:tc>
                <w:tcPr>
                  <w:tcW w:w="1708" w:type="dxa"/>
                  <w:vAlign w:val="center"/>
                </w:tcPr>
                <w:p w14:paraId="600DE9A6"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6 y 11</w:t>
                  </w:r>
                </w:p>
              </w:tc>
              <w:tc>
                <w:tcPr>
                  <w:tcW w:w="1509" w:type="dxa"/>
                  <w:vAlign w:val="center"/>
                </w:tcPr>
                <w:p w14:paraId="10C96764"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199011E4"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Hombre</w:t>
                  </w:r>
                </w:p>
              </w:tc>
              <w:tc>
                <w:tcPr>
                  <w:tcW w:w="1113" w:type="dxa"/>
                  <w:vAlign w:val="center"/>
                </w:tcPr>
                <w:p w14:paraId="470B11E6"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0EBA75A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223F697F"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2022</w:t>
                  </w:r>
                </w:p>
              </w:tc>
              <w:tc>
                <w:tcPr>
                  <w:tcW w:w="1282" w:type="dxa"/>
                  <w:vAlign w:val="center"/>
                </w:tcPr>
                <w:p w14:paraId="75BEF5F7"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c>
                <w:tcPr>
                  <w:tcW w:w="1376" w:type="dxa"/>
                  <w:vAlign w:val="center"/>
                </w:tcPr>
                <w:p w14:paraId="39EEF3DA"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c>
                <w:tcPr>
                  <w:tcW w:w="1059" w:type="dxa"/>
                  <w:vAlign w:val="center"/>
                </w:tcPr>
                <w:p w14:paraId="1F0DB40F"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r>
            <w:tr w:rsidR="00C454A1" w:rsidRPr="00606E01" w14:paraId="689658D8" w14:textId="77777777" w:rsidTr="001F3006">
              <w:trPr>
                <w:jc w:val="center"/>
              </w:trPr>
              <w:tc>
                <w:tcPr>
                  <w:tcW w:w="1708" w:type="dxa"/>
                  <w:vAlign w:val="center"/>
                </w:tcPr>
                <w:p w14:paraId="76FF07E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6 y 11</w:t>
                  </w:r>
                </w:p>
              </w:tc>
              <w:tc>
                <w:tcPr>
                  <w:tcW w:w="1509" w:type="dxa"/>
                  <w:vAlign w:val="center"/>
                </w:tcPr>
                <w:p w14:paraId="30DFFEF8"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1C452AEA"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Mujer</w:t>
                  </w:r>
                </w:p>
              </w:tc>
              <w:tc>
                <w:tcPr>
                  <w:tcW w:w="1113" w:type="dxa"/>
                  <w:vAlign w:val="center"/>
                </w:tcPr>
                <w:p w14:paraId="248C1D0A"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2E42CDCB"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53DDB152"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2022</w:t>
                  </w:r>
                </w:p>
              </w:tc>
              <w:tc>
                <w:tcPr>
                  <w:tcW w:w="1282" w:type="dxa"/>
                  <w:vAlign w:val="center"/>
                </w:tcPr>
                <w:p w14:paraId="7AE8890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c>
                <w:tcPr>
                  <w:tcW w:w="1376" w:type="dxa"/>
                  <w:vAlign w:val="center"/>
                </w:tcPr>
                <w:p w14:paraId="45DEB800"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c>
                <w:tcPr>
                  <w:tcW w:w="1059" w:type="dxa"/>
                  <w:vAlign w:val="center"/>
                </w:tcPr>
                <w:p w14:paraId="0C45B0A5"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r>
            <w:tr w:rsidR="00C454A1" w:rsidRPr="00606E01" w14:paraId="155CB782" w14:textId="77777777" w:rsidTr="001F3006">
              <w:trPr>
                <w:jc w:val="center"/>
              </w:trPr>
              <w:tc>
                <w:tcPr>
                  <w:tcW w:w="1708" w:type="dxa"/>
                  <w:vAlign w:val="center"/>
                </w:tcPr>
                <w:p w14:paraId="6ADB4B6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12 y 17</w:t>
                  </w:r>
                </w:p>
              </w:tc>
              <w:tc>
                <w:tcPr>
                  <w:tcW w:w="1509" w:type="dxa"/>
                  <w:vAlign w:val="center"/>
                </w:tcPr>
                <w:p w14:paraId="79E9A98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141A8A5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Hombre</w:t>
                  </w:r>
                </w:p>
              </w:tc>
              <w:tc>
                <w:tcPr>
                  <w:tcW w:w="1113" w:type="dxa"/>
                  <w:vAlign w:val="center"/>
                </w:tcPr>
                <w:p w14:paraId="59394E9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0689F3A5"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7554B829"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2023</w:t>
                  </w:r>
                </w:p>
              </w:tc>
              <w:tc>
                <w:tcPr>
                  <w:tcW w:w="1282" w:type="dxa"/>
                  <w:vAlign w:val="center"/>
                </w:tcPr>
                <w:p w14:paraId="4E29F81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c>
                <w:tcPr>
                  <w:tcW w:w="1376" w:type="dxa"/>
                  <w:vAlign w:val="center"/>
                </w:tcPr>
                <w:p w14:paraId="3B1EE26B"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c>
                <w:tcPr>
                  <w:tcW w:w="1059" w:type="dxa"/>
                  <w:vAlign w:val="center"/>
                </w:tcPr>
                <w:p w14:paraId="2AE103D4"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r>
            <w:tr w:rsidR="00C454A1" w:rsidRPr="00606E01" w14:paraId="7BE3E940" w14:textId="77777777" w:rsidTr="001F3006">
              <w:trPr>
                <w:jc w:val="center"/>
              </w:trPr>
              <w:tc>
                <w:tcPr>
                  <w:tcW w:w="1708" w:type="dxa"/>
                  <w:vAlign w:val="center"/>
                </w:tcPr>
                <w:p w14:paraId="20F8A16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12 y 17</w:t>
                  </w:r>
                </w:p>
              </w:tc>
              <w:tc>
                <w:tcPr>
                  <w:tcW w:w="1509" w:type="dxa"/>
                  <w:vAlign w:val="center"/>
                </w:tcPr>
                <w:p w14:paraId="7D541E6A"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1F1FC557"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Mujer</w:t>
                  </w:r>
                </w:p>
              </w:tc>
              <w:tc>
                <w:tcPr>
                  <w:tcW w:w="1113" w:type="dxa"/>
                  <w:vAlign w:val="center"/>
                </w:tcPr>
                <w:p w14:paraId="20E265C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2866A46F"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04BF11D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2022</w:t>
                  </w:r>
                </w:p>
              </w:tc>
              <w:tc>
                <w:tcPr>
                  <w:tcW w:w="1282" w:type="dxa"/>
                  <w:vAlign w:val="center"/>
                </w:tcPr>
                <w:p w14:paraId="311B2A16"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c>
                <w:tcPr>
                  <w:tcW w:w="1376" w:type="dxa"/>
                  <w:vAlign w:val="center"/>
                </w:tcPr>
                <w:p w14:paraId="7A2A597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c>
                <w:tcPr>
                  <w:tcW w:w="1059" w:type="dxa"/>
                  <w:vAlign w:val="center"/>
                </w:tcPr>
                <w:p w14:paraId="45B640E2"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r>
            <w:tr w:rsidR="00C454A1" w:rsidRPr="00606E01" w14:paraId="18DB98D1" w14:textId="77777777" w:rsidTr="001F3006">
              <w:trPr>
                <w:jc w:val="center"/>
              </w:trPr>
              <w:tc>
                <w:tcPr>
                  <w:tcW w:w="1708" w:type="dxa"/>
                  <w:vAlign w:val="center"/>
                </w:tcPr>
                <w:p w14:paraId="7178439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18 y 28</w:t>
                  </w:r>
                </w:p>
              </w:tc>
              <w:tc>
                <w:tcPr>
                  <w:tcW w:w="1509" w:type="dxa"/>
                  <w:vAlign w:val="center"/>
                </w:tcPr>
                <w:p w14:paraId="2DC513A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7C90B36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Hombre</w:t>
                  </w:r>
                </w:p>
              </w:tc>
              <w:tc>
                <w:tcPr>
                  <w:tcW w:w="1113" w:type="dxa"/>
                  <w:vAlign w:val="center"/>
                </w:tcPr>
                <w:p w14:paraId="563E80C8"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36DF4BE7"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2F6FAF3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2023</w:t>
                  </w:r>
                </w:p>
              </w:tc>
              <w:tc>
                <w:tcPr>
                  <w:tcW w:w="1282" w:type="dxa"/>
                  <w:vAlign w:val="center"/>
                </w:tcPr>
                <w:p w14:paraId="6AA0AF35"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c>
                <w:tcPr>
                  <w:tcW w:w="1376" w:type="dxa"/>
                  <w:vAlign w:val="center"/>
                </w:tcPr>
                <w:p w14:paraId="316E7E3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c>
                <w:tcPr>
                  <w:tcW w:w="1059" w:type="dxa"/>
                  <w:vAlign w:val="center"/>
                </w:tcPr>
                <w:p w14:paraId="76EDB8E8"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r>
            <w:tr w:rsidR="00C454A1" w:rsidRPr="00606E01" w14:paraId="5F6494B7" w14:textId="77777777" w:rsidTr="001F3006">
              <w:trPr>
                <w:jc w:val="center"/>
              </w:trPr>
              <w:tc>
                <w:tcPr>
                  <w:tcW w:w="1708" w:type="dxa"/>
                  <w:vAlign w:val="center"/>
                </w:tcPr>
                <w:p w14:paraId="3B823935"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18 y 28</w:t>
                  </w:r>
                </w:p>
              </w:tc>
              <w:tc>
                <w:tcPr>
                  <w:tcW w:w="1509" w:type="dxa"/>
                  <w:vAlign w:val="center"/>
                </w:tcPr>
                <w:p w14:paraId="0DD97156"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69DDA3D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Mujer</w:t>
                  </w:r>
                </w:p>
              </w:tc>
              <w:tc>
                <w:tcPr>
                  <w:tcW w:w="1113" w:type="dxa"/>
                  <w:vAlign w:val="center"/>
                </w:tcPr>
                <w:p w14:paraId="76E45B4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318DC420"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26A9CEA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2022</w:t>
                  </w:r>
                </w:p>
              </w:tc>
              <w:tc>
                <w:tcPr>
                  <w:tcW w:w="1282" w:type="dxa"/>
                  <w:vAlign w:val="center"/>
                </w:tcPr>
                <w:p w14:paraId="5B6A8E86"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c>
                <w:tcPr>
                  <w:tcW w:w="1376" w:type="dxa"/>
                  <w:vAlign w:val="center"/>
                </w:tcPr>
                <w:p w14:paraId="21EA960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c>
                <w:tcPr>
                  <w:tcW w:w="1059" w:type="dxa"/>
                  <w:vAlign w:val="center"/>
                </w:tcPr>
                <w:p w14:paraId="3F8B55BA"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r>
            <w:tr w:rsidR="00C454A1" w:rsidRPr="00606E01" w14:paraId="0BB295E5" w14:textId="77777777" w:rsidTr="001F3006">
              <w:trPr>
                <w:jc w:val="center"/>
              </w:trPr>
              <w:tc>
                <w:tcPr>
                  <w:tcW w:w="1708" w:type="dxa"/>
                  <w:vAlign w:val="center"/>
                </w:tcPr>
                <w:p w14:paraId="30AA09A5"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29 y 59</w:t>
                  </w:r>
                </w:p>
              </w:tc>
              <w:tc>
                <w:tcPr>
                  <w:tcW w:w="1509" w:type="dxa"/>
                  <w:vAlign w:val="center"/>
                </w:tcPr>
                <w:p w14:paraId="0640DEA1"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01A9783F"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Hombre</w:t>
                  </w:r>
                </w:p>
              </w:tc>
              <w:tc>
                <w:tcPr>
                  <w:tcW w:w="1113" w:type="dxa"/>
                  <w:vAlign w:val="center"/>
                </w:tcPr>
                <w:p w14:paraId="5D76AD60"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2CE6275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147F6C3A"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2023</w:t>
                  </w:r>
                </w:p>
              </w:tc>
              <w:tc>
                <w:tcPr>
                  <w:tcW w:w="1282" w:type="dxa"/>
                  <w:vAlign w:val="center"/>
                </w:tcPr>
                <w:p w14:paraId="7767B51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3</w:t>
                  </w:r>
                </w:p>
              </w:tc>
              <w:tc>
                <w:tcPr>
                  <w:tcW w:w="1376" w:type="dxa"/>
                  <w:vAlign w:val="center"/>
                </w:tcPr>
                <w:p w14:paraId="609A8918"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3</w:t>
                  </w:r>
                </w:p>
              </w:tc>
              <w:tc>
                <w:tcPr>
                  <w:tcW w:w="1059" w:type="dxa"/>
                  <w:vAlign w:val="center"/>
                </w:tcPr>
                <w:p w14:paraId="238A4CD7"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3</w:t>
                  </w:r>
                </w:p>
              </w:tc>
            </w:tr>
            <w:tr w:rsidR="00C454A1" w:rsidRPr="00606E01" w14:paraId="6256BE1F" w14:textId="77777777" w:rsidTr="001F3006">
              <w:trPr>
                <w:jc w:val="center"/>
              </w:trPr>
              <w:tc>
                <w:tcPr>
                  <w:tcW w:w="1708" w:type="dxa"/>
                  <w:vAlign w:val="center"/>
                </w:tcPr>
                <w:p w14:paraId="5D2D3819"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29 y 59</w:t>
                  </w:r>
                </w:p>
              </w:tc>
              <w:tc>
                <w:tcPr>
                  <w:tcW w:w="1509" w:type="dxa"/>
                  <w:vAlign w:val="center"/>
                </w:tcPr>
                <w:p w14:paraId="2ACE02FB"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3C55203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Mujer</w:t>
                  </w:r>
                </w:p>
              </w:tc>
              <w:tc>
                <w:tcPr>
                  <w:tcW w:w="1113" w:type="dxa"/>
                  <w:vAlign w:val="center"/>
                </w:tcPr>
                <w:p w14:paraId="28C2A1D2"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4DC6D11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5F4FB34C"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2022</w:t>
                  </w:r>
                </w:p>
              </w:tc>
              <w:tc>
                <w:tcPr>
                  <w:tcW w:w="1282" w:type="dxa"/>
                  <w:vAlign w:val="center"/>
                </w:tcPr>
                <w:p w14:paraId="0F9E4BF2"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w:t>
                  </w:r>
                </w:p>
              </w:tc>
              <w:tc>
                <w:tcPr>
                  <w:tcW w:w="1376" w:type="dxa"/>
                  <w:vAlign w:val="center"/>
                </w:tcPr>
                <w:p w14:paraId="46D43484"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5</w:t>
                  </w:r>
                </w:p>
              </w:tc>
              <w:tc>
                <w:tcPr>
                  <w:tcW w:w="1059" w:type="dxa"/>
                  <w:vAlign w:val="center"/>
                </w:tcPr>
                <w:p w14:paraId="55EF8F3B"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w:t>
                  </w:r>
                </w:p>
              </w:tc>
            </w:tr>
            <w:tr w:rsidR="00C454A1" w:rsidRPr="00606E01" w14:paraId="5E7EE809" w14:textId="77777777" w:rsidTr="001F3006">
              <w:trPr>
                <w:jc w:val="center"/>
              </w:trPr>
              <w:tc>
                <w:tcPr>
                  <w:tcW w:w="1708" w:type="dxa"/>
                  <w:vAlign w:val="center"/>
                </w:tcPr>
                <w:p w14:paraId="34C8967C"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Entre 60 y 110</w:t>
                  </w:r>
                </w:p>
              </w:tc>
              <w:tc>
                <w:tcPr>
                  <w:tcW w:w="1509" w:type="dxa"/>
                  <w:vAlign w:val="center"/>
                </w:tcPr>
                <w:p w14:paraId="0E41EA1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003" w:type="dxa"/>
                  <w:vAlign w:val="center"/>
                </w:tcPr>
                <w:p w14:paraId="11BF36ED"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Hombre</w:t>
                  </w:r>
                </w:p>
              </w:tc>
              <w:tc>
                <w:tcPr>
                  <w:tcW w:w="1113" w:type="dxa"/>
                  <w:vAlign w:val="center"/>
                </w:tcPr>
                <w:p w14:paraId="6FAAD426"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Ninguna</w:t>
                  </w:r>
                </w:p>
              </w:tc>
              <w:tc>
                <w:tcPr>
                  <w:tcW w:w="1275" w:type="dxa"/>
                  <w:vAlign w:val="center"/>
                </w:tcPr>
                <w:p w14:paraId="07999C89"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Homicidio</w:t>
                  </w:r>
                </w:p>
              </w:tc>
              <w:tc>
                <w:tcPr>
                  <w:tcW w:w="1132" w:type="dxa"/>
                  <w:vAlign w:val="center"/>
                </w:tcPr>
                <w:p w14:paraId="2B16E872"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2022</w:t>
                  </w:r>
                </w:p>
              </w:tc>
              <w:tc>
                <w:tcPr>
                  <w:tcW w:w="1282" w:type="dxa"/>
                  <w:vAlign w:val="center"/>
                </w:tcPr>
                <w:p w14:paraId="28E02B7E"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c>
                <w:tcPr>
                  <w:tcW w:w="1376" w:type="dxa"/>
                  <w:vAlign w:val="center"/>
                </w:tcPr>
                <w:p w14:paraId="3AF13E97"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1</w:t>
                  </w:r>
                </w:p>
              </w:tc>
              <w:tc>
                <w:tcPr>
                  <w:tcW w:w="1059" w:type="dxa"/>
                  <w:vAlign w:val="center"/>
                </w:tcPr>
                <w:p w14:paraId="53FAFB13"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0</w:t>
                  </w:r>
                </w:p>
              </w:tc>
            </w:tr>
          </w:tbl>
          <w:p w14:paraId="45987CD5" w14:textId="77777777" w:rsidR="00C454A1" w:rsidRDefault="00C454A1" w:rsidP="00881E6A">
            <w:pPr>
              <w:pStyle w:val="Prrafodelista"/>
              <w:ind w:left="376" w:right="272"/>
              <w:rPr>
                <w:rFonts w:cs="Times New Roman"/>
                <w:color w:val="000000" w:themeColor="text1"/>
                <w:lang w:val="es-ES"/>
              </w:rPr>
            </w:pPr>
          </w:p>
          <w:p w14:paraId="05F9CFE0" w14:textId="77777777" w:rsidR="00C454A1" w:rsidRPr="00606E01" w:rsidRDefault="00C454A1" w:rsidP="005F4A6F">
            <w:pPr>
              <w:pStyle w:val="Prrafodelista"/>
              <w:numPr>
                <w:ilvl w:val="0"/>
                <w:numId w:val="72"/>
              </w:numPr>
              <w:ind w:left="357" w:right="272" w:firstLine="19"/>
              <w:rPr>
                <w:rFonts w:cs="Times New Roman"/>
                <w:color w:val="000000" w:themeColor="text1"/>
                <w:lang w:val="es-ES"/>
              </w:rPr>
            </w:pPr>
            <w:r w:rsidRPr="18A5A279">
              <w:rPr>
                <w:rFonts w:cs="Times New Roman"/>
                <w:color w:val="000000" w:themeColor="text1"/>
                <w:lang w:val="es-ES"/>
              </w:rPr>
              <w:t>El ente territorial informó que su territorio no se han presentado enfrentamientos entre grupos armados al margen de la ley, por lo que no ha sido necesario implementar medidas específicas al respecto. No obstante, informó de las siguientes actividades ilícitas:</w:t>
            </w:r>
          </w:p>
          <w:p w14:paraId="5BA86558" w14:textId="77777777" w:rsidR="00C454A1" w:rsidRDefault="00C454A1" w:rsidP="00881E6A">
            <w:pPr>
              <w:pStyle w:val="Prrafodelista"/>
              <w:ind w:left="1080" w:right="272"/>
              <w:rPr>
                <w:rFonts w:cs="Times New Roman"/>
                <w:color w:val="000000" w:themeColor="text1"/>
                <w:lang w:val="es-ES"/>
              </w:rPr>
            </w:pPr>
          </w:p>
          <w:p w14:paraId="6644B7CF" w14:textId="77777777" w:rsidR="00C454A1" w:rsidRPr="004605AF" w:rsidRDefault="00C454A1" w:rsidP="00881E6A">
            <w:pPr>
              <w:pStyle w:val="Prrafodelista"/>
              <w:ind w:right="272"/>
              <w:jc w:val="center"/>
              <w:rPr>
                <w:rFonts w:cs="Times New Roman"/>
                <w:i/>
                <w:iCs/>
                <w:color w:val="000000" w:themeColor="text1"/>
                <w:sz w:val="20"/>
                <w:szCs w:val="20"/>
                <w:lang w:val="es-ES"/>
              </w:rPr>
            </w:pPr>
            <w:r w:rsidRPr="002D5351">
              <w:rPr>
                <w:rFonts w:cs="Times New Roman"/>
                <w:i/>
                <w:iCs/>
                <w:color w:val="000000" w:themeColor="text1"/>
                <w:sz w:val="20"/>
                <w:szCs w:val="20"/>
                <w:lang w:val="es-ES"/>
              </w:rPr>
              <w:t>Tabla 2</w:t>
            </w:r>
            <w:r>
              <w:rPr>
                <w:rFonts w:cs="Times New Roman"/>
                <w:i/>
                <w:iCs/>
                <w:color w:val="000000" w:themeColor="text1"/>
                <w:sz w:val="20"/>
                <w:szCs w:val="20"/>
                <w:lang w:val="es-ES"/>
              </w:rPr>
              <w:t>8</w:t>
            </w:r>
            <w:r w:rsidRPr="002D5351">
              <w:rPr>
                <w:rFonts w:cs="Times New Roman"/>
                <w:i/>
                <w:iCs/>
                <w:color w:val="000000" w:themeColor="text1"/>
                <w:sz w:val="20"/>
                <w:szCs w:val="20"/>
                <w:lang w:val="es-ES"/>
              </w:rPr>
              <w:t xml:space="preserve">: información sobre </w:t>
            </w:r>
            <w:r>
              <w:rPr>
                <w:rFonts w:cs="Times New Roman"/>
                <w:i/>
                <w:iCs/>
                <w:color w:val="000000" w:themeColor="text1"/>
                <w:sz w:val="20"/>
                <w:szCs w:val="20"/>
                <w:lang w:val="es-ES"/>
              </w:rPr>
              <w:t>otras actividades ilícitas</w:t>
            </w:r>
            <w:r w:rsidRPr="002D5351">
              <w:rPr>
                <w:rFonts w:cs="Times New Roman"/>
                <w:i/>
                <w:iCs/>
                <w:color w:val="000000" w:themeColor="text1"/>
                <w:sz w:val="20"/>
                <w:szCs w:val="20"/>
                <w:lang w:val="es-ES"/>
              </w:rPr>
              <w:t xml:space="preserve"> </w:t>
            </w:r>
            <w:r w:rsidRPr="002D5351">
              <w:rPr>
                <w:rFonts w:cs="Times New Roman"/>
                <w:i/>
                <w:iCs/>
                <w:color w:val="000000" w:themeColor="text1"/>
                <w:sz w:val="20"/>
                <w:szCs w:val="20"/>
              </w:rPr>
              <w:t>reportada por la Alcaldía del municipio de González</w:t>
            </w:r>
          </w:p>
          <w:tbl>
            <w:tblPr>
              <w:tblStyle w:val="Tablaconcuadrcula"/>
              <w:tblW w:w="12701" w:type="dxa"/>
              <w:jc w:val="center"/>
              <w:tblLook w:val="04A0" w:firstRow="1" w:lastRow="0" w:firstColumn="1" w:lastColumn="0" w:noHBand="0" w:noVBand="1"/>
            </w:tblPr>
            <w:tblGrid>
              <w:gridCol w:w="6692"/>
              <w:gridCol w:w="6009"/>
            </w:tblGrid>
            <w:tr w:rsidR="00C454A1" w:rsidRPr="00606E01" w14:paraId="3027119C" w14:textId="77777777" w:rsidTr="001F3006">
              <w:trPr>
                <w:jc w:val="center"/>
              </w:trPr>
              <w:tc>
                <w:tcPr>
                  <w:tcW w:w="6692" w:type="dxa"/>
                </w:tcPr>
                <w:p w14:paraId="754C6E0B"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Actividad ilícita</w:t>
                  </w:r>
                </w:p>
              </w:tc>
              <w:tc>
                <w:tcPr>
                  <w:tcW w:w="6009" w:type="dxa"/>
                </w:tcPr>
                <w:p w14:paraId="102680C7" w14:textId="77777777" w:rsidR="00C454A1" w:rsidRPr="00606E01" w:rsidRDefault="00C454A1" w:rsidP="00881E6A">
                  <w:pPr>
                    <w:pStyle w:val="Prrafodelista"/>
                    <w:ind w:left="0" w:right="272"/>
                    <w:jc w:val="center"/>
                    <w:rPr>
                      <w:rFonts w:cs="Times New Roman"/>
                      <w:color w:val="000000" w:themeColor="text1"/>
                      <w:sz w:val="22"/>
                      <w:szCs w:val="22"/>
                      <w:lang w:val="es-ES"/>
                    </w:rPr>
                  </w:pPr>
                  <w:r w:rsidRPr="18A5A279">
                    <w:rPr>
                      <w:rFonts w:cs="Times New Roman"/>
                      <w:color w:val="000000" w:themeColor="text1"/>
                      <w:sz w:val="22"/>
                      <w:szCs w:val="22"/>
                      <w:lang w:val="es-ES"/>
                    </w:rPr>
                    <w:t>Medidas adoptadas</w:t>
                  </w:r>
                </w:p>
              </w:tc>
            </w:tr>
            <w:tr w:rsidR="00C454A1" w:rsidRPr="00F8202F" w14:paraId="6E7850FB" w14:textId="77777777" w:rsidTr="001F3006">
              <w:trPr>
                <w:trHeight w:val="942"/>
                <w:jc w:val="center"/>
              </w:trPr>
              <w:tc>
                <w:tcPr>
                  <w:tcW w:w="6692" w:type="dxa"/>
                </w:tcPr>
                <w:p w14:paraId="65DB53CE"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Ataques mediante drones: Estos grupos han mostrado capacidad para realizar ataques usando drones acondicionados con artefactos explosivos improvisados (AEI).</w:t>
                  </w:r>
                </w:p>
              </w:tc>
              <w:tc>
                <w:tcPr>
                  <w:tcW w:w="6009" w:type="dxa"/>
                  <w:vMerge w:val="restart"/>
                </w:tcPr>
                <w:p w14:paraId="2A2AE047"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 xml:space="preserve">1. Monitoreo y vigilancia continua: Se han implementado sistemas de vigilancia en tiempo real, incluyendo puntos </w:t>
                  </w:r>
                  <w:r w:rsidRPr="18A5A279">
                    <w:rPr>
                      <w:rFonts w:ascii="Times New Roman" w:hAnsi="Times New Roman"/>
                      <w:color w:val="000000" w:themeColor="text1"/>
                      <w:sz w:val="22"/>
                      <w:szCs w:val="22"/>
                    </w:rPr>
                    <w:lastRenderedPageBreak/>
                    <w:t>estratégicos de observación para la detección temprana de actividades ilegales.</w:t>
                  </w:r>
                </w:p>
                <w:p w14:paraId="49EAC07C" w14:textId="77777777" w:rsidR="00C454A1" w:rsidRPr="00606E01" w:rsidRDefault="00C454A1" w:rsidP="00881E6A">
                  <w:pPr>
                    <w:pStyle w:val="p1"/>
                    <w:ind w:right="272"/>
                    <w:jc w:val="both"/>
                    <w:rPr>
                      <w:rFonts w:ascii="Times New Roman" w:hAnsi="Times New Roman"/>
                      <w:color w:val="000000" w:themeColor="text1"/>
                      <w:sz w:val="22"/>
                      <w:szCs w:val="22"/>
                    </w:rPr>
                  </w:pPr>
                </w:p>
                <w:p w14:paraId="4DE733D5"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2. Análisis de inteligencia: Se lleva a cabo un análisis exhaustivo de fuentes abiertas y confidenciales para identificar posibles amenazas y prevenir ataques.</w:t>
                  </w:r>
                </w:p>
                <w:p w14:paraId="39BC439A" w14:textId="77777777" w:rsidR="00C454A1" w:rsidRPr="00606E01" w:rsidRDefault="00C454A1" w:rsidP="00881E6A">
                  <w:pPr>
                    <w:pStyle w:val="p1"/>
                    <w:ind w:right="272"/>
                    <w:jc w:val="both"/>
                    <w:rPr>
                      <w:rFonts w:ascii="Times New Roman" w:hAnsi="Times New Roman"/>
                      <w:color w:val="000000" w:themeColor="text1"/>
                      <w:sz w:val="22"/>
                      <w:szCs w:val="22"/>
                    </w:rPr>
                  </w:pPr>
                </w:p>
                <w:p w14:paraId="067A40E4"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3. Operativos preventivos y patrullajes: Se efectúan patrullajes de seguridad en áreas sensibles identificadas por el análisis de inteligencia. Estos operativos buscan disuadir a los grupos armados y proteger a la población civil.</w:t>
                  </w:r>
                </w:p>
                <w:p w14:paraId="1B182B6B" w14:textId="77777777" w:rsidR="00C454A1" w:rsidRPr="00606E01" w:rsidRDefault="00C454A1" w:rsidP="00881E6A">
                  <w:pPr>
                    <w:pStyle w:val="p1"/>
                    <w:ind w:right="272"/>
                    <w:jc w:val="both"/>
                    <w:rPr>
                      <w:rFonts w:ascii="Times New Roman" w:hAnsi="Times New Roman"/>
                      <w:color w:val="000000" w:themeColor="text1"/>
                      <w:sz w:val="22"/>
                      <w:szCs w:val="22"/>
                    </w:rPr>
                  </w:pPr>
                </w:p>
                <w:p w14:paraId="09467161"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4.</w:t>
                  </w:r>
                  <w:r w:rsidRPr="18A5A279">
                    <w:rPr>
                      <w:rFonts w:ascii="Times New Roman" w:hAnsi="Times New Roman"/>
                      <w:b/>
                      <w:bCs/>
                      <w:color w:val="000000" w:themeColor="text1"/>
                      <w:sz w:val="22"/>
                      <w:szCs w:val="22"/>
                    </w:rPr>
                    <w:t xml:space="preserve"> </w:t>
                  </w:r>
                  <w:r w:rsidRPr="18A5A279">
                    <w:rPr>
                      <w:rFonts w:ascii="Times New Roman" w:hAnsi="Times New Roman"/>
                      <w:color w:val="000000" w:themeColor="text1"/>
                      <w:sz w:val="22"/>
                      <w:szCs w:val="22"/>
                    </w:rPr>
                    <w:t>Implementación de la Alerta Temprana: La Alerta Temprana 026 del 2024 ha sido una herramienta clave para activar protocolos de seguridad y coordinar acciones preventivas entre las entidades involucradas</w:t>
                  </w:r>
                  <w:r w:rsidRPr="18A5A279">
                    <w:rPr>
                      <w:rFonts w:ascii="Times New Roman" w:hAnsi="Times New Roman"/>
                      <w:b/>
                      <w:bCs/>
                      <w:color w:val="000000" w:themeColor="text1"/>
                      <w:sz w:val="22"/>
                      <w:szCs w:val="22"/>
                    </w:rPr>
                    <w:t>.</w:t>
                  </w:r>
                </w:p>
              </w:tc>
            </w:tr>
            <w:tr w:rsidR="00C454A1" w:rsidRPr="00F8202F" w14:paraId="0DDFE7B7" w14:textId="77777777" w:rsidTr="001F3006">
              <w:trPr>
                <w:trHeight w:val="1125"/>
                <w:jc w:val="center"/>
              </w:trPr>
              <w:tc>
                <w:tcPr>
                  <w:tcW w:w="6692" w:type="dxa"/>
                </w:tcPr>
                <w:p w14:paraId="18C7969C"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lastRenderedPageBreak/>
                    <w:t>Siembra de Cultivos ilícitos como la coca y la marihuana: presentando una actividad de siembra , transformación comercialización venta y consumo, presentando así mismo como contaminación del suelo y humana dentro del municipio.</w:t>
                  </w:r>
                </w:p>
              </w:tc>
              <w:tc>
                <w:tcPr>
                  <w:tcW w:w="6009" w:type="dxa"/>
                  <w:vMerge/>
                </w:tcPr>
                <w:p w14:paraId="3BE9A807" w14:textId="77777777" w:rsidR="00C454A1" w:rsidRPr="00606E01" w:rsidRDefault="00C454A1" w:rsidP="00881E6A">
                  <w:pPr>
                    <w:pStyle w:val="Prrafodelista"/>
                    <w:ind w:left="0" w:right="272"/>
                    <w:rPr>
                      <w:rFonts w:cs="Times New Roman"/>
                      <w:sz w:val="22"/>
                      <w:szCs w:val="22"/>
                      <w:lang w:val="es-ES_tradnl"/>
                    </w:rPr>
                  </w:pPr>
                </w:p>
              </w:tc>
            </w:tr>
            <w:tr w:rsidR="00C454A1" w:rsidRPr="00F8202F" w14:paraId="7B079177" w14:textId="77777777" w:rsidTr="001F3006">
              <w:trPr>
                <w:trHeight w:val="986"/>
                <w:jc w:val="center"/>
              </w:trPr>
              <w:tc>
                <w:tcPr>
                  <w:tcW w:w="6692" w:type="dxa"/>
                </w:tcPr>
                <w:p w14:paraId="61C922C8"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lastRenderedPageBreak/>
                    <w:t>Lanzamiento de municiones: También se ha reportado la utilización de municiones de fabricación no convencional, como parte de sus operaciones armadas.</w:t>
                  </w:r>
                </w:p>
              </w:tc>
              <w:tc>
                <w:tcPr>
                  <w:tcW w:w="6009" w:type="dxa"/>
                  <w:vMerge/>
                </w:tcPr>
                <w:p w14:paraId="7C48418C" w14:textId="77777777" w:rsidR="00C454A1" w:rsidRPr="00606E01" w:rsidRDefault="00C454A1" w:rsidP="00881E6A">
                  <w:pPr>
                    <w:pStyle w:val="Prrafodelista"/>
                    <w:ind w:left="0" w:right="272"/>
                    <w:rPr>
                      <w:rFonts w:cs="Times New Roman"/>
                      <w:sz w:val="22"/>
                      <w:szCs w:val="22"/>
                      <w:lang w:val="es-ES_tradnl"/>
                    </w:rPr>
                  </w:pPr>
                </w:p>
              </w:tc>
            </w:tr>
            <w:tr w:rsidR="00C454A1" w:rsidRPr="00F8202F" w14:paraId="0D5D6BE9" w14:textId="77777777" w:rsidTr="001F3006">
              <w:trPr>
                <w:trHeight w:val="972"/>
                <w:jc w:val="center"/>
              </w:trPr>
              <w:tc>
                <w:tcPr>
                  <w:tcW w:w="6692" w:type="dxa"/>
                </w:tcPr>
                <w:p w14:paraId="6C647AF0"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Fabricación de vehículos explosivos improvisados (VEX): Se ha detectado la preparación de vehículos acondicionados con explosivos para ejecutar ataques.</w:t>
                  </w:r>
                </w:p>
              </w:tc>
              <w:tc>
                <w:tcPr>
                  <w:tcW w:w="6009" w:type="dxa"/>
                  <w:vMerge/>
                </w:tcPr>
                <w:p w14:paraId="65CD3B00" w14:textId="77777777" w:rsidR="00C454A1" w:rsidRPr="00606E01" w:rsidRDefault="00C454A1" w:rsidP="00881E6A">
                  <w:pPr>
                    <w:pStyle w:val="Prrafodelista"/>
                    <w:ind w:left="0" w:right="272"/>
                    <w:rPr>
                      <w:rFonts w:cs="Times New Roman"/>
                      <w:sz w:val="22"/>
                      <w:szCs w:val="22"/>
                      <w:lang w:val="es-ES_tradnl"/>
                    </w:rPr>
                  </w:pPr>
                </w:p>
              </w:tc>
            </w:tr>
            <w:tr w:rsidR="00C454A1" w:rsidRPr="00F8202F" w14:paraId="1E9F3EB2" w14:textId="77777777" w:rsidTr="001F3006">
              <w:trPr>
                <w:trHeight w:val="734"/>
                <w:jc w:val="center"/>
              </w:trPr>
              <w:tc>
                <w:tcPr>
                  <w:tcW w:w="6692" w:type="dxa"/>
                </w:tcPr>
                <w:p w14:paraId="54017540"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Despliegue de francotiradores: El uso de francotiradores ha sido identificado como una táctica de intimidación y ataque.</w:t>
                  </w:r>
                </w:p>
              </w:tc>
              <w:tc>
                <w:tcPr>
                  <w:tcW w:w="6009" w:type="dxa"/>
                  <w:vMerge/>
                </w:tcPr>
                <w:p w14:paraId="56FC0D83" w14:textId="77777777" w:rsidR="00C454A1" w:rsidRPr="00606E01" w:rsidRDefault="00C454A1" w:rsidP="00881E6A">
                  <w:pPr>
                    <w:pStyle w:val="Prrafodelista"/>
                    <w:ind w:left="0" w:right="272"/>
                    <w:rPr>
                      <w:rFonts w:cs="Times New Roman"/>
                      <w:sz w:val="22"/>
                      <w:szCs w:val="22"/>
                      <w:lang w:val="es-ES_tradnl"/>
                    </w:rPr>
                  </w:pPr>
                </w:p>
              </w:tc>
            </w:tr>
            <w:tr w:rsidR="00C454A1" w:rsidRPr="00F8202F" w14:paraId="72C01D86" w14:textId="77777777" w:rsidTr="001F3006">
              <w:trPr>
                <w:trHeight w:val="253"/>
                <w:jc w:val="center"/>
              </w:trPr>
              <w:tc>
                <w:tcPr>
                  <w:tcW w:w="6692" w:type="dxa"/>
                  <w:vMerge w:val="restart"/>
                </w:tcPr>
                <w:p w14:paraId="5E34FFEA"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Instalación de minas antipersonales: En áreas de influencia de estos grupos se han detectado minas antipersonales, representando un peligro constante para la población civil y las fuerzas de seguridad.</w:t>
                  </w:r>
                </w:p>
              </w:tc>
              <w:tc>
                <w:tcPr>
                  <w:tcW w:w="6009" w:type="dxa"/>
                  <w:vMerge/>
                </w:tcPr>
                <w:p w14:paraId="324A9843" w14:textId="77777777" w:rsidR="00C454A1" w:rsidRPr="00606E01" w:rsidRDefault="00C454A1" w:rsidP="00881E6A">
                  <w:pPr>
                    <w:pStyle w:val="Prrafodelista"/>
                    <w:ind w:left="0" w:right="272"/>
                    <w:rPr>
                      <w:rFonts w:cs="Times New Roman"/>
                      <w:sz w:val="22"/>
                      <w:szCs w:val="22"/>
                      <w:lang w:val="es-ES_tradnl"/>
                    </w:rPr>
                  </w:pPr>
                </w:p>
              </w:tc>
            </w:tr>
            <w:tr w:rsidR="00C454A1" w:rsidRPr="00F8202F" w14:paraId="47395C26" w14:textId="77777777" w:rsidTr="001F3006">
              <w:trPr>
                <w:trHeight w:val="276"/>
                <w:jc w:val="center"/>
              </w:trPr>
              <w:tc>
                <w:tcPr>
                  <w:tcW w:w="6692" w:type="dxa"/>
                  <w:vMerge/>
                </w:tcPr>
                <w:p w14:paraId="4F39A00E" w14:textId="77777777" w:rsidR="00C454A1" w:rsidRPr="00606E01" w:rsidRDefault="00C454A1" w:rsidP="00881E6A">
                  <w:pPr>
                    <w:pStyle w:val="p1"/>
                    <w:ind w:right="272"/>
                    <w:jc w:val="both"/>
                    <w:rPr>
                      <w:rFonts w:ascii="Times New Roman" w:hAnsi="Times New Roman"/>
                      <w:sz w:val="22"/>
                      <w:szCs w:val="22"/>
                    </w:rPr>
                  </w:pPr>
                </w:p>
              </w:tc>
              <w:tc>
                <w:tcPr>
                  <w:tcW w:w="6009" w:type="dxa"/>
                  <w:vMerge w:val="restart"/>
                </w:tcPr>
                <w:p w14:paraId="70BE1505" w14:textId="77777777" w:rsidR="00C454A1" w:rsidRPr="00606E01" w:rsidRDefault="00C454A1" w:rsidP="00881E6A">
                  <w:pPr>
                    <w:pStyle w:val="Prrafodelista"/>
                    <w:ind w:left="0" w:right="272"/>
                    <w:rPr>
                      <w:rFonts w:cs="Times New Roman"/>
                      <w:color w:val="000000" w:themeColor="text1"/>
                      <w:sz w:val="22"/>
                      <w:szCs w:val="22"/>
                      <w:lang w:val="es-ES"/>
                    </w:rPr>
                  </w:pPr>
                  <w:r w:rsidRPr="18A5A279">
                    <w:rPr>
                      <w:rFonts w:cs="Times New Roman"/>
                      <w:color w:val="000000" w:themeColor="text1"/>
                      <w:sz w:val="22"/>
                      <w:szCs w:val="22"/>
                      <w:lang w:val="es-ES"/>
                    </w:rPr>
                    <w:t xml:space="preserve">La Alerta 026 de 2024 de la Defensoría del Pueblo cubre el </w:t>
                  </w:r>
                  <w:r>
                    <w:rPr>
                      <w:rFonts w:cs="Times New Roman"/>
                      <w:color w:val="000000" w:themeColor="text1"/>
                      <w:sz w:val="22"/>
                      <w:szCs w:val="22"/>
                      <w:lang w:val="es-ES"/>
                    </w:rPr>
                    <w:t>M</w:t>
                  </w:r>
                  <w:r w:rsidRPr="18A5A279">
                    <w:rPr>
                      <w:rFonts w:cs="Times New Roman"/>
                      <w:color w:val="000000" w:themeColor="text1"/>
                      <w:sz w:val="22"/>
                      <w:szCs w:val="22"/>
                      <w:lang w:val="es-ES"/>
                    </w:rPr>
                    <w:t xml:space="preserve">unicipio de González. Este ente territorial considera que la implementación de las medidas de dicha alerta ha facilitado la coordinación de esfuerzos para monitorear las actividades ilícitas y prevenir situaciones críticas. Las órdenes 1, 5, 6, 7, 8, 14, 16, 17 y 19 relacionan al </w:t>
                  </w:r>
                  <w:r>
                    <w:rPr>
                      <w:rFonts w:cs="Times New Roman"/>
                      <w:color w:val="000000" w:themeColor="text1"/>
                      <w:sz w:val="22"/>
                      <w:szCs w:val="22"/>
                      <w:lang w:val="es-ES"/>
                    </w:rPr>
                    <w:t>M</w:t>
                  </w:r>
                  <w:r w:rsidRPr="18A5A279">
                    <w:rPr>
                      <w:rFonts w:cs="Times New Roman"/>
                      <w:color w:val="000000" w:themeColor="text1"/>
                      <w:sz w:val="22"/>
                      <w:szCs w:val="22"/>
                      <w:lang w:val="es-ES"/>
                    </w:rPr>
                    <w:t>unicipio, aunque no como autoridad concernida.</w:t>
                  </w:r>
                </w:p>
              </w:tc>
            </w:tr>
            <w:tr w:rsidR="00C454A1" w:rsidRPr="00F8202F" w14:paraId="47637F73" w14:textId="77777777" w:rsidTr="001F3006">
              <w:trPr>
                <w:jc w:val="center"/>
              </w:trPr>
              <w:tc>
                <w:tcPr>
                  <w:tcW w:w="6692" w:type="dxa"/>
                </w:tcPr>
                <w:p w14:paraId="7E90F70A"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Trampas y medios de lanzamiento: Se ha informado sobre la colocación de trampas y otros dispositivos destinados a causar daño a las fuerzas de seguridad y a la población.</w:t>
                  </w:r>
                </w:p>
              </w:tc>
              <w:tc>
                <w:tcPr>
                  <w:tcW w:w="6009" w:type="dxa"/>
                  <w:vMerge/>
                </w:tcPr>
                <w:p w14:paraId="1A6247A7" w14:textId="77777777" w:rsidR="00C454A1" w:rsidRPr="00606E01" w:rsidRDefault="00C454A1" w:rsidP="00881E6A">
                  <w:pPr>
                    <w:pStyle w:val="Prrafodelista"/>
                    <w:ind w:left="0" w:right="272"/>
                    <w:rPr>
                      <w:rFonts w:cs="Times New Roman"/>
                      <w:sz w:val="22"/>
                      <w:szCs w:val="22"/>
                      <w:lang w:val="es-ES_tradnl"/>
                    </w:rPr>
                  </w:pPr>
                </w:p>
              </w:tc>
            </w:tr>
            <w:tr w:rsidR="00C454A1" w:rsidRPr="00F8202F" w14:paraId="700F8771" w14:textId="77777777" w:rsidTr="001F3006">
              <w:trPr>
                <w:trHeight w:val="962"/>
                <w:jc w:val="center"/>
              </w:trPr>
              <w:tc>
                <w:tcPr>
                  <w:tcW w:w="6692" w:type="dxa"/>
                </w:tcPr>
                <w:p w14:paraId="4F1D37F1"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Coacción a la población civil: Estos grupos ejercen control mediante el</w:t>
                  </w:r>
                </w:p>
                <w:p w14:paraId="2EF7F83C"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acoso y el temor, lo que lleva a la población a expulsar a aquellos que no</w:t>
                  </w:r>
                </w:p>
                <w:p w14:paraId="79FAEDE9" w14:textId="77777777" w:rsidR="00C454A1" w:rsidRPr="00606E0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siguen sus directrices o a no permitir el ingreso de personas a áreas bajo su control.</w:t>
                  </w:r>
                </w:p>
              </w:tc>
              <w:tc>
                <w:tcPr>
                  <w:tcW w:w="6009" w:type="dxa"/>
                  <w:vMerge/>
                </w:tcPr>
                <w:p w14:paraId="2A85F4DD" w14:textId="77777777" w:rsidR="00C454A1" w:rsidRPr="00606E01" w:rsidRDefault="00C454A1" w:rsidP="00881E6A">
                  <w:pPr>
                    <w:pStyle w:val="Prrafodelista"/>
                    <w:ind w:left="0" w:right="272"/>
                    <w:rPr>
                      <w:rFonts w:cs="Times New Roman"/>
                      <w:sz w:val="22"/>
                      <w:szCs w:val="22"/>
                      <w:lang w:val="es-ES_tradnl"/>
                    </w:rPr>
                  </w:pPr>
                </w:p>
              </w:tc>
            </w:tr>
          </w:tbl>
          <w:p w14:paraId="1ECBECFE" w14:textId="77777777" w:rsidR="00C454A1" w:rsidRDefault="00C454A1" w:rsidP="00881E6A">
            <w:pPr>
              <w:ind w:right="272"/>
              <w:rPr>
                <w:rFonts w:cs="Times New Roman"/>
                <w:color w:val="000000" w:themeColor="text1"/>
                <w:lang w:val="es-ES"/>
              </w:rPr>
            </w:pPr>
          </w:p>
          <w:p w14:paraId="104F9854" w14:textId="77777777" w:rsidR="00C454A1" w:rsidRPr="00606E01" w:rsidRDefault="00C454A1" w:rsidP="00881E6A">
            <w:pPr>
              <w:ind w:right="272"/>
              <w:rPr>
                <w:rFonts w:cs="Times New Roman"/>
                <w:color w:val="000000" w:themeColor="text1"/>
              </w:rPr>
            </w:pPr>
            <w:r w:rsidRPr="18A5A279">
              <w:rPr>
                <w:rFonts w:cs="Times New Roman"/>
                <w:i/>
                <w:iCs/>
                <w:color w:val="000000" w:themeColor="text1"/>
                <w:lang w:val="es-ES"/>
              </w:rPr>
              <w:t xml:space="preserve">Autores o presuntos partícipes. </w:t>
            </w:r>
            <w:r w:rsidRPr="18A5A279">
              <w:rPr>
                <w:rFonts w:cs="Times New Roman"/>
                <w:color w:val="000000" w:themeColor="text1"/>
                <w:lang w:val="es-ES"/>
              </w:rPr>
              <w:t xml:space="preserve">La entidad informó que los actores involucrados </w:t>
            </w:r>
            <w:r w:rsidRPr="18A5A279">
              <w:rPr>
                <w:rFonts w:cs="Times New Roman"/>
                <w:color w:val="000000" w:themeColor="text1"/>
              </w:rPr>
              <w:t xml:space="preserve">son grupos al margen de la ley: </w:t>
            </w:r>
            <w:r w:rsidRPr="18A5A279">
              <w:rPr>
                <w:rFonts w:cs="Times New Roman"/>
                <w:i/>
                <w:iCs/>
                <w:color w:val="000000" w:themeColor="text1"/>
              </w:rPr>
              <w:t>(i)</w:t>
            </w:r>
            <w:r w:rsidRPr="18A5A279">
              <w:rPr>
                <w:rFonts w:cs="Times New Roman"/>
                <w:color w:val="000000" w:themeColor="text1"/>
              </w:rPr>
              <w:t xml:space="preserve"> FARC-EP, </w:t>
            </w:r>
            <w:r w:rsidRPr="18A5A279">
              <w:rPr>
                <w:rFonts w:cs="Times New Roman"/>
                <w:i/>
                <w:iCs/>
                <w:color w:val="000000" w:themeColor="text1"/>
              </w:rPr>
              <w:t>(ii)</w:t>
            </w:r>
            <w:r w:rsidRPr="18A5A279">
              <w:rPr>
                <w:rFonts w:cs="Times New Roman"/>
                <w:color w:val="000000" w:themeColor="text1"/>
              </w:rPr>
              <w:t xml:space="preserve"> EPL y ELN, específicamente, los frentes “Camilo Torres Restrepo” y “Héctor”. En adición, explicó que la presencia de estos grupos criminales se explica en la ubicación geoestratégica del </w:t>
            </w:r>
            <w:r>
              <w:rPr>
                <w:rFonts w:cs="Times New Roman"/>
                <w:color w:val="000000" w:themeColor="text1"/>
              </w:rPr>
              <w:t>m</w:t>
            </w:r>
            <w:r w:rsidRPr="18A5A279">
              <w:rPr>
                <w:rFonts w:cs="Times New Roman"/>
                <w:color w:val="000000" w:themeColor="text1"/>
              </w:rPr>
              <w:t>unicipio, ya que cuenta con “el corredor principal que conduce de Ocaña a Convención hasta la altura de la Y del Chamizo, cuenta con diferentes v</w:t>
            </w:r>
            <w:r>
              <w:rPr>
                <w:rFonts w:cs="Times New Roman"/>
                <w:color w:val="000000" w:themeColor="text1"/>
              </w:rPr>
              <w:t>í</w:t>
            </w:r>
            <w:r w:rsidRPr="18A5A279">
              <w:rPr>
                <w:rFonts w:cs="Times New Roman"/>
                <w:color w:val="000000" w:themeColor="text1"/>
              </w:rPr>
              <w:t xml:space="preserve">as terciarias las cuales conectan por el occidente a Otare, González Vijagual, Burbura y Convención, cuenta por la parte </w:t>
            </w:r>
            <w:r w:rsidRPr="18A5A279">
              <w:rPr>
                <w:rFonts w:cs="Times New Roman"/>
                <w:color w:val="000000" w:themeColor="text1"/>
              </w:rPr>
              <w:lastRenderedPageBreak/>
              <w:t>sur oriente del municipio con el corredor que conduce de Aguas Claras y la avenida que es paralela al oriente del municipio que conduce desde Rio de Oro, Otare, El Carmen, vías que desprenden como la Y de San Isidro (…)”</w:t>
            </w:r>
            <w:r w:rsidRPr="18A5A279">
              <w:rPr>
                <w:rStyle w:val="Refdenotaalpie"/>
                <w:rFonts w:cs="Times New Roman"/>
                <w:color w:val="000000" w:themeColor="text1"/>
              </w:rPr>
              <w:footnoteReference w:id="746"/>
            </w:r>
            <w:r w:rsidRPr="18A5A279">
              <w:rPr>
                <w:rFonts w:cs="Times New Roman"/>
                <w:color w:val="000000" w:themeColor="text1"/>
              </w:rPr>
              <w:t>.</w:t>
            </w:r>
          </w:p>
          <w:p w14:paraId="58939000" w14:textId="77777777" w:rsidR="00C454A1" w:rsidRPr="00606E01" w:rsidRDefault="00C454A1" w:rsidP="00881E6A">
            <w:pPr>
              <w:ind w:right="272"/>
              <w:rPr>
                <w:rFonts w:cs="Times New Roman"/>
                <w:color w:val="000000" w:themeColor="text1"/>
              </w:rPr>
            </w:pPr>
          </w:p>
          <w:p w14:paraId="300846C3" w14:textId="77777777" w:rsidR="00C454A1" w:rsidRPr="00606E01" w:rsidRDefault="00C454A1" w:rsidP="00881E6A">
            <w:pPr>
              <w:ind w:right="272"/>
              <w:rPr>
                <w:rFonts w:cs="Times New Roman"/>
                <w:color w:val="000000" w:themeColor="text1"/>
              </w:rPr>
            </w:pPr>
            <w:r w:rsidRPr="18A5A279">
              <w:rPr>
                <w:rFonts w:cs="Times New Roman"/>
                <w:i/>
                <w:iCs/>
                <w:color w:val="000000" w:themeColor="text1"/>
              </w:rPr>
              <w:t>Las posibles causas de la problemática y la respuesta institucional</w:t>
            </w:r>
            <w:r w:rsidRPr="18A5A279">
              <w:rPr>
                <w:rFonts w:cs="Times New Roman"/>
                <w:color w:val="000000" w:themeColor="text1"/>
              </w:rPr>
              <w:t xml:space="preserve">. En línea con lo anterior, el ente territorial se pronunció sobre las posibles causas de la problemática mencionada, dentro de lo que resalta la confrontación entre grupos armados al margen de la ley y el actuar delictivo de estos últimos, así como la limitada capacidad de respuesta que tiene el municipio para responder ante dichos fenómenos, pese a lo cual la alcaldesa municipal se refirió a las medidas que ha adoptado el municipio y a las que se han adoptado en coordinación con otras entidades estatales. Frente a estas últimas, mencionó cuáles han sido los mecanismos a los que ha acudido para advertir al Gobierno </w:t>
            </w:r>
            <w:r>
              <w:rPr>
                <w:rFonts w:cs="Times New Roman"/>
                <w:color w:val="000000" w:themeColor="text1"/>
              </w:rPr>
              <w:t>n</w:t>
            </w:r>
            <w:r w:rsidRPr="18A5A279">
              <w:rPr>
                <w:rFonts w:cs="Times New Roman"/>
                <w:color w:val="000000" w:themeColor="text1"/>
              </w:rPr>
              <w:t>acional del riesgo en el que encuentra la población civil respecto de la garantía de los derechos fundamentales de la población civil.</w:t>
            </w:r>
          </w:p>
          <w:p w14:paraId="488F7CDB" w14:textId="77777777" w:rsidR="00C454A1" w:rsidRPr="00606E01" w:rsidRDefault="00C454A1" w:rsidP="00881E6A">
            <w:pPr>
              <w:ind w:right="272"/>
              <w:rPr>
                <w:rFonts w:cs="Times New Roman"/>
                <w:color w:val="000000" w:themeColor="text1"/>
              </w:rPr>
            </w:pPr>
          </w:p>
          <w:p w14:paraId="43B5CB7A" w14:textId="77777777" w:rsidR="00C454A1" w:rsidRPr="00606E01" w:rsidRDefault="00C454A1" w:rsidP="00881E6A">
            <w:pPr>
              <w:ind w:right="272"/>
              <w:rPr>
                <w:rFonts w:cs="Times New Roman"/>
                <w:color w:val="000000" w:themeColor="text1"/>
              </w:rPr>
            </w:pPr>
            <w:r w:rsidRPr="18A5A279">
              <w:rPr>
                <w:rFonts w:cs="Times New Roman"/>
                <w:color w:val="000000" w:themeColor="text1"/>
              </w:rPr>
              <w:t>De otro lado, la funcionaria también se pronunció respecto de las capacidades institucionales para responder a los fenómenos delictivos antes mencionados, frente a lo cual destacó problemáticas asociadas con la escases de recursos económicos, falta de infraestructura, limitada capacidad operativa y logística y la dependencia de recursos “externos”, estos últimos relacionados con la asistencia de organizaciones no gubernamentales y, al parecer, los recursos provenientes del gobierno central (no distinguió la naturaleza jurídica de tales recursos, simplemente los catalogó como externos)</w:t>
            </w:r>
            <w:r w:rsidRPr="18A5A279">
              <w:rPr>
                <w:rStyle w:val="Refdenotaalpie"/>
                <w:rFonts w:cs="Times New Roman"/>
                <w:color w:val="000000" w:themeColor="text1"/>
              </w:rPr>
              <w:footnoteReference w:id="747"/>
            </w:r>
            <w:r w:rsidRPr="18A5A279">
              <w:rPr>
                <w:rFonts w:cs="Times New Roman"/>
                <w:color w:val="000000" w:themeColor="text1"/>
              </w:rPr>
              <w:t>.</w:t>
            </w:r>
          </w:p>
          <w:p w14:paraId="304BF312" w14:textId="77777777" w:rsidR="00C454A1" w:rsidRPr="00606E01" w:rsidRDefault="00C454A1" w:rsidP="00881E6A">
            <w:pPr>
              <w:ind w:right="272"/>
              <w:rPr>
                <w:rFonts w:cs="Times New Roman"/>
                <w:color w:val="000000" w:themeColor="text1"/>
              </w:rPr>
            </w:pPr>
          </w:p>
          <w:p w14:paraId="6CB8B4A8" w14:textId="77777777" w:rsidR="00C454A1" w:rsidRPr="00606E01" w:rsidRDefault="00C454A1" w:rsidP="00881E6A">
            <w:pPr>
              <w:ind w:right="272"/>
              <w:rPr>
                <w:rFonts w:cs="Times New Roman"/>
                <w:color w:val="000000" w:themeColor="text1"/>
              </w:rPr>
            </w:pPr>
            <w:r w:rsidRPr="18A5A279">
              <w:rPr>
                <w:rFonts w:cs="Times New Roman"/>
                <w:color w:val="000000" w:themeColor="text1"/>
              </w:rPr>
              <w:t>Sin perjuicio de lo referido en el último cuadro, la entidad informó que se han implementado diversas acciones dentro de las estrategias de prevención y mitigación de la violencia</w:t>
            </w:r>
            <w:r>
              <w:rPr>
                <w:rFonts w:cs="Times New Roman"/>
                <w:color w:val="000000" w:themeColor="text1"/>
              </w:rPr>
              <w:t>:</w:t>
            </w:r>
            <w:r w:rsidRPr="18A5A279">
              <w:rPr>
                <w:rFonts w:cs="Times New Roman"/>
                <w:color w:val="000000" w:themeColor="text1"/>
              </w:rPr>
              <w:t xml:space="preserve"> </w:t>
            </w:r>
            <w:r w:rsidRPr="18A5A279">
              <w:rPr>
                <w:rFonts w:cs="Times New Roman"/>
                <w:i/>
                <w:iCs/>
                <w:color w:val="000000" w:themeColor="text1"/>
              </w:rPr>
              <w:t xml:space="preserve">(a) </w:t>
            </w:r>
            <w:r w:rsidRPr="18A5A279">
              <w:rPr>
                <w:rFonts w:cs="Times New Roman"/>
                <w:color w:val="000000" w:themeColor="text1"/>
              </w:rPr>
              <w:t xml:space="preserve">el fortalecimiento de la inteligencia y el análisis criminal, a través de investigaciones coordinadas con organismos judiciales para esclarecer los casos y evitar la reincidencia de hechos violentos; </w:t>
            </w:r>
            <w:r w:rsidRPr="18A5A279">
              <w:rPr>
                <w:rFonts w:cs="Times New Roman"/>
                <w:i/>
                <w:iCs/>
                <w:color w:val="000000" w:themeColor="text1"/>
              </w:rPr>
              <w:t xml:space="preserve">(b) </w:t>
            </w:r>
            <w:r w:rsidRPr="18A5A279">
              <w:rPr>
                <w:rFonts w:cs="Times New Roman"/>
                <w:color w:val="000000" w:themeColor="text1"/>
              </w:rPr>
              <w:t xml:space="preserve">patrullajes preventivos y operativos focalizados en zonas de alto riesgo; </w:t>
            </w:r>
            <w:r w:rsidRPr="18A5A279">
              <w:rPr>
                <w:rFonts w:cs="Times New Roman"/>
                <w:i/>
                <w:iCs/>
                <w:color w:val="000000" w:themeColor="text1"/>
              </w:rPr>
              <w:t xml:space="preserve">(c) </w:t>
            </w:r>
            <w:r w:rsidRPr="18A5A279">
              <w:rPr>
                <w:rFonts w:cs="Times New Roman"/>
                <w:color w:val="000000" w:themeColor="text1"/>
              </w:rPr>
              <w:t xml:space="preserve">el refuerzo de programas de prevención del delito dirigidos a jóvenes en situación de vulnerabilidad; </w:t>
            </w:r>
            <w:r w:rsidRPr="18A5A279">
              <w:rPr>
                <w:rFonts w:cs="Times New Roman"/>
                <w:i/>
                <w:iCs/>
                <w:color w:val="000000" w:themeColor="text1"/>
              </w:rPr>
              <w:t>(d)</w:t>
            </w:r>
            <w:r w:rsidRPr="18A5A279">
              <w:rPr>
                <w:rFonts w:cs="Times New Roman"/>
                <w:color w:val="000000" w:themeColor="text1"/>
              </w:rPr>
              <w:t xml:space="preserve"> se ha trabajado </w:t>
            </w:r>
            <w:r w:rsidRPr="18A5A279">
              <w:rPr>
                <w:rFonts w:cs="Times New Roman"/>
                <w:color w:val="000000" w:themeColor="text1"/>
              </w:rPr>
              <w:lastRenderedPageBreak/>
              <w:t>de forma articulada con autoridades judiciales, organismos de derechos humanos y entidades de bienestar social, garantizando la protección de las víctimas y la judicialización de los responsables.</w:t>
            </w:r>
          </w:p>
          <w:p w14:paraId="04F776F0" w14:textId="77777777" w:rsidR="00C454A1" w:rsidRPr="00606E01" w:rsidRDefault="00C454A1" w:rsidP="00881E6A">
            <w:pPr>
              <w:ind w:right="272"/>
              <w:rPr>
                <w:rFonts w:cs="Times New Roman"/>
                <w:color w:val="000000" w:themeColor="text1"/>
              </w:rPr>
            </w:pPr>
          </w:p>
          <w:p w14:paraId="249A89DD" w14:textId="77777777" w:rsidR="00C454A1" w:rsidRPr="00606E01" w:rsidRDefault="00C454A1" w:rsidP="00881E6A">
            <w:pPr>
              <w:ind w:right="272"/>
              <w:rPr>
                <w:rFonts w:cs="Times New Roman"/>
                <w:color w:val="000000" w:themeColor="text1"/>
              </w:rPr>
            </w:pPr>
            <w:r w:rsidRPr="18A5A279">
              <w:rPr>
                <w:rFonts w:cs="Times New Roman"/>
                <w:i/>
                <w:iCs/>
                <w:color w:val="000000" w:themeColor="text1"/>
              </w:rPr>
              <w:t xml:space="preserve">Aspectos ambientales. </w:t>
            </w:r>
            <w:r w:rsidRPr="18A5A279">
              <w:rPr>
                <w:rFonts w:cs="Times New Roman"/>
                <w:color w:val="000000" w:themeColor="text1"/>
              </w:rPr>
              <w:t xml:space="preserve">Finalmente, la entidad informó cuáles han sido los daños ambientales ocurridos en el territorio, que no se ha podido establecer quiénes son los responsables de tales daños e informó que el Gobierno </w:t>
            </w:r>
            <w:r>
              <w:rPr>
                <w:rFonts w:cs="Times New Roman"/>
                <w:color w:val="000000" w:themeColor="text1"/>
              </w:rPr>
              <w:t>n</w:t>
            </w:r>
            <w:r w:rsidRPr="18A5A279">
              <w:rPr>
                <w:rFonts w:cs="Times New Roman"/>
                <w:color w:val="000000" w:themeColor="text1"/>
              </w:rPr>
              <w:t>acional no ha adoptado medidas para afrontar las consecuencias de los daños ambientales causados en su jurisdicción territorial</w:t>
            </w:r>
            <w:r w:rsidRPr="18A5A279">
              <w:rPr>
                <w:rStyle w:val="Refdenotaalpie"/>
                <w:rFonts w:cs="Times New Roman"/>
                <w:color w:val="000000" w:themeColor="text1"/>
              </w:rPr>
              <w:footnoteReference w:id="748"/>
            </w:r>
            <w:r w:rsidRPr="18A5A279">
              <w:rPr>
                <w:rFonts w:cs="Times New Roman"/>
                <w:color w:val="000000" w:themeColor="text1"/>
              </w:rPr>
              <w:t>. En relación con lo primero, el ente territorial informó que en el sector de “Llanos del Oro” y “Cundina” de la Vereda San Cayetano, se han realizado daños ambientales de deforestación, particularmente, mencionó la tala indiscriminada de árboles. Agregó que en este lugar se encuentra los yacimientos de agua que abastece la planta de tratamiento al municipio.</w:t>
            </w:r>
          </w:p>
        </w:tc>
      </w:tr>
      <w:tr w:rsidR="00C454A1" w:rsidRPr="00F8202F" w14:paraId="5E88A88D" w14:textId="77777777" w:rsidTr="005F4A6F">
        <w:trPr>
          <w:trHeight w:val="300"/>
        </w:trPr>
        <w:tc>
          <w:tcPr>
            <w:tcW w:w="642" w:type="pct"/>
            <w:vAlign w:val="center"/>
          </w:tcPr>
          <w:p w14:paraId="574BFA9A" w14:textId="77777777" w:rsidR="00C454A1" w:rsidRPr="00DA6C7F" w:rsidRDefault="00C454A1" w:rsidP="00881E6A">
            <w:pPr>
              <w:ind w:right="272"/>
              <w:jc w:val="center"/>
              <w:rPr>
                <w:rFonts w:cs="Times New Roman"/>
                <w:b/>
              </w:rPr>
            </w:pPr>
            <w:r w:rsidRPr="00DA6C7F">
              <w:rPr>
                <w:rFonts w:cs="Times New Roman"/>
                <w:b/>
              </w:rPr>
              <w:lastRenderedPageBreak/>
              <w:t>ARN I</w:t>
            </w:r>
          </w:p>
        </w:tc>
        <w:tc>
          <w:tcPr>
            <w:tcW w:w="4358" w:type="pct"/>
          </w:tcPr>
          <w:p w14:paraId="18D9BA2B" w14:textId="77777777" w:rsidR="00C454A1" w:rsidRPr="002065D1" w:rsidRDefault="00C454A1" w:rsidP="00881E6A">
            <w:pPr>
              <w:pStyle w:val="paragraph"/>
              <w:spacing w:before="0" w:beforeAutospacing="0" w:after="0" w:afterAutospacing="0"/>
              <w:ind w:right="272"/>
              <w:jc w:val="both"/>
              <w:textAlignment w:val="baseline"/>
              <w:rPr>
                <w:rStyle w:val="eop"/>
                <w:rFonts w:eastAsiaTheme="majorEastAsia"/>
                <w:color w:val="000000" w:themeColor="text1"/>
                <w:lang w:val="es-ES"/>
              </w:rPr>
            </w:pPr>
            <w:r>
              <w:rPr>
                <w:rStyle w:val="normaltextrun"/>
                <w:rFonts w:eastAsiaTheme="majorEastAsia"/>
                <w:color w:val="000000" w:themeColor="text1"/>
              </w:rPr>
              <w:t>R</w:t>
            </w:r>
            <w:r w:rsidRPr="18A5A279">
              <w:rPr>
                <w:rStyle w:val="normaltextrun"/>
                <w:rFonts w:eastAsiaTheme="majorEastAsia"/>
                <w:color w:val="000000" w:themeColor="text1"/>
              </w:rPr>
              <w:t xml:space="preserve">emitió información en relación con los interrogantes planteados en el auto de pruebas respecto de cada uno de los presupuestos, para lo que partió del supuesto de que su competencia está limitada al otorgamiento de beneficios a cinco tipos de destinatarios, según el proceso: </w:t>
            </w:r>
            <w:r w:rsidRPr="18A5A279">
              <w:rPr>
                <w:rStyle w:val="normaltextrun"/>
                <w:rFonts w:eastAsiaTheme="majorEastAsia"/>
                <w:i/>
                <w:iCs/>
                <w:color w:val="000000" w:themeColor="text1"/>
              </w:rPr>
              <w:t xml:space="preserve">(i) </w:t>
            </w:r>
            <w:r w:rsidRPr="18A5A279">
              <w:rPr>
                <w:rStyle w:val="eop"/>
                <w:rFonts w:eastAsiaTheme="majorEastAsia"/>
                <w:color w:val="000000" w:themeColor="text1"/>
                <w:lang w:val="es-ES"/>
              </w:rPr>
              <w:t xml:space="preserve">proceso de reintegración, dirigido a desmovilizados individuales y colectivos del proceso de paz adelantado con las Autodefensas Unidas de Colombia (AUC); </w:t>
            </w:r>
            <w:r w:rsidRPr="18A5A279">
              <w:rPr>
                <w:rStyle w:val="eop"/>
                <w:rFonts w:eastAsiaTheme="majorEastAsia"/>
                <w:i/>
                <w:iCs/>
                <w:color w:val="000000" w:themeColor="text1"/>
                <w:lang w:val="es-ES"/>
              </w:rPr>
              <w:t xml:space="preserve">(ii) </w:t>
            </w:r>
            <w:r w:rsidRPr="18A5A279">
              <w:rPr>
                <w:rStyle w:val="eop"/>
                <w:rFonts w:eastAsiaTheme="majorEastAsia"/>
                <w:color w:val="000000" w:themeColor="text1"/>
                <w:lang w:val="es-ES"/>
              </w:rPr>
              <w:t xml:space="preserve">proceso de reintegración particular y diferenciado de Justicia y Paz; </w:t>
            </w:r>
            <w:r w:rsidRPr="18A5A279">
              <w:rPr>
                <w:rStyle w:val="eop"/>
                <w:rFonts w:eastAsiaTheme="majorEastAsia"/>
                <w:i/>
                <w:iCs/>
                <w:color w:val="000000" w:themeColor="text1"/>
                <w:lang w:val="es-ES"/>
              </w:rPr>
              <w:t xml:space="preserve">(iii) </w:t>
            </w:r>
            <w:r w:rsidRPr="18A5A279">
              <w:rPr>
                <w:rStyle w:val="eop"/>
                <w:rFonts w:eastAsiaTheme="majorEastAsia"/>
                <w:color w:val="000000" w:themeColor="text1"/>
                <w:lang w:val="es-ES"/>
              </w:rPr>
              <w:t xml:space="preserve">proceso de reincorporación de los exintegrantes de las FARC-EP, en el marco del AFP; </w:t>
            </w:r>
            <w:r w:rsidRPr="18A5A279">
              <w:rPr>
                <w:rStyle w:val="eop"/>
                <w:rFonts w:eastAsiaTheme="majorEastAsia"/>
                <w:i/>
                <w:iCs/>
                <w:color w:val="000000" w:themeColor="text1"/>
                <w:lang w:val="es-ES"/>
              </w:rPr>
              <w:t xml:space="preserve">(iv) </w:t>
            </w:r>
            <w:r w:rsidRPr="18A5A279">
              <w:rPr>
                <w:rStyle w:val="eop"/>
                <w:rFonts w:eastAsiaTheme="majorEastAsia"/>
                <w:color w:val="000000" w:themeColor="text1"/>
                <w:lang w:val="es-ES"/>
              </w:rPr>
              <w:t xml:space="preserve">proceso de atención diferencial, que está dirigido a los exintegrantes de grupos armados organizados (GAO); y </w:t>
            </w:r>
            <w:r w:rsidRPr="18A5A279">
              <w:rPr>
                <w:rStyle w:val="eop"/>
                <w:rFonts w:eastAsiaTheme="majorEastAsia"/>
                <w:i/>
                <w:iCs/>
                <w:color w:val="000000" w:themeColor="text1"/>
                <w:lang w:val="es-ES"/>
              </w:rPr>
              <w:t xml:space="preserve">(v) </w:t>
            </w:r>
            <w:r w:rsidRPr="18A5A279">
              <w:rPr>
                <w:rStyle w:val="eop"/>
                <w:rFonts w:eastAsiaTheme="majorEastAsia"/>
                <w:color w:val="000000" w:themeColor="text1"/>
                <w:lang w:val="es-ES"/>
              </w:rPr>
              <w:t>proceso de acompañamiento a los miembros activos y retirados de la Fuerza Pública en el marco de la comparecencia a la Jurisdicción Especial para la Paz (JEP).</w:t>
            </w:r>
          </w:p>
          <w:p w14:paraId="73C7BD63" w14:textId="77777777" w:rsidR="00C454A1" w:rsidRPr="002065D1" w:rsidRDefault="00C454A1" w:rsidP="00881E6A">
            <w:pPr>
              <w:pStyle w:val="paragraph"/>
              <w:spacing w:before="0" w:beforeAutospacing="0" w:after="0" w:afterAutospacing="0"/>
              <w:ind w:right="272"/>
              <w:jc w:val="both"/>
              <w:textAlignment w:val="baseline"/>
              <w:rPr>
                <w:rStyle w:val="eop"/>
                <w:rFonts w:eastAsiaTheme="majorEastAsia"/>
                <w:color w:val="000000" w:themeColor="text1"/>
              </w:rPr>
            </w:pPr>
          </w:p>
          <w:p w14:paraId="50B980E4"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r w:rsidRPr="18A5A279">
              <w:rPr>
                <w:rStyle w:val="normaltextrun"/>
                <w:rFonts w:eastAsiaTheme="majorEastAsia"/>
                <w:i/>
                <w:iCs/>
                <w:color w:val="000000" w:themeColor="text1"/>
              </w:rPr>
              <w:t>Presupuesto fáctico</w:t>
            </w:r>
            <w:r w:rsidRPr="18A5A279">
              <w:rPr>
                <w:rStyle w:val="normaltextrun"/>
                <w:rFonts w:eastAsiaTheme="majorEastAsia"/>
                <w:color w:val="000000" w:themeColor="text1"/>
              </w:rPr>
              <w:t>. Informó de los casos de riesgo reportados por las personas en proceso de reincorporación en el marco del AFP, para lo cual relacionó el año y municipio donde ocurrieron los hechos, así como la modalidad del ataque y el presunto autor de las conductas objeto del reporte</w:t>
            </w:r>
            <w:r w:rsidRPr="18A5A279">
              <w:rPr>
                <w:rStyle w:val="Refdenotaalpie"/>
                <w:rFonts w:eastAsiaTheme="majorEastAsia"/>
                <w:color w:val="000000" w:themeColor="text1"/>
              </w:rPr>
              <w:footnoteReference w:id="749"/>
            </w:r>
            <w:r w:rsidRPr="18A5A279">
              <w:rPr>
                <w:rStyle w:val="normaltextrun"/>
                <w:rFonts w:eastAsiaTheme="majorEastAsia"/>
                <w:color w:val="000000" w:themeColor="text1"/>
              </w:rPr>
              <w:t xml:space="preserve">: </w:t>
            </w:r>
          </w:p>
          <w:p w14:paraId="77928377" w14:textId="77777777" w:rsidR="00C454A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p>
          <w:p w14:paraId="4ACA67DD" w14:textId="77777777" w:rsidR="00C454A1" w:rsidRPr="00C11A17" w:rsidRDefault="00C454A1" w:rsidP="00881E6A">
            <w:pPr>
              <w:pStyle w:val="paragraph"/>
              <w:spacing w:before="0" w:beforeAutospacing="0" w:after="0" w:afterAutospacing="0"/>
              <w:ind w:left="4468" w:right="272"/>
              <w:jc w:val="center"/>
              <w:textAlignment w:val="baseline"/>
              <w:rPr>
                <w:rStyle w:val="normaltextrun"/>
                <w:rFonts w:eastAsiaTheme="majorEastAsia"/>
                <w:i/>
                <w:iCs/>
                <w:color w:val="000000" w:themeColor="text1"/>
                <w:sz w:val="20"/>
                <w:szCs w:val="20"/>
              </w:rPr>
            </w:pPr>
            <w:r w:rsidRPr="00C11A17">
              <w:rPr>
                <w:rStyle w:val="normaltextrun"/>
                <w:rFonts w:eastAsiaTheme="majorEastAsia"/>
                <w:i/>
                <w:iCs/>
                <w:sz w:val="20"/>
                <w:szCs w:val="20"/>
              </w:rPr>
              <w:t xml:space="preserve">Tabla 28: </w:t>
            </w:r>
            <w:r w:rsidRPr="00C11A17">
              <w:rPr>
                <w:rStyle w:val="normaltextrun"/>
                <w:rFonts w:eastAsiaTheme="majorEastAsia"/>
                <w:i/>
                <w:iCs/>
                <w:color w:val="000000" w:themeColor="text1"/>
                <w:sz w:val="20"/>
                <w:szCs w:val="20"/>
                <w:lang w:val="es-ES"/>
              </w:rPr>
              <w:t>casos de riesgo reportados por las personas en proceso de reincorporación en el marco del AFP,</w:t>
            </w:r>
            <w:r w:rsidRPr="00C11A17">
              <w:rPr>
                <w:rStyle w:val="normaltextrun"/>
                <w:rFonts w:eastAsiaTheme="majorEastAsia"/>
                <w:i/>
                <w:iCs/>
                <w:sz w:val="20"/>
                <w:szCs w:val="20"/>
              </w:rPr>
              <w:t xml:space="preserve"> información suministrada por </w:t>
            </w:r>
            <w:r>
              <w:rPr>
                <w:rStyle w:val="normaltextrun"/>
                <w:rFonts w:eastAsiaTheme="majorEastAsia"/>
                <w:i/>
                <w:iCs/>
                <w:sz w:val="20"/>
                <w:szCs w:val="20"/>
              </w:rPr>
              <w:t>la ARN</w:t>
            </w:r>
          </w:p>
          <w:tbl>
            <w:tblPr>
              <w:tblStyle w:val="Tablaconcuadrcula"/>
              <w:tblW w:w="4612" w:type="dxa"/>
              <w:jc w:val="center"/>
              <w:tblLook w:val="04A0" w:firstRow="1" w:lastRow="0" w:firstColumn="1" w:lastColumn="0" w:noHBand="0" w:noVBand="1"/>
            </w:tblPr>
            <w:tblGrid>
              <w:gridCol w:w="1552"/>
              <w:gridCol w:w="929"/>
              <w:gridCol w:w="929"/>
              <w:gridCol w:w="929"/>
              <w:gridCol w:w="953"/>
            </w:tblGrid>
            <w:tr w:rsidR="00C454A1" w:rsidRPr="00F8202F" w14:paraId="78378B79" w14:textId="77777777" w:rsidTr="001F3006">
              <w:trPr>
                <w:jc w:val="center"/>
              </w:trPr>
              <w:tc>
                <w:tcPr>
                  <w:tcW w:w="1776" w:type="dxa"/>
                  <w:shd w:val="clear" w:color="auto" w:fill="D9D9D9" w:themeFill="background1" w:themeFillShade="D9"/>
                  <w:vAlign w:val="center"/>
                </w:tcPr>
                <w:p w14:paraId="51FF5809"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10" w:type="dxa"/>
                  <w:shd w:val="clear" w:color="auto" w:fill="D9D9D9" w:themeFill="background1" w:themeFillShade="D9"/>
                  <w:vAlign w:val="center"/>
                </w:tcPr>
                <w:p w14:paraId="4BE12770"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2022</w:t>
                  </w:r>
                </w:p>
              </w:tc>
              <w:tc>
                <w:tcPr>
                  <w:tcW w:w="709" w:type="dxa"/>
                  <w:shd w:val="clear" w:color="auto" w:fill="D9D9D9" w:themeFill="background1" w:themeFillShade="D9"/>
                  <w:vAlign w:val="center"/>
                </w:tcPr>
                <w:p w14:paraId="17B2C92F"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2023</w:t>
                  </w:r>
                </w:p>
              </w:tc>
              <w:tc>
                <w:tcPr>
                  <w:tcW w:w="708" w:type="dxa"/>
                  <w:shd w:val="clear" w:color="auto" w:fill="D9D9D9" w:themeFill="background1" w:themeFillShade="D9"/>
                  <w:vAlign w:val="center"/>
                </w:tcPr>
                <w:p w14:paraId="40DCCD37"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2024</w:t>
                  </w:r>
                </w:p>
              </w:tc>
              <w:tc>
                <w:tcPr>
                  <w:tcW w:w="709" w:type="dxa"/>
                  <w:shd w:val="clear" w:color="auto" w:fill="D9D9D9" w:themeFill="background1" w:themeFillShade="D9"/>
                  <w:vAlign w:val="center"/>
                </w:tcPr>
                <w:p w14:paraId="71B99935"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Total</w:t>
                  </w:r>
                </w:p>
              </w:tc>
            </w:tr>
            <w:tr w:rsidR="00C454A1" w:rsidRPr="00F8202F" w14:paraId="6B22E133" w14:textId="77777777" w:rsidTr="001F3006">
              <w:trPr>
                <w:jc w:val="center"/>
              </w:trPr>
              <w:tc>
                <w:tcPr>
                  <w:tcW w:w="1776" w:type="dxa"/>
                  <w:vAlign w:val="center"/>
                </w:tcPr>
                <w:p w14:paraId="05EE9FAA"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Abrego</w:t>
                  </w:r>
                </w:p>
              </w:tc>
              <w:tc>
                <w:tcPr>
                  <w:tcW w:w="710" w:type="dxa"/>
                  <w:vAlign w:val="center"/>
                </w:tcPr>
                <w:p w14:paraId="2E6FF63B"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c>
                <w:tcPr>
                  <w:tcW w:w="709" w:type="dxa"/>
                  <w:vAlign w:val="center"/>
                </w:tcPr>
                <w:p w14:paraId="1845F520"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8" w:type="dxa"/>
                  <w:vAlign w:val="center"/>
                </w:tcPr>
                <w:p w14:paraId="4ED98F3C"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0B58DCFF"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r>
            <w:tr w:rsidR="00C454A1" w:rsidRPr="00F8202F" w14:paraId="7E8346AC" w14:textId="77777777" w:rsidTr="001F3006">
              <w:trPr>
                <w:jc w:val="center"/>
              </w:trPr>
              <w:tc>
                <w:tcPr>
                  <w:tcW w:w="1776" w:type="dxa"/>
                  <w:vAlign w:val="center"/>
                </w:tcPr>
                <w:p w14:paraId="34265511"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Convención</w:t>
                  </w:r>
                </w:p>
              </w:tc>
              <w:tc>
                <w:tcPr>
                  <w:tcW w:w="710" w:type="dxa"/>
                  <w:vAlign w:val="center"/>
                </w:tcPr>
                <w:p w14:paraId="3D9A4A9D"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9" w:type="dxa"/>
                  <w:vAlign w:val="center"/>
                </w:tcPr>
                <w:p w14:paraId="632D2FEA"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c>
                <w:tcPr>
                  <w:tcW w:w="708" w:type="dxa"/>
                  <w:vAlign w:val="center"/>
                </w:tcPr>
                <w:p w14:paraId="57941DC4"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6846C869"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3</w:t>
                  </w:r>
                </w:p>
              </w:tc>
            </w:tr>
            <w:tr w:rsidR="00C454A1" w:rsidRPr="00F8202F" w14:paraId="7F959682" w14:textId="77777777" w:rsidTr="001F3006">
              <w:trPr>
                <w:jc w:val="center"/>
              </w:trPr>
              <w:tc>
                <w:tcPr>
                  <w:tcW w:w="1776" w:type="dxa"/>
                  <w:vAlign w:val="center"/>
                </w:tcPr>
                <w:p w14:paraId="0D3B2F38"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lastRenderedPageBreak/>
                    <w:t>Cúcuta</w:t>
                  </w:r>
                </w:p>
              </w:tc>
              <w:tc>
                <w:tcPr>
                  <w:tcW w:w="710" w:type="dxa"/>
                  <w:vAlign w:val="center"/>
                </w:tcPr>
                <w:p w14:paraId="328F3F33"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3</w:t>
                  </w:r>
                </w:p>
              </w:tc>
              <w:tc>
                <w:tcPr>
                  <w:tcW w:w="709" w:type="dxa"/>
                  <w:vAlign w:val="center"/>
                </w:tcPr>
                <w:p w14:paraId="3C7868C9"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c>
                <w:tcPr>
                  <w:tcW w:w="708" w:type="dxa"/>
                  <w:vAlign w:val="center"/>
                </w:tcPr>
                <w:p w14:paraId="7258B804"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3</w:t>
                  </w:r>
                </w:p>
              </w:tc>
              <w:tc>
                <w:tcPr>
                  <w:tcW w:w="709" w:type="dxa"/>
                  <w:vAlign w:val="center"/>
                </w:tcPr>
                <w:p w14:paraId="509858DA"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8</w:t>
                  </w:r>
                </w:p>
              </w:tc>
            </w:tr>
            <w:tr w:rsidR="00C454A1" w:rsidRPr="00F8202F" w14:paraId="3D845140" w14:textId="77777777" w:rsidTr="001F3006">
              <w:trPr>
                <w:jc w:val="center"/>
              </w:trPr>
              <w:tc>
                <w:tcPr>
                  <w:tcW w:w="1776" w:type="dxa"/>
                  <w:vAlign w:val="center"/>
                </w:tcPr>
                <w:p w14:paraId="28BBE7F9"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Durania</w:t>
                  </w:r>
                </w:p>
              </w:tc>
              <w:tc>
                <w:tcPr>
                  <w:tcW w:w="710" w:type="dxa"/>
                  <w:vAlign w:val="center"/>
                </w:tcPr>
                <w:p w14:paraId="4BBF00EA"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9" w:type="dxa"/>
                  <w:vAlign w:val="center"/>
                </w:tcPr>
                <w:p w14:paraId="7992F974"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8" w:type="dxa"/>
                  <w:vAlign w:val="center"/>
                </w:tcPr>
                <w:p w14:paraId="1678DF4A"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9" w:type="dxa"/>
                  <w:vAlign w:val="center"/>
                </w:tcPr>
                <w:p w14:paraId="361ACF02"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r>
            <w:tr w:rsidR="00C454A1" w:rsidRPr="00F8202F" w14:paraId="6CDB4642" w14:textId="77777777" w:rsidTr="001F3006">
              <w:trPr>
                <w:jc w:val="center"/>
              </w:trPr>
              <w:tc>
                <w:tcPr>
                  <w:tcW w:w="1776" w:type="dxa"/>
                  <w:vAlign w:val="center"/>
                </w:tcPr>
                <w:p w14:paraId="182DCFB5"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El Carmen</w:t>
                  </w:r>
                </w:p>
              </w:tc>
              <w:tc>
                <w:tcPr>
                  <w:tcW w:w="710" w:type="dxa"/>
                  <w:vAlign w:val="center"/>
                </w:tcPr>
                <w:p w14:paraId="308602DC"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20287CED"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8" w:type="dxa"/>
                  <w:vAlign w:val="center"/>
                </w:tcPr>
                <w:p w14:paraId="4C4D631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9" w:type="dxa"/>
                  <w:vAlign w:val="center"/>
                </w:tcPr>
                <w:p w14:paraId="4FE059A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r>
            <w:tr w:rsidR="00C454A1" w:rsidRPr="00F8202F" w14:paraId="7E280C46" w14:textId="77777777" w:rsidTr="001F3006">
              <w:trPr>
                <w:jc w:val="center"/>
              </w:trPr>
              <w:tc>
                <w:tcPr>
                  <w:tcW w:w="1776" w:type="dxa"/>
                  <w:vAlign w:val="center"/>
                </w:tcPr>
                <w:p w14:paraId="33234AD6"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El Tarra</w:t>
                  </w:r>
                </w:p>
              </w:tc>
              <w:tc>
                <w:tcPr>
                  <w:tcW w:w="710" w:type="dxa"/>
                  <w:vAlign w:val="center"/>
                </w:tcPr>
                <w:p w14:paraId="6BFACD2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5</w:t>
                  </w:r>
                </w:p>
              </w:tc>
              <w:tc>
                <w:tcPr>
                  <w:tcW w:w="709" w:type="dxa"/>
                  <w:vAlign w:val="center"/>
                </w:tcPr>
                <w:p w14:paraId="0F9C5F94"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8" w:type="dxa"/>
                  <w:vAlign w:val="center"/>
                </w:tcPr>
                <w:p w14:paraId="7D0B7C84"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3CB4C64B"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6</w:t>
                  </w:r>
                </w:p>
              </w:tc>
            </w:tr>
            <w:tr w:rsidR="00C454A1" w:rsidRPr="00F8202F" w14:paraId="66C7413E" w14:textId="77777777" w:rsidTr="001F3006">
              <w:trPr>
                <w:jc w:val="center"/>
              </w:trPr>
              <w:tc>
                <w:tcPr>
                  <w:tcW w:w="1776" w:type="dxa"/>
                  <w:vAlign w:val="center"/>
                </w:tcPr>
                <w:p w14:paraId="616BE23F"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El Zulia</w:t>
                  </w:r>
                </w:p>
              </w:tc>
              <w:tc>
                <w:tcPr>
                  <w:tcW w:w="710" w:type="dxa"/>
                  <w:vAlign w:val="center"/>
                </w:tcPr>
                <w:p w14:paraId="02D37EC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06B4583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8" w:type="dxa"/>
                  <w:vAlign w:val="center"/>
                </w:tcPr>
                <w:p w14:paraId="4FA9E6D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440AA0CA"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r>
            <w:tr w:rsidR="00C454A1" w:rsidRPr="00F8202F" w14:paraId="5873C8FB" w14:textId="77777777" w:rsidTr="001F3006">
              <w:trPr>
                <w:jc w:val="center"/>
              </w:trPr>
              <w:tc>
                <w:tcPr>
                  <w:tcW w:w="1776" w:type="dxa"/>
                  <w:vAlign w:val="center"/>
                </w:tcPr>
                <w:p w14:paraId="051EDBE4"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Hacarí</w:t>
                  </w:r>
                </w:p>
              </w:tc>
              <w:tc>
                <w:tcPr>
                  <w:tcW w:w="710" w:type="dxa"/>
                  <w:vAlign w:val="center"/>
                </w:tcPr>
                <w:p w14:paraId="0BE670A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227D753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8" w:type="dxa"/>
                  <w:vAlign w:val="center"/>
                </w:tcPr>
                <w:p w14:paraId="42059232"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9" w:type="dxa"/>
                  <w:vAlign w:val="center"/>
                </w:tcPr>
                <w:p w14:paraId="6AC6673F"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r>
            <w:tr w:rsidR="00C454A1" w:rsidRPr="00F8202F" w14:paraId="0AD66F84" w14:textId="77777777" w:rsidTr="001F3006">
              <w:trPr>
                <w:jc w:val="center"/>
              </w:trPr>
              <w:tc>
                <w:tcPr>
                  <w:tcW w:w="1776" w:type="dxa"/>
                  <w:vAlign w:val="center"/>
                </w:tcPr>
                <w:p w14:paraId="6CF23101"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Los Patios</w:t>
                  </w:r>
                </w:p>
              </w:tc>
              <w:tc>
                <w:tcPr>
                  <w:tcW w:w="710" w:type="dxa"/>
                  <w:vAlign w:val="center"/>
                </w:tcPr>
                <w:p w14:paraId="224EDBD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9" w:type="dxa"/>
                  <w:vAlign w:val="center"/>
                </w:tcPr>
                <w:p w14:paraId="46539C7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8" w:type="dxa"/>
                  <w:vAlign w:val="center"/>
                </w:tcPr>
                <w:p w14:paraId="10A77720"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0391C8F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r>
            <w:tr w:rsidR="00C454A1" w:rsidRPr="00F8202F" w14:paraId="62723650" w14:textId="77777777" w:rsidTr="001F3006">
              <w:trPr>
                <w:jc w:val="center"/>
              </w:trPr>
              <w:tc>
                <w:tcPr>
                  <w:tcW w:w="1776" w:type="dxa"/>
                  <w:vAlign w:val="center"/>
                </w:tcPr>
                <w:p w14:paraId="5F80C3A3"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Ocaña</w:t>
                  </w:r>
                </w:p>
              </w:tc>
              <w:tc>
                <w:tcPr>
                  <w:tcW w:w="710" w:type="dxa"/>
                  <w:vAlign w:val="center"/>
                </w:tcPr>
                <w:p w14:paraId="69DE364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0CD446FD"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c>
                <w:tcPr>
                  <w:tcW w:w="708" w:type="dxa"/>
                  <w:vAlign w:val="center"/>
                </w:tcPr>
                <w:p w14:paraId="46B4168D"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05D1F35F"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r>
            <w:tr w:rsidR="00C454A1" w:rsidRPr="00F8202F" w14:paraId="6F5E358F" w14:textId="77777777" w:rsidTr="001F3006">
              <w:trPr>
                <w:jc w:val="center"/>
              </w:trPr>
              <w:tc>
                <w:tcPr>
                  <w:tcW w:w="1776" w:type="dxa"/>
                  <w:vAlign w:val="center"/>
                </w:tcPr>
                <w:p w14:paraId="529A7ABF"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San Calixto</w:t>
                  </w:r>
                </w:p>
              </w:tc>
              <w:tc>
                <w:tcPr>
                  <w:tcW w:w="710" w:type="dxa"/>
                  <w:vAlign w:val="center"/>
                </w:tcPr>
                <w:p w14:paraId="0B63C982"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0E3624B8"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8" w:type="dxa"/>
                  <w:vAlign w:val="center"/>
                </w:tcPr>
                <w:p w14:paraId="4E2B6BED"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72D84F1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r>
            <w:tr w:rsidR="00C454A1" w:rsidRPr="00F8202F" w14:paraId="63ED8BDA" w14:textId="77777777" w:rsidTr="001F3006">
              <w:trPr>
                <w:jc w:val="center"/>
              </w:trPr>
              <w:tc>
                <w:tcPr>
                  <w:tcW w:w="1776" w:type="dxa"/>
                  <w:vAlign w:val="center"/>
                </w:tcPr>
                <w:p w14:paraId="0C39AEDB"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Sardinata</w:t>
                  </w:r>
                </w:p>
              </w:tc>
              <w:tc>
                <w:tcPr>
                  <w:tcW w:w="710" w:type="dxa"/>
                  <w:vAlign w:val="center"/>
                </w:tcPr>
                <w:p w14:paraId="1BF5BD6F"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c>
                <w:tcPr>
                  <w:tcW w:w="709" w:type="dxa"/>
                  <w:vAlign w:val="center"/>
                </w:tcPr>
                <w:p w14:paraId="3D7115C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8" w:type="dxa"/>
                  <w:vAlign w:val="center"/>
                </w:tcPr>
                <w:p w14:paraId="365E487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5A0DF143"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r>
            <w:tr w:rsidR="00C454A1" w:rsidRPr="00F8202F" w14:paraId="77B9ACB9" w14:textId="77777777" w:rsidTr="001F3006">
              <w:trPr>
                <w:jc w:val="center"/>
              </w:trPr>
              <w:tc>
                <w:tcPr>
                  <w:tcW w:w="1776" w:type="dxa"/>
                  <w:vAlign w:val="center"/>
                </w:tcPr>
                <w:p w14:paraId="2B1B1558"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Teorama</w:t>
                  </w:r>
                </w:p>
              </w:tc>
              <w:tc>
                <w:tcPr>
                  <w:tcW w:w="710" w:type="dxa"/>
                  <w:vAlign w:val="center"/>
                </w:tcPr>
                <w:p w14:paraId="490EA11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5145E9AF"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w:t>
                  </w:r>
                </w:p>
              </w:tc>
              <w:tc>
                <w:tcPr>
                  <w:tcW w:w="708" w:type="dxa"/>
                  <w:vAlign w:val="center"/>
                </w:tcPr>
                <w:p w14:paraId="0222B69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9" w:type="dxa"/>
                  <w:vAlign w:val="center"/>
                </w:tcPr>
                <w:p w14:paraId="08C48F4A"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3</w:t>
                  </w:r>
                </w:p>
              </w:tc>
            </w:tr>
            <w:tr w:rsidR="00C454A1" w:rsidRPr="00F8202F" w14:paraId="25E57FE1" w14:textId="77777777" w:rsidTr="001F3006">
              <w:trPr>
                <w:jc w:val="center"/>
              </w:trPr>
              <w:tc>
                <w:tcPr>
                  <w:tcW w:w="1776" w:type="dxa"/>
                  <w:vAlign w:val="center"/>
                </w:tcPr>
                <w:p w14:paraId="292437CD"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Tibú</w:t>
                  </w:r>
                </w:p>
              </w:tc>
              <w:tc>
                <w:tcPr>
                  <w:tcW w:w="710" w:type="dxa"/>
                  <w:vAlign w:val="center"/>
                </w:tcPr>
                <w:p w14:paraId="6D7D6EBD"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4</w:t>
                  </w:r>
                </w:p>
              </w:tc>
              <w:tc>
                <w:tcPr>
                  <w:tcW w:w="709" w:type="dxa"/>
                  <w:vAlign w:val="center"/>
                </w:tcPr>
                <w:p w14:paraId="000E3C8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4</w:t>
                  </w:r>
                </w:p>
              </w:tc>
              <w:tc>
                <w:tcPr>
                  <w:tcW w:w="708" w:type="dxa"/>
                  <w:vAlign w:val="center"/>
                </w:tcPr>
                <w:p w14:paraId="3D33CD72"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5</w:t>
                  </w:r>
                </w:p>
              </w:tc>
              <w:tc>
                <w:tcPr>
                  <w:tcW w:w="709" w:type="dxa"/>
                  <w:vAlign w:val="center"/>
                </w:tcPr>
                <w:p w14:paraId="075D6B2E"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13</w:t>
                  </w:r>
                </w:p>
              </w:tc>
            </w:tr>
            <w:tr w:rsidR="00C454A1" w:rsidRPr="00F8202F" w14:paraId="44B60E0E" w14:textId="77777777" w:rsidTr="001F3006">
              <w:trPr>
                <w:jc w:val="center"/>
              </w:trPr>
              <w:tc>
                <w:tcPr>
                  <w:tcW w:w="1776" w:type="dxa"/>
                  <w:vAlign w:val="center"/>
                </w:tcPr>
                <w:p w14:paraId="7067AF1B"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Villa del Rosario</w:t>
                  </w:r>
                </w:p>
              </w:tc>
              <w:tc>
                <w:tcPr>
                  <w:tcW w:w="710" w:type="dxa"/>
                  <w:vAlign w:val="center"/>
                </w:tcPr>
                <w:p w14:paraId="54B58CE1"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c>
                <w:tcPr>
                  <w:tcW w:w="709" w:type="dxa"/>
                  <w:vAlign w:val="center"/>
                </w:tcPr>
                <w:p w14:paraId="53EA6722"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8" w:type="dxa"/>
                  <w:vAlign w:val="center"/>
                </w:tcPr>
                <w:p w14:paraId="6283638F"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p>
              </w:tc>
              <w:tc>
                <w:tcPr>
                  <w:tcW w:w="709" w:type="dxa"/>
                  <w:vAlign w:val="center"/>
                </w:tcPr>
                <w:p w14:paraId="658F477A"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w:t>
                  </w:r>
                </w:p>
              </w:tc>
            </w:tr>
            <w:tr w:rsidR="00C454A1" w:rsidRPr="00F8202F" w14:paraId="13716EF3" w14:textId="77777777" w:rsidTr="001F3006">
              <w:trPr>
                <w:jc w:val="center"/>
              </w:trPr>
              <w:tc>
                <w:tcPr>
                  <w:tcW w:w="1776" w:type="dxa"/>
                  <w:vAlign w:val="center"/>
                </w:tcPr>
                <w:p w14:paraId="1745F6CC" w14:textId="77777777" w:rsidR="00C454A1" w:rsidRPr="000C7E0C" w:rsidRDefault="00C454A1" w:rsidP="00881E6A">
                  <w:pPr>
                    <w:pStyle w:val="paragraph"/>
                    <w:spacing w:before="0" w:beforeAutospacing="0" w:after="0" w:afterAutospacing="0"/>
                    <w:ind w:right="272"/>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Total</w:t>
                  </w:r>
                </w:p>
              </w:tc>
              <w:tc>
                <w:tcPr>
                  <w:tcW w:w="710" w:type="dxa"/>
                  <w:vAlign w:val="center"/>
                </w:tcPr>
                <w:p w14:paraId="72199D10"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20</w:t>
                  </w:r>
                </w:p>
              </w:tc>
              <w:tc>
                <w:tcPr>
                  <w:tcW w:w="709" w:type="dxa"/>
                  <w:vAlign w:val="center"/>
                </w:tcPr>
                <w:p w14:paraId="5BAB6E6A"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16</w:t>
                  </w:r>
                </w:p>
              </w:tc>
              <w:tc>
                <w:tcPr>
                  <w:tcW w:w="708" w:type="dxa"/>
                  <w:vAlign w:val="center"/>
                </w:tcPr>
                <w:p w14:paraId="5AB7BF3C"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12</w:t>
                  </w:r>
                </w:p>
              </w:tc>
              <w:tc>
                <w:tcPr>
                  <w:tcW w:w="709" w:type="dxa"/>
                  <w:vAlign w:val="center"/>
                </w:tcPr>
                <w:p w14:paraId="56303BC2" w14:textId="77777777" w:rsidR="00C454A1" w:rsidRPr="000C7E0C" w:rsidRDefault="00C454A1" w:rsidP="00881E6A">
                  <w:pPr>
                    <w:pStyle w:val="paragraph"/>
                    <w:spacing w:before="0" w:beforeAutospacing="0" w:after="0" w:afterAutospacing="0"/>
                    <w:ind w:right="272"/>
                    <w:jc w:val="center"/>
                    <w:textAlignment w:val="baseline"/>
                    <w:rPr>
                      <w:rStyle w:val="normaltextrun"/>
                      <w:rFonts w:eastAsiaTheme="majorEastAsia"/>
                      <w:color w:val="000000" w:themeColor="text1"/>
                      <w:sz w:val="22"/>
                      <w:szCs w:val="22"/>
                    </w:rPr>
                  </w:pPr>
                  <w:r w:rsidRPr="000C7E0C">
                    <w:rPr>
                      <w:rStyle w:val="normaltextrun"/>
                      <w:rFonts w:eastAsiaTheme="majorEastAsia"/>
                      <w:color w:val="000000" w:themeColor="text1"/>
                      <w:sz w:val="22"/>
                      <w:szCs w:val="22"/>
                    </w:rPr>
                    <w:t>48</w:t>
                  </w:r>
                </w:p>
              </w:tc>
            </w:tr>
          </w:tbl>
          <w:p w14:paraId="01BA2238" w14:textId="77777777" w:rsidR="00C454A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p>
          <w:p w14:paraId="5CBF6BD3"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r w:rsidRPr="18A5A279">
              <w:rPr>
                <w:rStyle w:val="normaltextrun"/>
                <w:rFonts w:eastAsiaTheme="majorEastAsia"/>
                <w:color w:val="000000" w:themeColor="text1"/>
              </w:rPr>
              <w:t xml:space="preserve">La entidad informó, con fundamento en lo anterior, que los municipios más afectados son Tibú (13), Cúcuta (8) y El Tarra (6). En lo que respecta a los presuntos victimarios, informó que: </w:t>
            </w:r>
            <w:r w:rsidRPr="18A5A279">
              <w:rPr>
                <w:rStyle w:val="normaltextrun"/>
                <w:rFonts w:eastAsiaTheme="majorEastAsia"/>
                <w:i/>
                <w:iCs/>
                <w:color w:val="000000" w:themeColor="text1"/>
              </w:rPr>
              <w:t xml:space="preserve">(a) </w:t>
            </w:r>
            <w:r w:rsidRPr="18A5A279">
              <w:rPr>
                <w:rStyle w:val="normaltextrun"/>
                <w:rFonts w:eastAsiaTheme="majorEastAsia"/>
                <w:color w:val="000000" w:themeColor="text1"/>
              </w:rPr>
              <w:t xml:space="preserve">45 casos fueron atribuidos a grupos guerrilleros, </w:t>
            </w:r>
            <w:r w:rsidRPr="18A5A279">
              <w:rPr>
                <w:rStyle w:val="normaltextrun"/>
                <w:rFonts w:eastAsiaTheme="majorEastAsia"/>
                <w:i/>
                <w:iCs/>
                <w:color w:val="000000" w:themeColor="text1"/>
              </w:rPr>
              <w:t>(b)</w:t>
            </w:r>
            <w:r w:rsidRPr="18A5A279">
              <w:rPr>
                <w:rStyle w:val="normaltextrun"/>
                <w:rFonts w:eastAsiaTheme="majorEastAsia"/>
                <w:color w:val="000000" w:themeColor="text1"/>
              </w:rPr>
              <w:t xml:space="preserve"> 1 a bandas criminales; y </w:t>
            </w:r>
            <w:r w:rsidRPr="18A5A279">
              <w:rPr>
                <w:rStyle w:val="normaltextrun"/>
                <w:rFonts w:eastAsiaTheme="majorEastAsia"/>
                <w:i/>
                <w:iCs/>
                <w:color w:val="000000" w:themeColor="text1"/>
              </w:rPr>
              <w:t xml:space="preserve">(c) </w:t>
            </w:r>
            <w:r w:rsidRPr="18A5A279">
              <w:rPr>
                <w:rStyle w:val="normaltextrun"/>
                <w:rFonts w:eastAsiaTheme="majorEastAsia"/>
                <w:color w:val="000000" w:themeColor="text1"/>
              </w:rPr>
              <w:t>2 sin determinar responsable, con la siguiente división territorial:</w:t>
            </w:r>
          </w:p>
          <w:p w14:paraId="3698614F" w14:textId="77777777" w:rsidR="00C454A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p>
          <w:p w14:paraId="0ED9F483" w14:textId="77777777" w:rsidR="00C454A1" w:rsidRPr="00C678E0" w:rsidRDefault="00C454A1" w:rsidP="00881E6A">
            <w:pPr>
              <w:pStyle w:val="paragraph"/>
              <w:spacing w:before="0" w:beforeAutospacing="0" w:after="0" w:afterAutospacing="0"/>
              <w:ind w:left="4468" w:right="272"/>
              <w:jc w:val="center"/>
              <w:textAlignment w:val="baseline"/>
              <w:rPr>
                <w:rStyle w:val="normaltextrun"/>
                <w:rFonts w:eastAsiaTheme="majorEastAsia"/>
                <w:i/>
                <w:iCs/>
                <w:color w:val="000000" w:themeColor="text1"/>
                <w:sz w:val="20"/>
                <w:szCs w:val="20"/>
              </w:rPr>
            </w:pPr>
            <w:r w:rsidRPr="00C11A17">
              <w:rPr>
                <w:rStyle w:val="normaltextrun"/>
                <w:rFonts w:eastAsiaTheme="majorEastAsia"/>
                <w:i/>
                <w:iCs/>
                <w:sz w:val="20"/>
                <w:szCs w:val="20"/>
              </w:rPr>
              <w:t>Tabla 2</w:t>
            </w:r>
            <w:r>
              <w:rPr>
                <w:rStyle w:val="normaltextrun"/>
                <w:rFonts w:eastAsiaTheme="majorEastAsia"/>
                <w:i/>
                <w:iCs/>
                <w:sz w:val="20"/>
                <w:szCs w:val="20"/>
              </w:rPr>
              <w:t>9</w:t>
            </w:r>
            <w:r w:rsidRPr="00C11A17">
              <w:rPr>
                <w:rStyle w:val="normaltextrun"/>
                <w:rFonts w:eastAsiaTheme="majorEastAsia"/>
                <w:i/>
                <w:iCs/>
                <w:sz w:val="20"/>
                <w:szCs w:val="20"/>
              </w:rPr>
              <w:t xml:space="preserve">: </w:t>
            </w:r>
            <w:r>
              <w:rPr>
                <w:rStyle w:val="normaltextrun"/>
                <w:rFonts w:eastAsiaTheme="majorEastAsia"/>
                <w:i/>
                <w:iCs/>
                <w:color w:val="000000" w:themeColor="text1"/>
                <w:sz w:val="20"/>
                <w:szCs w:val="20"/>
                <w:lang w:val="es-ES"/>
              </w:rPr>
              <w:t>presuntos victimarios de ataques contra</w:t>
            </w:r>
            <w:r w:rsidRPr="00C11A17">
              <w:rPr>
                <w:rStyle w:val="normaltextrun"/>
                <w:rFonts w:eastAsiaTheme="majorEastAsia"/>
                <w:i/>
                <w:iCs/>
                <w:color w:val="000000" w:themeColor="text1"/>
                <w:sz w:val="20"/>
                <w:szCs w:val="20"/>
                <w:lang w:val="es-ES"/>
              </w:rPr>
              <w:t xml:space="preserve"> las personas en proceso de reincorporación en el marco del AFP,</w:t>
            </w:r>
            <w:r w:rsidRPr="00C11A17">
              <w:rPr>
                <w:rStyle w:val="normaltextrun"/>
                <w:rFonts w:eastAsiaTheme="majorEastAsia"/>
                <w:i/>
                <w:iCs/>
                <w:sz w:val="20"/>
                <w:szCs w:val="20"/>
              </w:rPr>
              <w:t xml:space="preserve"> información suministrada por </w:t>
            </w:r>
            <w:r>
              <w:rPr>
                <w:rStyle w:val="normaltextrun"/>
                <w:rFonts w:eastAsiaTheme="majorEastAsia"/>
                <w:i/>
                <w:iCs/>
                <w:sz w:val="20"/>
                <w:szCs w:val="20"/>
              </w:rPr>
              <w:t>la ARN</w:t>
            </w:r>
          </w:p>
          <w:tbl>
            <w:tblPr>
              <w:tblStyle w:val="Tablaconcuadrcula"/>
              <w:tblW w:w="6029" w:type="dxa"/>
              <w:jc w:val="center"/>
              <w:tblLook w:val="04A0" w:firstRow="1" w:lastRow="0" w:firstColumn="1" w:lastColumn="0" w:noHBand="0" w:noVBand="1"/>
            </w:tblPr>
            <w:tblGrid>
              <w:gridCol w:w="1552"/>
              <w:gridCol w:w="1136"/>
              <w:gridCol w:w="1283"/>
              <w:gridCol w:w="1392"/>
              <w:gridCol w:w="953"/>
            </w:tblGrid>
            <w:tr w:rsidR="00C454A1" w:rsidRPr="00F8202F" w14:paraId="47572916" w14:textId="77777777" w:rsidTr="001F3006">
              <w:trPr>
                <w:jc w:val="center"/>
              </w:trPr>
              <w:tc>
                <w:tcPr>
                  <w:tcW w:w="1775" w:type="dxa"/>
                </w:tcPr>
                <w:p w14:paraId="5A85ECC7"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993" w:type="dxa"/>
                </w:tcPr>
                <w:p w14:paraId="5ED9680E"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Bacrim</w:t>
                  </w:r>
                </w:p>
              </w:tc>
              <w:tc>
                <w:tcPr>
                  <w:tcW w:w="1011" w:type="dxa"/>
                </w:tcPr>
                <w:p w14:paraId="5579D227"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Guerrilla</w:t>
                  </w:r>
                </w:p>
              </w:tc>
              <w:tc>
                <w:tcPr>
                  <w:tcW w:w="1541" w:type="dxa"/>
                </w:tcPr>
                <w:p w14:paraId="3D7FFFAE"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Sin identificar</w:t>
                  </w:r>
                </w:p>
              </w:tc>
              <w:tc>
                <w:tcPr>
                  <w:tcW w:w="709" w:type="dxa"/>
                </w:tcPr>
                <w:p w14:paraId="7280840F"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Total</w:t>
                  </w:r>
                </w:p>
              </w:tc>
            </w:tr>
            <w:tr w:rsidR="00C454A1" w:rsidRPr="00F8202F" w14:paraId="340913FF" w14:textId="77777777" w:rsidTr="001F3006">
              <w:trPr>
                <w:jc w:val="center"/>
              </w:trPr>
              <w:tc>
                <w:tcPr>
                  <w:tcW w:w="1775" w:type="dxa"/>
                </w:tcPr>
                <w:p w14:paraId="75D011B9"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Abrego</w:t>
                  </w:r>
                </w:p>
              </w:tc>
              <w:tc>
                <w:tcPr>
                  <w:tcW w:w="993" w:type="dxa"/>
                </w:tcPr>
                <w:p w14:paraId="4A44D327"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4D655D34"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c>
                <w:tcPr>
                  <w:tcW w:w="1541" w:type="dxa"/>
                </w:tcPr>
                <w:p w14:paraId="44B56C2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7F03135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r>
            <w:tr w:rsidR="00C454A1" w:rsidRPr="00F8202F" w14:paraId="041EB548" w14:textId="77777777" w:rsidTr="001F3006">
              <w:trPr>
                <w:jc w:val="center"/>
              </w:trPr>
              <w:tc>
                <w:tcPr>
                  <w:tcW w:w="1775" w:type="dxa"/>
                </w:tcPr>
                <w:p w14:paraId="5B50E3FE"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Convención</w:t>
                  </w:r>
                </w:p>
              </w:tc>
              <w:tc>
                <w:tcPr>
                  <w:tcW w:w="993" w:type="dxa"/>
                </w:tcPr>
                <w:p w14:paraId="4947769E"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1011" w:type="dxa"/>
                </w:tcPr>
                <w:p w14:paraId="559E6217"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c>
                <w:tcPr>
                  <w:tcW w:w="1541" w:type="dxa"/>
                </w:tcPr>
                <w:p w14:paraId="3825EC44"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21E5B35D"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3</w:t>
                  </w:r>
                </w:p>
              </w:tc>
            </w:tr>
            <w:tr w:rsidR="00C454A1" w:rsidRPr="00F8202F" w14:paraId="02E16F7F" w14:textId="77777777" w:rsidTr="001F3006">
              <w:trPr>
                <w:jc w:val="center"/>
              </w:trPr>
              <w:tc>
                <w:tcPr>
                  <w:tcW w:w="1775" w:type="dxa"/>
                </w:tcPr>
                <w:p w14:paraId="291D2B0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Cúcuta</w:t>
                  </w:r>
                </w:p>
              </w:tc>
              <w:tc>
                <w:tcPr>
                  <w:tcW w:w="993" w:type="dxa"/>
                </w:tcPr>
                <w:p w14:paraId="5F07806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3DD5F4B7"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7</w:t>
                  </w:r>
                </w:p>
              </w:tc>
              <w:tc>
                <w:tcPr>
                  <w:tcW w:w="1541" w:type="dxa"/>
                </w:tcPr>
                <w:p w14:paraId="5419EFA3"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709" w:type="dxa"/>
                </w:tcPr>
                <w:p w14:paraId="020B344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8</w:t>
                  </w:r>
                </w:p>
              </w:tc>
            </w:tr>
            <w:tr w:rsidR="00C454A1" w:rsidRPr="00F8202F" w14:paraId="602ED74B" w14:textId="77777777" w:rsidTr="001F3006">
              <w:trPr>
                <w:jc w:val="center"/>
              </w:trPr>
              <w:tc>
                <w:tcPr>
                  <w:tcW w:w="1775" w:type="dxa"/>
                </w:tcPr>
                <w:p w14:paraId="1D7F1D9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Durania</w:t>
                  </w:r>
                </w:p>
              </w:tc>
              <w:tc>
                <w:tcPr>
                  <w:tcW w:w="993" w:type="dxa"/>
                </w:tcPr>
                <w:p w14:paraId="309F6BD7"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6EF8F390"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c>
                <w:tcPr>
                  <w:tcW w:w="1541" w:type="dxa"/>
                </w:tcPr>
                <w:p w14:paraId="5FA4E10F"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535ADF2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r>
            <w:tr w:rsidR="00C454A1" w:rsidRPr="00F8202F" w14:paraId="525E7702" w14:textId="77777777" w:rsidTr="001F3006">
              <w:trPr>
                <w:jc w:val="center"/>
              </w:trPr>
              <w:tc>
                <w:tcPr>
                  <w:tcW w:w="1775" w:type="dxa"/>
                </w:tcPr>
                <w:p w14:paraId="00063E14"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El Carmen</w:t>
                  </w:r>
                </w:p>
              </w:tc>
              <w:tc>
                <w:tcPr>
                  <w:tcW w:w="993" w:type="dxa"/>
                </w:tcPr>
                <w:p w14:paraId="0A8832F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26184CA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c>
                <w:tcPr>
                  <w:tcW w:w="1541" w:type="dxa"/>
                </w:tcPr>
                <w:p w14:paraId="0D419422"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27DC881D"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r>
            <w:tr w:rsidR="00C454A1" w:rsidRPr="00F8202F" w14:paraId="5A1BE9B8" w14:textId="77777777" w:rsidTr="001F3006">
              <w:trPr>
                <w:jc w:val="center"/>
              </w:trPr>
              <w:tc>
                <w:tcPr>
                  <w:tcW w:w="1775" w:type="dxa"/>
                </w:tcPr>
                <w:p w14:paraId="0D08639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El Tarra</w:t>
                  </w:r>
                </w:p>
              </w:tc>
              <w:tc>
                <w:tcPr>
                  <w:tcW w:w="993" w:type="dxa"/>
                </w:tcPr>
                <w:p w14:paraId="15E165DC"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030D5FC6"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5</w:t>
                  </w:r>
                </w:p>
              </w:tc>
              <w:tc>
                <w:tcPr>
                  <w:tcW w:w="1541" w:type="dxa"/>
                </w:tcPr>
                <w:p w14:paraId="331FE0E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709" w:type="dxa"/>
                </w:tcPr>
                <w:p w14:paraId="6904040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6</w:t>
                  </w:r>
                </w:p>
              </w:tc>
            </w:tr>
            <w:tr w:rsidR="00C454A1" w:rsidRPr="00F8202F" w14:paraId="038103B4" w14:textId="77777777" w:rsidTr="001F3006">
              <w:trPr>
                <w:jc w:val="center"/>
              </w:trPr>
              <w:tc>
                <w:tcPr>
                  <w:tcW w:w="1775" w:type="dxa"/>
                </w:tcPr>
                <w:p w14:paraId="7BE21BDF"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El Zulia</w:t>
                  </w:r>
                </w:p>
              </w:tc>
              <w:tc>
                <w:tcPr>
                  <w:tcW w:w="993" w:type="dxa"/>
                </w:tcPr>
                <w:p w14:paraId="2C5426A9"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335BE38F"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1541" w:type="dxa"/>
                </w:tcPr>
                <w:p w14:paraId="6735A755"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10616589"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r>
            <w:tr w:rsidR="00C454A1" w:rsidRPr="00F8202F" w14:paraId="30773ABF" w14:textId="77777777" w:rsidTr="001F3006">
              <w:trPr>
                <w:jc w:val="center"/>
              </w:trPr>
              <w:tc>
                <w:tcPr>
                  <w:tcW w:w="1775" w:type="dxa"/>
                </w:tcPr>
                <w:p w14:paraId="0777B615"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Hacarí</w:t>
                  </w:r>
                </w:p>
              </w:tc>
              <w:tc>
                <w:tcPr>
                  <w:tcW w:w="993" w:type="dxa"/>
                </w:tcPr>
                <w:p w14:paraId="1691051E"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547E204C"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1541" w:type="dxa"/>
                </w:tcPr>
                <w:p w14:paraId="05A9D9A2"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600EBD0B"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r>
            <w:tr w:rsidR="00C454A1" w:rsidRPr="00F8202F" w14:paraId="4E77B3F3" w14:textId="77777777" w:rsidTr="001F3006">
              <w:trPr>
                <w:jc w:val="center"/>
              </w:trPr>
              <w:tc>
                <w:tcPr>
                  <w:tcW w:w="1775" w:type="dxa"/>
                </w:tcPr>
                <w:p w14:paraId="69156C8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Los Patios</w:t>
                  </w:r>
                </w:p>
              </w:tc>
              <w:tc>
                <w:tcPr>
                  <w:tcW w:w="993" w:type="dxa"/>
                </w:tcPr>
                <w:p w14:paraId="75F076C3"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2509183E"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1541" w:type="dxa"/>
                </w:tcPr>
                <w:p w14:paraId="68F3D0AC"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6C9941A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r>
            <w:tr w:rsidR="00C454A1" w:rsidRPr="00F8202F" w14:paraId="00760D5D" w14:textId="77777777" w:rsidTr="001F3006">
              <w:trPr>
                <w:jc w:val="center"/>
              </w:trPr>
              <w:tc>
                <w:tcPr>
                  <w:tcW w:w="1775" w:type="dxa"/>
                </w:tcPr>
                <w:p w14:paraId="613F51DC"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lastRenderedPageBreak/>
                    <w:t>Ocaña</w:t>
                  </w:r>
                </w:p>
              </w:tc>
              <w:tc>
                <w:tcPr>
                  <w:tcW w:w="993" w:type="dxa"/>
                </w:tcPr>
                <w:p w14:paraId="553443EE"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511EE796"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c>
                <w:tcPr>
                  <w:tcW w:w="1541" w:type="dxa"/>
                </w:tcPr>
                <w:p w14:paraId="29A75570"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13856B67"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r>
            <w:tr w:rsidR="00C454A1" w:rsidRPr="00F8202F" w14:paraId="18DF0E44" w14:textId="77777777" w:rsidTr="001F3006">
              <w:trPr>
                <w:jc w:val="center"/>
              </w:trPr>
              <w:tc>
                <w:tcPr>
                  <w:tcW w:w="1775" w:type="dxa"/>
                </w:tcPr>
                <w:p w14:paraId="4BEB4C13"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San Calixto</w:t>
                  </w:r>
                </w:p>
              </w:tc>
              <w:tc>
                <w:tcPr>
                  <w:tcW w:w="993" w:type="dxa"/>
                </w:tcPr>
                <w:p w14:paraId="1CD263F3"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4E51278F"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1541" w:type="dxa"/>
                </w:tcPr>
                <w:p w14:paraId="1A678154"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0FD927F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r>
            <w:tr w:rsidR="00C454A1" w:rsidRPr="00F8202F" w14:paraId="2A07028A" w14:textId="77777777" w:rsidTr="001F3006">
              <w:trPr>
                <w:jc w:val="center"/>
              </w:trPr>
              <w:tc>
                <w:tcPr>
                  <w:tcW w:w="1775" w:type="dxa"/>
                </w:tcPr>
                <w:p w14:paraId="403310E2"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Sardinata</w:t>
                  </w:r>
                </w:p>
              </w:tc>
              <w:tc>
                <w:tcPr>
                  <w:tcW w:w="993" w:type="dxa"/>
                </w:tcPr>
                <w:p w14:paraId="021B8133"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743845DC"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c>
                <w:tcPr>
                  <w:tcW w:w="1541" w:type="dxa"/>
                </w:tcPr>
                <w:p w14:paraId="2DDCFBF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11BA1010"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r>
            <w:tr w:rsidR="00C454A1" w:rsidRPr="00F8202F" w14:paraId="15CEE487" w14:textId="77777777" w:rsidTr="001F3006">
              <w:trPr>
                <w:jc w:val="center"/>
              </w:trPr>
              <w:tc>
                <w:tcPr>
                  <w:tcW w:w="1775" w:type="dxa"/>
                </w:tcPr>
                <w:p w14:paraId="69F941F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Teorama</w:t>
                  </w:r>
                </w:p>
              </w:tc>
              <w:tc>
                <w:tcPr>
                  <w:tcW w:w="993" w:type="dxa"/>
                </w:tcPr>
                <w:p w14:paraId="1A64BF22"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26052E6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3</w:t>
                  </w:r>
                </w:p>
              </w:tc>
              <w:tc>
                <w:tcPr>
                  <w:tcW w:w="1541" w:type="dxa"/>
                </w:tcPr>
                <w:p w14:paraId="2FD10D77"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01FE59FD"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3</w:t>
                  </w:r>
                </w:p>
              </w:tc>
            </w:tr>
            <w:tr w:rsidR="00C454A1" w:rsidRPr="00F8202F" w14:paraId="444E6D91" w14:textId="77777777" w:rsidTr="001F3006">
              <w:trPr>
                <w:jc w:val="center"/>
              </w:trPr>
              <w:tc>
                <w:tcPr>
                  <w:tcW w:w="1775" w:type="dxa"/>
                </w:tcPr>
                <w:p w14:paraId="3D21C99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Tibú</w:t>
                  </w:r>
                </w:p>
              </w:tc>
              <w:tc>
                <w:tcPr>
                  <w:tcW w:w="993" w:type="dxa"/>
                </w:tcPr>
                <w:p w14:paraId="543E84D5"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7D7AD25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13</w:t>
                  </w:r>
                </w:p>
              </w:tc>
              <w:tc>
                <w:tcPr>
                  <w:tcW w:w="1541" w:type="dxa"/>
                </w:tcPr>
                <w:p w14:paraId="6BE35FB0"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0CDAE34B"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13</w:t>
                  </w:r>
                </w:p>
              </w:tc>
            </w:tr>
            <w:tr w:rsidR="00C454A1" w:rsidRPr="00F8202F" w14:paraId="37BDD924" w14:textId="77777777" w:rsidTr="001F3006">
              <w:trPr>
                <w:jc w:val="center"/>
              </w:trPr>
              <w:tc>
                <w:tcPr>
                  <w:tcW w:w="1775" w:type="dxa"/>
                </w:tcPr>
                <w:p w14:paraId="0FCE2BCB"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Villa del Rosario</w:t>
                  </w:r>
                </w:p>
              </w:tc>
              <w:tc>
                <w:tcPr>
                  <w:tcW w:w="993" w:type="dxa"/>
                </w:tcPr>
                <w:p w14:paraId="7372D599"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1011" w:type="dxa"/>
                </w:tcPr>
                <w:p w14:paraId="17793A0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1541" w:type="dxa"/>
                </w:tcPr>
                <w:p w14:paraId="20B40AAB"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p>
              </w:tc>
              <w:tc>
                <w:tcPr>
                  <w:tcW w:w="709" w:type="dxa"/>
                </w:tcPr>
                <w:p w14:paraId="3609F9B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r>
            <w:tr w:rsidR="00C454A1" w:rsidRPr="00F8202F" w14:paraId="25F68483" w14:textId="77777777" w:rsidTr="001F3006">
              <w:trPr>
                <w:jc w:val="center"/>
              </w:trPr>
              <w:tc>
                <w:tcPr>
                  <w:tcW w:w="1775" w:type="dxa"/>
                </w:tcPr>
                <w:p w14:paraId="094016FE"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Total</w:t>
                  </w:r>
                </w:p>
              </w:tc>
              <w:tc>
                <w:tcPr>
                  <w:tcW w:w="993" w:type="dxa"/>
                </w:tcPr>
                <w:p w14:paraId="7ABECABD"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w:t>
                  </w:r>
                </w:p>
              </w:tc>
              <w:tc>
                <w:tcPr>
                  <w:tcW w:w="1011" w:type="dxa"/>
                </w:tcPr>
                <w:p w14:paraId="0474A4E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45</w:t>
                  </w:r>
                </w:p>
              </w:tc>
              <w:tc>
                <w:tcPr>
                  <w:tcW w:w="1541" w:type="dxa"/>
                </w:tcPr>
                <w:p w14:paraId="09E70FA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w:t>
                  </w:r>
                </w:p>
              </w:tc>
              <w:tc>
                <w:tcPr>
                  <w:tcW w:w="709" w:type="dxa"/>
                </w:tcPr>
                <w:p w14:paraId="00505C6D"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48</w:t>
                  </w:r>
                </w:p>
              </w:tc>
            </w:tr>
          </w:tbl>
          <w:p w14:paraId="7D4650EE" w14:textId="77777777" w:rsidR="00C454A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p>
          <w:p w14:paraId="0D9BC3A8"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r w:rsidRPr="18A5A279">
              <w:rPr>
                <w:rStyle w:val="normaltextrun"/>
                <w:rFonts w:eastAsiaTheme="majorEastAsia"/>
                <w:color w:val="000000" w:themeColor="text1"/>
              </w:rPr>
              <w:t xml:space="preserve">En cuanto a la modalidad de ataque, la entidad informó que hubo </w:t>
            </w:r>
            <w:r w:rsidRPr="18A5A279">
              <w:rPr>
                <w:rStyle w:val="normaltextrun"/>
                <w:rFonts w:eastAsiaTheme="majorEastAsia"/>
                <w:i/>
                <w:iCs/>
                <w:color w:val="000000" w:themeColor="text1"/>
              </w:rPr>
              <w:t xml:space="preserve">(a) </w:t>
            </w:r>
            <w:r w:rsidRPr="18A5A279">
              <w:rPr>
                <w:rStyle w:val="normaltextrun"/>
                <w:rFonts w:eastAsiaTheme="majorEastAsia"/>
                <w:color w:val="000000" w:themeColor="text1"/>
              </w:rPr>
              <w:t xml:space="preserve">43 amenazas; </w:t>
            </w:r>
            <w:r w:rsidRPr="18A5A279">
              <w:rPr>
                <w:rStyle w:val="normaltextrun"/>
                <w:rFonts w:eastAsiaTheme="majorEastAsia"/>
                <w:i/>
                <w:iCs/>
                <w:color w:val="000000" w:themeColor="text1"/>
              </w:rPr>
              <w:t xml:space="preserve">(b) </w:t>
            </w:r>
            <w:r w:rsidRPr="18A5A279">
              <w:rPr>
                <w:rStyle w:val="normaltextrun"/>
                <w:rFonts w:eastAsiaTheme="majorEastAsia"/>
                <w:color w:val="000000" w:themeColor="text1"/>
              </w:rPr>
              <w:t xml:space="preserve">2 atentados; </w:t>
            </w:r>
            <w:r w:rsidRPr="18A5A279">
              <w:rPr>
                <w:rStyle w:val="normaltextrun"/>
                <w:rFonts w:eastAsiaTheme="majorEastAsia"/>
                <w:i/>
                <w:iCs/>
                <w:color w:val="000000" w:themeColor="text1"/>
              </w:rPr>
              <w:t xml:space="preserve">(c) </w:t>
            </w:r>
            <w:r w:rsidRPr="18A5A279">
              <w:rPr>
                <w:rStyle w:val="normaltextrun"/>
                <w:rFonts w:eastAsiaTheme="majorEastAsia"/>
                <w:color w:val="000000" w:themeColor="text1"/>
              </w:rPr>
              <w:t xml:space="preserve">1 desplazamiento; </w:t>
            </w:r>
            <w:r w:rsidRPr="18A5A279">
              <w:rPr>
                <w:rStyle w:val="normaltextrun"/>
                <w:rFonts w:eastAsiaTheme="majorEastAsia"/>
                <w:i/>
                <w:iCs/>
                <w:color w:val="000000" w:themeColor="text1"/>
              </w:rPr>
              <w:t xml:space="preserve">(d) </w:t>
            </w:r>
            <w:r w:rsidRPr="18A5A279">
              <w:rPr>
                <w:rStyle w:val="normaltextrun"/>
                <w:rFonts w:eastAsiaTheme="majorEastAsia"/>
                <w:color w:val="000000" w:themeColor="text1"/>
              </w:rPr>
              <w:t xml:space="preserve">1 por “persecución”; y </w:t>
            </w:r>
            <w:r w:rsidRPr="18A5A279">
              <w:rPr>
                <w:rStyle w:val="normaltextrun"/>
                <w:rFonts w:eastAsiaTheme="majorEastAsia"/>
                <w:i/>
                <w:iCs/>
                <w:color w:val="000000" w:themeColor="text1"/>
              </w:rPr>
              <w:t>(e)</w:t>
            </w:r>
            <w:r w:rsidRPr="18A5A279">
              <w:rPr>
                <w:rStyle w:val="normaltextrun"/>
                <w:rFonts w:eastAsiaTheme="majorEastAsia"/>
                <w:color w:val="000000" w:themeColor="text1"/>
              </w:rPr>
              <w:t xml:space="preserve"> 1 por “otras modalidades”.</w:t>
            </w:r>
          </w:p>
          <w:p w14:paraId="2BADCDFD"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p>
          <w:p w14:paraId="45C4211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lang w:val="es-ES"/>
              </w:rPr>
            </w:pPr>
            <w:r w:rsidRPr="18A5A279">
              <w:rPr>
                <w:rStyle w:val="normaltextrun"/>
                <w:rFonts w:eastAsiaTheme="majorEastAsia"/>
                <w:color w:val="000000" w:themeColor="text1"/>
              </w:rPr>
              <w:t>Es del caso aclarar que, en varios apartes, el ente gubernamental aclaró que no tiene competencia ni información sobre riesgo asociado con líderes sociales.</w:t>
            </w:r>
          </w:p>
          <w:p w14:paraId="1036B325" w14:textId="77777777" w:rsidR="00C454A1" w:rsidRPr="00110A63"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lang w:val="es-ES"/>
              </w:rPr>
            </w:pPr>
          </w:p>
          <w:p w14:paraId="1D835DF9" w14:textId="77777777" w:rsidR="00C454A1" w:rsidRPr="00DA6C7F"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r w:rsidRPr="18A5A279">
              <w:rPr>
                <w:rStyle w:val="normaltextrun"/>
                <w:rFonts w:eastAsiaTheme="majorEastAsia"/>
                <w:i/>
                <w:iCs/>
                <w:color w:val="000000" w:themeColor="text1"/>
              </w:rPr>
              <w:t xml:space="preserve">Presupuesto valorativo. </w:t>
            </w:r>
            <w:r w:rsidRPr="18A5A279">
              <w:rPr>
                <w:rStyle w:val="normaltextrun"/>
                <w:rFonts w:eastAsiaTheme="majorEastAsia"/>
                <w:color w:val="000000" w:themeColor="text1"/>
              </w:rPr>
              <w:t xml:space="preserve">La ARN empezó por informar que la competencia de definir e implementar medidas de seguridad recae en otras entidades del Estado, como la UNP. No obstante, aclaró que, en cumplimiento de la función de gestionar y coordinar, articula esfuerzos con tales entidades para mitigar los riesgos a la vida y la integridad personal de la población en proceso de reincorporación en el marco del AFP. En ese contexto, la entidad informó que, para gestionar el riesgo y las amenazas con las entidades competentes, emitió el </w:t>
            </w:r>
            <w:r w:rsidRPr="18A5A279">
              <w:rPr>
                <w:rStyle w:val="normaltextrun"/>
                <w:rFonts w:eastAsiaTheme="majorEastAsia"/>
                <w:i/>
                <w:iCs/>
                <w:color w:val="000000" w:themeColor="text1"/>
              </w:rPr>
              <w:t>Instructivo para la orientación y apoyo por riesgo de seguridad contra la vida e integridad física de la población objeto de la ARN</w:t>
            </w:r>
            <w:r w:rsidRPr="18A5A279">
              <w:rPr>
                <w:rStyle w:val="normaltextrun"/>
                <w:rFonts w:eastAsiaTheme="majorEastAsia"/>
                <w:color w:val="000000" w:themeColor="text1"/>
              </w:rPr>
              <w:t>, el cual es remit</w:t>
            </w:r>
            <w:r>
              <w:rPr>
                <w:rStyle w:val="normaltextrun"/>
                <w:rFonts w:eastAsiaTheme="majorEastAsia"/>
                <w:color w:val="000000" w:themeColor="text1"/>
              </w:rPr>
              <w:t>id</w:t>
            </w:r>
            <w:r w:rsidRPr="18A5A279">
              <w:rPr>
                <w:rStyle w:val="normaltextrun"/>
                <w:rFonts w:eastAsiaTheme="majorEastAsia"/>
                <w:color w:val="000000" w:themeColor="text1"/>
              </w:rPr>
              <w:t>o como anexo a la respuesta enviada a la Corte Constitucional</w:t>
            </w:r>
            <w:r w:rsidRPr="18A5A279">
              <w:rPr>
                <w:rStyle w:val="Refdenotaalpie"/>
                <w:rFonts w:eastAsiaTheme="majorEastAsia"/>
                <w:color w:val="000000" w:themeColor="text1"/>
              </w:rPr>
              <w:footnoteReference w:id="750"/>
            </w:r>
            <w:r w:rsidRPr="18A5A279">
              <w:rPr>
                <w:rStyle w:val="normaltextrun"/>
                <w:rFonts w:eastAsiaTheme="majorEastAsia"/>
                <w:color w:val="000000" w:themeColor="text1"/>
              </w:rPr>
              <w:t>. Tales riesgos y amenazas, añadió, se pueden priorizar para situaciones urgentes como la del Catatumbo, en el marco del Programa de Protección Especializada de Seguridad y Protección, creado por el Decreto 299 de 2017.</w:t>
            </w:r>
          </w:p>
          <w:p w14:paraId="53B8D087" w14:textId="77777777" w:rsidR="00C454A1" w:rsidRPr="00DA6C7F"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p>
          <w:p w14:paraId="7424B849" w14:textId="77777777" w:rsidR="00C454A1" w:rsidRPr="0098349B"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rPr>
            </w:pPr>
            <w:r w:rsidRPr="0098349B">
              <w:rPr>
                <w:rStyle w:val="normaltextrun"/>
                <w:rFonts w:eastAsiaTheme="majorEastAsia"/>
                <w:color w:val="000000" w:themeColor="text1"/>
              </w:rPr>
              <w:t>Añadió que, desde el año 2020, ha venido implementando medidas de prevención del riesgo para la población firmante del AFP, incluida la que reside en el Catatumbo, a partir de tres ejes de acción</w:t>
            </w:r>
            <w:r w:rsidRPr="0098349B">
              <w:rPr>
                <w:rStyle w:val="Refdenotaalpie"/>
                <w:rFonts w:eastAsiaTheme="majorEastAsia"/>
                <w:color w:val="000000" w:themeColor="text1"/>
              </w:rPr>
              <w:footnoteReference w:id="751"/>
            </w:r>
            <w:r w:rsidRPr="0098349B">
              <w:rPr>
                <w:rStyle w:val="normaltextrun"/>
                <w:rFonts w:eastAsiaTheme="majorEastAsia"/>
                <w:color w:val="000000" w:themeColor="text1"/>
              </w:rPr>
              <w:t xml:space="preserve">: </w:t>
            </w:r>
          </w:p>
          <w:p w14:paraId="3FBEC247" w14:textId="77777777" w:rsidR="00C454A1" w:rsidRPr="0098349B" w:rsidRDefault="00C454A1" w:rsidP="00881E6A">
            <w:pPr>
              <w:pStyle w:val="paragraph"/>
              <w:spacing w:before="0" w:beforeAutospacing="0" w:after="0" w:afterAutospacing="0"/>
              <w:ind w:right="272"/>
              <w:jc w:val="both"/>
              <w:textAlignment w:val="baseline"/>
              <w:rPr>
                <w:rStyle w:val="normaltextrun"/>
                <w:rFonts w:eastAsiaTheme="majorEastAsia"/>
                <w:i/>
                <w:iCs/>
                <w:color w:val="000000" w:themeColor="text1"/>
              </w:rPr>
            </w:pPr>
          </w:p>
          <w:p w14:paraId="142FFE14" w14:textId="77777777" w:rsidR="00C454A1" w:rsidRPr="002065D1" w:rsidRDefault="00C454A1" w:rsidP="005F4A6F">
            <w:pPr>
              <w:pStyle w:val="paragraph"/>
              <w:numPr>
                <w:ilvl w:val="0"/>
                <w:numId w:val="74"/>
              </w:numPr>
              <w:spacing w:before="0" w:beforeAutospacing="0" w:after="0" w:afterAutospacing="0"/>
              <w:ind w:right="272"/>
              <w:jc w:val="both"/>
              <w:textAlignment w:val="baseline"/>
              <w:rPr>
                <w:rStyle w:val="normaltextrun"/>
                <w:rFonts w:eastAsiaTheme="majorEastAsia"/>
                <w:color w:val="000000" w:themeColor="text1"/>
              </w:rPr>
            </w:pPr>
            <w:r w:rsidRPr="0098349B">
              <w:rPr>
                <w:rStyle w:val="normaltextrun"/>
                <w:rFonts w:eastAsiaTheme="majorEastAsia"/>
                <w:color w:val="000000" w:themeColor="text1"/>
              </w:rPr>
              <w:t>Articulación interinstitucional de las instancias creadas para la seguridad y protección, acción que se refiere a la concertación y coordinación con la Fuerza Pública y los organismos del Estado</w:t>
            </w:r>
            <w:r w:rsidRPr="18A5A279">
              <w:rPr>
                <w:rStyle w:val="normaltextrun"/>
                <w:rFonts w:eastAsiaTheme="majorEastAsia"/>
                <w:color w:val="000000" w:themeColor="text1"/>
              </w:rPr>
              <w:t xml:space="preserve"> para la protección en favor de la población objeto y sus </w:t>
            </w:r>
            <w:r w:rsidRPr="18A5A279">
              <w:rPr>
                <w:rStyle w:val="normaltextrun"/>
                <w:rFonts w:eastAsiaTheme="majorEastAsia"/>
                <w:color w:val="000000" w:themeColor="text1"/>
              </w:rPr>
              <w:lastRenderedPageBreak/>
              <w:t xml:space="preserve">familias, en el marco de las estrategias y políticas públicas del Gobierno nacional. La entidad informó que </w:t>
            </w:r>
            <w:r w:rsidRPr="18A5A279">
              <w:rPr>
                <w:rStyle w:val="normaltextrun"/>
                <w:rFonts w:eastAsiaTheme="majorEastAsia"/>
                <w:i/>
                <w:iCs/>
                <w:color w:val="000000" w:themeColor="text1"/>
              </w:rPr>
              <w:t xml:space="preserve">(a) </w:t>
            </w:r>
            <w:r w:rsidRPr="18A5A279">
              <w:rPr>
                <w:rStyle w:val="normaltextrun"/>
                <w:rFonts w:eastAsiaTheme="majorEastAsia"/>
                <w:color w:val="000000" w:themeColor="text1"/>
              </w:rPr>
              <w:t xml:space="preserve">ha participado activa y permanentemente en el Puesto de Mando Unificado (PMU); </w:t>
            </w:r>
            <w:r w:rsidRPr="18A5A279">
              <w:rPr>
                <w:rStyle w:val="normaltextrun"/>
                <w:rFonts w:eastAsiaTheme="majorEastAsia"/>
                <w:i/>
                <w:iCs/>
                <w:color w:val="000000" w:themeColor="text1"/>
              </w:rPr>
              <w:t xml:space="preserve">(b) </w:t>
            </w:r>
            <w:r w:rsidRPr="18A5A279">
              <w:rPr>
                <w:rStyle w:val="normaltextrun"/>
                <w:rFonts w:eastAsiaTheme="majorEastAsia"/>
                <w:color w:val="000000" w:themeColor="text1"/>
              </w:rPr>
              <w:t xml:space="preserve">ha articulado y coordinado acciones con la Policía Nacional para garantizar protección 24 horas a las personas que se encuentran en el albergue que gestionó para recibir a firmantes de paz y sus familias, con alto riesgo y desplazados por la emergencia de orden público del Catatumbo; y </w:t>
            </w:r>
            <w:r w:rsidRPr="18A5A279">
              <w:rPr>
                <w:rStyle w:val="normaltextrun"/>
                <w:rFonts w:eastAsiaTheme="majorEastAsia"/>
                <w:i/>
                <w:iCs/>
                <w:color w:val="000000" w:themeColor="text1"/>
              </w:rPr>
              <w:t xml:space="preserve">(c) </w:t>
            </w:r>
            <w:r w:rsidRPr="18A5A279">
              <w:rPr>
                <w:rStyle w:val="normaltextrun"/>
                <w:rFonts w:eastAsiaTheme="majorEastAsia"/>
                <w:color w:val="000000" w:themeColor="text1"/>
              </w:rPr>
              <w:t>ha participado de diferentes espacios de articulación gubernamental, en los cuales aboga por la protección de la población en proceso de reincorporación a través del intercambio de información, como es el caso de (1) la Mesa Técnica de Seguridad y Protección, (2) la Subcomisión Técnica de Medidas de Protección y (3) Comité de Evaluación de Riesgo y Recomendación de Medidas (CERREM).</w:t>
            </w:r>
          </w:p>
          <w:p w14:paraId="10330868" w14:textId="77777777" w:rsidR="00C454A1" w:rsidRPr="002065D1" w:rsidRDefault="00C454A1" w:rsidP="00881E6A">
            <w:pPr>
              <w:pStyle w:val="paragraph"/>
              <w:spacing w:before="0" w:beforeAutospacing="0" w:after="0" w:afterAutospacing="0"/>
              <w:ind w:left="1382" w:right="272"/>
              <w:jc w:val="both"/>
              <w:textAlignment w:val="baseline"/>
              <w:rPr>
                <w:rStyle w:val="normaltextrun"/>
                <w:rFonts w:eastAsiaTheme="majorEastAsia"/>
                <w:color w:val="000000" w:themeColor="text1"/>
              </w:rPr>
            </w:pPr>
          </w:p>
          <w:p w14:paraId="10D627AB" w14:textId="77777777" w:rsidR="00C454A1" w:rsidRPr="002065D1" w:rsidRDefault="00C454A1" w:rsidP="005F4A6F">
            <w:pPr>
              <w:pStyle w:val="paragraph"/>
              <w:numPr>
                <w:ilvl w:val="0"/>
                <w:numId w:val="74"/>
              </w:numPr>
              <w:spacing w:before="0" w:beforeAutospacing="0" w:after="0" w:afterAutospacing="0"/>
              <w:ind w:right="272"/>
              <w:jc w:val="both"/>
              <w:textAlignment w:val="baseline"/>
              <w:rPr>
                <w:rStyle w:val="normaltextrun"/>
                <w:rFonts w:eastAsiaTheme="majorEastAsia"/>
                <w:color w:val="000000" w:themeColor="text1"/>
              </w:rPr>
            </w:pPr>
            <w:r w:rsidRPr="18A5A279">
              <w:rPr>
                <w:rStyle w:val="normaltextrun"/>
                <w:rFonts w:eastAsiaTheme="majorEastAsia"/>
                <w:color w:val="000000" w:themeColor="text1"/>
              </w:rPr>
              <w:t>La gestión de los riesgos ante autoridades competentes y el diagnóstico de la población en riesgo, que se traduce en, por una parte, gestionar las situaciones de amenaza ante las autoridades competentes en protección y seguridad, con el fin de prevenir y mitigar las vulnerabilidades frente a los riesgos de la población atendida y, por la otra, establecer la situación de los firmantes cuyo domicilio está en el departamento de Norte de Santander</w:t>
            </w:r>
            <w:r w:rsidRPr="18A5A279">
              <w:rPr>
                <w:rStyle w:val="Refdenotaalpie"/>
                <w:rFonts w:eastAsiaTheme="majorEastAsia"/>
                <w:color w:val="000000" w:themeColor="text1"/>
              </w:rPr>
              <w:footnoteReference w:id="752"/>
            </w:r>
            <w:r w:rsidRPr="18A5A279">
              <w:rPr>
                <w:rStyle w:val="normaltextrun"/>
                <w:rFonts w:eastAsiaTheme="majorEastAsia"/>
                <w:color w:val="000000" w:themeColor="text1"/>
              </w:rPr>
              <w:t>. Al respecto, aportó la siguiente información:</w:t>
            </w:r>
          </w:p>
          <w:p w14:paraId="02BC9335" w14:textId="77777777" w:rsidR="00C454A1" w:rsidRDefault="00C454A1" w:rsidP="00881E6A">
            <w:pPr>
              <w:pStyle w:val="Prrafodelista"/>
              <w:ind w:right="272"/>
              <w:rPr>
                <w:rStyle w:val="normaltextrun"/>
                <w:rFonts w:eastAsiaTheme="majorEastAsia"/>
                <w:color w:val="000000" w:themeColor="text1"/>
              </w:rPr>
            </w:pPr>
          </w:p>
          <w:p w14:paraId="176801B1" w14:textId="77777777" w:rsidR="00C454A1" w:rsidRPr="00104D11" w:rsidRDefault="00C454A1" w:rsidP="00881E6A">
            <w:pPr>
              <w:pStyle w:val="Prrafodelista"/>
              <w:ind w:right="272"/>
              <w:jc w:val="center"/>
              <w:rPr>
                <w:rStyle w:val="normaltextrun"/>
                <w:rFonts w:eastAsiaTheme="majorEastAsia"/>
                <w:i/>
                <w:iCs/>
                <w:color w:val="000000" w:themeColor="text1"/>
                <w:sz w:val="20"/>
                <w:szCs w:val="20"/>
                <w:lang w:val="es-ES"/>
              </w:rPr>
            </w:pPr>
            <w:r w:rsidRPr="00104D11">
              <w:rPr>
                <w:rStyle w:val="normaltextrun"/>
                <w:rFonts w:eastAsiaTheme="majorEastAsia"/>
                <w:i/>
                <w:iCs/>
                <w:color w:val="000000" w:themeColor="text1"/>
                <w:sz w:val="20"/>
                <w:szCs w:val="20"/>
                <w:lang w:val="es-ES"/>
              </w:rPr>
              <w:t>Tabla 30: situación de firmantes del AFP</w:t>
            </w:r>
          </w:p>
          <w:tbl>
            <w:tblPr>
              <w:tblStyle w:val="Tablaconcuadrcula"/>
              <w:tblW w:w="5669" w:type="dxa"/>
              <w:jc w:val="center"/>
              <w:tblLook w:val="04A0" w:firstRow="1" w:lastRow="0" w:firstColumn="1" w:lastColumn="0" w:noHBand="0" w:noVBand="1"/>
            </w:tblPr>
            <w:tblGrid>
              <w:gridCol w:w="4640"/>
              <w:gridCol w:w="1029"/>
            </w:tblGrid>
            <w:tr w:rsidR="00C454A1" w:rsidRPr="002065D1" w14:paraId="4D010B61" w14:textId="77777777" w:rsidTr="001F3006">
              <w:trPr>
                <w:jc w:val="center"/>
              </w:trPr>
              <w:tc>
                <w:tcPr>
                  <w:tcW w:w="4961" w:type="dxa"/>
                </w:tcPr>
                <w:p w14:paraId="0C15A7F1"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Firmantes que residen en Norte de Santander</w:t>
                  </w:r>
                </w:p>
              </w:tc>
              <w:tc>
                <w:tcPr>
                  <w:tcW w:w="708" w:type="dxa"/>
                </w:tcPr>
                <w:p w14:paraId="35D87B5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555</w:t>
                  </w:r>
                </w:p>
              </w:tc>
            </w:tr>
            <w:tr w:rsidR="00C454A1" w:rsidRPr="002065D1" w14:paraId="20B0CF18" w14:textId="77777777" w:rsidTr="001F3006">
              <w:trPr>
                <w:jc w:val="center"/>
              </w:trPr>
              <w:tc>
                <w:tcPr>
                  <w:tcW w:w="4961" w:type="dxa"/>
                </w:tcPr>
                <w:p w14:paraId="3C1E605B"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Firmantes contactados</w:t>
                  </w:r>
                </w:p>
              </w:tc>
              <w:tc>
                <w:tcPr>
                  <w:tcW w:w="708" w:type="dxa"/>
                </w:tcPr>
                <w:p w14:paraId="74634DE9"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54</w:t>
                  </w:r>
                </w:p>
              </w:tc>
            </w:tr>
            <w:tr w:rsidR="00C454A1" w:rsidRPr="002065D1" w14:paraId="6E784273" w14:textId="77777777" w:rsidTr="001F3006">
              <w:trPr>
                <w:jc w:val="center"/>
              </w:trPr>
              <w:tc>
                <w:tcPr>
                  <w:tcW w:w="4961" w:type="dxa"/>
                </w:tcPr>
                <w:p w14:paraId="3A05917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Firmantes en albergue</w:t>
                  </w:r>
                </w:p>
              </w:tc>
              <w:tc>
                <w:tcPr>
                  <w:tcW w:w="708" w:type="dxa"/>
                </w:tcPr>
                <w:p w14:paraId="02AAD349"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38</w:t>
                  </w:r>
                </w:p>
              </w:tc>
            </w:tr>
            <w:tr w:rsidR="00C454A1" w:rsidRPr="002065D1" w14:paraId="48C48BA2" w14:textId="77777777" w:rsidTr="001F3006">
              <w:trPr>
                <w:jc w:val="center"/>
              </w:trPr>
              <w:tc>
                <w:tcPr>
                  <w:tcW w:w="4961" w:type="dxa"/>
                </w:tcPr>
                <w:p w14:paraId="169A390F"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Firmantes confinados</w:t>
                  </w:r>
                </w:p>
              </w:tc>
              <w:tc>
                <w:tcPr>
                  <w:tcW w:w="708" w:type="dxa"/>
                </w:tcPr>
                <w:p w14:paraId="358BA1A2"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174</w:t>
                  </w:r>
                  <w:r w:rsidRPr="18A5A279">
                    <w:rPr>
                      <w:rStyle w:val="Refdenotaalpie"/>
                      <w:rFonts w:eastAsiaTheme="majorEastAsia"/>
                      <w:color w:val="000000" w:themeColor="text1"/>
                      <w:sz w:val="22"/>
                      <w:szCs w:val="22"/>
                    </w:rPr>
                    <w:footnoteReference w:id="753"/>
                  </w:r>
                </w:p>
              </w:tc>
            </w:tr>
            <w:tr w:rsidR="00C454A1" w:rsidRPr="002065D1" w14:paraId="07421732" w14:textId="77777777" w:rsidTr="001F3006">
              <w:trPr>
                <w:jc w:val="center"/>
              </w:trPr>
              <w:tc>
                <w:tcPr>
                  <w:tcW w:w="4961" w:type="dxa"/>
                </w:tcPr>
                <w:p w14:paraId="372DA024"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Firmantes que se han trasladado a otros departamentos</w:t>
                  </w:r>
                </w:p>
              </w:tc>
              <w:tc>
                <w:tcPr>
                  <w:tcW w:w="708" w:type="dxa"/>
                </w:tcPr>
                <w:p w14:paraId="6C655A32"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29</w:t>
                  </w:r>
                </w:p>
              </w:tc>
            </w:tr>
            <w:tr w:rsidR="00C454A1" w:rsidRPr="002065D1" w14:paraId="0FD8C333" w14:textId="77777777" w:rsidTr="001F3006">
              <w:trPr>
                <w:jc w:val="center"/>
              </w:trPr>
              <w:tc>
                <w:tcPr>
                  <w:tcW w:w="4961" w:type="dxa"/>
                </w:tcPr>
                <w:p w14:paraId="0D80835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Firmantes asesinados</w:t>
                  </w:r>
                </w:p>
              </w:tc>
              <w:tc>
                <w:tcPr>
                  <w:tcW w:w="708" w:type="dxa"/>
                </w:tcPr>
                <w:p w14:paraId="163BD14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6</w:t>
                  </w:r>
                </w:p>
              </w:tc>
            </w:tr>
            <w:tr w:rsidR="00C454A1" w:rsidRPr="00F8202F" w14:paraId="6E96306E" w14:textId="77777777" w:rsidTr="001F3006">
              <w:trPr>
                <w:jc w:val="center"/>
              </w:trPr>
              <w:tc>
                <w:tcPr>
                  <w:tcW w:w="4961" w:type="dxa"/>
                </w:tcPr>
                <w:p w14:paraId="09C541AA"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Firmantes respecto de quienes se ha gestionado medidas de protección</w:t>
                  </w:r>
                </w:p>
              </w:tc>
              <w:tc>
                <w:tcPr>
                  <w:tcW w:w="708" w:type="dxa"/>
                </w:tcPr>
                <w:p w14:paraId="6F74CAD5" w14:textId="77777777" w:rsidR="00C454A1" w:rsidRPr="002065D1" w:rsidRDefault="00C454A1" w:rsidP="00881E6A">
                  <w:pPr>
                    <w:pStyle w:val="paragraph"/>
                    <w:spacing w:before="0" w:beforeAutospacing="0" w:after="0" w:afterAutospacing="0"/>
                    <w:ind w:right="272"/>
                    <w:jc w:val="both"/>
                    <w:textAlignment w:val="baseline"/>
                    <w:rPr>
                      <w:rStyle w:val="normaltextrun"/>
                      <w:rFonts w:eastAsiaTheme="majorEastAsia"/>
                      <w:color w:val="000000" w:themeColor="text1"/>
                      <w:sz w:val="22"/>
                      <w:szCs w:val="22"/>
                    </w:rPr>
                  </w:pPr>
                  <w:r w:rsidRPr="18A5A279">
                    <w:rPr>
                      <w:rStyle w:val="normaltextrun"/>
                      <w:rFonts w:eastAsiaTheme="majorEastAsia"/>
                      <w:color w:val="000000" w:themeColor="text1"/>
                      <w:sz w:val="22"/>
                      <w:szCs w:val="22"/>
                    </w:rPr>
                    <w:t>18</w:t>
                  </w:r>
                </w:p>
              </w:tc>
            </w:tr>
          </w:tbl>
          <w:p w14:paraId="12CCF143" w14:textId="77777777" w:rsidR="00C454A1" w:rsidRDefault="00C454A1" w:rsidP="00881E6A">
            <w:pPr>
              <w:pStyle w:val="paragraph"/>
              <w:spacing w:before="0" w:beforeAutospacing="0" w:after="0" w:afterAutospacing="0"/>
              <w:ind w:left="1382" w:right="272"/>
              <w:jc w:val="both"/>
              <w:textAlignment w:val="baseline"/>
              <w:rPr>
                <w:rStyle w:val="normaltextrun"/>
                <w:rFonts w:eastAsiaTheme="majorEastAsia"/>
                <w:color w:val="000000" w:themeColor="text1"/>
                <w:sz w:val="22"/>
                <w:szCs w:val="22"/>
              </w:rPr>
            </w:pPr>
          </w:p>
          <w:p w14:paraId="5B505036" w14:textId="77777777" w:rsidR="00C454A1" w:rsidRPr="002065D1" w:rsidRDefault="00C454A1" w:rsidP="00881E6A">
            <w:pPr>
              <w:pStyle w:val="paragraph"/>
              <w:spacing w:before="0" w:beforeAutospacing="0" w:after="0" w:afterAutospacing="0"/>
              <w:ind w:left="1382" w:right="272"/>
              <w:jc w:val="both"/>
              <w:textAlignment w:val="baseline"/>
              <w:rPr>
                <w:rStyle w:val="normaltextrun"/>
                <w:rFonts w:eastAsiaTheme="majorEastAsia"/>
                <w:color w:val="000000" w:themeColor="text1"/>
              </w:rPr>
            </w:pPr>
            <w:r w:rsidRPr="18A5A279">
              <w:rPr>
                <w:rStyle w:val="normaltextrun"/>
                <w:rFonts w:eastAsiaTheme="majorEastAsia"/>
                <w:color w:val="000000" w:themeColor="text1"/>
              </w:rPr>
              <w:t xml:space="preserve">La entidad informó que ha respondido 23 solicitudes de información de otras entidades, relacionadas con el estado los procesos a su cargo, de caracterización de los casos de riesgo y de gestión y coordinación con otras autoridades. Además, informó que ha adelantado diversas actuaciones, como: </w:t>
            </w:r>
            <w:r w:rsidRPr="18A5A279">
              <w:rPr>
                <w:rStyle w:val="normaltextrun"/>
                <w:rFonts w:eastAsiaTheme="majorEastAsia"/>
                <w:i/>
                <w:iCs/>
                <w:color w:val="000000" w:themeColor="text1"/>
              </w:rPr>
              <w:t xml:space="preserve">(a) </w:t>
            </w:r>
            <w:r w:rsidRPr="18A5A279">
              <w:rPr>
                <w:rStyle w:val="normaltextrun"/>
                <w:rFonts w:eastAsiaTheme="majorEastAsia"/>
                <w:color w:val="000000" w:themeColor="text1"/>
              </w:rPr>
              <w:t xml:space="preserve">solicitud de 200 refrigerios, ante la Secretaría de Postconflicto </w:t>
            </w:r>
            <w:r w:rsidRPr="18A5A279">
              <w:rPr>
                <w:rStyle w:val="normaltextrun"/>
                <w:rFonts w:eastAsiaTheme="majorEastAsia"/>
                <w:color w:val="000000" w:themeColor="text1"/>
              </w:rPr>
              <w:lastRenderedPageBreak/>
              <w:t xml:space="preserve">del </w:t>
            </w:r>
            <w:r>
              <w:rPr>
                <w:rStyle w:val="normaltextrun"/>
                <w:rFonts w:eastAsiaTheme="majorEastAsia"/>
                <w:color w:val="000000" w:themeColor="text1"/>
              </w:rPr>
              <w:t>M</w:t>
            </w:r>
            <w:r w:rsidRPr="18A5A279">
              <w:rPr>
                <w:rStyle w:val="normaltextrun"/>
                <w:rFonts w:eastAsiaTheme="majorEastAsia"/>
                <w:color w:val="000000" w:themeColor="text1"/>
              </w:rPr>
              <w:t xml:space="preserve">unicipio de Cúcuta, </w:t>
            </w:r>
            <w:r w:rsidRPr="18A5A279">
              <w:rPr>
                <w:rStyle w:val="normaltextrun"/>
                <w:rFonts w:eastAsiaTheme="majorEastAsia"/>
                <w:i/>
                <w:iCs/>
                <w:color w:val="000000" w:themeColor="text1"/>
              </w:rPr>
              <w:t xml:space="preserve">(b) </w:t>
            </w:r>
            <w:r w:rsidRPr="18A5A279">
              <w:rPr>
                <w:rStyle w:val="normaltextrun"/>
                <w:rFonts w:eastAsiaTheme="majorEastAsia"/>
                <w:color w:val="000000" w:themeColor="text1"/>
              </w:rPr>
              <w:t xml:space="preserve">solicitud de seguridad para albergue en el </w:t>
            </w:r>
            <w:r>
              <w:rPr>
                <w:rStyle w:val="normaltextrun"/>
                <w:rFonts w:eastAsiaTheme="majorEastAsia"/>
                <w:color w:val="000000" w:themeColor="text1"/>
              </w:rPr>
              <w:t>M</w:t>
            </w:r>
            <w:r w:rsidRPr="18A5A279">
              <w:rPr>
                <w:rStyle w:val="normaltextrun"/>
                <w:rFonts w:eastAsiaTheme="majorEastAsia"/>
                <w:color w:val="000000" w:themeColor="text1"/>
              </w:rPr>
              <w:t xml:space="preserve">unicipio de Villa del Rosario, </w:t>
            </w:r>
            <w:r w:rsidRPr="18A5A279">
              <w:rPr>
                <w:rStyle w:val="normaltextrun"/>
                <w:rFonts w:eastAsiaTheme="majorEastAsia"/>
                <w:i/>
                <w:iCs/>
                <w:color w:val="000000" w:themeColor="text1"/>
              </w:rPr>
              <w:t xml:space="preserve">(c) </w:t>
            </w:r>
            <w:r w:rsidRPr="18A5A279">
              <w:rPr>
                <w:rStyle w:val="normaltextrun"/>
                <w:rFonts w:eastAsiaTheme="majorEastAsia"/>
                <w:color w:val="000000" w:themeColor="text1"/>
              </w:rPr>
              <w:t xml:space="preserve">petición de asistencia humanitaria y apoyo en alimentación para 718 personas en el ETCR de Caño Indio, ante la </w:t>
            </w:r>
            <w:r>
              <w:rPr>
                <w:rStyle w:val="normaltextrun"/>
                <w:rFonts w:eastAsiaTheme="majorEastAsia"/>
                <w:color w:val="000000" w:themeColor="text1"/>
              </w:rPr>
              <w:t>UARIV</w:t>
            </w:r>
            <w:r w:rsidRPr="18A5A279">
              <w:rPr>
                <w:rStyle w:val="normaltextrun"/>
                <w:rFonts w:eastAsiaTheme="majorEastAsia"/>
                <w:color w:val="000000" w:themeColor="text1"/>
              </w:rPr>
              <w:t xml:space="preserve">, </w:t>
            </w:r>
            <w:r w:rsidRPr="18A5A279">
              <w:rPr>
                <w:rStyle w:val="normaltextrun"/>
                <w:rFonts w:eastAsiaTheme="majorEastAsia"/>
                <w:i/>
                <w:iCs/>
                <w:color w:val="000000" w:themeColor="text1"/>
              </w:rPr>
              <w:t xml:space="preserve">(d) </w:t>
            </w:r>
            <w:r w:rsidRPr="18A5A279">
              <w:rPr>
                <w:rStyle w:val="normaltextrun"/>
                <w:rFonts w:eastAsiaTheme="majorEastAsia"/>
                <w:color w:val="000000" w:themeColor="text1"/>
              </w:rPr>
              <w:t xml:space="preserve">apertura y traslado de 11 casos de personas en riego, ante la UNP, </w:t>
            </w:r>
            <w:r w:rsidRPr="18A5A279">
              <w:rPr>
                <w:rStyle w:val="normaltextrun"/>
                <w:rFonts w:eastAsiaTheme="majorEastAsia"/>
                <w:i/>
                <w:iCs/>
                <w:color w:val="000000" w:themeColor="text1"/>
              </w:rPr>
              <w:t xml:space="preserve">(e) </w:t>
            </w:r>
            <w:r w:rsidRPr="18A5A279">
              <w:rPr>
                <w:rStyle w:val="normaltextrun"/>
                <w:rFonts w:eastAsiaTheme="majorEastAsia"/>
                <w:color w:val="000000" w:themeColor="text1"/>
              </w:rPr>
              <w:t xml:space="preserve">14 solicitudes de medidas preventivas de seguridad para personas en proceso de reincorporación, ante las autoridades de policía municipales y departamentales, y </w:t>
            </w:r>
            <w:r w:rsidRPr="18A5A279">
              <w:rPr>
                <w:rStyle w:val="normaltextrun"/>
                <w:rFonts w:eastAsiaTheme="majorEastAsia"/>
                <w:i/>
                <w:iCs/>
                <w:color w:val="000000" w:themeColor="text1"/>
              </w:rPr>
              <w:t xml:space="preserve">(f) </w:t>
            </w:r>
            <w:r w:rsidRPr="18A5A279">
              <w:rPr>
                <w:rStyle w:val="normaltextrun"/>
                <w:rFonts w:eastAsiaTheme="majorEastAsia"/>
                <w:color w:val="000000" w:themeColor="text1"/>
              </w:rPr>
              <w:t>6 reportes de personas en proceso de reincorporación desaparecidas, ante la Fiscalía Seccional de Norte de Santander.</w:t>
            </w:r>
          </w:p>
          <w:p w14:paraId="3321FC4A" w14:textId="77777777" w:rsidR="00C454A1" w:rsidRPr="002065D1" w:rsidRDefault="00C454A1" w:rsidP="00881E6A">
            <w:pPr>
              <w:pStyle w:val="paragraph"/>
              <w:spacing w:before="0" w:beforeAutospacing="0" w:after="0" w:afterAutospacing="0"/>
              <w:ind w:left="1382" w:right="272"/>
              <w:jc w:val="both"/>
              <w:textAlignment w:val="baseline"/>
              <w:rPr>
                <w:rStyle w:val="normaltextrun"/>
                <w:rFonts w:eastAsiaTheme="majorEastAsia"/>
                <w:color w:val="000000" w:themeColor="text1"/>
              </w:rPr>
            </w:pPr>
          </w:p>
          <w:p w14:paraId="39D8601A" w14:textId="77777777" w:rsidR="00C454A1" w:rsidRPr="002065D1" w:rsidRDefault="00C454A1" w:rsidP="005F4A6F">
            <w:pPr>
              <w:pStyle w:val="paragraph"/>
              <w:numPr>
                <w:ilvl w:val="0"/>
                <w:numId w:val="74"/>
              </w:numPr>
              <w:spacing w:before="0" w:beforeAutospacing="0" w:after="0" w:afterAutospacing="0"/>
              <w:ind w:right="272"/>
              <w:jc w:val="both"/>
              <w:textAlignment w:val="baseline"/>
              <w:rPr>
                <w:rStyle w:val="normaltextrun"/>
                <w:rFonts w:eastAsiaTheme="majorEastAsia"/>
                <w:color w:val="000000" w:themeColor="text1"/>
              </w:rPr>
            </w:pPr>
            <w:r w:rsidRPr="18A5A279">
              <w:rPr>
                <w:rStyle w:val="normaltextrun"/>
                <w:rFonts w:eastAsiaTheme="majorEastAsia"/>
                <w:color w:val="000000" w:themeColor="text1"/>
              </w:rPr>
              <w:t xml:space="preserve"> Fortalecimiento de capacidades, eje que da cuenta del fortalecimiento de las capacidades individuales y colectivas de la población objeto de atención, a través de la cultura de la legalidad y la convivencia pacífica, para la prevención y mitigación de los riesgos de reincidencia y victimización.</w:t>
            </w:r>
          </w:p>
          <w:p w14:paraId="3CEB8848" w14:textId="77777777" w:rsidR="00C454A1" w:rsidRPr="00DA6C7F" w:rsidRDefault="00C454A1" w:rsidP="00881E6A">
            <w:pPr>
              <w:pStyle w:val="paragraph"/>
              <w:spacing w:before="0" w:beforeAutospacing="0" w:after="0" w:afterAutospacing="0"/>
              <w:ind w:right="272"/>
              <w:jc w:val="both"/>
              <w:textAlignment w:val="baseline"/>
              <w:rPr>
                <w:color w:val="000000" w:themeColor="text1"/>
              </w:rPr>
            </w:pPr>
          </w:p>
          <w:p w14:paraId="32D80CE5" w14:textId="77777777" w:rsidR="00C454A1" w:rsidRPr="00DA6C7F" w:rsidRDefault="00C454A1" w:rsidP="00881E6A">
            <w:pPr>
              <w:pStyle w:val="paragraph"/>
              <w:spacing w:before="0" w:beforeAutospacing="0" w:after="0" w:afterAutospacing="0"/>
              <w:ind w:right="272"/>
              <w:jc w:val="both"/>
              <w:textAlignment w:val="baseline"/>
              <w:rPr>
                <w:color w:val="000000" w:themeColor="text1"/>
              </w:rPr>
            </w:pPr>
            <w:r w:rsidRPr="18A5A279">
              <w:rPr>
                <w:color w:val="000000" w:themeColor="text1"/>
              </w:rPr>
              <w:t>Los anexos aportados tienen que ver, precisamente, con las actuaciones que la entidad ha desplegado en los ejes de acción “ii” y “iii”. De un lado, se aportó evidencia que da cuenta de la gestión realizada por la ARN ante otras autoridades, la cual, asegura la entidad, le ha permitido salvar la vida de 54 firmantes del AFP, a quienes logró “extraer” del lugar donde se encontraban confinados</w:t>
            </w:r>
            <w:r w:rsidRPr="18A5A279">
              <w:rPr>
                <w:rStyle w:val="Refdenotaalpie"/>
                <w:color w:val="000000" w:themeColor="text1"/>
              </w:rPr>
              <w:footnoteReference w:id="754"/>
            </w:r>
            <w:r w:rsidRPr="18A5A279">
              <w:rPr>
                <w:color w:val="000000" w:themeColor="text1"/>
              </w:rPr>
              <w:t xml:space="preserve">. De otro lado, se remitieron copias de los “listados de asistencia” a las capacitaciones adelantadas por la ARN en el ETCR de Caño Indio y en el </w:t>
            </w:r>
            <w:r>
              <w:rPr>
                <w:color w:val="000000" w:themeColor="text1"/>
              </w:rPr>
              <w:t>M</w:t>
            </w:r>
            <w:r w:rsidRPr="18A5A279">
              <w:rPr>
                <w:color w:val="000000" w:themeColor="text1"/>
              </w:rPr>
              <w:t>unicipio de Tibú, las cuales estuvieron relacionadas con las rutas de protección en casos de riesgo o amenaza y, en general, con las vías de asistencia legal a las que los firmantes del AFP pueden tener derecho.</w:t>
            </w:r>
          </w:p>
          <w:p w14:paraId="257385C2" w14:textId="77777777" w:rsidR="00C454A1" w:rsidRPr="00DA6C7F" w:rsidRDefault="00C454A1" w:rsidP="00881E6A">
            <w:pPr>
              <w:pStyle w:val="paragraph"/>
              <w:spacing w:before="0" w:beforeAutospacing="0" w:after="0" w:afterAutospacing="0"/>
              <w:ind w:right="272"/>
              <w:jc w:val="both"/>
              <w:textAlignment w:val="baseline"/>
              <w:rPr>
                <w:color w:val="000000" w:themeColor="text1"/>
              </w:rPr>
            </w:pPr>
          </w:p>
          <w:p w14:paraId="5BDF31C6" w14:textId="77777777" w:rsidR="00C454A1" w:rsidRPr="002065D1" w:rsidRDefault="00C454A1" w:rsidP="00881E6A">
            <w:pPr>
              <w:pStyle w:val="paragraph"/>
              <w:spacing w:before="0" w:beforeAutospacing="0" w:after="0" w:afterAutospacing="0"/>
              <w:ind w:right="272"/>
              <w:jc w:val="both"/>
              <w:textAlignment w:val="baseline"/>
              <w:rPr>
                <w:color w:val="000000" w:themeColor="text1"/>
              </w:rPr>
            </w:pPr>
            <w:r w:rsidRPr="18A5A279">
              <w:rPr>
                <w:color w:val="000000" w:themeColor="text1"/>
              </w:rPr>
              <w:t xml:space="preserve">Finalmente, la ARN se refirió a las acciones desplegadas por la entidad para contribuir a conjurar las situaciones por las que atraviesan los firmantes que residen en el Catatumbo. </w:t>
            </w:r>
            <w:r w:rsidRPr="18A5A279">
              <w:rPr>
                <w:i/>
                <w:iCs/>
                <w:color w:val="000000" w:themeColor="text1"/>
              </w:rPr>
              <w:t>Por un lado</w:t>
            </w:r>
            <w:r w:rsidRPr="18A5A279">
              <w:rPr>
                <w:color w:val="000000" w:themeColor="text1"/>
              </w:rPr>
              <w:t>, informo del diálogo permanente con otras entidades y actores de la cooperación internacional para la gestión de recursos que permitan atender la emergencia</w:t>
            </w:r>
            <w:r w:rsidRPr="18A5A279">
              <w:rPr>
                <w:rStyle w:val="Refdenotaalpie"/>
                <w:color w:val="000000" w:themeColor="text1"/>
              </w:rPr>
              <w:footnoteReference w:id="755"/>
            </w:r>
            <w:r w:rsidRPr="18A5A279">
              <w:rPr>
                <w:color w:val="000000" w:themeColor="text1"/>
              </w:rPr>
              <w:t>. La entidad detalló los apoyos recibidos:</w:t>
            </w:r>
          </w:p>
          <w:p w14:paraId="1C857204" w14:textId="77777777" w:rsidR="00C454A1" w:rsidRDefault="00C454A1" w:rsidP="00881E6A">
            <w:pPr>
              <w:pStyle w:val="paragraph"/>
              <w:spacing w:before="0" w:beforeAutospacing="0" w:after="0" w:afterAutospacing="0"/>
              <w:ind w:right="272"/>
              <w:jc w:val="both"/>
              <w:textAlignment w:val="baseline"/>
              <w:rPr>
                <w:color w:val="000000" w:themeColor="text1"/>
              </w:rPr>
            </w:pPr>
          </w:p>
          <w:p w14:paraId="4673CB4F" w14:textId="77777777" w:rsidR="00C454A1" w:rsidRPr="003524AB" w:rsidRDefault="00C454A1" w:rsidP="00881E6A">
            <w:pPr>
              <w:pStyle w:val="paragraph"/>
              <w:spacing w:before="0" w:beforeAutospacing="0" w:after="0" w:afterAutospacing="0"/>
              <w:ind w:right="272"/>
              <w:jc w:val="center"/>
              <w:textAlignment w:val="baseline"/>
              <w:rPr>
                <w:i/>
                <w:iCs/>
                <w:color w:val="000000" w:themeColor="text1"/>
                <w:sz w:val="20"/>
                <w:szCs w:val="20"/>
              </w:rPr>
            </w:pPr>
            <w:r w:rsidRPr="003524AB">
              <w:rPr>
                <w:i/>
                <w:iCs/>
                <w:sz w:val="20"/>
                <w:szCs w:val="20"/>
              </w:rPr>
              <w:t>Tabla 31: acciones desplegadas por la ARN para conjurar la crisis en la región del Catatumbo</w:t>
            </w:r>
          </w:p>
          <w:tbl>
            <w:tblPr>
              <w:tblStyle w:val="Tablaconcuadrcula"/>
              <w:tblW w:w="7938" w:type="dxa"/>
              <w:jc w:val="center"/>
              <w:tblLook w:val="04A0" w:firstRow="1" w:lastRow="0" w:firstColumn="1" w:lastColumn="0" w:noHBand="0" w:noVBand="1"/>
            </w:tblPr>
            <w:tblGrid>
              <w:gridCol w:w="2693"/>
              <w:gridCol w:w="5245"/>
            </w:tblGrid>
            <w:tr w:rsidR="00C454A1" w:rsidRPr="00104D11" w14:paraId="0C98F568" w14:textId="77777777" w:rsidTr="001F3006">
              <w:trPr>
                <w:jc w:val="center"/>
              </w:trPr>
              <w:tc>
                <w:tcPr>
                  <w:tcW w:w="2693" w:type="dxa"/>
                </w:tcPr>
                <w:p w14:paraId="634B76F4" w14:textId="77777777" w:rsidR="00C454A1" w:rsidRPr="002065D1" w:rsidRDefault="00C454A1" w:rsidP="00881E6A">
                  <w:pPr>
                    <w:pStyle w:val="p1"/>
                    <w:ind w:right="272"/>
                    <w:jc w:val="center"/>
                    <w:rPr>
                      <w:rFonts w:ascii="Times New Roman" w:hAnsi="Times New Roman"/>
                      <w:color w:val="000000" w:themeColor="text1"/>
                      <w:sz w:val="22"/>
                      <w:szCs w:val="22"/>
                    </w:rPr>
                  </w:pPr>
                  <w:r w:rsidRPr="18A5A279">
                    <w:rPr>
                      <w:rFonts w:ascii="Times New Roman" w:hAnsi="Times New Roman"/>
                      <w:color w:val="000000" w:themeColor="text1"/>
                      <w:sz w:val="22"/>
                      <w:szCs w:val="22"/>
                    </w:rPr>
                    <w:t>Autoridad o particular</w:t>
                  </w:r>
                </w:p>
              </w:tc>
              <w:tc>
                <w:tcPr>
                  <w:tcW w:w="5245" w:type="dxa"/>
                </w:tcPr>
                <w:p w14:paraId="611F6600" w14:textId="77777777" w:rsidR="00C454A1" w:rsidRPr="002065D1" w:rsidRDefault="00C454A1" w:rsidP="00881E6A">
                  <w:pPr>
                    <w:pStyle w:val="p1"/>
                    <w:ind w:right="272"/>
                    <w:jc w:val="center"/>
                    <w:rPr>
                      <w:rFonts w:ascii="Times New Roman" w:hAnsi="Times New Roman"/>
                      <w:color w:val="000000" w:themeColor="text1"/>
                      <w:sz w:val="22"/>
                      <w:szCs w:val="22"/>
                    </w:rPr>
                  </w:pPr>
                  <w:r w:rsidRPr="18A5A279">
                    <w:rPr>
                      <w:rFonts w:ascii="Times New Roman" w:hAnsi="Times New Roman"/>
                      <w:color w:val="000000" w:themeColor="text1"/>
                      <w:sz w:val="22"/>
                      <w:szCs w:val="22"/>
                    </w:rPr>
                    <w:t>Apoyo recibido</w:t>
                  </w:r>
                </w:p>
              </w:tc>
            </w:tr>
            <w:tr w:rsidR="00C454A1" w:rsidRPr="00F8202F" w14:paraId="09736F81" w14:textId="77777777" w:rsidTr="001F3006">
              <w:trPr>
                <w:jc w:val="center"/>
              </w:trPr>
              <w:tc>
                <w:tcPr>
                  <w:tcW w:w="2693" w:type="dxa"/>
                </w:tcPr>
                <w:p w14:paraId="630B3D5E"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AECID</w:t>
                  </w:r>
                </w:p>
              </w:tc>
              <w:tc>
                <w:tcPr>
                  <w:tcW w:w="5245" w:type="dxa"/>
                </w:tcPr>
                <w:p w14:paraId="413E2DE5"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Mercados para la totalidad de la población del albergue</w:t>
                  </w:r>
                </w:p>
              </w:tc>
            </w:tr>
            <w:tr w:rsidR="00C454A1" w:rsidRPr="002065D1" w14:paraId="6F7F3832" w14:textId="77777777" w:rsidTr="001F3006">
              <w:trPr>
                <w:jc w:val="center"/>
              </w:trPr>
              <w:tc>
                <w:tcPr>
                  <w:tcW w:w="2693" w:type="dxa"/>
                </w:tcPr>
                <w:p w14:paraId="2C895C04"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Comunidad Scalabriniana</w:t>
                  </w:r>
                </w:p>
              </w:tc>
              <w:tc>
                <w:tcPr>
                  <w:tcW w:w="5245" w:type="dxa"/>
                </w:tcPr>
                <w:p w14:paraId="2C9BC91D"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Alojamiento para 185 personas</w:t>
                  </w:r>
                </w:p>
              </w:tc>
            </w:tr>
            <w:tr w:rsidR="00C454A1" w:rsidRPr="00F8202F" w14:paraId="2F56A2A7" w14:textId="77777777" w:rsidTr="001F3006">
              <w:trPr>
                <w:jc w:val="center"/>
              </w:trPr>
              <w:tc>
                <w:tcPr>
                  <w:tcW w:w="2693" w:type="dxa"/>
                </w:tcPr>
                <w:p w14:paraId="7E9BCE1F"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ICBF</w:t>
                  </w:r>
                </w:p>
              </w:tc>
              <w:tc>
                <w:tcPr>
                  <w:tcW w:w="5245" w:type="dxa"/>
                </w:tcPr>
                <w:p w14:paraId="3A3F741F"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Apoyo alimentario (Bienestarina) para menores de 5 años y acompañamiento psicológico para niños y niñas</w:t>
                  </w:r>
                </w:p>
              </w:tc>
            </w:tr>
            <w:tr w:rsidR="00C454A1" w:rsidRPr="002065D1" w14:paraId="04EED9E5" w14:textId="77777777" w:rsidTr="001F3006">
              <w:trPr>
                <w:jc w:val="center"/>
              </w:trPr>
              <w:tc>
                <w:tcPr>
                  <w:tcW w:w="2693" w:type="dxa"/>
                </w:tcPr>
                <w:p w14:paraId="29AAAEE5"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lastRenderedPageBreak/>
                    <w:t>Comité Permanente por los Derechos Humanos</w:t>
                  </w:r>
                </w:p>
              </w:tc>
              <w:tc>
                <w:tcPr>
                  <w:tcW w:w="5245" w:type="dxa"/>
                </w:tcPr>
                <w:p w14:paraId="140452F2"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Kits de aseo</w:t>
                  </w:r>
                </w:p>
              </w:tc>
            </w:tr>
            <w:tr w:rsidR="00C454A1" w:rsidRPr="00F8202F" w14:paraId="41D394DC" w14:textId="77777777" w:rsidTr="001F3006">
              <w:trPr>
                <w:jc w:val="center"/>
              </w:trPr>
              <w:tc>
                <w:tcPr>
                  <w:tcW w:w="2693" w:type="dxa"/>
                </w:tcPr>
                <w:p w14:paraId="5A29E0B6"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DAPRE</w:t>
                  </w:r>
                </w:p>
              </w:tc>
              <w:tc>
                <w:tcPr>
                  <w:tcW w:w="5245" w:type="dxa"/>
                </w:tcPr>
                <w:p w14:paraId="139E7AA4"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105 millones para cubrir gastos del albergue de acogida para firmantes del acuerdo de paz</w:t>
                  </w:r>
                </w:p>
              </w:tc>
            </w:tr>
            <w:tr w:rsidR="00C454A1" w:rsidRPr="00F8202F" w14:paraId="04BA9D99" w14:textId="77777777" w:rsidTr="001F3006">
              <w:trPr>
                <w:jc w:val="center"/>
              </w:trPr>
              <w:tc>
                <w:tcPr>
                  <w:tcW w:w="2693" w:type="dxa"/>
                </w:tcPr>
                <w:p w14:paraId="6D0286FF"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 xml:space="preserve">Médicos del mundo: </w:t>
                  </w:r>
                </w:p>
              </w:tc>
              <w:tc>
                <w:tcPr>
                  <w:tcW w:w="5245" w:type="dxa"/>
                </w:tcPr>
                <w:p w14:paraId="1501E4FE"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Apoyo psicológico para firmantes del acuerdo de paz</w:t>
                  </w:r>
                </w:p>
              </w:tc>
            </w:tr>
            <w:tr w:rsidR="00C454A1" w:rsidRPr="00F8202F" w14:paraId="48E0A22A" w14:textId="77777777" w:rsidTr="001F3006">
              <w:trPr>
                <w:jc w:val="center"/>
              </w:trPr>
              <w:tc>
                <w:tcPr>
                  <w:tcW w:w="2693" w:type="dxa"/>
                </w:tcPr>
                <w:p w14:paraId="063CA857"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 xml:space="preserve">Instituto Departamental de Salud (Villa del Rosario). </w:t>
                  </w:r>
                </w:p>
              </w:tc>
              <w:tc>
                <w:tcPr>
                  <w:tcW w:w="5245" w:type="dxa"/>
                </w:tcPr>
                <w:p w14:paraId="6012B618"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Apoyo con misión médica durante dos días</w:t>
                  </w:r>
                </w:p>
              </w:tc>
            </w:tr>
            <w:tr w:rsidR="00C454A1" w:rsidRPr="00F8202F" w14:paraId="146A660C" w14:textId="77777777" w:rsidTr="001F3006">
              <w:trPr>
                <w:jc w:val="center"/>
              </w:trPr>
              <w:tc>
                <w:tcPr>
                  <w:tcW w:w="2693" w:type="dxa"/>
                </w:tcPr>
                <w:p w14:paraId="6CBA113A"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CIDER</w:t>
                  </w:r>
                </w:p>
              </w:tc>
              <w:tc>
                <w:tcPr>
                  <w:tcW w:w="5245" w:type="dxa"/>
                </w:tcPr>
                <w:p w14:paraId="3933D475"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86 mercados con destinado a Caño Indio (ECTR)</w:t>
                  </w:r>
                </w:p>
              </w:tc>
            </w:tr>
            <w:tr w:rsidR="00C454A1" w:rsidRPr="00F8202F" w14:paraId="498CBA82" w14:textId="77777777" w:rsidTr="001F3006">
              <w:trPr>
                <w:jc w:val="center"/>
              </w:trPr>
              <w:tc>
                <w:tcPr>
                  <w:tcW w:w="2693" w:type="dxa"/>
                </w:tcPr>
                <w:p w14:paraId="50D99028"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 xml:space="preserve">Fondo Colombia en Paz. </w:t>
                  </w:r>
                </w:p>
              </w:tc>
              <w:tc>
                <w:tcPr>
                  <w:tcW w:w="5245" w:type="dxa"/>
                </w:tcPr>
                <w:p w14:paraId="457C3868"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14 mercados con destino a Caño Indio (ETCR)</w:t>
                  </w:r>
                </w:p>
              </w:tc>
            </w:tr>
            <w:tr w:rsidR="00C454A1" w:rsidRPr="00F8202F" w14:paraId="740106EE" w14:textId="77777777" w:rsidTr="001F3006">
              <w:trPr>
                <w:jc w:val="center"/>
              </w:trPr>
              <w:tc>
                <w:tcPr>
                  <w:tcW w:w="2693" w:type="dxa"/>
                </w:tcPr>
                <w:p w14:paraId="36DBE711"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Terpel</w:t>
                  </w:r>
                </w:p>
                <w:p w14:paraId="2D3C48D9" w14:textId="77777777" w:rsidR="00C454A1" w:rsidRPr="002065D1" w:rsidRDefault="00C454A1" w:rsidP="00881E6A">
                  <w:pPr>
                    <w:pStyle w:val="p1"/>
                    <w:ind w:right="272"/>
                    <w:rPr>
                      <w:rFonts w:ascii="Times New Roman" w:hAnsi="Times New Roman"/>
                      <w:color w:val="000000" w:themeColor="text1"/>
                      <w:sz w:val="22"/>
                      <w:szCs w:val="22"/>
                    </w:rPr>
                  </w:pPr>
                </w:p>
              </w:tc>
              <w:tc>
                <w:tcPr>
                  <w:tcW w:w="5245" w:type="dxa"/>
                </w:tcPr>
                <w:p w14:paraId="7CC38638"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Apoyo en elementos necesarios para el albergue tales como ventiladores, sábanas, entre otros.</w:t>
                  </w:r>
                </w:p>
              </w:tc>
            </w:tr>
            <w:tr w:rsidR="00C454A1" w:rsidRPr="00F8202F" w14:paraId="4AE248C7" w14:textId="77777777" w:rsidTr="001F3006">
              <w:trPr>
                <w:jc w:val="center"/>
              </w:trPr>
              <w:tc>
                <w:tcPr>
                  <w:tcW w:w="2693" w:type="dxa"/>
                </w:tcPr>
                <w:p w14:paraId="6673CA93"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Nestlé</w:t>
                  </w:r>
                </w:p>
              </w:tc>
              <w:tc>
                <w:tcPr>
                  <w:tcW w:w="5245" w:type="dxa"/>
                </w:tcPr>
                <w:p w14:paraId="032F5BD2"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Leche por un mes para niños y niñas menores de 5 años</w:t>
                  </w:r>
                </w:p>
              </w:tc>
            </w:tr>
            <w:tr w:rsidR="00C454A1" w:rsidRPr="00F8202F" w14:paraId="163E8FA5" w14:textId="77777777" w:rsidTr="001F3006">
              <w:trPr>
                <w:jc w:val="center"/>
              </w:trPr>
              <w:tc>
                <w:tcPr>
                  <w:tcW w:w="2693" w:type="dxa"/>
                </w:tcPr>
                <w:p w14:paraId="660ECAB1" w14:textId="77777777" w:rsidR="00C454A1" w:rsidRPr="002065D1" w:rsidRDefault="00C454A1" w:rsidP="00881E6A">
                  <w:pPr>
                    <w:pStyle w:val="p1"/>
                    <w:ind w:right="272"/>
                    <w:rPr>
                      <w:rFonts w:ascii="Times New Roman" w:hAnsi="Times New Roman"/>
                      <w:color w:val="000000" w:themeColor="text1"/>
                      <w:sz w:val="22"/>
                      <w:szCs w:val="22"/>
                    </w:rPr>
                  </w:pPr>
                  <w:r w:rsidRPr="18A5A279">
                    <w:rPr>
                      <w:rFonts w:ascii="Times New Roman" w:hAnsi="Times New Roman"/>
                      <w:color w:val="000000" w:themeColor="text1"/>
                      <w:sz w:val="22"/>
                      <w:szCs w:val="22"/>
                    </w:rPr>
                    <w:t>PNUD</w:t>
                  </w:r>
                </w:p>
              </w:tc>
              <w:tc>
                <w:tcPr>
                  <w:tcW w:w="5245" w:type="dxa"/>
                </w:tcPr>
                <w:p w14:paraId="6082D552" w14:textId="77777777" w:rsidR="00C454A1" w:rsidRPr="002065D1"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Con recursos del gobierno Noruego: alimentación y servicios a firmantes</w:t>
                  </w:r>
                </w:p>
              </w:tc>
            </w:tr>
          </w:tbl>
          <w:p w14:paraId="79197325" w14:textId="77777777" w:rsidR="00C454A1" w:rsidRDefault="00C454A1" w:rsidP="00881E6A">
            <w:pPr>
              <w:pStyle w:val="paragraph"/>
              <w:spacing w:before="0" w:beforeAutospacing="0" w:after="0" w:afterAutospacing="0"/>
              <w:ind w:right="272"/>
              <w:jc w:val="both"/>
              <w:textAlignment w:val="baseline"/>
              <w:rPr>
                <w:color w:val="000000" w:themeColor="text1"/>
              </w:rPr>
            </w:pPr>
          </w:p>
          <w:p w14:paraId="60635A36" w14:textId="77777777" w:rsidR="00C454A1" w:rsidRPr="00DA6C7F" w:rsidRDefault="00C454A1" w:rsidP="00881E6A">
            <w:pPr>
              <w:pStyle w:val="paragraph"/>
              <w:spacing w:before="0" w:beforeAutospacing="0" w:after="0" w:afterAutospacing="0"/>
              <w:ind w:right="272"/>
              <w:jc w:val="both"/>
              <w:textAlignment w:val="baseline"/>
              <w:rPr>
                <w:color w:val="000000" w:themeColor="text1"/>
              </w:rPr>
            </w:pPr>
            <w:r w:rsidRPr="18A5A279">
              <w:rPr>
                <w:i/>
                <w:iCs/>
                <w:color w:val="000000" w:themeColor="text1"/>
              </w:rPr>
              <w:t>Por el otro lado</w:t>
            </w:r>
            <w:r w:rsidRPr="18A5A279">
              <w:rPr>
                <w:color w:val="000000" w:themeColor="text1"/>
              </w:rPr>
              <w:t>, resaltó (a) la gestión hecha para el establecimiento de un albergue y el pago de la manutención y alimentación para las personas que allí permanecen, (b) el acompañamiento que estas personas han recibido de la Defensoría el Pueblo, (c) que estas personas también han recibido atención en salud por parte de los entes territoriales y con el apoyo de organización no gubernamentales, y (d) que la entidad ha dispuesto medios de transporte para que las personas interesadas puedan llegar al albergue al que se ha hecho referencia antes</w:t>
            </w:r>
            <w:r w:rsidRPr="18A5A279">
              <w:rPr>
                <w:rStyle w:val="Refdenotaalpie"/>
                <w:color w:val="000000" w:themeColor="text1"/>
              </w:rPr>
              <w:footnoteReference w:id="756"/>
            </w:r>
            <w:r w:rsidRPr="18A5A279">
              <w:rPr>
                <w:color w:val="000000" w:themeColor="text1"/>
              </w:rPr>
              <w:t>.</w:t>
            </w:r>
          </w:p>
        </w:tc>
      </w:tr>
      <w:tr w:rsidR="00C454A1" w:rsidRPr="00F8202F" w14:paraId="2349CB0D" w14:textId="77777777" w:rsidTr="005F4A6F">
        <w:trPr>
          <w:trHeight w:val="300"/>
        </w:trPr>
        <w:tc>
          <w:tcPr>
            <w:tcW w:w="642" w:type="pct"/>
            <w:vAlign w:val="center"/>
          </w:tcPr>
          <w:p w14:paraId="3BB70862" w14:textId="77777777" w:rsidR="00C454A1" w:rsidRPr="00DA6C7F" w:rsidRDefault="00C454A1" w:rsidP="00881E6A">
            <w:pPr>
              <w:ind w:right="272"/>
              <w:jc w:val="center"/>
              <w:rPr>
                <w:rFonts w:cs="Times New Roman"/>
                <w:b/>
              </w:rPr>
            </w:pPr>
            <w:r w:rsidRPr="00DA6C7F">
              <w:rPr>
                <w:rFonts w:cs="Times New Roman"/>
                <w:b/>
              </w:rPr>
              <w:lastRenderedPageBreak/>
              <w:t>Defensoría del Pueblo II</w:t>
            </w:r>
          </w:p>
        </w:tc>
        <w:tc>
          <w:tcPr>
            <w:tcW w:w="4358" w:type="pct"/>
          </w:tcPr>
          <w:p w14:paraId="77C9654D" w14:textId="77777777" w:rsidR="00C454A1" w:rsidRPr="00FD5430" w:rsidRDefault="00C454A1" w:rsidP="00881E6A">
            <w:pPr>
              <w:ind w:right="272"/>
              <w:rPr>
                <w:rFonts w:cs="Times New Roman"/>
                <w:color w:val="000000" w:themeColor="text1"/>
              </w:rPr>
            </w:pPr>
            <w:r>
              <w:rPr>
                <w:rFonts w:cs="Times New Roman"/>
                <w:color w:val="000000" w:themeColor="text1"/>
              </w:rPr>
              <w:t>Remitió</w:t>
            </w:r>
            <w:r w:rsidRPr="18A5A279">
              <w:rPr>
                <w:rFonts w:cs="Times New Roman"/>
                <w:color w:val="000000" w:themeColor="text1"/>
              </w:rPr>
              <w:t xml:space="preserve"> información relacionada con las preguntas planteadas en la Sección II (requisitos materiales), del numeral 1º (</w:t>
            </w:r>
            <w:r w:rsidRPr="18A5A279">
              <w:rPr>
                <w:rFonts w:cs="Times New Roman"/>
                <w:b/>
                <w:bCs/>
                <w:color w:val="000000" w:themeColor="text1"/>
                <w:u w:val="single"/>
              </w:rPr>
              <w:t>presupuesto fáctico</w:t>
            </w:r>
            <w:r w:rsidRPr="18A5A279">
              <w:rPr>
                <w:rFonts w:cs="Times New Roman"/>
                <w:color w:val="000000" w:themeColor="text1"/>
              </w:rPr>
              <w:t>), grupo de preguntas 1.2 del auto de pruebas del 31 de enero de 2025.</w:t>
            </w:r>
          </w:p>
          <w:p w14:paraId="044022AD" w14:textId="77777777" w:rsidR="00C454A1" w:rsidRPr="00FD5430" w:rsidRDefault="00C454A1" w:rsidP="00881E6A">
            <w:pPr>
              <w:ind w:right="272"/>
              <w:rPr>
                <w:rFonts w:cs="Times New Roman"/>
                <w:color w:val="000000" w:themeColor="text1"/>
              </w:rPr>
            </w:pPr>
          </w:p>
          <w:p w14:paraId="2B7F0950" w14:textId="77777777" w:rsidR="00C454A1" w:rsidRPr="00FD5430" w:rsidRDefault="00C454A1" w:rsidP="00881E6A">
            <w:pPr>
              <w:ind w:right="272"/>
              <w:rPr>
                <w:rFonts w:cs="Times New Roman"/>
                <w:color w:val="000000" w:themeColor="text1"/>
                <w:lang w:val="es-ES"/>
              </w:rPr>
            </w:pPr>
            <w:r w:rsidRPr="18A5A279">
              <w:rPr>
                <w:rFonts w:cs="Times New Roman"/>
                <w:i/>
                <w:iCs/>
                <w:color w:val="000000" w:themeColor="text1"/>
                <w:lang w:val="es-ES"/>
              </w:rPr>
              <w:t xml:space="preserve">Alertas tempranas. </w:t>
            </w:r>
            <w:r w:rsidRPr="18A5A279">
              <w:rPr>
                <w:rFonts w:cs="Times New Roman"/>
                <w:color w:val="000000" w:themeColor="text1"/>
                <w:lang w:val="es-ES"/>
              </w:rPr>
              <w:t xml:space="preserve">La entidad reiteró la información relacionada con las alertas mencionadas en la primera respuesta y, además, se refirió a otras dos: </w:t>
            </w:r>
            <w:r w:rsidRPr="18A5A279">
              <w:rPr>
                <w:rFonts w:cs="Times New Roman"/>
                <w:i/>
                <w:iCs/>
                <w:color w:val="000000" w:themeColor="text1"/>
                <w:lang w:val="es-ES"/>
              </w:rPr>
              <w:t xml:space="preserve">(i) </w:t>
            </w:r>
            <w:r w:rsidRPr="18A5A279">
              <w:rPr>
                <w:rFonts w:cs="Times New Roman"/>
                <w:color w:val="000000" w:themeColor="text1"/>
                <w:lang w:val="es-ES"/>
              </w:rPr>
              <w:t xml:space="preserve">AT 035 del 5 de octubre de 2023; y </w:t>
            </w:r>
            <w:r w:rsidRPr="18A5A279">
              <w:rPr>
                <w:rFonts w:cs="Times New Roman"/>
                <w:i/>
                <w:iCs/>
                <w:color w:val="000000" w:themeColor="text1"/>
                <w:lang w:val="es-ES"/>
              </w:rPr>
              <w:t xml:space="preserve">(ii) </w:t>
            </w:r>
            <w:r w:rsidRPr="18A5A279">
              <w:rPr>
                <w:rFonts w:cs="Times New Roman"/>
                <w:color w:val="000000" w:themeColor="text1"/>
                <w:lang w:val="es-ES"/>
              </w:rPr>
              <w:t xml:space="preserve">AT 021 del 15 de agosto de 2024. Es del caso precisar que, en esta ocasión, la entidad distinguió entre </w:t>
            </w:r>
            <w:r w:rsidRPr="18A5A279">
              <w:rPr>
                <w:rFonts w:cs="Times New Roman"/>
                <w:i/>
                <w:iCs/>
                <w:color w:val="000000" w:themeColor="text1"/>
                <w:lang w:val="es-ES"/>
              </w:rPr>
              <w:t>alertas tempranas de inminencia</w:t>
            </w:r>
            <w:r w:rsidRPr="18A5A279">
              <w:rPr>
                <w:rFonts w:cs="Times New Roman"/>
                <w:color w:val="000000" w:themeColor="text1"/>
                <w:lang w:val="es-ES"/>
              </w:rPr>
              <w:t xml:space="preserve"> y </w:t>
            </w:r>
            <w:r w:rsidRPr="18A5A279">
              <w:rPr>
                <w:rFonts w:cs="Times New Roman"/>
                <w:i/>
                <w:iCs/>
                <w:color w:val="000000" w:themeColor="text1"/>
                <w:lang w:val="es-ES"/>
              </w:rPr>
              <w:t>alertas tempranas estructurales</w:t>
            </w:r>
            <w:r w:rsidRPr="18A5A279">
              <w:rPr>
                <w:rFonts w:cs="Times New Roman"/>
                <w:color w:val="000000" w:themeColor="text1"/>
                <w:lang w:val="es-ES"/>
              </w:rPr>
              <w:t xml:space="preserve">. Dentro de estas última solo incluyó la AT 050 de 2020 y la AT-027 de 2024. De todas se hizo un resumen </w:t>
            </w:r>
            <w:r w:rsidRPr="18A5A279">
              <w:rPr>
                <w:rFonts w:cs="Times New Roman"/>
                <w:color w:val="000000" w:themeColor="text1"/>
                <w:lang w:val="es-ES"/>
              </w:rPr>
              <w:lastRenderedPageBreak/>
              <w:t>de: (a) los escenarios de riesgo, (b) los actores, (c) la descripción de la alerta, (d) tipo de violaciones a los derechos humanos, (e) recomendaciones y (f) la implementación de las medidas</w:t>
            </w:r>
            <w:r w:rsidRPr="18A5A279">
              <w:rPr>
                <w:rStyle w:val="Refdenotaalpie"/>
                <w:rFonts w:cs="Times New Roman"/>
                <w:color w:val="000000" w:themeColor="text1"/>
                <w:lang w:val="es-ES"/>
              </w:rPr>
              <w:footnoteReference w:id="757"/>
            </w:r>
            <w:r w:rsidRPr="18A5A279">
              <w:rPr>
                <w:rFonts w:cs="Times New Roman"/>
                <w:color w:val="000000" w:themeColor="text1"/>
                <w:lang w:val="es-ES"/>
              </w:rPr>
              <w:t xml:space="preserve">. </w:t>
            </w:r>
          </w:p>
          <w:p w14:paraId="4394F9F6" w14:textId="77777777" w:rsidR="00C454A1" w:rsidRPr="00FD5430" w:rsidRDefault="00C454A1" w:rsidP="00881E6A">
            <w:pPr>
              <w:ind w:right="272"/>
              <w:rPr>
                <w:rFonts w:cs="Times New Roman"/>
                <w:color w:val="000000" w:themeColor="text1"/>
              </w:rPr>
            </w:pPr>
          </w:p>
          <w:p w14:paraId="4546192D" w14:textId="77777777" w:rsidR="00C454A1" w:rsidRPr="00FD5430" w:rsidRDefault="00C454A1" w:rsidP="00881E6A">
            <w:pPr>
              <w:ind w:right="272"/>
              <w:rPr>
                <w:rFonts w:cs="Times New Roman"/>
                <w:color w:val="000000" w:themeColor="text1"/>
              </w:rPr>
            </w:pPr>
            <w:r w:rsidRPr="18A5A279">
              <w:rPr>
                <w:rFonts w:cs="Times New Roman"/>
                <w:color w:val="000000" w:themeColor="text1"/>
              </w:rPr>
              <w:t xml:space="preserve">En adición, informó de la existencia de </w:t>
            </w:r>
            <w:r w:rsidRPr="18A5A279">
              <w:rPr>
                <w:rFonts w:cs="Times New Roman"/>
                <w:i/>
                <w:iCs/>
                <w:color w:val="000000" w:themeColor="text1"/>
              </w:rPr>
              <w:t>oficios de Consumación</w:t>
            </w:r>
            <w:r w:rsidRPr="18A5A279">
              <w:rPr>
                <w:rFonts w:cs="Times New Roman"/>
                <w:color w:val="000000" w:themeColor="text1"/>
              </w:rPr>
              <w:t xml:space="preserve">, en los que se informa a las entidades concernidas en las recomendaciones de las </w:t>
            </w:r>
            <w:r w:rsidRPr="18A5A279">
              <w:rPr>
                <w:rFonts w:cs="Times New Roman"/>
                <w:i/>
                <w:iCs/>
                <w:color w:val="000000" w:themeColor="text1"/>
              </w:rPr>
              <w:t>alertas tempranas</w:t>
            </w:r>
            <w:r w:rsidRPr="18A5A279">
              <w:rPr>
                <w:rFonts w:cs="Times New Roman"/>
                <w:color w:val="000000" w:themeColor="text1"/>
              </w:rPr>
              <w:t>, sobre los hechos consumados y se reitera la necesidad de actuaciones extraordinarias para proteger los derechos de la población civil y procurar por las garantías de no repetición frente a nuevos hechos sobrevinientes</w:t>
            </w:r>
            <w:r w:rsidRPr="18A5A279">
              <w:rPr>
                <w:rStyle w:val="Refdenotaalpie"/>
                <w:rFonts w:cs="Times New Roman"/>
                <w:color w:val="000000" w:themeColor="text1"/>
              </w:rPr>
              <w:footnoteReference w:id="758"/>
            </w:r>
            <w:r w:rsidRPr="18A5A279">
              <w:rPr>
                <w:rFonts w:cs="Times New Roman"/>
                <w:color w:val="000000" w:themeColor="text1"/>
              </w:rPr>
              <w:t>. No obstante, únicamente se mencionaron dos oficios del 23 de enero de 2025,</w:t>
            </w:r>
            <w:r w:rsidRPr="18A5A279">
              <w:rPr>
                <w:rFonts w:cs="Times New Roman"/>
                <w:i/>
                <w:iCs/>
                <w:color w:val="000000" w:themeColor="text1"/>
              </w:rPr>
              <w:t xml:space="preserve"> </w:t>
            </w:r>
            <w:r w:rsidRPr="18A5A279">
              <w:rPr>
                <w:rFonts w:cs="Times New Roman"/>
                <w:color w:val="000000" w:themeColor="text1"/>
              </w:rPr>
              <w:t xml:space="preserve">en los que se hizo un recuento de los hechos ocurridos en el Catatumbo desde el 16 de enero de 2025. </w:t>
            </w:r>
          </w:p>
          <w:p w14:paraId="2D409FC7" w14:textId="77777777" w:rsidR="00C454A1" w:rsidRPr="00FD5430" w:rsidRDefault="00C454A1" w:rsidP="00881E6A">
            <w:pPr>
              <w:ind w:right="272"/>
              <w:rPr>
                <w:rFonts w:cs="Times New Roman"/>
                <w:color w:val="000000" w:themeColor="text1"/>
              </w:rPr>
            </w:pPr>
          </w:p>
          <w:p w14:paraId="233E5343" w14:textId="77777777" w:rsidR="00C454A1" w:rsidRPr="00FD5430" w:rsidRDefault="00C454A1" w:rsidP="00881E6A">
            <w:pPr>
              <w:ind w:right="272"/>
              <w:rPr>
                <w:rFonts w:cs="Times New Roman"/>
                <w:color w:val="000000" w:themeColor="text1"/>
                <w:lang w:val="es-ES"/>
              </w:rPr>
            </w:pPr>
            <w:r w:rsidRPr="18A5A279">
              <w:rPr>
                <w:rFonts w:cs="Times New Roman"/>
                <w:color w:val="000000" w:themeColor="text1"/>
                <w:lang w:val="es-ES"/>
              </w:rPr>
              <w:t>Frente a esto último, la entidad aportó información relevante sobre el desplazamiento forzado que, según dijo, se ha venido incrementando en los municipios que fueron cubiertos con la declaratoria del estado de conmoción y que resultó ser exponencial, a tal punto que la entidad catalogó dicho fenómeno como “el más grande en la histórica reciente del país asociado a un mismo hecho victimizante”</w:t>
            </w:r>
            <w:r w:rsidRPr="18A5A279">
              <w:rPr>
                <w:rStyle w:val="Refdenotaalpie"/>
                <w:rFonts w:cs="Times New Roman"/>
                <w:color w:val="000000" w:themeColor="text1"/>
                <w:lang w:val="es-ES"/>
              </w:rPr>
              <w:footnoteReference w:id="759"/>
            </w:r>
            <w:r w:rsidRPr="18A5A279">
              <w:rPr>
                <w:rFonts w:cs="Times New Roman"/>
                <w:color w:val="000000" w:themeColor="text1"/>
                <w:lang w:val="es-ES"/>
              </w:rPr>
              <w:t>. La información aportada es detallada por año (2022 a 2025), municipio de origen del desplazamiento y lugar de acogida de la población desplazada. Al respecto, la defensora del Pueblo le informó a la Corte que, “a corte del 3 de febrero de 2025[,] se han desplazado 53.361 personas y se encuentran confinadas 30.908 personas”</w:t>
            </w:r>
            <w:r w:rsidRPr="18A5A279">
              <w:rPr>
                <w:rStyle w:val="Refdenotaalpie"/>
                <w:rFonts w:cs="Times New Roman"/>
                <w:color w:val="000000" w:themeColor="text1"/>
                <w:lang w:val="es-ES"/>
              </w:rPr>
              <w:footnoteReference w:id="760"/>
            </w:r>
            <w:r w:rsidRPr="18A5A279">
              <w:rPr>
                <w:rFonts w:cs="Times New Roman"/>
                <w:color w:val="000000" w:themeColor="text1"/>
                <w:lang w:val="es-ES"/>
              </w:rPr>
              <w:t xml:space="preserve">. Uno de los anexos, denominado </w:t>
            </w:r>
            <w:r w:rsidRPr="18A5A279">
              <w:rPr>
                <w:rFonts w:cs="Times New Roman"/>
                <w:i/>
                <w:iCs/>
                <w:color w:val="000000" w:themeColor="text1"/>
                <w:lang w:val="es-ES"/>
              </w:rPr>
              <w:t>Balance PMU Catatumbo</w:t>
            </w:r>
            <w:r w:rsidRPr="18A5A279">
              <w:rPr>
                <w:rStyle w:val="Refdenotaalpie"/>
                <w:rFonts w:cs="Times New Roman"/>
                <w:color w:val="000000" w:themeColor="text1"/>
                <w:lang w:val="es-ES"/>
              </w:rPr>
              <w:footnoteReference w:id="761"/>
            </w:r>
            <w:r w:rsidRPr="18A5A279">
              <w:rPr>
                <w:rFonts w:cs="Times New Roman"/>
                <w:i/>
                <w:iCs/>
                <w:color w:val="000000" w:themeColor="text1"/>
                <w:lang w:val="es-ES"/>
              </w:rPr>
              <w:t xml:space="preserve">, </w:t>
            </w:r>
            <w:r w:rsidRPr="18A5A279">
              <w:rPr>
                <w:rFonts w:cs="Times New Roman"/>
                <w:color w:val="000000" w:themeColor="text1"/>
                <w:lang w:val="es-ES"/>
              </w:rPr>
              <w:t>contiene información relevante y actualizada sobre homicidios, personas lesionadas, desaparecidos firmantes, personas desplazadas y confinadas, personas en alojamientos temporales y evacuaciones terrestres, entre otra información. La funcionaria también nos informó sobre diversas formas de violencia a las que se ha visto sometida la población civil en lo que va corrido del año 2025</w:t>
            </w:r>
            <w:r w:rsidRPr="18A5A279">
              <w:rPr>
                <w:rStyle w:val="Refdenotaalpie"/>
                <w:rFonts w:cs="Times New Roman"/>
                <w:color w:val="000000" w:themeColor="text1"/>
                <w:lang w:val="es-ES"/>
              </w:rPr>
              <w:footnoteReference w:id="762"/>
            </w:r>
            <w:r w:rsidRPr="18A5A279">
              <w:rPr>
                <w:rFonts w:cs="Times New Roman"/>
                <w:color w:val="000000" w:themeColor="text1"/>
                <w:lang w:val="es-ES"/>
              </w:rPr>
              <w:t>.</w:t>
            </w:r>
          </w:p>
          <w:p w14:paraId="290CED22" w14:textId="77777777" w:rsidR="00C454A1" w:rsidRPr="00FD5430" w:rsidRDefault="00C454A1" w:rsidP="00881E6A">
            <w:pPr>
              <w:ind w:right="272"/>
              <w:rPr>
                <w:rFonts w:cs="Times New Roman"/>
                <w:color w:val="000000" w:themeColor="text1"/>
              </w:rPr>
            </w:pPr>
          </w:p>
          <w:p w14:paraId="6FF2093D" w14:textId="77777777" w:rsidR="00C454A1" w:rsidRPr="00FD5430" w:rsidRDefault="00C454A1" w:rsidP="00881E6A">
            <w:pPr>
              <w:ind w:right="272"/>
              <w:rPr>
                <w:rFonts w:cs="Times New Roman"/>
                <w:color w:val="000000" w:themeColor="text1"/>
                <w:lang w:val="es-ES"/>
              </w:rPr>
            </w:pPr>
            <w:r w:rsidRPr="18A5A279">
              <w:rPr>
                <w:rFonts w:cs="Times New Roman"/>
                <w:color w:val="000000" w:themeColor="text1"/>
                <w:lang w:val="es-ES"/>
              </w:rPr>
              <w:t>Estas imágenes muestran los aspectos principales de la información, con corte al 3 de febrero de 2025:</w:t>
            </w:r>
          </w:p>
          <w:p w14:paraId="33596BD6" w14:textId="77777777" w:rsidR="00C454A1" w:rsidRPr="00FD5430" w:rsidRDefault="00C454A1" w:rsidP="00881E6A">
            <w:pPr>
              <w:ind w:right="272"/>
              <w:rPr>
                <w:rFonts w:cs="Times New Roman"/>
                <w:color w:val="000000" w:themeColor="text1"/>
                <w:lang w:val="es-ES"/>
              </w:rPr>
            </w:pPr>
          </w:p>
          <w:p w14:paraId="088AC231" w14:textId="77777777" w:rsidR="00C454A1" w:rsidRPr="00FD5430" w:rsidRDefault="00C454A1" w:rsidP="00881E6A">
            <w:pPr>
              <w:ind w:left="379" w:right="272"/>
              <w:jc w:val="center"/>
              <w:rPr>
                <w:rFonts w:cs="Times New Roman"/>
                <w:color w:val="000000" w:themeColor="text1"/>
                <w:lang w:val="es-ES"/>
              </w:rPr>
            </w:pPr>
            <w:r>
              <w:rPr>
                <w:noProof/>
                <w:lang w:val="en-US"/>
              </w:rPr>
              <w:drawing>
                <wp:inline distT="0" distB="0" distL="0" distR="0" wp14:anchorId="2ECF0F85" wp14:editId="58932713">
                  <wp:extent cx="2158423" cy="2097741"/>
                  <wp:effectExtent l="0" t="0" r="635" b="0"/>
                  <wp:docPr id="3051357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0">
                            <a:extLst>
                              <a:ext uri="{28A0092B-C50C-407E-A947-70E740481C1C}">
                                <a14:useLocalDpi xmlns:a14="http://schemas.microsoft.com/office/drawing/2010/main" val="0"/>
                              </a:ext>
                            </a:extLst>
                          </a:blip>
                          <a:stretch>
                            <a:fillRect/>
                          </a:stretch>
                        </pic:blipFill>
                        <pic:spPr>
                          <a:xfrm>
                            <a:off x="0" y="0"/>
                            <a:ext cx="2158423" cy="2097741"/>
                          </a:xfrm>
                          <a:prstGeom prst="rect">
                            <a:avLst/>
                          </a:prstGeom>
                        </pic:spPr>
                      </pic:pic>
                    </a:graphicData>
                  </a:graphic>
                </wp:inline>
              </w:drawing>
            </w:r>
            <w:r>
              <w:rPr>
                <w:rFonts w:cs="Times New Roman"/>
                <w:color w:val="000000" w:themeColor="text1"/>
                <w:lang w:val="es-ES"/>
              </w:rPr>
              <w:t xml:space="preserve">   </w:t>
            </w:r>
            <w:r>
              <w:rPr>
                <w:noProof/>
                <w:lang w:val="en-US"/>
              </w:rPr>
              <w:drawing>
                <wp:inline distT="0" distB="0" distL="0" distR="0" wp14:anchorId="204EE1DD" wp14:editId="0D3BAC96">
                  <wp:extent cx="3724088" cy="2150166"/>
                  <wp:effectExtent l="0" t="0" r="0" b="0"/>
                  <wp:docPr id="19172914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1">
                            <a:extLst>
                              <a:ext uri="{28A0092B-C50C-407E-A947-70E740481C1C}">
                                <a14:useLocalDpi xmlns:a14="http://schemas.microsoft.com/office/drawing/2010/main" val="0"/>
                              </a:ext>
                            </a:extLst>
                          </a:blip>
                          <a:stretch>
                            <a:fillRect/>
                          </a:stretch>
                        </pic:blipFill>
                        <pic:spPr>
                          <a:xfrm>
                            <a:off x="0" y="0"/>
                            <a:ext cx="3724088" cy="2150166"/>
                          </a:xfrm>
                          <a:prstGeom prst="rect">
                            <a:avLst/>
                          </a:prstGeom>
                        </pic:spPr>
                      </pic:pic>
                    </a:graphicData>
                  </a:graphic>
                </wp:inline>
              </w:drawing>
            </w:r>
            <w:r>
              <w:rPr>
                <w:rFonts w:cs="Times New Roman"/>
                <w:color w:val="000000" w:themeColor="text1"/>
                <w:lang w:val="es-ES"/>
              </w:rPr>
              <w:t xml:space="preserve">   </w:t>
            </w:r>
          </w:p>
          <w:p w14:paraId="4E489649" w14:textId="77777777" w:rsidR="00C454A1" w:rsidRPr="00FD5430" w:rsidRDefault="00C454A1" w:rsidP="00881E6A">
            <w:pPr>
              <w:ind w:right="272"/>
              <w:rPr>
                <w:rFonts w:cs="Times New Roman"/>
                <w:color w:val="000000" w:themeColor="text1"/>
                <w:lang w:val="es-ES"/>
              </w:rPr>
            </w:pPr>
          </w:p>
          <w:p w14:paraId="51BA491B" w14:textId="77777777" w:rsidR="00C454A1" w:rsidRPr="00FD5430" w:rsidRDefault="00C454A1" w:rsidP="00881E6A">
            <w:pPr>
              <w:ind w:right="272"/>
              <w:jc w:val="center"/>
              <w:rPr>
                <w:rFonts w:cs="Times New Roman"/>
                <w:color w:val="000000" w:themeColor="text1"/>
                <w:lang w:val="es-ES"/>
              </w:rPr>
            </w:pPr>
            <w:r>
              <w:rPr>
                <w:noProof/>
                <w:lang w:val="en-US"/>
              </w:rPr>
              <w:drawing>
                <wp:inline distT="0" distB="0" distL="0" distR="0" wp14:anchorId="4558AD0A" wp14:editId="75F33B76">
                  <wp:extent cx="3101340" cy="2698376"/>
                  <wp:effectExtent l="0" t="0" r="0" b="0"/>
                  <wp:docPr id="1327806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2">
                            <a:extLst>
                              <a:ext uri="{28A0092B-C50C-407E-A947-70E740481C1C}">
                                <a14:useLocalDpi xmlns:a14="http://schemas.microsoft.com/office/drawing/2010/main" val="0"/>
                              </a:ext>
                            </a:extLst>
                          </a:blip>
                          <a:stretch>
                            <a:fillRect/>
                          </a:stretch>
                        </pic:blipFill>
                        <pic:spPr>
                          <a:xfrm>
                            <a:off x="0" y="0"/>
                            <a:ext cx="3101340" cy="2698376"/>
                          </a:xfrm>
                          <a:prstGeom prst="rect">
                            <a:avLst/>
                          </a:prstGeom>
                        </pic:spPr>
                      </pic:pic>
                    </a:graphicData>
                  </a:graphic>
                </wp:inline>
              </w:drawing>
            </w:r>
            <w:r>
              <w:rPr>
                <w:rFonts w:cs="Times New Roman"/>
                <w:color w:val="000000" w:themeColor="text1"/>
                <w:lang w:val="es-ES"/>
              </w:rPr>
              <w:t xml:space="preserve">   </w:t>
            </w:r>
            <w:r>
              <w:rPr>
                <w:noProof/>
                <w:lang w:val="en-US"/>
              </w:rPr>
              <w:drawing>
                <wp:inline distT="0" distB="0" distL="0" distR="0" wp14:anchorId="0F3D0E1D" wp14:editId="345325E9">
                  <wp:extent cx="2792252" cy="2706930"/>
                  <wp:effectExtent l="0" t="0" r="1905" b="0"/>
                  <wp:docPr id="10041543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3">
                            <a:extLst>
                              <a:ext uri="{28A0092B-C50C-407E-A947-70E740481C1C}">
                                <a14:useLocalDpi xmlns:a14="http://schemas.microsoft.com/office/drawing/2010/main" val="0"/>
                              </a:ext>
                            </a:extLst>
                          </a:blip>
                          <a:stretch>
                            <a:fillRect/>
                          </a:stretch>
                        </pic:blipFill>
                        <pic:spPr>
                          <a:xfrm>
                            <a:off x="0" y="0"/>
                            <a:ext cx="2792252" cy="2706930"/>
                          </a:xfrm>
                          <a:prstGeom prst="rect">
                            <a:avLst/>
                          </a:prstGeom>
                        </pic:spPr>
                      </pic:pic>
                    </a:graphicData>
                  </a:graphic>
                </wp:inline>
              </w:drawing>
            </w:r>
          </w:p>
          <w:p w14:paraId="729381CC" w14:textId="77777777" w:rsidR="00C454A1" w:rsidRPr="00FD5430" w:rsidRDefault="00C454A1" w:rsidP="00881E6A">
            <w:pPr>
              <w:ind w:right="272"/>
              <w:rPr>
                <w:rFonts w:cs="Times New Roman"/>
                <w:color w:val="000000" w:themeColor="text1"/>
                <w:lang w:val="es-ES"/>
              </w:rPr>
            </w:pPr>
          </w:p>
          <w:p w14:paraId="1FE76C04" w14:textId="77777777" w:rsidR="00C454A1" w:rsidRPr="00FD5430" w:rsidRDefault="00C454A1" w:rsidP="00881E6A">
            <w:pPr>
              <w:ind w:right="272"/>
              <w:rPr>
                <w:rFonts w:cs="Times New Roman"/>
                <w:color w:val="000000" w:themeColor="text1"/>
                <w:lang w:val="es-ES"/>
              </w:rPr>
            </w:pPr>
            <w:r w:rsidRPr="18A5A279">
              <w:rPr>
                <w:rFonts w:cs="Times New Roman"/>
                <w:color w:val="000000" w:themeColor="text1"/>
                <w:lang w:val="es-ES"/>
              </w:rPr>
              <w:lastRenderedPageBreak/>
              <w:t>En adición, la entidad informó sobre la recepción de declaraciones masivas por desplazamiento forzado en el Catatumbo, entre el 17 de enero y el 1 de febrero de 2025:</w:t>
            </w:r>
          </w:p>
          <w:p w14:paraId="0C27A781" w14:textId="77777777" w:rsidR="00C454A1" w:rsidRDefault="00C454A1" w:rsidP="00881E6A">
            <w:pPr>
              <w:ind w:right="272"/>
              <w:jc w:val="center"/>
              <w:rPr>
                <w:rFonts w:cs="Times New Roman"/>
                <w:color w:val="000000" w:themeColor="text1"/>
                <w:lang w:val="es-ES"/>
              </w:rPr>
            </w:pPr>
          </w:p>
          <w:p w14:paraId="6851AF5E" w14:textId="77777777" w:rsidR="00C454A1" w:rsidRPr="0049690F" w:rsidRDefault="00C454A1" w:rsidP="00881E6A">
            <w:pPr>
              <w:ind w:right="272"/>
              <w:jc w:val="center"/>
              <w:rPr>
                <w:rFonts w:cs="Times New Roman"/>
                <w:i/>
                <w:iCs/>
                <w:color w:val="000000" w:themeColor="text1"/>
                <w:sz w:val="20"/>
                <w:szCs w:val="20"/>
                <w:lang w:val="es-ES"/>
              </w:rPr>
            </w:pPr>
            <w:r w:rsidRPr="0049690F">
              <w:rPr>
                <w:rFonts w:cs="Times New Roman"/>
                <w:i/>
                <w:iCs/>
                <w:color w:val="000000" w:themeColor="text1"/>
                <w:sz w:val="20"/>
                <w:szCs w:val="20"/>
                <w:lang w:val="es-ES"/>
              </w:rPr>
              <w:t>Tabla 32: declaraciones de desplazamiento forzado tomadas por la Defensoría del Pueblo</w:t>
            </w:r>
          </w:p>
          <w:tbl>
            <w:tblPr>
              <w:tblStyle w:val="Tablaconcuadrcula"/>
              <w:tblW w:w="7696" w:type="dxa"/>
              <w:jc w:val="center"/>
              <w:tblLook w:val="04A0" w:firstRow="1" w:lastRow="0" w:firstColumn="1" w:lastColumn="0" w:noHBand="0" w:noVBand="1"/>
            </w:tblPr>
            <w:tblGrid>
              <w:gridCol w:w="1405"/>
              <w:gridCol w:w="1276"/>
              <w:gridCol w:w="1688"/>
              <w:gridCol w:w="3327"/>
            </w:tblGrid>
            <w:tr w:rsidR="00C454A1" w:rsidRPr="008344F7" w14:paraId="6FA90681" w14:textId="77777777" w:rsidTr="001F3006">
              <w:trPr>
                <w:jc w:val="center"/>
              </w:trPr>
              <w:tc>
                <w:tcPr>
                  <w:tcW w:w="1351" w:type="dxa"/>
                </w:tcPr>
                <w:p w14:paraId="20C18922" w14:textId="77777777" w:rsidR="00C454A1" w:rsidRPr="00FD5430" w:rsidRDefault="00C454A1" w:rsidP="00881E6A">
                  <w:pPr>
                    <w:ind w:right="272"/>
                    <w:jc w:val="center"/>
                    <w:rPr>
                      <w:rFonts w:cs="Times New Roman"/>
                      <w:color w:val="000000" w:themeColor="text1"/>
                      <w:sz w:val="22"/>
                      <w:szCs w:val="22"/>
                      <w:lang w:val="es-ES"/>
                    </w:rPr>
                  </w:pPr>
                  <w:r w:rsidRPr="18A5A279">
                    <w:rPr>
                      <w:rFonts w:cs="Times New Roman"/>
                      <w:color w:val="000000" w:themeColor="text1"/>
                      <w:sz w:val="22"/>
                      <w:szCs w:val="22"/>
                      <w:lang w:val="es-ES"/>
                    </w:rPr>
                    <w:t>Municipio</w:t>
                  </w:r>
                </w:p>
              </w:tc>
              <w:tc>
                <w:tcPr>
                  <w:tcW w:w="1276" w:type="dxa"/>
                </w:tcPr>
                <w:p w14:paraId="3BB6AAFA" w14:textId="77777777" w:rsidR="00C454A1" w:rsidRPr="00FD5430" w:rsidRDefault="00C454A1" w:rsidP="00881E6A">
                  <w:pPr>
                    <w:ind w:right="272"/>
                    <w:jc w:val="center"/>
                    <w:rPr>
                      <w:rFonts w:cs="Times New Roman"/>
                      <w:color w:val="000000" w:themeColor="text1"/>
                      <w:sz w:val="22"/>
                      <w:szCs w:val="22"/>
                      <w:lang w:val="es-ES"/>
                    </w:rPr>
                  </w:pPr>
                  <w:r w:rsidRPr="18A5A279">
                    <w:rPr>
                      <w:rFonts w:cs="Times New Roman"/>
                      <w:color w:val="000000" w:themeColor="text1"/>
                      <w:sz w:val="22"/>
                      <w:szCs w:val="22"/>
                      <w:lang w:val="es-ES"/>
                    </w:rPr>
                    <w:t>Número de personas</w:t>
                  </w:r>
                </w:p>
              </w:tc>
              <w:tc>
                <w:tcPr>
                  <w:tcW w:w="1701" w:type="dxa"/>
                </w:tcPr>
                <w:p w14:paraId="69CA198D" w14:textId="77777777" w:rsidR="00C454A1" w:rsidRPr="00FD5430" w:rsidRDefault="00C454A1" w:rsidP="00881E6A">
                  <w:pPr>
                    <w:ind w:right="272"/>
                    <w:jc w:val="center"/>
                    <w:rPr>
                      <w:rFonts w:cs="Times New Roman"/>
                      <w:color w:val="000000" w:themeColor="text1"/>
                      <w:sz w:val="22"/>
                      <w:szCs w:val="22"/>
                      <w:lang w:val="es-ES"/>
                    </w:rPr>
                  </w:pPr>
                  <w:r w:rsidRPr="18A5A279">
                    <w:rPr>
                      <w:rFonts w:cs="Times New Roman"/>
                      <w:color w:val="000000" w:themeColor="text1"/>
                      <w:sz w:val="22"/>
                      <w:szCs w:val="22"/>
                      <w:lang w:val="es-ES"/>
                    </w:rPr>
                    <w:t>Estado del censo</w:t>
                  </w:r>
                </w:p>
              </w:tc>
              <w:tc>
                <w:tcPr>
                  <w:tcW w:w="3368" w:type="dxa"/>
                </w:tcPr>
                <w:p w14:paraId="0943232C" w14:textId="77777777" w:rsidR="00C454A1" w:rsidRPr="00FD5430" w:rsidRDefault="00C454A1" w:rsidP="00881E6A">
                  <w:pPr>
                    <w:ind w:right="272"/>
                    <w:jc w:val="center"/>
                    <w:rPr>
                      <w:rFonts w:cs="Times New Roman"/>
                      <w:color w:val="000000" w:themeColor="text1"/>
                      <w:sz w:val="22"/>
                      <w:szCs w:val="22"/>
                      <w:lang w:val="es-ES"/>
                    </w:rPr>
                  </w:pPr>
                  <w:r w:rsidRPr="18A5A279">
                    <w:rPr>
                      <w:rFonts w:cs="Times New Roman"/>
                      <w:color w:val="000000" w:themeColor="text1"/>
                      <w:sz w:val="22"/>
                      <w:szCs w:val="22"/>
                      <w:lang w:val="es-ES"/>
                    </w:rPr>
                    <w:t xml:space="preserve">Remisión a la </w:t>
                  </w:r>
                  <w:r>
                    <w:rPr>
                      <w:rFonts w:cs="Times New Roman"/>
                      <w:color w:val="000000" w:themeColor="text1"/>
                      <w:sz w:val="22"/>
                      <w:szCs w:val="22"/>
                      <w:lang w:val="es-ES"/>
                    </w:rPr>
                    <w:t>UARIV</w:t>
                  </w:r>
                </w:p>
              </w:tc>
            </w:tr>
            <w:tr w:rsidR="00C454A1" w:rsidRPr="00F8202F" w14:paraId="0A0759B9" w14:textId="77777777" w:rsidTr="001F3006">
              <w:trPr>
                <w:jc w:val="center"/>
              </w:trPr>
              <w:tc>
                <w:tcPr>
                  <w:tcW w:w="1351" w:type="dxa"/>
                </w:tcPr>
                <w:p w14:paraId="426B738E"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Ocaña</w:t>
                  </w:r>
                </w:p>
                <w:p w14:paraId="2F3CEF9F" w14:textId="77777777" w:rsidR="00C454A1" w:rsidRPr="00FD5430" w:rsidRDefault="00C454A1" w:rsidP="00881E6A">
                  <w:pPr>
                    <w:ind w:right="272"/>
                    <w:rPr>
                      <w:rFonts w:cs="Times New Roman"/>
                      <w:color w:val="000000" w:themeColor="text1"/>
                      <w:sz w:val="22"/>
                      <w:szCs w:val="22"/>
                      <w:lang w:val="es-ES"/>
                    </w:rPr>
                  </w:pPr>
                </w:p>
              </w:tc>
              <w:tc>
                <w:tcPr>
                  <w:tcW w:w="1276" w:type="dxa"/>
                </w:tcPr>
                <w:p w14:paraId="4FC162DB"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10.285</w:t>
                  </w:r>
                </w:p>
                <w:p w14:paraId="48FA38F6" w14:textId="77777777" w:rsidR="00C454A1" w:rsidRPr="00FD5430" w:rsidRDefault="00C454A1" w:rsidP="00881E6A">
                  <w:pPr>
                    <w:ind w:right="272"/>
                    <w:rPr>
                      <w:rFonts w:cs="Times New Roman"/>
                      <w:color w:val="000000" w:themeColor="text1"/>
                      <w:sz w:val="22"/>
                      <w:szCs w:val="22"/>
                      <w:lang w:val="es-ES"/>
                    </w:rPr>
                  </w:pPr>
                </w:p>
              </w:tc>
              <w:tc>
                <w:tcPr>
                  <w:tcW w:w="1701" w:type="dxa"/>
                </w:tcPr>
                <w:p w14:paraId="42680132"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Cerrado</w:t>
                  </w:r>
                </w:p>
                <w:p w14:paraId="2B02AE1C" w14:textId="77777777" w:rsidR="00C454A1" w:rsidRPr="00FD5430" w:rsidRDefault="00C454A1" w:rsidP="00881E6A">
                  <w:pPr>
                    <w:ind w:right="272"/>
                    <w:rPr>
                      <w:rFonts w:cs="Times New Roman"/>
                      <w:color w:val="000000" w:themeColor="text1"/>
                      <w:sz w:val="22"/>
                      <w:szCs w:val="22"/>
                      <w:lang w:val="es-ES"/>
                    </w:rPr>
                  </w:pPr>
                </w:p>
              </w:tc>
              <w:tc>
                <w:tcPr>
                  <w:tcW w:w="3368" w:type="dxa"/>
                </w:tcPr>
                <w:p w14:paraId="20DE44EF"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 la fecha no se ha realizado el envío de las declaraciones masivas. Pendiente el acta del comité de justicia Transicional Se proyecta envío semana del 3 de febrero.</w:t>
                  </w:r>
                </w:p>
              </w:tc>
            </w:tr>
            <w:tr w:rsidR="00C454A1" w:rsidRPr="00F8202F" w14:paraId="2EFFCEE3" w14:textId="77777777" w:rsidTr="001F3006">
              <w:trPr>
                <w:jc w:val="center"/>
              </w:trPr>
              <w:tc>
                <w:tcPr>
                  <w:tcW w:w="1351" w:type="dxa"/>
                </w:tcPr>
                <w:p w14:paraId="5709B9F7"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Cúcuta</w:t>
                  </w:r>
                </w:p>
                <w:p w14:paraId="2B301591" w14:textId="77777777" w:rsidR="00C454A1" w:rsidRPr="00FD5430" w:rsidRDefault="00C454A1" w:rsidP="00881E6A">
                  <w:pPr>
                    <w:ind w:right="272"/>
                    <w:rPr>
                      <w:rFonts w:cs="Times New Roman"/>
                      <w:color w:val="000000" w:themeColor="text1"/>
                      <w:sz w:val="22"/>
                      <w:szCs w:val="22"/>
                      <w:lang w:val="es-ES"/>
                    </w:rPr>
                  </w:pPr>
                </w:p>
              </w:tc>
              <w:tc>
                <w:tcPr>
                  <w:tcW w:w="1276" w:type="dxa"/>
                </w:tcPr>
                <w:p w14:paraId="6EB83789"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23.830</w:t>
                  </w:r>
                </w:p>
                <w:p w14:paraId="2C377722" w14:textId="77777777" w:rsidR="00C454A1" w:rsidRPr="00FD5430" w:rsidRDefault="00C454A1" w:rsidP="00881E6A">
                  <w:pPr>
                    <w:ind w:right="272"/>
                    <w:rPr>
                      <w:rFonts w:cs="Times New Roman"/>
                      <w:color w:val="000000" w:themeColor="text1"/>
                      <w:sz w:val="22"/>
                      <w:szCs w:val="22"/>
                      <w:lang w:val="es-ES"/>
                    </w:rPr>
                  </w:pPr>
                </w:p>
              </w:tc>
              <w:tc>
                <w:tcPr>
                  <w:tcW w:w="1701" w:type="dxa"/>
                </w:tcPr>
                <w:p w14:paraId="66E230A3"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Abierto</w:t>
                  </w:r>
                </w:p>
                <w:p w14:paraId="0E70BC87" w14:textId="77777777" w:rsidR="00C454A1" w:rsidRPr="00FD5430" w:rsidRDefault="00C454A1" w:rsidP="00881E6A">
                  <w:pPr>
                    <w:ind w:right="272"/>
                    <w:rPr>
                      <w:rFonts w:cs="Times New Roman"/>
                      <w:color w:val="000000" w:themeColor="text1"/>
                      <w:sz w:val="22"/>
                      <w:szCs w:val="22"/>
                      <w:lang w:val="es-ES"/>
                    </w:rPr>
                  </w:pPr>
                </w:p>
              </w:tc>
              <w:tc>
                <w:tcPr>
                  <w:tcW w:w="3368" w:type="dxa"/>
                </w:tcPr>
                <w:p w14:paraId="15FD3C52"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Se realizará sesión extraordinaria del Comité de Justicia Transicional para cierre del censo por cortes y posterior remisión de las declaraciones masivas. Se proyecta sesión del Comité y envío en la semana del 3 de febrero.</w:t>
                  </w:r>
                </w:p>
              </w:tc>
            </w:tr>
            <w:tr w:rsidR="00C454A1" w:rsidRPr="00F8202F" w14:paraId="26950B07" w14:textId="77777777" w:rsidTr="001F3006">
              <w:trPr>
                <w:jc w:val="center"/>
              </w:trPr>
              <w:tc>
                <w:tcPr>
                  <w:tcW w:w="1351" w:type="dxa"/>
                </w:tcPr>
                <w:p w14:paraId="26B09DAD"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Tibú</w:t>
                  </w:r>
                </w:p>
                <w:p w14:paraId="609DCD10" w14:textId="77777777" w:rsidR="00C454A1" w:rsidRPr="00FD5430" w:rsidRDefault="00C454A1" w:rsidP="00881E6A">
                  <w:pPr>
                    <w:ind w:right="272"/>
                    <w:rPr>
                      <w:rFonts w:cs="Times New Roman"/>
                      <w:color w:val="000000" w:themeColor="text1"/>
                      <w:sz w:val="22"/>
                      <w:szCs w:val="22"/>
                      <w:lang w:val="es-ES"/>
                    </w:rPr>
                  </w:pPr>
                </w:p>
              </w:tc>
              <w:tc>
                <w:tcPr>
                  <w:tcW w:w="1276" w:type="dxa"/>
                </w:tcPr>
                <w:p w14:paraId="20D0C923"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13.373</w:t>
                  </w:r>
                </w:p>
                <w:p w14:paraId="04C113E4" w14:textId="77777777" w:rsidR="00C454A1" w:rsidRPr="00FD5430" w:rsidRDefault="00C454A1" w:rsidP="00881E6A">
                  <w:pPr>
                    <w:ind w:right="272"/>
                    <w:rPr>
                      <w:rFonts w:cs="Times New Roman"/>
                      <w:color w:val="000000" w:themeColor="text1"/>
                      <w:sz w:val="22"/>
                      <w:szCs w:val="22"/>
                      <w:lang w:val="es-ES"/>
                    </w:rPr>
                  </w:pPr>
                </w:p>
              </w:tc>
              <w:tc>
                <w:tcPr>
                  <w:tcW w:w="1701" w:type="dxa"/>
                </w:tcPr>
                <w:p w14:paraId="7E24D2F0"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Cerrado</w:t>
                  </w:r>
                </w:p>
                <w:p w14:paraId="65BD3B78" w14:textId="77777777" w:rsidR="00C454A1" w:rsidRPr="00FD5430" w:rsidRDefault="00C454A1" w:rsidP="00881E6A">
                  <w:pPr>
                    <w:ind w:right="272"/>
                    <w:rPr>
                      <w:rFonts w:cs="Times New Roman"/>
                      <w:color w:val="000000" w:themeColor="text1"/>
                      <w:sz w:val="22"/>
                      <w:szCs w:val="22"/>
                      <w:lang w:val="es-ES"/>
                    </w:rPr>
                  </w:pPr>
                </w:p>
              </w:tc>
              <w:tc>
                <w:tcPr>
                  <w:tcW w:w="3368" w:type="dxa"/>
                </w:tcPr>
                <w:p w14:paraId="279F5538"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La información de datos oficiales será entregada en el Comité de Justicia Transicional el día 03 de febrero. Con ello, se realizará la remisión de las declaraciones masivas.</w:t>
                  </w:r>
                </w:p>
              </w:tc>
            </w:tr>
            <w:tr w:rsidR="00C454A1" w:rsidRPr="00F8202F" w14:paraId="72DC9170" w14:textId="77777777" w:rsidTr="001F3006">
              <w:trPr>
                <w:jc w:val="center"/>
              </w:trPr>
              <w:tc>
                <w:tcPr>
                  <w:tcW w:w="1351" w:type="dxa"/>
                </w:tcPr>
                <w:p w14:paraId="3ED4E289"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Abrego</w:t>
                  </w:r>
                </w:p>
                <w:p w14:paraId="08037731" w14:textId="77777777" w:rsidR="00C454A1" w:rsidRPr="00FD5430" w:rsidRDefault="00C454A1" w:rsidP="00881E6A">
                  <w:pPr>
                    <w:ind w:right="272"/>
                    <w:rPr>
                      <w:rFonts w:cs="Times New Roman"/>
                      <w:color w:val="000000" w:themeColor="text1"/>
                      <w:sz w:val="22"/>
                      <w:szCs w:val="22"/>
                      <w:lang w:val="es-ES"/>
                    </w:rPr>
                  </w:pPr>
                </w:p>
              </w:tc>
              <w:tc>
                <w:tcPr>
                  <w:tcW w:w="1276" w:type="dxa"/>
                </w:tcPr>
                <w:p w14:paraId="080048FA"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487</w:t>
                  </w:r>
                </w:p>
                <w:p w14:paraId="0DFC5ED0" w14:textId="77777777" w:rsidR="00C454A1" w:rsidRPr="00FD5430" w:rsidRDefault="00C454A1" w:rsidP="00881E6A">
                  <w:pPr>
                    <w:ind w:right="272"/>
                    <w:rPr>
                      <w:rFonts w:cs="Times New Roman"/>
                      <w:color w:val="000000" w:themeColor="text1"/>
                      <w:sz w:val="22"/>
                      <w:szCs w:val="22"/>
                      <w:lang w:val="es-ES"/>
                    </w:rPr>
                  </w:pPr>
                </w:p>
              </w:tc>
              <w:tc>
                <w:tcPr>
                  <w:tcW w:w="1701" w:type="dxa"/>
                </w:tcPr>
                <w:p w14:paraId="25CE09B0"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Cerrado</w:t>
                  </w:r>
                </w:p>
                <w:p w14:paraId="6C565A49" w14:textId="77777777" w:rsidR="00C454A1" w:rsidRPr="00FD5430" w:rsidRDefault="00C454A1" w:rsidP="00881E6A">
                  <w:pPr>
                    <w:ind w:right="272"/>
                    <w:rPr>
                      <w:rFonts w:cs="Times New Roman"/>
                      <w:color w:val="000000" w:themeColor="text1"/>
                      <w:sz w:val="22"/>
                      <w:szCs w:val="22"/>
                      <w:lang w:val="es-ES"/>
                    </w:rPr>
                  </w:pPr>
                </w:p>
              </w:tc>
              <w:tc>
                <w:tcPr>
                  <w:tcW w:w="3368" w:type="dxa"/>
                </w:tcPr>
                <w:p w14:paraId="47D288F2"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 xml:space="preserve">Se encuentra en la etapa de organización de los documentos y remitirá a la </w:t>
                  </w:r>
                  <w:r>
                    <w:rPr>
                      <w:rFonts w:ascii="Times New Roman" w:hAnsi="Times New Roman"/>
                      <w:color w:val="000000" w:themeColor="text1"/>
                      <w:sz w:val="22"/>
                      <w:szCs w:val="22"/>
                    </w:rPr>
                    <w:t>UARIV</w:t>
                  </w:r>
                </w:p>
              </w:tc>
            </w:tr>
            <w:tr w:rsidR="00C454A1" w:rsidRPr="00F8202F" w14:paraId="69744392" w14:textId="77777777" w:rsidTr="001F3006">
              <w:trPr>
                <w:jc w:val="center"/>
              </w:trPr>
              <w:tc>
                <w:tcPr>
                  <w:tcW w:w="1351" w:type="dxa"/>
                </w:tcPr>
                <w:p w14:paraId="12C47A9D"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El Tarra</w:t>
                  </w:r>
                </w:p>
                <w:p w14:paraId="16A09581" w14:textId="77777777" w:rsidR="00C454A1" w:rsidRPr="00FD5430" w:rsidRDefault="00C454A1" w:rsidP="00881E6A">
                  <w:pPr>
                    <w:ind w:right="272"/>
                    <w:rPr>
                      <w:rFonts w:cs="Times New Roman"/>
                      <w:color w:val="000000" w:themeColor="text1"/>
                      <w:sz w:val="22"/>
                      <w:szCs w:val="22"/>
                      <w:lang w:val="es-ES"/>
                    </w:rPr>
                  </w:pPr>
                </w:p>
              </w:tc>
              <w:tc>
                <w:tcPr>
                  <w:tcW w:w="1276" w:type="dxa"/>
                </w:tcPr>
                <w:p w14:paraId="29943FBF"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1800</w:t>
                  </w:r>
                </w:p>
                <w:p w14:paraId="375E399C" w14:textId="77777777" w:rsidR="00C454A1" w:rsidRPr="00FD5430" w:rsidRDefault="00C454A1" w:rsidP="00881E6A">
                  <w:pPr>
                    <w:ind w:right="272"/>
                    <w:rPr>
                      <w:rFonts w:cs="Times New Roman"/>
                      <w:color w:val="000000" w:themeColor="text1"/>
                      <w:sz w:val="22"/>
                      <w:szCs w:val="22"/>
                      <w:lang w:val="es-ES"/>
                    </w:rPr>
                  </w:pPr>
                </w:p>
              </w:tc>
              <w:tc>
                <w:tcPr>
                  <w:tcW w:w="1701" w:type="dxa"/>
                </w:tcPr>
                <w:p w14:paraId="34D4EA7E"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Cerrado</w:t>
                  </w:r>
                </w:p>
                <w:p w14:paraId="6734AEED" w14:textId="77777777" w:rsidR="00C454A1" w:rsidRPr="00FD5430" w:rsidRDefault="00C454A1" w:rsidP="00881E6A">
                  <w:pPr>
                    <w:ind w:right="272"/>
                    <w:rPr>
                      <w:rFonts w:cs="Times New Roman"/>
                      <w:color w:val="000000" w:themeColor="text1"/>
                      <w:sz w:val="22"/>
                      <w:szCs w:val="22"/>
                      <w:lang w:val="es-ES"/>
                    </w:rPr>
                  </w:pPr>
                </w:p>
              </w:tc>
              <w:tc>
                <w:tcPr>
                  <w:tcW w:w="3368" w:type="dxa"/>
                </w:tcPr>
                <w:p w14:paraId="6B279B0D"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Remitirá la declaración masiva y censo el 3 de febrero de 2025.</w:t>
                  </w:r>
                </w:p>
              </w:tc>
            </w:tr>
            <w:tr w:rsidR="00C454A1" w:rsidRPr="00F8202F" w14:paraId="3ABF6323" w14:textId="77777777" w:rsidTr="001F3006">
              <w:trPr>
                <w:jc w:val="center"/>
              </w:trPr>
              <w:tc>
                <w:tcPr>
                  <w:tcW w:w="1351" w:type="dxa"/>
                </w:tcPr>
                <w:p w14:paraId="2C513000"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lastRenderedPageBreak/>
                    <w:t>San Calixto</w:t>
                  </w:r>
                </w:p>
              </w:tc>
              <w:tc>
                <w:tcPr>
                  <w:tcW w:w="1276" w:type="dxa"/>
                </w:tcPr>
                <w:p w14:paraId="41AB426C"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1098</w:t>
                  </w:r>
                </w:p>
                <w:p w14:paraId="621FFB94" w14:textId="77777777" w:rsidR="00C454A1" w:rsidRPr="00FD5430" w:rsidRDefault="00C454A1" w:rsidP="00881E6A">
                  <w:pPr>
                    <w:ind w:right="272"/>
                    <w:rPr>
                      <w:rFonts w:cs="Times New Roman"/>
                      <w:color w:val="000000" w:themeColor="text1"/>
                      <w:sz w:val="22"/>
                      <w:szCs w:val="22"/>
                      <w:lang w:val="es-ES"/>
                    </w:rPr>
                  </w:pPr>
                </w:p>
              </w:tc>
              <w:tc>
                <w:tcPr>
                  <w:tcW w:w="1701" w:type="dxa"/>
                </w:tcPr>
                <w:p w14:paraId="00034E83"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Cerrado</w:t>
                  </w:r>
                </w:p>
                <w:p w14:paraId="19E7A0BA" w14:textId="77777777" w:rsidR="00C454A1" w:rsidRPr="00FD5430" w:rsidRDefault="00C454A1" w:rsidP="00881E6A">
                  <w:pPr>
                    <w:ind w:right="272"/>
                    <w:rPr>
                      <w:rFonts w:cs="Times New Roman"/>
                      <w:color w:val="000000" w:themeColor="text1"/>
                      <w:sz w:val="22"/>
                      <w:szCs w:val="22"/>
                      <w:lang w:val="es-ES"/>
                    </w:rPr>
                  </w:pPr>
                </w:p>
              </w:tc>
              <w:tc>
                <w:tcPr>
                  <w:tcW w:w="3368" w:type="dxa"/>
                </w:tcPr>
                <w:p w14:paraId="660DCEB2" w14:textId="77777777" w:rsidR="00C454A1" w:rsidRPr="00FD5430" w:rsidRDefault="00C454A1" w:rsidP="00881E6A">
                  <w:pPr>
                    <w:pStyle w:val="p1"/>
                    <w:ind w:right="272"/>
                    <w:jc w:val="both"/>
                    <w:rPr>
                      <w:rFonts w:ascii="Times New Roman" w:hAnsi="Times New Roman"/>
                      <w:color w:val="000000" w:themeColor="text1"/>
                      <w:sz w:val="22"/>
                      <w:szCs w:val="22"/>
                    </w:rPr>
                  </w:pPr>
                  <w:r w:rsidRPr="18A5A279">
                    <w:rPr>
                      <w:rFonts w:ascii="Times New Roman" w:hAnsi="Times New Roman"/>
                      <w:color w:val="000000" w:themeColor="text1"/>
                      <w:sz w:val="22"/>
                      <w:szCs w:val="22"/>
                    </w:rPr>
                    <w:t xml:space="preserve">Ya remitió la declaración masiva y censo a la </w:t>
                  </w:r>
                  <w:r>
                    <w:rPr>
                      <w:rFonts w:ascii="Times New Roman" w:hAnsi="Times New Roman"/>
                      <w:color w:val="000000" w:themeColor="text1"/>
                      <w:sz w:val="22"/>
                      <w:szCs w:val="22"/>
                    </w:rPr>
                    <w:t>UARIV</w:t>
                  </w:r>
                  <w:r w:rsidRPr="18A5A279">
                    <w:rPr>
                      <w:rFonts w:ascii="Times New Roman" w:hAnsi="Times New Roman"/>
                      <w:color w:val="000000" w:themeColor="text1"/>
                      <w:sz w:val="22"/>
                      <w:szCs w:val="22"/>
                    </w:rPr>
                    <w:t>.</w:t>
                  </w:r>
                </w:p>
              </w:tc>
            </w:tr>
          </w:tbl>
          <w:p w14:paraId="5B4AF70D" w14:textId="77777777" w:rsidR="00C454A1" w:rsidRDefault="00C454A1" w:rsidP="00881E6A">
            <w:pPr>
              <w:ind w:right="272"/>
              <w:rPr>
                <w:rFonts w:cs="Times New Roman"/>
                <w:color w:val="000000" w:themeColor="text1"/>
                <w:lang w:val="es-ES"/>
              </w:rPr>
            </w:pPr>
          </w:p>
          <w:p w14:paraId="65F4968C" w14:textId="77777777" w:rsidR="00C454A1" w:rsidRPr="00FD5430" w:rsidRDefault="00C454A1" w:rsidP="00881E6A">
            <w:pPr>
              <w:ind w:right="272"/>
              <w:rPr>
                <w:rFonts w:cs="Times New Roman"/>
                <w:color w:val="000000" w:themeColor="text1"/>
                <w:lang w:val="es-ES"/>
              </w:rPr>
            </w:pPr>
            <w:r w:rsidRPr="18A5A279">
              <w:rPr>
                <w:rFonts w:cs="Times New Roman"/>
                <w:color w:val="000000" w:themeColor="text1"/>
                <w:lang w:val="es-ES"/>
              </w:rPr>
              <w:t>Por otro lado, la Defensoría informó sobre las afectaciones generadas en el curso del año 2025</w:t>
            </w:r>
            <w:r>
              <w:rPr>
                <w:rFonts w:cs="Times New Roman"/>
                <w:color w:val="000000" w:themeColor="text1"/>
                <w:lang w:val="es-ES"/>
              </w:rPr>
              <w:t>. P</w:t>
            </w:r>
            <w:r w:rsidRPr="18A5A279">
              <w:rPr>
                <w:rFonts w:cs="Times New Roman"/>
                <w:color w:val="000000" w:themeColor="text1"/>
                <w:lang w:val="es-ES"/>
              </w:rPr>
              <w:t xml:space="preserve">articularmente, identificó estos escenarios de riesgo: </w:t>
            </w:r>
            <w:r w:rsidRPr="18A5A279">
              <w:rPr>
                <w:rFonts w:cs="Times New Roman"/>
                <w:i/>
                <w:iCs/>
                <w:color w:val="000000" w:themeColor="text1"/>
                <w:lang w:val="es-ES"/>
              </w:rPr>
              <w:t xml:space="preserve">(i) </w:t>
            </w:r>
            <w:r w:rsidRPr="18A5A279">
              <w:rPr>
                <w:rFonts w:cs="Times New Roman"/>
                <w:color w:val="000000" w:themeColor="text1"/>
                <w:lang w:val="es-ES"/>
              </w:rPr>
              <w:t xml:space="preserve">los riesgos de desplazamientos forzados y de confinamientos persisten debido a la presencia y al dominio de buena parte del territorio por parte de los dos grupos armados ilegales en confrontación (ELN y bloque 33 de las disidencias de las FARC-EP); </w:t>
            </w:r>
            <w:r w:rsidRPr="18A5A279">
              <w:rPr>
                <w:rFonts w:cs="Times New Roman"/>
                <w:i/>
                <w:iCs/>
                <w:color w:val="000000" w:themeColor="text1"/>
                <w:lang w:val="es-ES"/>
              </w:rPr>
              <w:t xml:space="preserve">(ii) </w:t>
            </w:r>
            <w:r w:rsidRPr="18A5A279">
              <w:rPr>
                <w:rFonts w:cs="Times New Roman"/>
                <w:color w:val="000000" w:themeColor="text1"/>
                <w:lang w:val="es-ES"/>
              </w:rPr>
              <w:t xml:space="preserve">las amenazas persistentes; y </w:t>
            </w:r>
            <w:r w:rsidRPr="18A5A279">
              <w:rPr>
                <w:rFonts w:cs="Times New Roman"/>
                <w:i/>
                <w:iCs/>
                <w:color w:val="000000" w:themeColor="text1"/>
                <w:lang w:val="es-ES"/>
              </w:rPr>
              <w:t xml:space="preserve">(iii) </w:t>
            </w:r>
            <w:r w:rsidRPr="18A5A279">
              <w:rPr>
                <w:rFonts w:cs="Times New Roman"/>
                <w:color w:val="000000" w:themeColor="text1"/>
                <w:lang w:val="es-ES"/>
              </w:rPr>
              <w:t>en el caso de las mujeres, las niñas, las adolescentes y las personas “OSIEGD” se han identificado varias modalidades de violencias basadas en género y otros hechos vulneratorios de sus derechos, como, por ejemplo, la trata de personas, la violencia sexual en el marco del conflicto, violencia en el contexto de las relaciones familiares, la vulneración de los derechos sexuales y reproductivos y amenazas contra la vida.</w:t>
            </w:r>
          </w:p>
          <w:p w14:paraId="7340571E" w14:textId="77777777" w:rsidR="00C454A1" w:rsidRPr="00FD5430" w:rsidRDefault="00C454A1" w:rsidP="00881E6A">
            <w:pPr>
              <w:ind w:right="272"/>
              <w:rPr>
                <w:rFonts w:cs="Times New Roman"/>
                <w:i/>
                <w:iCs/>
                <w:color w:val="000000" w:themeColor="text1"/>
                <w:lang w:val="es-ES"/>
              </w:rPr>
            </w:pPr>
          </w:p>
          <w:p w14:paraId="065B0713" w14:textId="77777777" w:rsidR="00C454A1" w:rsidRPr="00FD5430" w:rsidRDefault="00C454A1" w:rsidP="00881E6A">
            <w:pPr>
              <w:ind w:right="272"/>
              <w:rPr>
                <w:rFonts w:cs="Times New Roman"/>
                <w:i/>
                <w:iCs/>
                <w:color w:val="000000" w:themeColor="text1"/>
                <w:lang w:val="es-ES"/>
              </w:rPr>
            </w:pPr>
            <w:r w:rsidRPr="18A5A279">
              <w:rPr>
                <w:rFonts w:cs="Times New Roman"/>
                <w:color w:val="000000" w:themeColor="text1"/>
                <w:lang w:val="es-ES"/>
              </w:rPr>
              <w:t xml:space="preserve">Particularmente, en relación con las afectaciones a las niñas, los niños y adolescentes se identificó lo siguiente: </w:t>
            </w:r>
            <w:r w:rsidRPr="18A5A279">
              <w:rPr>
                <w:rFonts w:cs="Times New Roman"/>
                <w:i/>
                <w:iCs/>
                <w:color w:val="000000" w:themeColor="text1"/>
                <w:lang w:val="es-ES"/>
              </w:rPr>
              <w:t>(a)</w:t>
            </w:r>
            <w:r w:rsidRPr="18A5A279">
              <w:rPr>
                <w:rFonts w:cs="Times New Roman"/>
                <w:color w:val="000000" w:themeColor="text1"/>
                <w:lang w:val="es-ES"/>
              </w:rPr>
              <w:t xml:space="preserve"> un promedio de 14.417 niñas, niños y adolescentes desplazados en Ocaña, Cúcuta y Tibú</w:t>
            </w:r>
            <w:r w:rsidRPr="18A5A279">
              <w:rPr>
                <w:rStyle w:val="Refdenotaalpie"/>
                <w:rFonts w:cs="Times New Roman"/>
                <w:color w:val="000000" w:themeColor="text1"/>
                <w:lang w:val="es-ES"/>
              </w:rPr>
              <w:footnoteReference w:id="763"/>
            </w:r>
            <w:r w:rsidRPr="18A5A279">
              <w:rPr>
                <w:rFonts w:cs="Times New Roman"/>
                <w:color w:val="000000" w:themeColor="text1"/>
                <w:lang w:val="es-ES"/>
              </w:rPr>
              <w:t xml:space="preserve">, </w:t>
            </w:r>
            <w:r w:rsidRPr="18A5A279">
              <w:rPr>
                <w:rFonts w:cs="Times New Roman"/>
                <w:i/>
                <w:iCs/>
                <w:color w:val="000000" w:themeColor="text1"/>
                <w:lang w:val="es-ES"/>
              </w:rPr>
              <w:t xml:space="preserve">(b) </w:t>
            </w:r>
            <w:r w:rsidRPr="18A5A279">
              <w:rPr>
                <w:rFonts w:cs="Times New Roman"/>
                <w:color w:val="000000" w:themeColor="text1"/>
                <w:lang w:val="es-ES"/>
              </w:rPr>
              <w:t xml:space="preserve">homicidio de 4 menores de edad, de los cuales 3 fueron asesinados en el corregimiento San Pablo en </w:t>
            </w:r>
            <w:r>
              <w:rPr>
                <w:rFonts w:cs="Times New Roman"/>
                <w:color w:val="000000" w:themeColor="text1"/>
                <w:lang w:val="es-ES"/>
              </w:rPr>
              <w:t xml:space="preserve">el Municipio de </w:t>
            </w:r>
            <w:r w:rsidRPr="18A5A279">
              <w:rPr>
                <w:rFonts w:cs="Times New Roman"/>
                <w:color w:val="000000" w:themeColor="text1"/>
                <w:lang w:val="es-ES"/>
              </w:rPr>
              <w:t xml:space="preserve">Teorama, y </w:t>
            </w:r>
            <w:r w:rsidRPr="18A5A279">
              <w:rPr>
                <w:rFonts w:cs="Times New Roman"/>
                <w:i/>
                <w:iCs/>
                <w:color w:val="000000" w:themeColor="text1"/>
                <w:lang w:val="es-ES"/>
              </w:rPr>
              <w:t xml:space="preserve">(c) </w:t>
            </w:r>
            <w:r w:rsidRPr="18A5A279">
              <w:rPr>
                <w:rFonts w:cs="Times New Roman"/>
                <w:color w:val="000000" w:themeColor="text1"/>
                <w:lang w:val="es-ES"/>
              </w:rPr>
              <w:t xml:space="preserve">2 adolescentes heridos con balas a causa del fuego cruzado quienes, además, habían sido reclutados en el año 2024. Agregó que </w:t>
            </w:r>
            <w:r w:rsidRPr="18A5A279">
              <w:rPr>
                <w:rFonts w:cs="Times New Roman"/>
                <w:i/>
                <w:iCs/>
                <w:color w:val="000000" w:themeColor="text1"/>
                <w:lang w:val="es-ES"/>
              </w:rPr>
              <w:t xml:space="preserve">(d) </w:t>
            </w:r>
            <w:r w:rsidRPr="18A5A279">
              <w:rPr>
                <w:rFonts w:cs="Times New Roman"/>
                <w:color w:val="000000" w:themeColor="text1"/>
                <w:lang w:val="es-ES"/>
              </w:rPr>
              <w:t>ante el desplazamiento de 500 docentes hacía Cúcuta y Ocaña, la Gobernación de Santander emitió la Resolución No. 210 del 17 de enero de 2025, por medio de la cual se modificó el calendario académico efectivo y esa medida afecta a 46.032 niñas, niños y adolescentes por la interrupción escolar. En Cúcuta y Ocaña, las clases se han ido normalizando, pero aún se genera dificultad para acceder a la educación de los menores de edad en situación de desplazamiento o de nacionalidad venezolana.</w:t>
            </w:r>
          </w:p>
          <w:p w14:paraId="6D2B0A0A" w14:textId="77777777" w:rsidR="00C454A1" w:rsidRPr="00FD5430" w:rsidRDefault="00C454A1" w:rsidP="00881E6A">
            <w:pPr>
              <w:ind w:right="272"/>
              <w:rPr>
                <w:rFonts w:cs="Times New Roman"/>
                <w:color w:val="000000" w:themeColor="text1"/>
                <w:lang w:val="es-ES"/>
              </w:rPr>
            </w:pPr>
          </w:p>
          <w:p w14:paraId="272D0CEF" w14:textId="77777777" w:rsidR="00C454A1" w:rsidRPr="00FD5430" w:rsidRDefault="00C454A1" w:rsidP="00881E6A">
            <w:pPr>
              <w:ind w:right="272"/>
              <w:rPr>
                <w:rFonts w:cs="Times New Roman"/>
                <w:i/>
                <w:iCs/>
                <w:color w:val="000000" w:themeColor="text1"/>
                <w:lang w:val="es-ES"/>
              </w:rPr>
            </w:pPr>
            <w:r w:rsidRPr="18A5A279">
              <w:rPr>
                <w:rFonts w:cs="Times New Roman"/>
                <w:i/>
                <w:iCs/>
                <w:color w:val="000000" w:themeColor="text1"/>
                <w:lang w:val="es-ES"/>
              </w:rPr>
              <w:t xml:space="preserve">Presuntos responsables. </w:t>
            </w:r>
            <w:r w:rsidRPr="18A5A279">
              <w:rPr>
                <w:rFonts w:cs="Times New Roman"/>
                <w:color w:val="000000" w:themeColor="text1"/>
                <w:lang w:val="es-ES"/>
              </w:rPr>
              <w:t xml:space="preserve">La Defensoría referenció los siguientes actores, algunos dentro del marco del conflicto armado y otros agresores pertenecientes a la población civil, en los siguientes términos: </w:t>
            </w:r>
            <w:r w:rsidRPr="18A5A279">
              <w:rPr>
                <w:rFonts w:cs="Times New Roman"/>
                <w:i/>
                <w:iCs/>
                <w:color w:val="000000" w:themeColor="text1"/>
                <w:lang w:val="es-ES"/>
              </w:rPr>
              <w:t xml:space="preserve">(i) </w:t>
            </w:r>
            <w:r w:rsidRPr="18A5A279">
              <w:rPr>
                <w:rFonts w:cs="Times New Roman"/>
                <w:color w:val="000000" w:themeColor="text1"/>
                <w:lang w:val="es-ES"/>
              </w:rPr>
              <w:t xml:space="preserve">presencia de facciones disidentes de las antiguas FARC-EP, y del ELN en zonas suburbanas, así como en algunas comunas en donde también operan grupos de delincuencia común y organizada asociados al narcotráfico; </w:t>
            </w:r>
            <w:r w:rsidRPr="18A5A279">
              <w:rPr>
                <w:rFonts w:cs="Times New Roman"/>
                <w:i/>
                <w:iCs/>
                <w:color w:val="000000" w:themeColor="text1"/>
                <w:lang w:val="es-ES"/>
              </w:rPr>
              <w:t xml:space="preserve">(ii) </w:t>
            </w:r>
            <w:r w:rsidRPr="18A5A279">
              <w:rPr>
                <w:rFonts w:cs="Times New Roman"/>
                <w:color w:val="000000" w:themeColor="text1"/>
                <w:lang w:val="es-ES"/>
              </w:rPr>
              <w:t xml:space="preserve">confrontación entre Disidencias de las FARC-EP </w:t>
            </w:r>
            <w:r w:rsidRPr="18A5A279">
              <w:rPr>
                <w:rFonts w:cs="Times New Roman"/>
                <w:color w:val="000000" w:themeColor="text1"/>
                <w:lang w:val="es-ES"/>
              </w:rPr>
              <w:lastRenderedPageBreak/>
              <w:t xml:space="preserve">por la búsqueda del control de economías ilegales; </w:t>
            </w:r>
            <w:r w:rsidRPr="18A5A279">
              <w:rPr>
                <w:rFonts w:cs="Times New Roman"/>
                <w:i/>
                <w:iCs/>
                <w:color w:val="000000" w:themeColor="text1"/>
                <w:lang w:val="es-ES"/>
              </w:rPr>
              <w:t xml:space="preserve">(iii) </w:t>
            </w:r>
            <w:r w:rsidRPr="18A5A279">
              <w:rPr>
                <w:rFonts w:cs="Times New Roman"/>
                <w:color w:val="000000" w:themeColor="text1"/>
                <w:lang w:val="es-ES"/>
              </w:rPr>
              <w:t xml:space="preserve">dinámicas del marco del conflicto armado en Colombia y del crimen organizado (o en proceso de organización) y su incidencia en los procesos migratorios que tienen lugar en la frontera colombo-venezolana; </w:t>
            </w:r>
            <w:r w:rsidRPr="18A5A279">
              <w:rPr>
                <w:rFonts w:cs="Times New Roman"/>
                <w:i/>
                <w:iCs/>
                <w:color w:val="000000" w:themeColor="text1"/>
                <w:lang w:val="es-ES"/>
              </w:rPr>
              <w:t xml:space="preserve">(iv) </w:t>
            </w:r>
            <w:r w:rsidRPr="18A5A279">
              <w:rPr>
                <w:rFonts w:cs="Times New Roman"/>
                <w:color w:val="000000" w:themeColor="text1"/>
                <w:lang w:val="es-ES"/>
              </w:rPr>
              <w:t xml:space="preserve">agresores en el contexto de la familia, como parejas y exparejas con pertenencia a los grupos armados al margen de la Ley; y </w:t>
            </w:r>
            <w:r w:rsidRPr="18A5A279">
              <w:rPr>
                <w:rFonts w:cs="Times New Roman"/>
                <w:i/>
                <w:iCs/>
                <w:color w:val="000000" w:themeColor="text1"/>
                <w:lang w:val="es-ES"/>
              </w:rPr>
              <w:t xml:space="preserve">(v) </w:t>
            </w:r>
            <w:r w:rsidRPr="18A5A279">
              <w:rPr>
                <w:rFonts w:cs="Times New Roman"/>
                <w:color w:val="000000" w:themeColor="text1"/>
                <w:lang w:val="es-ES"/>
              </w:rPr>
              <w:t>posibles agresores que se encuentran en o alrededor de los lugares dispuestos para albergar a la población desplazada y confinada, con especial riesgo para las niñas, los niños y los adolescentes, así como mujeres en alto grado de vulnerabilidad socioeconómica.</w:t>
            </w:r>
          </w:p>
          <w:p w14:paraId="0655E480" w14:textId="77777777" w:rsidR="00C454A1" w:rsidRPr="00FD5430" w:rsidRDefault="00C454A1" w:rsidP="00881E6A">
            <w:pPr>
              <w:ind w:right="272"/>
              <w:rPr>
                <w:rFonts w:cs="Times New Roman"/>
                <w:color w:val="000000" w:themeColor="text1"/>
                <w:lang w:val="es-ES"/>
              </w:rPr>
            </w:pPr>
          </w:p>
          <w:p w14:paraId="282BB467" w14:textId="77777777" w:rsidR="00C454A1" w:rsidRPr="00FD5430" w:rsidRDefault="00C454A1" w:rsidP="00881E6A">
            <w:pPr>
              <w:ind w:right="272"/>
              <w:rPr>
                <w:rFonts w:cs="Times New Roman"/>
                <w:color w:val="000000" w:themeColor="text1"/>
                <w:lang w:val="es-ES"/>
              </w:rPr>
            </w:pPr>
            <w:r w:rsidRPr="18A5A279">
              <w:rPr>
                <w:rFonts w:cs="Times New Roman"/>
                <w:i/>
                <w:iCs/>
                <w:color w:val="000000" w:themeColor="text1"/>
                <w:lang w:val="es-ES"/>
              </w:rPr>
              <w:t xml:space="preserve">Instancias de articulación. </w:t>
            </w:r>
            <w:r w:rsidRPr="18A5A279">
              <w:rPr>
                <w:rFonts w:cs="Times New Roman"/>
                <w:color w:val="000000" w:themeColor="text1"/>
                <w:lang w:val="es-ES"/>
              </w:rPr>
              <w:t xml:space="preserve">Adicionalmente, la defensora informó de la existencia de otras “instancias de articulación” que le han permitido advertir al Gobierno </w:t>
            </w:r>
            <w:r>
              <w:rPr>
                <w:rFonts w:cs="Times New Roman"/>
                <w:color w:val="000000" w:themeColor="text1"/>
                <w:lang w:val="es-ES"/>
              </w:rPr>
              <w:t>n</w:t>
            </w:r>
            <w:r w:rsidRPr="18A5A279">
              <w:rPr>
                <w:rFonts w:cs="Times New Roman"/>
                <w:color w:val="000000" w:themeColor="text1"/>
                <w:lang w:val="es-ES"/>
              </w:rPr>
              <w:t xml:space="preserve">acional sobre el riesgo en el que se encuentra la población del Catatumbo, a saber: </w:t>
            </w:r>
            <w:r w:rsidRPr="18A5A279">
              <w:rPr>
                <w:rFonts w:cs="Times New Roman"/>
                <w:i/>
                <w:iCs/>
                <w:color w:val="000000" w:themeColor="text1"/>
                <w:lang w:val="es-ES"/>
              </w:rPr>
              <w:t xml:space="preserve">(i) </w:t>
            </w:r>
            <w:r w:rsidRPr="18A5A279">
              <w:rPr>
                <w:rFonts w:cs="Times New Roman"/>
                <w:color w:val="000000" w:themeColor="text1"/>
                <w:lang w:val="es-ES"/>
              </w:rPr>
              <w:t xml:space="preserve">Mecanismo articulador para la atención integral de las violencias por razón de sexo y género contra mujeres, niñas, niños y adolescentes (Decreto 1710 de 2020); </w:t>
            </w:r>
            <w:r w:rsidRPr="18A5A279">
              <w:rPr>
                <w:rFonts w:cs="Times New Roman"/>
                <w:i/>
                <w:iCs/>
                <w:color w:val="000000" w:themeColor="text1"/>
                <w:lang w:val="es-ES"/>
              </w:rPr>
              <w:t xml:space="preserve">(ii) </w:t>
            </w:r>
            <w:r w:rsidRPr="18A5A279">
              <w:rPr>
                <w:rFonts w:cs="Times New Roman"/>
                <w:color w:val="000000" w:themeColor="text1"/>
                <w:lang w:val="es-ES"/>
              </w:rPr>
              <w:t xml:space="preserve">Comité Territorial del Mecanismo Articulador de Cúcuta; </w:t>
            </w:r>
            <w:r>
              <w:rPr>
                <w:rFonts w:cs="Times New Roman"/>
                <w:color w:val="000000" w:themeColor="text1"/>
                <w:lang w:val="es-ES"/>
              </w:rPr>
              <w:t xml:space="preserve">y </w:t>
            </w:r>
            <w:r w:rsidRPr="18A5A279">
              <w:rPr>
                <w:rFonts w:cs="Times New Roman"/>
                <w:i/>
                <w:iCs/>
                <w:color w:val="000000" w:themeColor="text1"/>
                <w:lang w:val="es-ES"/>
              </w:rPr>
              <w:t xml:space="preserve">(iii) </w:t>
            </w:r>
            <w:r w:rsidRPr="18A5A279">
              <w:rPr>
                <w:rFonts w:cs="Times New Roman"/>
                <w:color w:val="000000" w:themeColor="text1"/>
                <w:lang w:val="es-ES"/>
              </w:rPr>
              <w:t>Comité Interinstitucional de Lucha Contra la Trata de Personas</w:t>
            </w:r>
            <w:r>
              <w:rPr>
                <w:rFonts w:cs="Times New Roman"/>
                <w:color w:val="000000" w:themeColor="text1"/>
                <w:lang w:val="es-ES"/>
              </w:rPr>
              <w:t>.</w:t>
            </w:r>
          </w:p>
          <w:p w14:paraId="2FB4AC36" w14:textId="77777777" w:rsidR="00C454A1" w:rsidRPr="00FD5430" w:rsidRDefault="00C454A1" w:rsidP="00881E6A">
            <w:pPr>
              <w:ind w:right="272"/>
              <w:rPr>
                <w:rFonts w:cs="Times New Roman"/>
                <w:color w:val="000000" w:themeColor="text1"/>
              </w:rPr>
            </w:pPr>
          </w:p>
          <w:p w14:paraId="413F5076" w14:textId="77777777" w:rsidR="00C454A1" w:rsidRPr="00FD5430" w:rsidRDefault="00C454A1" w:rsidP="00881E6A">
            <w:pPr>
              <w:ind w:right="272"/>
              <w:rPr>
                <w:rFonts w:cs="Times New Roman"/>
                <w:color w:val="000000" w:themeColor="text1"/>
              </w:rPr>
            </w:pPr>
            <w:r w:rsidRPr="18A5A279">
              <w:rPr>
                <w:rFonts w:cs="Times New Roman"/>
                <w:color w:val="000000" w:themeColor="text1"/>
              </w:rPr>
              <w:t xml:space="preserve">Los anexos del documento contienen copias de alertas tempranas que ya habían sido remitidas con la primera respuesta. No obstante, se adjuntó copia de la AT 035 del 5 de octubre de 2023, así como de los dos oficios del 23 de enero de 2025. Estos y aquellos no habían sido objeto de pronunciamiento en el primer informe remitido a la Corte Constitucional. La AT 021 del 15 de agosto de 2024 fue anunciada como anexo, pero no se adjuntó, sin embargo, se puede descargar del siguiente vínculo: </w:t>
            </w:r>
            <w:hyperlink r:id="rId24">
              <w:r w:rsidRPr="18A5A279">
                <w:rPr>
                  <w:rStyle w:val="Hipervnculo"/>
                  <w:rFonts w:cs="Times New Roman"/>
                  <w:color w:val="000000" w:themeColor="text1"/>
                </w:rPr>
                <w:t>https://alertasstg.blob.core.windows.net/alertas/021-24.pdf</w:t>
              </w:r>
            </w:hyperlink>
            <w:r w:rsidRPr="18A5A279">
              <w:rPr>
                <w:rFonts w:cs="Times New Roman"/>
                <w:color w:val="000000" w:themeColor="text1"/>
              </w:rPr>
              <w:t>.</w:t>
            </w:r>
          </w:p>
          <w:p w14:paraId="34FE853A" w14:textId="77777777" w:rsidR="00C454A1" w:rsidRPr="00DA6C7F" w:rsidRDefault="00C454A1" w:rsidP="00881E6A">
            <w:pPr>
              <w:ind w:right="272"/>
              <w:rPr>
                <w:rFonts w:cs="Times New Roman"/>
                <w:color w:val="000000" w:themeColor="text1"/>
              </w:rPr>
            </w:pPr>
          </w:p>
        </w:tc>
      </w:tr>
      <w:tr w:rsidR="00C454A1" w:rsidRPr="00F8202F" w14:paraId="1D5E4CE6" w14:textId="77777777" w:rsidTr="005F4A6F">
        <w:trPr>
          <w:trHeight w:val="300"/>
        </w:trPr>
        <w:tc>
          <w:tcPr>
            <w:tcW w:w="642" w:type="pct"/>
            <w:vAlign w:val="center"/>
          </w:tcPr>
          <w:p w14:paraId="60FF886A" w14:textId="77777777" w:rsidR="00C454A1" w:rsidRPr="00DA6C7F" w:rsidRDefault="00C454A1" w:rsidP="00881E6A">
            <w:pPr>
              <w:ind w:right="272"/>
              <w:jc w:val="center"/>
              <w:rPr>
                <w:rFonts w:cs="Times New Roman"/>
                <w:b/>
              </w:rPr>
            </w:pPr>
            <w:r w:rsidRPr="00DA6C7F">
              <w:rPr>
                <w:rFonts w:cs="Times New Roman"/>
                <w:b/>
              </w:rPr>
              <w:lastRenderedPageBreak/>
              <w:t>Defensoría del Pueblo III</w:t>
            </w:r>
          </w:p>
        </w:tc>
        <w:tc>
          <w:tcPr>
            <w:tcW w:w="4358" w:type="pct"/>
          </w:tcPr>
          <w:p w14:paraId="46212A6A" w14:textId="77777777" w:rsidR="00C454A1" w:rsidRPr="00DA6C7F" w:rsidRDefault="00C454A1" w:rsidP="00881E6A">
            <w:pPr>
              <w:ind w:right="272"/>
              <w:rPr>
                <w:rFonts w:cs="Times New Roman"/>
              </w:rPr>
            </w:pPr>
            <w:r w:rsidRPr="00DA6C7F">
              <w:rPr>
                <w:rFonts w:cs="Times New Roman"/>
              </w:rPr>
              <w:t>Se adjunta el mismo documento aquí denominado “Defensoría del Pueblo II”, pero sin los anexos. El correo es enviado por la defensora delegada para la prevención del riesgo de violaciones de DDHH e infracciones al DIH (Defensoría del Pueblo I), quien solicita que, “para efectos de la respuesta institucional de la Defensoría del Pueblo, no sea tenido en cuenta y no repose en el expediente el oficio con Radicado 202500404000523301 del 06 de febrero de 2025 suscrito por [ella], sino que únicamente se revise la comunicación suscrita por la señora Defensora del Pueblo con fecha del mismo 06 de febrero del presente año”. Esta comunicación es la que se analizó en el cuadro inmediatamente anterior, denominado “Defensoría del Pueblo II”.</w:t>
            </w:r>
          </w:p>
          <w:p w14:paraId="01651188" w14:textId="77777777" w:rsidR="00C454A1" w:rsidRPr="00DA6C7F" w:rsidRDefault="00C454A1" w:rsidP="00881E6A">
            <w:pPr>
              <w:ind w:right="272"/>
              <w:rPr>
                <w:rFonts w:cs="Times New Roman"/>
              </w:rPr>
            </w:pPr>
          </w:p>
        </w:tc>
      </w:tr>
      <w:tr w:rsidR="00C454A1" w:rsidRPr="00F8202F" w14:paraId="38C29D80" w14:textId="77777777" w:rsidTr="005F4A6F">
        <w:trPr>
          <w:trHeight w:val="300"/>
        </w:trPr>
        <w:tc>
          <w:tcPr>
            <w:tcW w:w="642" w:type="pct"/>
            <w:vAlign w:val="center"/>
          </w:tcPr>
          <w:p w14:paraId="45B8D9C3" w14:textId="77777777" w:rsidR="00C454A1" w:rsidRPr="00DA6C7F" w:rsidRDefault="00C454A1" w:rsidP="00881E6A">
            <w:pPr>
              <w:ind w:right="272"/>
              <w:jc w:val="center"/>
              <w:rPr>
                <w:rFonts w:cs="Times New Roman"/>
                <w:b/>
              </w:rPr>
            </w:pPr>
            <w:r w:rsidRPr="00DA6C7F">
              <w:rPr>
                <w:rFonts w:cs="Times New Roman"/>
                <w:b/>
                <w:bCs/>
              </w:rPr>
              <w:lastRenderedPageBreak/>
              <w:t xml:space="preserve">Municipio de </w:t>
            </w:r>
            <w:r>
              <w:rPr>
                <w:rFonts w:cs="Times New Roman"/>
                <w:b/>
                <w:bCs/>
              </w:rPr>
              <w:t>L</w:t>
            </w:r>
            <w:r w:rsidRPr="00DA6C7F">
              <w:rPr>
                <w:rFonts w:cs="Times New Roman"/>
                <w:b/>
                <w:bCs/>
              </w:rPr>
              <w:t>a Playa de Belén, Norte de Santander</w:t>
            </w:r>
          </w:p>
        </w:tc>
        <w:tc>
          <w:tcPr>
            <w:tcW w:w="4358" w:type="pct"/>
          </w:tcPr>
          <w:p w14:paraId="5F86FABF" w14:textId="77777777" w:rsidR="00C454A1" w:rsidRPr="00DA6C7F" w:rsidRDefault="00C454A1" w:rsidP="00881E6A">
            <w:pPr>
              <w:ind w:right="272"/>
              <w:rPr>
                <w:rFonts w:cs="Times New Roman"/>
              </w:rPr>
            </w:pPr>
            <w:r w:rsidRPr="00DA6C7F">
              <w:rPr>
                <w:rFonts w:cs="Times New Roman"/>
              </w:rPr>
              <w:t>La Alcaldía de</w:t>
            </w:r>
            <w:r>
              <w:rPr>
                <w:rFonts w:cs="Times New Roman"/>
              </w:rPr>
              <w:t xml:space="preserve">l municipio </w:t>
            </w:r>
            <w:r w:rsidRPr="00DA6C7F">
              <w:rPr>
                <w:rFonts w:cs="Times New Roman"/>
              </w:rPr>
              <w:t>remitió la siguiente información en relación con las preguntas planteadas en el auto de pruebas respecto d</w:t>
            </w:r>
            <w:r>
              <w:rPr>
                <w:rFonts w:cs="Times New Roman"/>
              </w:rPr>
              <w:t>e</w:t>
            </w:r>
            <w:r w:rsidRPr="00DA6C7F">
              <w:rPr>
                <w:rFonts w:cs="Times New Roman"/>
              </w:rPr>
              <w:t xml:space="preserve"> los presupuestos:</w:t>
            </w:r>
          </w:p>
          <w:p w14:paraId="584E5EEE" w14:textId="77777777" w:rsidR="00C454A1" w:rsidRPr="00DA6C7F" w:rsidRDefault="00C454A1" w:rsidP="00881E6A">
            <w:pPr>
              <w:ind w:right="272"/>
              <w:rPr>
                <w:rFonts w:cs="Times New Roman"/>
                <w:i/>
              </w:rPr>
            </w:pPr>
          </w:p>
          <w:p w14:paraId="519CBFBB" w14:textId="77777777" w:rsidR="00C454A1" w:rsidRPr="00DA6C7F" w:rsidRDefault="00C454A1" w:rsidP="00881E6A">
            <w:pPr>
              <w:ind w:right="272"/>
              <w:rPr>
                <w:rFonts w:cs="Times New Roman"/>
              </w:rPr>
            </w:pPr>
            <w:r w:rsidRPr="00DA6C7F">
              <w:rPr>
                <w:rFonts w:cs="Times New Roman"/>
                <w:i/>
                <w:iCs/>
              </w:rPr>
              <w:t>Presupuesto fáctico</w:t>
            </w:r>
            <w:r w:rsidRPr="00DA6C7F">
              <w:rPr>
                <w:rFonts w:cs="Times New Roman"/>
              </w:rPr>
              <w:t xml:space="preserve">. La </w:t>
            </w:r>
            <w:r>
              <w:rPr>
                <w:rFonts w:cs="Times New Roman"/>
              </w:rPr>
              <w:t>A</w:t>
            </w:r>
            <w:r w:rsidRPr="00DA6C7F">
              <w:rPr>
                <w:rFonts w:cs="Times New Roman"/>
              </w:rPr>
              <w:t>lcaldía municipal refirió los siguientes datos:</w:t>
            </w:r>
          </w:p>
          <w:p w14:paraId="057438A9" w14:textId="77777777" w:rsidR="00C454A1" w:rsidRPr="00DA6C7F" w:rsidRDefault="00C454A1" w:rsidP="005F4A6F">
            <w:pPr>
              <w:pStyle w:val="Prrafodelista"/>
              <w:numPr>
                <w:ilvl w:val="2"/>
                <w:numId w:val="31"/>
              </w:numPr>
              <w:ind w:left="641" w:right="272" w:hanging="426"/>
              <w:rPr>
                <w:rFonts w:cs="Times New Roman"/>
                <w:lang w:val="es-ES"/>
              </w:rPr>
            </w:pPr>
            <w:r w:rsidRPr="00DA6C7F">
              <w:rPr>
                <w:rFonts w:cs="Times New Roman"/>
                <w:lang w:val="es-ES"/>
              </w:rPr>
              <w:t>Hechos victimizantes</w:t>
            </w:r>
          </w:p>
          <w:p w14:paraId="56AE690F" w14:textId="77777777" w:rsidR="00C454A1" w:rsidRDefault="00C454A1" w:rsidP="00881E6A">
            <w:pPr>
              <w:pStyle w:val="Prrafodelista"/>
              <w:ind w:left="641" w:right="272"/>
              <w:rPr>
                <w:rFonts w:cs="Times New Roman"/>
              </w:rPr>
            </w:pPr>
          </w:p>
          <w:p w14:paraId="7C015118" w14:textId="77777777" w:rsidR="00C454A1" w:rsidRPr="0066141F" w:rsidRDefault="00C454A1" w:rsidP="00881E6A">
            <w:pPr>
              <w:pStyle w:val="Prrafodelista"/>
              <w:ind w:left="641" w:right="272"/>
              <w:jc w:val="center"/>
              <w:rPr>
                <w:rFonts w:cs="Times New Roman"/>
                <w:i/>
                <w:iCs/>
                <w:sz w:val="20"/>
                <w:szCs w:val="20"/>
              </w:rPr>
            </w:pPr>
            <w:r w:rsidRPr="0066141F">
              <w:rPr>
                <w:rFonts w:cs="Times New Roman"/>
                <w:i/>
                <w:iCs/>
                <w:sz w:val="20"/>
                <w:szCs w:val="20"/>
              </w:rPr>
              <w:t>Tabla 33: datos sobre ataques contra la población civil reportados por el municipio de La Playa de Belén</w:t>
            </w:r>
          </w:p>
          <w:tbl>
            <w:tblPr>
              <w:tblStyle w:val="Tablaconcuadrcula"/>
              <w:tblW w:w="13830" w:type="dxa"/>
              <w:jc w:val="center"/>
              <w:tblLook w:val="04A0" w:firstRow="1" w:lastRow="0" w:firstColumn="1" w:lastColumn="0" w:noHBand="0" w:noVBand="1"/>
            </w:tblPr>
            <w:tblGrid>
              <w:gridCol w:w="2206"/>
              <w:gridCol w:w="1843"/>
              <w:gridCol w:w="1878"/>
              <w:gridCol w:w="1975"/>
              <w:gridCol w:w="1976"/>
              <w:gridCol w:w="1976"/>
              <w:gridCol w:w="1976"/>
            </w:tblGrid>
            <w:tr w:rsidR="00C454A1" w:rsidRPr="004C63D7" w14:paraId="7345705F" w14:textId="77777777" w:rsidTr="001F3006">
              <w:trPr>
                <w:jc w:val="center"/>
              </w:trPr>
              <w:tc>
                <w:tcPr>
                  <w:tcW w:w="2206" w:type="dxa"/>
                </w:tcPr>
                <w:p w14:paraId="5990EE18"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Desplazamiento</w:t>
                  </w:r>
                </w:p>
              </w:tc>
              <w:tc>
                <w:tcPr>
                  <w:tcW w:w="1843" w:type="dxa"/>
                </w:tcPr>
                <w:p w14:paraId="280AE99C"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Ataques contra líderes sociales</w:t>
                  </w:r>
                </w:p>
              </w:tc>
              <w:tc>
                <w:tcPr>
                  <w:tcW w:w="1878" w:type="dxa"/>
                </w:tcPr>
                <w:p w14:paraId="45B0C5CF"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Secuestros</w:t>
                  </w:r>
                </w:p>
              </w:tc>
              <w:tc>
                <w:tcPr>
                  <w:tcW w:w="1975" w:type="dxa"/>
                </w:tcPr>
                <w:p w14:paraId="29A1829F"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Amenazas</w:t>
                  </w:r>
                </w:p>
              </w:tc>
              <w:tc>
                <w:tcPr>
                  <w:tcW w:w="1976" w:type="dxa"/>
                </w:tcPr>
                <w:p w14:paraId="341CE13C"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Ataque contra la población civil</w:t>
                  </w:r>
                </w:p>
              </w:tc>
              <w:tc>
                <w:tcPr>
                  <w:tcW w:w="1976" w:type="dxa"/>
                </w:tcPr>
                <w:p w14:paraId="52F97B9C"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Homicidio</w:t>
                  </w:r>
                </w:p>
              </w:tc>
              <w:tc>
                <w:tcPr>
                  <w:tcW w:w="1976" w:type="dxa"/>
                </w:tcPr>
                <w:p w14:paraId="4807EE15"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Desaparición forzada</w:t>
                  </w:r>
                </w:p>
              </w:tc>
            </w:tr>
            <w:tr w:rsidR="00C454A1" w:rsidRPr="004C63D7" w14:paraId="364D5E3A" w14:textId="77777777" w:rsidTr="001F3006">
              <w:trPr>
                <w:jc w:val="center"/>
              </w:trPr>
              <w:tc>
                <w:tcPr>
                  <w:tcW w:w="2206" w:type="dxa"/>
                </w:tcPr>
                <w:p w14:paraId="49F4D70F" w14:textId="77777777" w:rsidR="00C454A1" w:rsidRPr="004C63D7" w:rsidRDefault="00C454A1" w:rsidP="005F4A6F">
                  <w:pPr>
                    <w:pStyle w:val="Prrafodelista"/>
                    <w:numPr>
                      <w:ilvl w:val="0"/>
                      <w:numId w:val="43"/>
                    </w:numPr>
                    <w:ind w:left="113" w:right="272" w:hanging="113"/>
                    <w:rPr>
                      <w:rFonts w:cs="Times New Roman"/>
                      <w:sz w:val="22"/>
                      <w:szCs w:val="22"/>
                    </w:rPr>
                  </w:pPr>
                  <w:r w:rsidRPr="004C63D7">
                    <w:rPr>
                      <w:rFonts w:cs="Times New Roman"/>
                      <w:sz w:val="22"/>
                      <w:szCs w:val="22"/>
                    </w:rPr>
                    <w:t>2022: 347 personas</w:t>
                  </w:r>
                </w:p>
                <w:p w14:paraId="50EB3FAD" w14:textId="77777777" w:rsidR="00C454A1" w:rsidRPr="004C63D7" w:rsidRDefault="00C454A1" w:rsidP="005F4A6F">
                  <w:pPr>
                    <w:pStyle w:val="Prrafodelista"/>
                    <w:numPr>
                      <w:ilvl w:val="0"/>
                      <w:numId w:val="43"/>
                    </w:numPr>
                    <w:ind w:left="113" w:right="272" w:hanging="113"/>
                    <w:rPr>
                      <w:rFonts w:cs="Times New Roman"/>
                      <w:sz w:val="22"/>
                      <w:szCs w:val="22"/>
                    </w:rPr>
                  </w:pPr>
                  <w:r w:rsidRPr="004C63D7">
                    <w:rPr>
                      <w:rFonts w:cs="Times New Roman"/>
                      <w:sz w:val="22"/>
                      <w:szCs w:val="22"/>
                    </w:rPr>
                    <w:t>2023: 367 personas</w:t>
                  </w:r>
                </w:p>
                <w:p w14:paraId="6BF6B8E5" w14:textId="77777777" w:rsidR="00C454A1" w:rsidRPr="004C63D7" w:rsidRDefault="00C454A1" w:rsidP="005F4A6F">
                  <w:pPr>
                    <w:pStyle w:val="Prrafodelista"/>
                    <w:numPr>
                      <w:ilvl w:val="0"/>
                      <w:numId w:val="43"/>
                    </w:numPr>
                    <w:ind w:left="113" w:right="272" w:hanging="113"/>
                    <w:rPr>
                      <w:rFonts w:cs="Times New Roman"/>
                      <w:sz w:val="22"/>
                      <w:szCs w:val="22"/>
                    </w:rPr>
                  </w:pPr>
                  <w:r w:rsidRPr="004C63D7">
                    <w:rPr>
                      <w:rFonts w:cs="Times New Roman"/>
                      <w:sz w:val="22"/>
                      <w:szCs w:val="22"/>
                    </w:rPr>
                    <w:t>2024: 31 personas</w:t>
                  </w:r>
                </w:p>
              </w:tc>
              <w:tc>
                <w:tcPr>
                  <w:tcW w:w="1843" w:type="dxa"/>
                </w:tcPr>
                <w:p w14:paraId="73201C5A"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5 personas sin discriminar fecha</w:t>
                  </w:r>
                </w:p>
              </w:tc>
              <w:tc>
                <w:tcPr>
                  <w:tcW w:w="1878" w:type="dxa"/>
                </w:tcPr>
                <w:p w14:paraId="31ECAFF1" w14:textId="77777777" w:rsidR="00C454A1" w:rsidRPr="004C63D7" w:rsidRDefault="00C454A1" w:rsidP="005F4A6F">
                  <w:pPr>
                    <w:pStyle w:val="Prrafodelista"/>
                    <w:numPr>
                      <w:ilvl w:val="0"/>
                      <w:numId w:val="45"/>
                    </w:numPr>
                    <w:ind w:left="175" w:right="272" w:hanging="175"/>
                    <w:rPr>
                      <w:rFonts w:cs="Times New Roman"/>
                      <w:sz w:val="22"/>
                      <w:szCs w:val="22"/>
                    </w:rPr>
                  </w:pPr>
                  <w:r w:rsidRPr="004C63D7">
                    <w:rPr>
                      <w:rFonts w:cs="Times New Roman"/>
                      <w:sz w:val="22"/>
                      <w:szCs w:val="22"/>
                    </w:rPr>
                    <w:t>2023: 2 personas</w:t>
                  </w:r>
                </w:p>
                <w:p w14:paraId="60268525" w14:textId="77777777" w:rsidR="00C454A1" w:rsidRPr="004C63D7" w:rsidRDefault="00C454A1" w:rsidP="005F4A6F">
                  <w:pPr>
                    <w:pStyle w:val="Prrafodelista"/>
                    <w:numPr>
                      <w:ilvl w:val="0"/>
                      <w:numId w:val="45"/>
                    </w:numPr>
                    <w:ind w:left="175" w:right="272" w:hanging="175"/>
                    <w:rPr>
                      <w:rFonts w:cs="Times New Roman"/>
                      <w:sz w:val="22"/>
                      <w:szCs w:val="22"/>
                    </w:rPr>
                  </w:pPr>
                  <w:r w:rsidRPr="004C63D7">
                    <w:rPr>
                      <w:rFonts w:cs="Times New Roman"/>
                      <w:sz w:val="22"/>
                      <w:szCs w:val="22"/>
                    </w:rPr>
                    <w:t>2024: 2 personas</w:t>
                  </w:r>
                </w:p>
              </w:tc>
              <w:tc>
                <w:tcPr>
                  <w:tcW w:w="1975" w:type="dxa"/>
                </w:tcPr>
                <w:p w14:paraId="40CEB90E" w14:textId="77777777" w:rsidR="00C454A1" w:rsidRPr="004C63D7" w:rsidRDefault="00C454A1" w:rsidP="005F4A6F">
                  <w:pPr>
                    <w:pStyle w:val="Prrafodelista"/>
                    <w:numPr>
                      <w:ilvl w:val="0"/>
                      <w:numId w:val="44"/>
                    </w:numPr>
                    <w:ind w:left="136" w:right="272" w:hanging="136"/>
                    <w:rPr>
                      <w:rFonts w:cs="Times New Roman"/>
                      <w:sz w:val="22"/>
                      <w:szCs w:val="22"/>
                    </w:rPr>
                  </w:pPr>
                  <w:r w:rsidRPr="004C63D7">
                    <w:rPr>
                      <w:rFonts w:cs="Times New Roman"/>
                      <w:sz w:val="22"/>
                      <w:szCs w:val="22"/>
                    </w:rPr>
                    <w:t>2022: 55 personas</w:t>
                  </w:r>
                </w:p>
                <w:p w14:paraId="559E150B" w14:textId="77777777" w:rsidR="00C454A1" w:rsidRPr="004C63D7" w:rsidRDefault="00C454A1" w:rsidP="005F4A6F">
                  <w:pPr>
                    <w:pStyle w:val="Prrafodelista"/>
                    <w:numPr>
                      <w:ilvl w:val="0"/>
                      <w:numId w:val="44"/>
                    </w:numPr>
                    <w:ind w:left="136" w:right="272" w:hanging="136"/>
                    <w:rPr>
                      <w:rFonts w:cs="Times New Roman"/>
                      <w:sz w:val="22"/>
                      <w:szCs w:val="22"/>
                    </w:rPr>
                  </w:pPr>
                  <w:r w:rsidRPr="004C63D7">
                    <w:rPr>
                      <w:rFonts w:cs="Times New Roman"/>
                      <w:sz w:val="22"/>
                      <w:szCs w:val="22"/>
                    </w:rPr>
                    <w:t>2023: 53 personas</w:t>
                  </w:r>
                </w:p>
                <w:p w14:paraId="2C9A215C" w14:textId="77777777" w:rsidR="00C454A1" w:rsidRPr="004C63D7" w:rsidRDefault="00C454A1" w:rsidP="005F4A6F">
                  <w:pPr>
                    <w:pStyle w:val="Prrafodelista"/>
                    <w:numPr>
                      <w:ilvl w:val="0"/>
                      <w:numId w:val="44"/>
                    </w:numPr>
                    <w:ind w:left="136" w:right="272" w:hanging="136"/>
                    <w:rPr>
                      <w:rFonts w:cs="Times New Roman"/>
                      <w:sz w:val="22"/>
                      <w:szCs w:val="22"/>
                    </w:rPr>
                  </w:pPr>
                  <w:r w:rsidRPr="004C63D7">
                    <w:rPr>
                      <w:rFonts w:cs="Times New Roman"/>
                      <w:sz w:val="22"/>
                      <w:szCs w:val="22"/>
                    </w:rPr>
                    <w:t>2024: 15 personas</w:t>
                  </w:r>
                </w:p>
              </w:tc>
              <w:tc>
                <w:tcPr>
                  <w:tcW w:w="1976" w:type="dxa"/>
                </w:tcPr>
                <w:p w14:paraId="2FFEA283" w14:textId="77777777" w:rsidR="00C454A1" w:rsidRPr="004C63D7" w:rsidRDefault="00C454A1" w:rsidP="005F4A6F">
                  <w:pPr>
                    <w:pStyle w:val="Prrafodelista"/>
                    <w:numPr>
                      <w:ilvl w:val="0"/>
                      <w:numId w:val="44"/>
                    </w:numPr>
                    <w:ind w:left="153" w:right="272" w:hanging="153"/>
                    <w:rPr>
                      <w:rFonts w:cs="Times New Roman"/>
                      <w:sz w:val="22"/>
                      <w:szCs w:val="22"/>
                    </w:rPr>
                  </w:pPr>
                  <w:r w:rsidRPr="004C63D7">
                    <w:rPr>
                      <w:rFonts w:cs="Times New Roman"/>
                      <w:sz w:val="22"/>
                      <w:szCs w:val="22"/>
                    </w:rPr>
                    <w:t>2022: 2 ataques</w:t>
                  </w:r>
                </w:p>
                <w:p w14:paraId="56AD3821" w14:textId="77777777" w:rsidR="00C454A1" w:rsidRPr="004C63D7" w:rsidRDefault="00C454A1" w:rsidP="005F4A6F">
                  <w:pPr>
                    <w:pStyle w:val="Prrafodelista"/>
                    <w:numPr>
                      <w:ilvl w:val="0"/>
                      <w:numId w:val="44"/>
                    </w:numPr>
                    <w:ind w:left="153" w:right="272" w:hanging="153"/>
                    <w:rPr>
                      <w:rFonts w:cs="Times New Roman"/>
                      <w:sz w:val="22"/>
                      <w:szCs w:val="22"/>
                    </w:rPr>
                  </w:pPr>
                  <w:r w:rsidRPr="004C63D7">
                    <w:rPr>
                      <w:rFonts w:cs="Times New Roman"/>
                      <w:sz w:val="22"/>
                      <w:szCs w:val="22"/>
                    </w:rPr>
                    <w:t>2023: 1 ataque</w:t>
                  </w:r>
                </w:p>
              </w:tc>
              <w:tc>
                <w:tcPr>
                  <w:tcW w:w="1976" w:type="dxa"/>
                </w:tcPr>
                <w:p w14:paraId="4E4F4133" w14:textId="77777777" w:rsidR="00C454A1" w:rsidRPr="004C63D7" w:rsidRDefault="00C454A1" w:rsidP="005F4A6F">
                  <w:pPr>
                    <w:pStyle w:val="Prrafodelista"/>
                    <w:numPr>
                      <w:ilvl w:val="0"/>
                      <w:numId w:val="44"/>
                    </w:numPr>
                    <w:ind w:left="153" w:right="272" w:hanging="153"/>
                    <w:rPr>
                      <w:rFonts w:cs="Times New Roman"/>
                      <w:sz w:val="22"/>
                      <w:szCs w:val="22"/>
                    </w:rPr>
                  </w:pPr>
                  <w:r w:rsidRPr="004C63D7">
                    <w:rPr>
                      <w:rFonts w:cs="Times New Roman"/>
                      <w:sz w:val="22"/>
                      <w:szCs w:val="22"/>
                    </w:rPr>
                    <w:t>2022: 14 personas</w:t>
                  </w:r>
                </w:p>
                <w:p w14:paraId="51851AFE" w14:textId="77777777" w:rsidR="00C454A1" w:rsidRPr="004C63D7" w:rsidRDefault="00C454A1" w:rsidP="005F4A6F">
                  <w:pPr>
                    <w:pStyle w:val="Prrafodelista"/>
                    <w:numPr>
                      <w:ilvl w:val="0"/>
                      <w:numId w:val="44"/>
                    </w:numPr>
                    <w:ind w:left="153" w:right="272" w:hanging="153"/>
                    <w:rPr>
                      <w:rFonts w:cs="Times New Roman"/>
                      <w:sz w:val="22"/>
                      <w:szCs w:val="22"/>
                    </w:rPr>
                  </w:pPr>
                  <w:r w:rsidRPr="004C63D7">
                    <w:rPr>
                      <w:rFonts w:cs="Times New Roman"/>
                      <w:sz w:val="22"/>
                      <w:szCs w:val="22"/>
                    </w:rPr>
                    <w:t>2023: 6 personas</w:t>
                  </w:r>
                </w:p>
              </w:tc>
              <w:tc>
                <w:tcPr>
                  <w:tcW w:w="1976" w:type="dxa"/>
                </w:tcPr>
                <w:p w14:paraId="7A695777" w14:textId="77777777" w:rsidR="00C454A1" w:rsidRPr="004C63D7" w:rsidRDefault="00C454A1" w:rsidP="00881E6A">
                  <w:pPr>
                    <w:pStyle w:val="Prrafodelista"/>
                    <w:ind w:left="0" w:right="272"/>
                    <w:rPr>
                      <w:rFonts w:cs="Times New Roman"/>
                      <w:sz w:val="22"/>
                      <w:szCs w:val="22"/>
                    </w:rPr>
                  </w:pPr>
                  <w:r w:rsidRPr="004C63D7">
                    <w:rPr>
                      <w:rFonts w:cs="Times New Roman"/>
                      <w:sz w:val="22"/>
                      <w:szCs w:val="22"/>
                    </w:rPr>
                    <w:t>Sin información</w:t>
                  </w:r>
                </w:p>
              </w:tc>
            </w:tr>
          </w:tbl>
          <w:p w14:paraId="5124A36C" w14:textId="77777777" w:rsidR="00C454A1" w:rsidRPr="003C58D9" w:rsidRDefault="00C454A1" w:rsidP="00881E6A">
            <w:pPr>
              <w:pStyle w:val="Prrafodelista"/>
              <w:ind w:right="272"/>
              <w:rPr>
                <w:rFonts w:cs="Times New Roman"/>
                <w:lang w:val="es-ES"/>
              </w:rPr>
            </w:pPr>
          </w:p>
          <w:p w14:paraId="059E4399" w14:textId="77777777" w:rsidR="00C454A1" w:rsidRPr="00DA6C7F" w:rsidRDefault="00C454A1" w:rsidP="005F4A6F">
            <w:pPr>
              <w:pStyle w:val="Prrafodelista"/>
              <w:numPr>
                <w:ilvl w:val="0"/>
                <w:numId w:val="47"/>
              </w:numPr>
              <w:ind w:right="272"/>
              <w:rPr>
                <w:rFonts w:cs="Times New Roman"/>
                <w:lang w:val="es-ES"/>
              </w:rPr>
            </w:pPr>
            <w:r w:rsidRPr="00DA6C7F">
              <w:rPr>
                <w:rFonts w:cs="Times New Roman"/>
                <w:lang w:val="es-ES"/>
              </w:rPr>
              <w:t xml:space="preserve">La alcaldía informó que no tiene estadísticas sobre victimarios, las fechas de los hechos victimizantes, ni de la evolución de las confrontaciones de los grupos armados, </w:t>
            </w:r>
          </w:p>
          <w:p w14:paraId="2394047F" w14:textId="77777777" w:rsidR="00C454A1" w:rsidRPr="00DA6C7F" w:rsidRDefault="00C454A1" w:rsidP="005F4A6F">
            <w:pPr>
              <w:pStyle w:val="Prrafodelista"/>
              <w:numPr>
                <w:ilvl w:val="0"/>
                <w:numId w:val="47"/>
              </w:numPr>
              <w:ind w:right="272"/>
              <w:rPr>
                <w:rFonts w:cs="Times New Roman"/>
              </w:rPr>
            </w:pPr>
            <w:r w:rsidRPr="00DA6C7F">
              <w:rPr>
                <w:rFonts w:cs="Times New Roman"/>
              </w:rPr>
              <w:t>Informó que hay un universo de 7329 victimas según la UARIV las cuales son “población en general”.</w:t>
            </w:r>
          </w:p>
          <w:p w14:paraId="007D53A8" w14:textId="77777777" w:rsidR="00C454A1" w:rsidRPr="00DA6C7F" w:rsidRDefault="00C454A1" w:rsidP="005F4A6F">
            <w:pPr>
              <w:pStyle w:val="Prrafodelista"/>
              <w:numPr>
                <w:ilvl w:val="0"/>
                <w:numId w:val="47"/>
              </w:numPr>
              <w:ind w:right="272"/>
              <w:rPr>
                <w:rFonts w:cs="Times New Roman"/>
                <w:lang w:val="es-ES"/>
              </w:rPr>
            </w:pPr>
            <w:r w:rsidRPr="00DA6C7F">
              <w:rPr>
                <w:rFonts w:cs="Times New Roman"/>
                <w:lang w:val="es-ES"/>
              </w:rPr>
              <w:t>Las veredas más afectadas por el conflicto son Maciegas, Carrizal, El Tunal, San Pedro, El Salero, Capellanía, Miraflores, Los Cacaos, Alto del Buey, Curasica, Sucre, La Peña, Aspasica, La Esmeralda, Reventón, Mesa Rica, El Legía, Guayabón y La Vega de San Antonio</w:t>
            </w:r>
            <w:r w:rsidRPr="00DA6C7F">
              <w:rPr>
                <w:rStyle w:val="Refdenotaalpie"/>
                <w:rFonts w:cs="Times New Roman"/>
                <w:lang w:val="es-ES"/>
              </w:rPr>
              <w:footnoteReference w:id="764"/>
            </w:r>
            <w:r w:rsidRPr="00DA6C7F">
              <w:rPr>
                <w:rFonts w:cs="Times New Roman"/>
                <w:lang w:val="es-ES"/>
              </w:rPr>
              <w:t>.</w:t>
            </w:r>
          </w:p>
          <w:p w14:paraId="62FF0D80" w14:textId="77777777" w:rsidR="00C454A1" w:rsidRPr="00DA6C7F" w:rsidRDefault="00C454A1" w:rsidP="005F4A6F">
            <w:pPr>
              <w:pStyle w:val="Prrafodelista"/>
              <w:numPr>
                <w:ilvl w:val="0"/>
                <w:numId w:val="47"/>
              </w:numPr>
              <w:ind w:right="272"/>
              <w:rPr>
                <w:rFonts w:cs="Times New Roman"/>
              </w:rPr>
            </w:pPr>
            <w:r w:rsidRPr="00DA6C7F">
              <w:rPr>
                <w:rFonts w:cs="Times New Roman"/>
              </w:rPr>
              <w:t>Agregó que los desplazamientos si han implicado un desbordamiento de las capacidades institucionales técnicas, económicas y de atención a la población teniendo en cuenta la falta de recursos.</w:t>
            </w:r>
          </w:p>
          <w:p w14:paraId="6DB5CD8D" w14:textId="77777777" w:rsidR="00C454A1" w:rsidRPr="00DA6C7F" w:rsidRDefault="00C454A1" w:rsidP="00881E6A">
            <w:pPr>
              <w:pStyle w:val="Prrafodelista"/>
              <w:ind w:right="272"/>
              <w:rPr>
                <w:rFonts w:cs="Times New Roman"/>
              </w:rPr>
            </w:pPr>
          </w:p>
          <w:p w14:paraId="729B8EA9" w14:textId="77777777" w:rsidR="00C454A1" w:rsidRPr="00DA6C7F" w:rsidRDefault="00C454A1" w:rsidP="005F4A6F">
            <w:pPr>
              <w:pStyle w:val="Prrafodelista"/>
              <w:numPr>
                <w:ilvl w:val="2"/>
                <w:numId w:val="31"/>
              </w:numPr>
              <w:ind w:left="641" w:right="272" w:hanging="426"/>
              <w:rPr>
                <w:rFonts w:cs="Times New Roman"/>
              </w:rPr>
            </w:pPr>
            <w:r w:rsidRPr="00DA6C7F">
              <w:rPr>
                <w:rFonts w:cs="Times New Roman"/>
              </w:rPr>
              <w:t>Actividades ilícitas de los GAO</w:t>
            </w:r>
          </w:p>
          <w:p w14:paraId="54BCCDB9"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Informó que hay presencia de GAO como el ELN, EPL y Residual Frente 33</w:t>
            </w:r>
            <w:r>
              <w:rPr>
                <w:rFonts w:cs="Times New Roman"/>
              </w:rPr>
              <w:t>.</w:t>
            </w:r>
          </w:p>
          <w:p w14:paraId="6A2D1470"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lastRenderedPageBreak/>
              <w:t>Señaló que en el municipio hay una disputa por el territorio “a través de corredores conformados por las vías de acceso, que son utilizados para actividades ilícitas como el tráfico de drogas, armas, combustible”</w:t>
            </w:r>
            <w:r w:rsidRPr="00DA6C7F">
              <w:rPr>
                <w:rStyle w:val="Refdenotaalpie"/>
                <w:rFonts w:cs="Times New Roman"/>
              </w:rPr>
              <w:footnoteReference w:id="765"/>
            </w:r>
            <w:r w:rsidRPr="00DA6C7F">
              <w:rPr>
                <w:rFonts w:cs="Times New Roman"/>
              </w:rPr>
              <w:t xml:space="preserve"> en todas las zonas del municipio, lo que aumenta la posibilidad de enfrentamientos armados entre ellos por el control territorial.</w:t>
            </w:r>
          </w:p>
          <w:p w14:paraId="5E75EB8C"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Informó que</w:t>
            </w:r>
            <w:r>
              <w:rPr>
                <w:rFonts w:cs="Times New Roman"/>
              </w:rPr>
              <w:t xml:space="preserve">, </w:t>
            </w:r>
            <w:r w:rsidRPr="00DA6C7F">
              <w:rPr>
                <w:rFonts w:cs="Times New Roman"/>
              </w:rPr>
              <w:t>para contrarrestar dichas actividades ilícitas</w:t>
            </w:r>
            <w:r>
              <w:rPr>
                <w:rFonts w:cs="Times New Roman"/>
              </w:rPr>
              <w:t>,</w:t>
            </w:r>
            <w:r w:rsidRPr="00DA6C7F">
              <w:rPr>
                <w:rFonts w:cs="Times New Roman"/>
              </w:rPr>
              <w:t xml:space="preserve"> realizaron consejos de seguridad territorial, puestos de mando unificado, comités de orden público y comités de justicia transicional, sin especificar con detalle dichas medidas y las fechas en que se realizaron. Además, la alcaldía especificó que no tiene estadísticas sobre los resultados de dichas medidas</w:t>
            </w:r>
            <w:r>
              <w:rPr>
                <w:rFonts w:cs="Times New Roman"/>
              </w:rPr>
              <w:t xml:space="preserve"> ni</w:t>
            </w:r>
            <w:r w:rsidRPr="00DA6C7F">
              <w:rPr>
                <w:rFonts w:cs="Times New Roman"/>
              </w:rPr>
              <w:t xml:space="preserve"> sobre las actividades ilícitas que realizan estos grupos.</w:t>
            </w:r>
          </w:p>
          <w:p w14:paraId="6CDA320C" w14:textId="77777777" w:rsidR="00C454A1" w:rsidRPr="00DA6C7F" w:rsidRDefault="00C454A1" w:rsidP="00881E6A">
            <w:pPr>
              <w:ind w:right="272"/>
              <w:rPr>
                <w:rFonts w:cs="Times New Roman"/>
              </w:rPr>
            </w:pPr>
          </w:p>
          <w:p w14:paraId="09BEEE8C" w14:textId="77777777" w:rsidR="00C454A1" w:rsidRPr="00DA6C7F" w:rsidRDefault="00C454A1" w:rsidP="005F4A6F">
            <w:pPr>
              <w:pStyle w:val="Prrafodelista"/>
              <w:numPr>
                <w:ilvl w:val="2"/>
                <w:numId w:val="31"/>
              </w:numPr>
              <w:ind w:left="641" w:right="272" w:hanging="426"/>
              <w:rPr>
                <w:rFonts w:cs="Times New Roman"/>
              </w:rPr>
            </w:pPr>
            <w:r w:rsidRPr="00DA6C7F">
              <w:rPr>
                <w:rFonts w:cs="Times New Roman"/>
              </w:rPr>
              <w:t xml:space="preserve">Advertencias al Gobierno </w:t>
            </w:r>
            <w:r>
              <w:rPr>
                <w:rFonts w:cs="Times New Roman"/>
              </w:rPr>
              <w:t>n</w:t>
            </w:r>
            <w:r w:rsidRPr="00DA6C7F">
              <w:rPr>
                <w:rFonts w:cs="Times New Roman"/>
              </w:rPr>
              <w:t>acional</w:t>
            </w:r>
          </w:p>
          <w:p w14:paraId="7CD231D2" w14:textId="77777777" w:rsidR="00C454A1" w:rsidRPr="00DA6C7F" w:rsidRDefault="00C454A1" w:rsidP="00881E6A">
            <w:pPr>
              <w:ind w:right="272"/>
              <w:rPr>
                <w:rFonts w:cs="Times New Roman"/>
              </w:rPr>
            </w:pPr>
          </w:p>
          <w:p w14:paraId="26CE31A3"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Informó que las advertencias al </w:t>
            </w:r>
            <w:r>
              <w:rPr>
                <w:rFonts w:cs="Times New Roman"/>
              </w:rPr>
              <w:t>G</w:t>
            </w:r>
            <w:r w:rsidRPr="00DA6C7F">
              <w:rPr>
                <w:rFonts w:cs="Times New Roman"/>
              </w:rPr>
              <w:t xml:space="preserve">obierno nacional las hizo la </w:t>
            </w:r>
            <w:r>
              <w:rPr>
                <w:rFonts w:cs="Times New Roman"/>
              </w:rPr>
              <w:t>D</w:t>
            </w:r>
            <w:r w:rsidRPr="00DA6C7F">
              <w:rPr>
                <w:rFonts w:cs="Times New Roman"/>
              </w:rPr>
              <w:t xml:space="preserve">efensoría del </w:t>
            </w:r>
            <w:r>
              <w:rPr>
                <w:rFonts w:cs="Times New Roman"/>
              </w:rPr>
              <w:t>P</w:t>
            </w:r>
            <w:r w:rsidRPr="00DA6C7F">
              <w:rPr>
                <w:rFonts w:cs="Times New Roman"/>
              </w:rPr>
              <w:t>ueblo mediante alertas tempranas, sobre el riesgo de vulneraciones a los derechos humanos e infracciones al Derecho Internacional Humanitario (Alertas 024 de 2019 y 026 de 2024)</w:t>
            </w:r>
            <w:r>
              <w:rPr>
                <w:rFonts w:cs="Times New Roman"/>
              </w:rPr>
              <w:t>.</w:t>
            </w:r>
          </w:p>
          <w:p w14:paraId="4F5306DE"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Señaló que no tiene información sobre las medidas que ha adoptado el Gobierno </w:t>
            </w:r>
            <w:r>
              <w:rPr>
                <w:rFonts w:cs="Times New Roman"/>
              </w:rPr>
              <w:t>n</w:t>
            </w:r>
            <w:r w:rsidRPr="00DA6C7F">
              <w:rPr>
                <w:rFonts w:cs="Times New Roman"/>
              </w:rPr>
              <w:t>acional con ocasión de dichas advertencias.</w:t>
            </w:r>
          </w:p>
          <w:p w14:paraId="3F3B4585" w14:textId="77777777" w:rsidR="00C454A1" w:rsidRPr="00DA6C7F" w:rsidRDefault="00C454A1" w:rsidP="00881E6A">
            <w:pPr>
              <w:ind w:right="272"/>
              <w:rPr>
                <w:rFonts w:cs="Times New Roman"/>
              </w:rPr>
            </w:pPr>
          </w:p>
          <w:p w14:paraId="5FE6D51C" w14:textId="77777777" w:rsidR="00C454A1" w:rsidRPr="00DA6C7F" w:rsidRDefault="00C454A1" w:rsidP="005F4A6F">
            <w:pPr>
              <w:pStyle w:val="Prrafodelista"/>
              <w:numPr>
                <w:ilvl w:val="2"/>
                <w:numId w:val="31"/>
              </w:numPr>
              <w:ind w:left="641" w:right="272" w:hanging="426"/>
              <w:rPr>
                <w:rFonts w:cs="Times New Roman"/>
              </w:rPr>
            </w:pPr>
            <w:r w:rsidRPr="00DA6C7F">
              <w:rPr>
                <w:rFonts w:cs="Times New Roman"/>
              </w:rPr>
              <w:t>Daños a bienes protegidos y al medio ambiente</w:t>
            </w:r>
          </w:p>
          <w:p w14:paraId="358A6C30"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Señaló que desde 2022 no ha habido daños a bienes protegidos y del medio ambiente</w:t>
            </w:r>
            <w:r w:rsidRPr="00DA6C7F">
              <w:rPr>
                <w:rStyle w:val="Refdenotaalpie"/>
                <w:rFonts w:cs="Times New Roman"/>
              </w:rPr>
              <w:footnoteReference w:id="766"/>
            </w:r>
            <w:r w:rsidRPr="00DA6C7F">
              <w:rPr>
                <w:rFonts w:cs="Times New Roman"/>
              </w:rPr>
              <w:t>.</w:t>
            </w:r>
          </w:p>
          <w:p w14:paraId="1A653F30" w14:textId="77777777" w:rsidR="00C454A1" w:rsidRPr="00DA6C7F" w:rsidRDefault="00C454A1" w:rsidP="00881E6A">
            <w:pPr>
              <w:ind w:right="272"/>
              <w:rPr>
                <w:rFonts w:cs="Times New Roman"/>
              </w:rPr>
            </w:pPr>
          </w:p>
          <w:p w14:paraId="3935CE6F" w14:textId="77777777" w:rsidR="00C454A1" w:rsidRPr="00DA6C7F" w:rsidRDefault="00C454A1" w:rsidP="00881E6A">
            <w:pPr>
              <w:ind w:right="272"/>
              <w:rPr>
                <w:rFonts w:cs="Times New Roman"/>
              </w:rPr>
            </w:pPr>
            <w:r w:rsidRPr="00DA6C7F">
              <w:rPr>
                <w:rFonts w:cs="Times New Roman"/>
                <w:i/>
              </w:rPr>
              <w:t xml:space="preserve">Presupuesto </w:t>
            </w:r>
            <w:r>
              <w:rPr>
                <w:rFonts w:cs="Times New Roman"/>
                <w:i/>
              </w:rPr>
              <w:t xml:space="preserve">de </w:t>
            </w:r>
            <w:r w:rsidRPr="00DA6C7F">
              <w:rPr>
                <w:rFonts w:cs="Times New Roman"/>
                <w:i/>
              </w:rPr>
              <w:t>suficiencia</w:t>
            </w:r>
            <w:r w:rsidRPr="00DA6C7F">
              <w:rPr>
                <w:rFonts w:cs="Times New Roman"/>
              </w:rPr>
              <w:t xml:space="preserve">. </w:t>
            </w:r>
          </w:p>
          <w:p w14:paraId="603D426D" w14:textId="77777777" w:rsidR="00C454A1" w:rsidRPr="00DA6C7F" w:rsidRDefault="00C454A1" w:rsidP="00881E6A">
            <w:pPr>
              <w:ind w:right="272"/>
              <w:rPr>
                <w:rFonts w:cs="Times New Roman"/>
              </w:rPr>
            </w:pPr>
          </w:p>
          <w:p w14:paraId="292A4217" w14:textId="77777777" w:rsidR="00C454A1" w:rsidRPr="00DA6C7F" w:rsidRDefault="00C454A1" w:rsidP="005F4A6F">
            <w:pPr>
              <w:pStyle w:val="Prrafodelista"/>
              <w:numPr>
                <w:ilvl w:val="0"/>
                <w:numId w:val="49"/>
              </w:numPr>
              <w:ind w:left="641" w:right="272" w:hanging="426"/>
              <w:rPr>
                <w:rFonts w:cs="Times New Roman"/>
              </w:rPr>
            </w:pPr>
            <w:r w:rsidRPr="00DA6C7F">
              <w:rPr>
                <w:rFonts w:cs="Times New Roman"/>
              </w:rPr>
              <w:lastRenderedPageBreak/>
              <w:t>Solicitud de presupuesto</w:t>
            </w:r>
          </w:p>
          <w:p w14:paraId="553634CF"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Señaló que no ha solicitado presupuesto para reestablecer el orden público en su territorio o para garantizar atención humanitaria a la población</w:t>
            </w:r>
            <w:r w:rsidRPr="00DA6C7F">
              <w:rPr>
                <w:rStyle w:val="Refdenotaalpie"/>
                <w:rFonts w:cs="Times New Roman"/>
              </w:rPr>
              <w:footnoteReference w:id="767"/>
            </w:r>
            <w:r w:rsidRPr="00DA6C7F">
              <w:rPr>
                <w:rFonts w:cs="Times New Roman"/>
              </w:rPr>
              <w:t>.</w:t>
            </w:r>
          </w:p>
          <w:p w14:paraId="1B94DBD8" w14:textId="77777777" w:rsidR="00C454A1" w:rsidRPr="00DA6C7F" w:rsidRDefault="00C454A1" w:rsidP="00881E6A">
            <w:pPr>
              <w:ind w:right="272"/>
              <w:rPr>
                <w:rFonts w:cs="Times New Roman"/>
              </w:rPr>
            </w:pPr>
          </w:p>
        </w:tc>
      </w:tr>
      <w:tr w:rsidR="00C454A1" w:rsidRPr="00F8202F" w14:paraId="0B1C3046" w14:textId="77777777" w:rsidTr="005F4A6F">
        <w:trPr>
          <w:trHeight w:val="300"/>
        </w:trPr>
        <w:tc>
          <w:tcPr>
            <w:tcW w:w="642" w:type="pct"/>
            <w:vAlign w:val="center"/>
          </w:tcPr>
          <w:p w14:paraId="1D20FB8A" w14:textId="77777777" w:rsidR="00C454A1" w:rsidRPr="00DA6C7F" w:rsidRDefault="00C454A1" w:rsidP="00881E6A">
            <w:pPr>
              <w:ind w:right="272"/>
              <w:jc w:val="center"/>
              <w:rPr>
                <w:rFonts w:cs="Times New Roman"/>
                <w:b/>
              </w:rPr>
            </w:pPr>
            <w:r w:rsidRPr="00DA6C7F">
              <w:rPr>
                <w:rFonts w:cs="Times New Roman"/>
                <w:b/>
                <w:bCs/>
              </w:rPr>
              <w:lastRenderedPageBreak/>
              <w:t>Municipio San Cayetano</w:t>
            </w:r>
          </w:p>
        </w:tc>
        <w:tc>
          <w:tcPr>
            <w:tcW w:w="4358" w:type="pct"/>
          </w:tcPr>
          <w:p w14:paraId="155E8DEA" w14:textId="77777777" w:rsidR="00C454A1" w:rsidRPr="00DA6C7F" w:rsidRDefault="00C454A1" w:rsidP="00881E6A">
            <w:pPr>
              <w:ind w:right="272"/>
              <w:rPr>
                <w:rFonts w:cs="Times New Roman"/>
              </w:rPr>
            </w:pPr>
            <w:r w:rsidRPr="00DA6C7F">
              <w:rPr>
                <w:rFonts w:cs="Times New Roman"/>
              </w:rPr>
              <w:t>La Alcaldía de San Cayetano remitió la siguiente información:</w:t>
            </w:r>
          </w:p>
          <w:p w14:paraId="677706FF" w14:textId="77777777" w:rsidR="00C454A1" w:rsidRPr="00DA6C7F" w:rsidRDefault="00C454A1" w:rsidP="00881E6A">
            <w:pPr>
              <w:ind w:right="272"/>
              <w:rPr>
                <w:rFonts w:cs="Times New Roman"/>
              </w:rPr>
            </w:pPr>
          </w:p>
          <w:p w14:paraId="5C545F4B" w14:textId="77777777" w:rsidR="00C454A1" w:rsidRPr="00DA6C7F" w:rsidRDefault="00C454A1" w:rsidP="00881E6A">
            <w:pPr>
              <w:ind w:right="272"/>
              <w:rPr>
                <w:rFonts w:cs="Times New Roman"/>
              </w:rPr>
            </w:pPr>
            <w:r w:rsidRPr="00DA6C7F">
              <w:rPr>
                <w:rFonts w:cs="Times New Roman"/>
                <w:i/>
                <w:iCs/>
              </w:rPr>
              <w:t>Presupuesto fáctico</w:t>
            </w:r>
            <w:r w:rsidRPr="00DA6C7F">
              <w:rPr>
                <w:rFonts w:cs="Times New Roman"/>
              </w:rPr>
              <w:t xml:space="preserve">. </w:t>
            </w:r>
          </w:p>
          <w:p w14:paraId="2BD8A759" w14:textId="77777777" w:rsidR="00C454A1" w:rsidRPr="00DA6C7F" w:rsidRDefault="00C454A1" w:rsidP="005F4A6F">
            <w:pPr>
              <w:pStyle w:val="Prrafodelista"/>
              <w:numPr>
                <w:ilvl w:val="0"/>
                <w:numId w:val="46"/>
              </w:numPr>
              <w:ind w:right="272"/>
              <w:rPr>
                <w:rFonts w:cs="Times New Roman"/>
              </w:rPr>
            </w:pPr>
            <w:r w:rsidRPr="00DA6C7F">
              <w:rPr>
                <w:rFonts w:cs="Times New Roman"/>
              </w:rPr>
              <w:t>Entre 2022 y el 5 de febrero de 2025 "no ha habido [...] ataques contra firmantes de paz y líderes sociales”</w:t>
            </w:r>
            <w:r w:rsidRPr="00DA6C7F">
              <w:rPr>
                <w:rStyle w:val="Refdenotaalpie"/>
                <w:rFonts w:cs="Times New Roman"/>
              </w:rPr>
              <w:footnoteReference w:id="768"/>
            </w:r>
            <w:r w:rsidRPr="00DA6C7F">
              <w:rPr>
                <w:rFonts w:cs="Times New Roman"/>
              </w:rPr>
              <w:t>.</w:t>
            </w:r>
          </w:p>
          <w:p w14:paraId="3198D8C6" w14:textId="77777777" w:rsidR="00C454A1" w:rsidRPr="00DA6C7F" w:rsidRDefault="00C454A1" w:rsidP="005F4A6F">
            <w:pPr>
              <w:pStyle w:val="Prrafodelista"/>
              <w:numPr>
                <w:ilvl w:val="0"/>
                <w:numId w:val="46"/>
              </w:numPr>
              <w:ind w:right="272"/>
              <w:rPr>
                <w:rFonts w:cs="Times New Roman"/>
              </w:rPr>
            </w:pPr>
            <w:r w:rsidRPr="00DA6C7F">
              <w:rPr>
                <w:rFonts w:cs="Times New Roman"/>
              </w:rPr>
              <w:t>Durante el periodo “[n]o se tiene noticia de extorsión, amenazas y ataques contra la población civil”</w:t>
            </w:r>
            <w:r w:rsidRPr="00DA6C7F">
              <w:rPr>
                <w:rStyle w:val="Refdenotaalpie"/>
                <w:rFonts w:cs="Times New Roman"/>
              </w:rPr>
              <w:footnoteReference w:id="769"/>
            </w:r>
            <w:r w:rsidRPr="00DA6C7F">
              <w:rPr>
                <w:rFonts w:cs="Times New Roman"/>
              </w:rPr>
              <w:t>. Sin embargo, el 28 de diciembre de 2024 “se produjo el secuestro del señor Antonio José Marín Cárdenas, exalcalde de este municipio en el periodo 2020-2024”</w:t>
            </w:r>
            <w:r w:rsidRPr="00DA6C7F">
              <w:rPr>
                <w:rStyle w:val="Refdenotaalpie"/>
                <w:rFonts w:cs="Times New Roman"/>
              </w:rPr>
              <w:footnoteReference w:id="770"/>
            </w:r>
            <w:r w:rsidRPr="00DA6C7F">
              <w:rPr>
                <w:rFonts w:cs="Times New Roman"/>
              </w:rPr>
              <w:t>.</w:t>
            </w:r>
          </w:p>
          <w:p w14:paraId="4FC0FCCB" w14:textId="77777777" w:rsidR="00C454A1" w:rsidRPr="00DA6C7F" w:rsidRDefault="00C454A1" w:rsidP="005F4A6F">
            <w:pPr>
              <w:pStyle w:val="Prrafodelista"/>
              <w:numPr>
                <w:ilvl w:val="0"/>
                <w:numId w:val="46"/>
              </w:numPr>
              <w:ind w:right="272"/>
              <w:rPr>
                <w:rFonts w:cs="Times New Roman"/>
              </w:rPr>
            </w:pPr>
            <w:r w:rsidRPr="00DA6C7F">
              <w:rPr>
                <w:rFonts w:cs="Times New Roman"/>
              </w:rPr>
              <w:t>Entre 2022 y el 5 de febrero de 2025 “se han presentado 07 homicidios y 36 lesiones personales”</w:t>
            </w:r>
            <w:r w:rsidRPr="00DA6C7F">
              <w:rPr>
                <w:rStyle w:val="Refdenotaalpie"/>
                <w:rFonts w:cs="Times New Roman"/>
              </w:rPr>
              <w:footnoteReference w:id="771"/>
            </w:r>
            <w:r w:rsidRPr="00DA6C7F">
              <w:rPr>
                <w:rFonts w:cs="Times New Roman"/>
              </w:rPr>
              <w:t xml:space="preserve">. </w:t>
            </w:r>
            <w:r>
              <w:rPr>
                <w:rFonts w:cs="Times New Roman"/>
              </w:rPr>
              <w:t>La</w:t>
            </w:r>
            <w:r w:rsidRPr="00DA6C7F">
              <w:rPr>
                <w:rFonts w:cs="Times New Roman"/>
              </w:rPr>
              <w:t xml:space="preserve"> </w:t>
            </w:r>
            <w:r>
              <w:rPr>
                <w:rFonts w:cs="Times New Roman"/>
              </w:rPr>
              <w:t>a</w:t>
            </w:r>
            <w:r w:rsidRPr="00DA6C7F">
              <w:rPr>
                <w:rFonts w:cs="Times New Roman"/>
              </w:rPr>
              <w:t>lcaldía no precisó si estos hechos se dieron con ocasión del conflicto armado.</w:t>
            </w:r>
          </w:p>
          <w:p w14:paraId="39AEE1EC" w14:textId="77777777" w:rsidR="00C454A1" w:rsidRPr="00DA6C7F" w:rsidRDefault="00C454A1" w:rsidP="005F4A6F">
            <w:pPr>
              <w:pStyle w:val="Prrafodelista"/>
              <w:numPr>
                <w:ilvl w:val="0"/>
                <w:numId w:val="46"/>
              </w:numPr>
              <w:ind w:right="272"/>
              <w:rPr>
                <w:rFonts w:cs="Times New Roman"/>
              </w:rPr>
            </w:pPr>
            <w:r w:rsidRPr="00DA6C7F">
              <w:rPr>
                <w:rFonts w:cs="Times New Roman"/>
              </w:rPr>
              <w:t>Entre 2022 y el 5 de febrero de 2025 “no se han presentado hechos constitutivos de desaparición forzada”</w:t>
            </w:r>
            <w:r w:rsidRPr="00DA6C7F">
              <w:rPr>
                <w:rStyle w:val="Refdenotaalpie"/>
                <w:rFonts w:cs="Times New Roman"/>
              </w:rPr>
              <w:footnoteReference w:id="772"/>
            </w:r>
            <w:r w:rsidRPr="00DA6C7F">
              <w:rPr>
                <w:rFonts w:cs="Times New Roman"/>
              </w:rPr>
              <w:t xml:space="preserve">. </w:t>
            </w:r>
          </w:p>
          <w:p w14:paraId="051DDCFA" w14:textId="77777777" w:rsidR="00C454A1" w:rsidRPr="00DA6C7F" w:rsidRDefault="00C454A1" w:rsidP="005F4A6F">
            <w:pPr>
              <w:pStyle w:val="Prrafodelista"/>
              <w:numPr>
                <w:ilvl w:val="0"/>
                <w:numId w:val="46"/>
              </w:numPr>
              <w:ind w:right="272"/>
              <w:rPr>
                <w:rFonts w:cs="Times New Roman"/>
                <w:lang w:val="es-ES"/>
              </w:rPr>
            </w:pPr>
            <w:r w:rsidRPr="00DA6C7F">
              <w:rPr>
                <w:rFonts w:cs="Times New Roman"/>
                <w:lang w:val="es-ES"/>
              </w:rPr>
              <w:t>Respecto al desplazamiento forzado, la alcaldía aportó una tabla en la que relacionó 57 casos de desplazamiento forzado. La tabla discrimina (i) fecha de declaración; (ii) lugar de los hechos; (iii) víctima; (iv) presuntos victimarios; (v) hecho victimizante (hay desplazamiento forzado, amenaza y despojo); (vi) derecho vulnerado, y (vii) fecha de los hechos. A continuación, extraigo la información relevante, habida cuenta de la extensión de la información, así como de la fecha de los hechos. Esto último, ya que hay fechas anteriores al 2022 reportadas:</w:t>
            </w:r>
          </w:p>
          <w:p w14:paraId="65B305CF" w14:textId="77777777" w:rsidR="00C454A1" w:rsidRDefault="00C454A1" w:rsidP="00881E6A">
            <w:pPr>
              <w:pStyle w:val="Prrafodelista"/>
              <w:ind w:right="272"/>
              <w:rPr>
                <w:rFonts w:cs="Times New Roman"/>
              </w:rPr>
            </w:pPr>
          </w:p>
          <w:p w14:paraId="1FF2CFBC" w14:textId="77777777" w:rsidR="00C454A1" w:rsidRPr="0066141F" w:rsidRDefault="00C454A1" w:rsidP="00881E6A">
            <w:pPr>
              <w:pStyle w:val="Prrafodelista"/>
              <w:ind w:right="272"/>
              <w:jc w:val="center"/>
              <w:rPr>
                <w:rFonts w:cs="Times New Roman"/>
                <w:i/>
                <w:iCs/>
                <w:sz w:val="20"/>
                <w:szCs w:val="20"/>
              </w:rPr>
            </w:pPr>
            <w:r w:rsidRPr="0066141F">
              <w:rPr>
                <w:rFonts w:cs="Times New Roman"/>
                <w:i/>
                <w:iCs/>
                <w:sz w:val="20"/>
                <w:szCs w:val="20"/>
              </w:rPr>
              <w:t>Tabla 34: casos de desplazamiento forzado reportados por el municipio de San Cayetano desde 2022</w:t>
            </w:r>
          </w:p>
          <w:tbl>
            <w:tblPr>
              <w:tblStyle w:val="Tablaconcuadrcula"/>
              <w:tblW w:w="0" w:type="auto"/>
              <w:jc w:val="center"/>
              <w:tblLook w:val="06A0" w:firstRow="1" w:lastRow="0" w:firstColumn="1" w:lastColumn="0" w:noHBand="1" w:noVBand="1"/>
            </w:tblPr>
            <w:tblGrid>
              <w:gridCol w:w="2106"/>
              <w:gridCol w:w="2505"/>
              <w:gridCol w:w="929"/>
              <w:gridCol w:w="929"/>
              <w:gridCol w:w="929"/>
              <w:gridCol w:w="929"/>
              <w:gridCol w:w="953"/>
            </w:tblGrid>
            <w:tr w:rsidR="00C454A1" w:rsidRPr="0066141F" w14:paraId="752D9F31" w14:textId="77777777" w:rsidTr="001F3006">
              <w:trPr>
                <w:trHeight w:val="300"/>
                <w:jc w:val="center"/>
              </w:trPr>
              <w:tc>
                <w:tcPr>
                  <w:tcW w:w="2106" w:type="dxa"/>
                </w:tcPr>
                <w:p w14:paraId="41182A9A" w14:textId="77777777" w:rsidR="00C454A1" w:rsidRPr="00C20348" w:rsidRDefault="00C454A1" w:rsidP="00881E6A">
                  <w:pPr>
                    <w:ind w:right="272"/>
                    <w:rPr>
                      <w:rFonts w:cs="Times New Roman"/>
                      <w:sz w:val="22"/>
                      <w:szCs w:val="22"/>
                    </w:rPr>
                  </w:pPr>
                  <w:r w:rsidRPr="00C20348">
                    <w:rPr>
                      <w:rFonts w:cs="Times New Roman"/>
                      <w:sz w:val="22"/>
                      <w:szCs w:val="22"/>
                    </w:rPr>
                    <w:lastRenderedPageBreak/>
                    <w:t>Municipio de los hechos</w:t>
                  </w:r>
                </w:p>
              </w:tc>
              <w:tc>
                <w:tcPr>
                  <w:tcW w:w="2505" w:type="dxa"/>
                </w:tcPr>
                <w:p w14:paraId="57271E7A" w14:textId="77777777" w:rsidR="00C454A1" w:rsidRPr="00C20348" w:rsidRDefault="00C454A1" w:rsidP="00881E6A">
                  <w:pPr>
                    <w:ind w:right="272"/>
                    <w:rPr>
                      <w:rFonts w:cs="Times New Roman"/>
                      <w:sz w:val="22"/>
                      <w:szCs w:val="22"/>
                    </w:rPr>
                  </w:pPr>
                  <w:r w:rsidRPr="00C20348">
                    <w:rPr>
                      <w:rFonts w:cs="Times New Roman"/>
                      <w:sz w:val="22"/>
                      <w:szCs w:val="22"/>
                    </w:rPr>
                    <w:t>Departamento</w:t>
                  </w:r>
                </w:p>
              </w:tc>
              <w:tc>
                <w:tcPr>
                  <w:tcW w:w="810" w:type="dxa"/>
                </w:tcPr>
                <w:p w14:paraId="12C90192" w14:textId="77777777" w:rsidR="00C454A1" w:rsidRPr="00C20348" w:rsidRDefault="00C454A1" w:rsidP="00881E6A">
                  <w:pPr>
                    <w:ind w:right="272"/>
                    <w:rPr>
                      <w:rFonts w:cs="Times New Roman"/>
                      <w:sz w:val="22"/>
                      <w:szCs w:val="22"/>
                    </w:rPr>
                  </w:pPr>
                  <w:r w:rsidRPr="00C20348">
                    <w:rPr>
                      <w:rFonts w:cs="Times New Roman"/>
                      <w:sz w:val="22"/>
                      <w:szCs w:val="22"/>
                    </w:rPr>
                    <w:t>2022</w:t>
                  </w:r>
                </w:p>
              </w:tc>
              <w:tc>
                <w:tcPr>
                  <w:tcW w:w="765" w:type="dxa"/>
                </w:tcPr>
                <w:p w14:paraId="444DE9F2" w14:textId="77777777" w:rsidR="00C454A1" w:rsidRPr="00C20348" w:rsidRDefault="00C454A1" w:rsidP="00881E6A">
                  <w:pPr>
                    <w:ind w:right="272"/>
                    <w:rPr>
                      <w:rFonts w:cs="Times New Roman"/>
                      <w:sz w:val="22"/>
                      <w:szCs w:val="22"/>
                    </w:rPr>
                  </w:pPr>
                  <w:r w:rsidRPr="00C20348">
                    <w:rPr>
                      <w:rFonts w:cs="Times New Roman"/>
                      <w:sz w:val="22"/>
                      <w:szCs w:val="22"/>
                    </w:rPr>
                    <w:t>2023</w:t>
                  </w:r>
                </w:p>
              </w:tc>
              <w:tc>
                <w:tcPr>
                  <w:tcW w:w="840" w:type="dxa"/>
                </w:tcPr>
                <w:p w14:paraId="7C14D3AF" w14:textId="77777777" w:rsidR="00C454A1" w:rsidRPr="00C20348" w:rsidRDefault="00C454A1" w:rsidP="00881E6A">
                  <w:pPr>
                    <w:ind w:right="272"/>
                    <w:rPr>
                      <w:rFonts w:cs="Times New Roman"/>
                      <w:sz w:val="22"/>
                      <w:szCs w:val="22"/>
                    </w:rPr>
                  </w:pPr>
                  <w:r w:rsidRPr="00C20348">
                    <w:rPr>
                      <w:rFonts w:cs="Times New Roman"/>
                      <w:sz w:val="22"/>
                      <w:szCs w:val="22"/>
                    </w:rPr>
                    <w:t>2024</w:t>
                  </w:r>
                </w:p>
              </w:tc>
              <w:tc>
                <w:tcPr>
                  <w:tcW w:w="780" w:type="dxa"/>
                </w:tcPr>
                <w:p w14:paraId="4609DA8F" w14:textId="77777777" w:rsidR="00C454A1" w:rsidRPr="00C20348" w:rsidRDefault="00C454A1" w:rsidP="00881E6A">
                  <w:pPr>
                    <w:ind w:right="272"/>
                    <w:rPr>
                      <w:rFonts w:cs="Times New Roman"/>
                      <w:sz w:val="22"/>
                      <w:szCs w:val="22"/>
                    </w:rPr>
                  </w:pPr>
                  <w:r w:rsidRPr="00C20348">
                    <w:rPr>
                      <w:rFonts w:cs="Times New Roman"/>
                      <w:sz w:val="22"/>
                      <w:szCs w:val="22"/>
                    </w:rPr>
                    <w:t>2025</w:t>
                  </w:r>
                </w:p>
              </w:tc>
              <w:tc>
                <w:tcPr>
                  <w:tcW w:w="825" w:type="dxa"/>
                </w:tcPr>
                <w:p w14:paraId="03126EB4" w14:textId="77777777" w:rsidR="00C454A1" w:rsidRPr="00C20348" w:rsidRDefault="00C454A1" w:rsidP="00881E6A">
                  <w:pPr>
                    <w:ind w:right="272"/>
                    <w:rPr>
                      <w:rFonts w:cs="Times New Roman"/>
                      <w:sz w:val="22"/>
                      <w:szCs w:val="22"/>
                    </w:rPr>
                  </w:pPr>
                  <w:r w:rsidRPr="00C20348">
                    <w:rPr>
                      <w:rFonts w:cs="Times New Roman"/>
                      <w:sz w:val="22"/>
                      <w:szCs w:val="22"/>
                    </w:rPr>
                    <w:t>Total</w:t>
                  </w:r>
                </w:p>
              </w:tc>
            </w:tr>
            <w:tr w:rsidR="00C454A1" w:rsidRPr="0066141F" w14:paraId="5AD83845" w14:textId="77777777" w:rsidTr="001F3006">
              <w:trPr>
                <w:trHeight w:val="300"/>
                <w:jc w:val="center"/>
              </w:trPr>
              <w:tc>
                <w:tcPr>
                  <w:tcW w:w="2106" w:type="dxa"/>
                </w:tcPr>
                <w:p w14:paraId="724116A8" w14:textId="77777777" w:rsidR="00C454A1" w:rsidRPr="00C20348" w:rsidRDefault="00C454A1" w:rsidP="00881E6A">
                  <w:pPr>
                    <w:ind w:right="272"/>
                    <w:rPr>
                      <w:rFonts w:cs="Times New Roman"/>
                      <w:sz w:val="22"/>
                      <w:szCs w:val="22"/>
                    </w:rPr>
                  </w:pPr>
                  <w:r w:rsidRPr="00C20348">
                    <w:rPr>
                      <w:rFonts w:cs="Times New Roman"/>
                      <w:sz w:val="22"/>
                      <w:szCs w:val="22"/>
                    </w:rPr>
                    <w:t>Bogotá</w:t>
                  </w:r>
                </w:p>
              </w:tc>
              <w:tc>
                <w:tcPr>
                  <w:tcW w:w="2505" w:type="dxa"/>
                </w:tcPr>
                <w:p w14:paraId="460F258A" w14:textId="77777777" w:rsidR="00C454A1" w:rsidRPr="00C20348" w:rsidRDefault="00C454A1" w:rsidP="00881E6A">
                  <w:pPr>
                    <w:ind w:right="272"/>
                    <w:rPr>
                      <w:rFonts w:cs="Times New Roman"/>
                      <w:sz w:val="22"/>
                      <w:szCs w:val="22"/>
                    </w:rPr>
                  </w:pPr>
                  <w:r w:rsidRPr="00C20348">
                    <w:rPr>
                      <w:rFonts w:cs="Times New Roman"/>
                      <w:sz w:val="22"/>
                      <w:szCs w:val="22"/>
                    </w:rPr>
                    <w:t>Bogotá D. C.</w:t>
                  </w:r>
                </w:p>
              </w:tc>
              <w:tc>
                <w:tcPr>
                  <w:tcW w:w="810" w:type="dxa"/>
                </w:tcPr>
                <w:p w14:paraId="4E1FF85F"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765" w:type="dxa"/>
                </w:tcPr>
                <w:p w14:paraId="3B883B2A" w14:textId="77777777" w:rsidR="00C454A1" w:rsidRPr="00C20348" w:rsidRDefault="00C454A1" w:rsidP="00881E6A">
                  <w:pPr>
                    <w:ind w:right="272"/>
                    <w:rPr>
                      <w:rFonts w:cs="Times New Roman"/>
                      <w:sz w:val="22"/>
                      <w:szCs w:val="22"/>
                    </w:rPr>
                  </w:pPr>
                </w:p>
              </w:tc>
              <w:tc>
                <w:tcPr>
                  <w:tcW w:w="840" w:type="dxa"/>
                </w:tcPr>
                <w:p w14:paraId="74528E40" w14:textId="77777777" w:rsidR="00C454A1" w:rsidRPr="00C20348" w:rsidRDefault="00C454A1" w:rsidP="00881E6A">
                  <w:pPr>
                    <w:ind w:right="272"/>
                    <w:rPr>
                      <w:rFonts w:cs="Times New Roman"/>
                      <w:sz w:val="22"/>
                      <w:szCs w:val="22"/>
                    </w:rPr>
                  </w:pPr>
                </w:p>
              </w:tc>
              <w:tc>
                <w:tcPr>
                  <w:tcW w:w="780" w:type="dxa"/>
                </w:tcPr>
                <w:p w14:paraId="1E281ED8" w14:textId="77777777" w:rsidR="00C454A1" w:rsidRPr="00C20348" w:rsidRDefault="00C454A1" w:rsidP="00881E6A">
                  <w:pPr>
                    <w:ind w:right="272"/>
                    <w:rPr>
                      <w:rFonts w:cs="Times New Roman"/>
                      <w:sz w:val="22"/>
                      <w:szCs w:val="22"/>
                    </w:rPr>
                  </w:pPr>
                </w:p>
              </w:tc>
              <w:tc>
                <w:tcPr>
                  <w:tcW w:w="825" w:type="dxa"/>
                </w:tcPr>
                <w:p w14:paraId="04340609" w14:textId="77777777" w:rsidR="00C454A1" w:rsidRPr="00C20348" w:rsidRDefault="00C454A1" w:rsidP="00881E6A">
                  <w:pPr>
                    <w:ind w:right="272"/>
                    <w:rPr>
                      <w:rFonts w:cs="Times New Roman"/>
                      <w:sz w:val="22"/>
                      <w:szCs w:val="22"/>
                    </w:rPr>
                  </w:pPr>
                  <w:r w:rsidRPr="00C20348">
                    <w:rPr>
                      <w:rFonts w:cs="Times New Roman"/>
                      <w:sz w:val="22"/>
                      <w:szCs w:val="22"/>
                    </w:rPr>
                    <w:t>1</w:t>
                  </w:r>
                </w:p>
              </w:tc>
            </w:tr>
            <w:tr w:rsidR="00C454A1" w:rsidRPr="0066141F" w14:paraId="719EDF9F" w14:textId="77777777" w:rsidTr="001F3006">
              <w:trPr>
                <w:trHeight w:val="300"/>
                <w:jc w:val="center"/>
              </w:trPr>
              <w:tc>
                <w:tcPr>
                  <w:tcW w:w="2106" w:type="dxa"/>
                </w:tcPr>
                <w:p w14:paraId="33F3A754" w14:textId="77777777" w:rsidR="00C454A1" w:rsidRPr="00C20348" w:rsidRDefault="00C454A1" w:rsidP="00881E6A">
                  <w:pPr>
                    <w:ind w:right="272"/>
                    <w:rPr>
                      <w:rFonts w:cs="Times New Roman"/>
                      <w:sz w:val="22"/>
                      <w:szCs w:val="22"/>
                    </w:rPr>
                  </w:pPr>
                  <w:r w:rsidRPr="00C20348">
                    <w:rPr>
                      <w:rFonts w:cs="Times New Roman"/>
                      <w:sz w:val="22"/>
                      <w:szCs w:val="22"/>
                    </w:rPr>
                    <w:t>Chiriguaná</w:t>
                  </w:r>
                </w:p>
              </w:tc>
              <w:tc>
                <w:tcPr>
                  <w:tcW w:w="2505" w:type="dxa"/>
                </w:tcPr>
                <w:p w14:paraId="25670973" w14:textId="77777777" w:rsidR="00C454A1" w:rsidRPr="00C20348" w:rsidRDefault="00C454A1" w:rsidP="00881E6A">
                  <w:pPr>
                    <w:ind w:right="272"/>
                    <w:rPr>
                      <w:rFonts w:cs="Times New Roman"/>
                      <w:sz w:val="22"/>
                      <w:szCs w:val="22"/>
                    </w:rPr>
                  </w:pPr>
                  <w:r w:rsidRPr="00C20348">
                    <w:rPr>
                      <w:rFonts w:cs="Times New Roman"/>
                      <w:sz w:val="22"/>
                      <w:szCs w:val="22"/>
                    </w:rPr>
                    <w:t>Cesar</w:t>
                  </w:r>
                </w:p>
              </w:tc>
              <w:tc>
                <w:tcPr>
                  <w:tcW w:w="810" w:type="dxa"/>
                </w:tcPr>
                <w:p w14:paraId="7CE242A3"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765" w:type="dxa"/>
                </w:tcPr>
                <w:p w14:paraId="0F235A75" w14:textId="77777777" w:rsidR="00C454A1" w:rsidRPr="00C20348" w:rsidRDefault="00C454A1" w:rsidP="00881E6A">
                  <w:pPr>
                    <w:ind w:right="272"/>
                    <w:rPr>
                      <w:rFonts w:cs="Times New Roman"/>
                      <w:sz w:val="22"/>
                      <w:szCs w:val="22"/>
                    </w:rPr>
                  </w:pPr>
                </w:p>
              </w:tc>
              <w:tc>
                <w:tcPr>
                  <w:tcW w:w="840" w:type="dxa"/>
                </w:tcPr>
                <w:p w14:paraId="5A51FC11" w14:textId="77777777" w:rsidR="00C454A1" w:rsidRPr="00C20348" w:rsidRDefault="00C454A1" w:rsidP="00881E6A">
                  <w:pPr>
                    <w:ind w:right="272"/>
                    <w:rPr>
                      <w:rFonts w:cs="Times New Roman"/>
                      <w:sz w:val="22"/>
                      <w:szCs w:val="22"/>
                    </w:rPr>
                  </w:pPr>
                </w:p>
              </w:tc>
              <w:tc>
                <w:tcPr>
                  <w:tcW w:w="780" w:type="dxa"/>
                </w:tcPr>
                <w:p w14:paraId="163FEF8C" w14:textId="77777777" w:rsidR="00C454A1" w:rsidRPr="00C20348" w:rsidRDefault="00C454A1" w:rsidP="00881E6A">
                  <w:pPr>
                    <w:ind w:right="272"/>
                    <w:rPr>
                      <w:rFonts w:cs="Times New Roman"/>
                      <w:sz w:val="22"/>
                      <w:szCs w:val="22"/>
                    </w:rPr>
                  </w:pPr>
                </w:p>
              </w:tc>
              <w:tc>
                <w:tcPr>
                  <w:tcW w:w="825" w:type="dxa"/>
                </w:tcPr>
                <w:p w14:paraId="2DD57965" w14:textId="77777777" w:rsidR="00C454A1" w:rsidRPr="00C20348" w:rsidRDefault="00C454A1" w:rsidP="00881E6A">
                  <w:pPr>
                    <w:ind w:right="272"/>
                    <w:rPr>
                      <w:rFonts w:cs="Times New Roman"/>
                      <w:sz w:val="22"/>
                      <w:szCs w:val="22"/>
                    </w:rPr>
                  </w:pPr>
                  <w:r w:rsidRPr="00C20348">
                    <w:rPr>
                      <w:rFonts w:cs="Times New Roman"/>
                      <w:sz w:val="22"/>
                      <w:szCs w:val="22"/>
                    </w:rPr>
                    <w:t>1</w:t>
                  </w:r>
                </w:p>
              </w:tc>
            </w:tr>
            <w:tr w:rsidR="00C454A1" w:rsidRPr="0066141F" w14:paraId="73D3E455" w14:textId="77777777" w:rsidTr="001F3006">
              <w:trPr>
                <w:trHeight w:val="300"/>
                <w:jc w:val="center"/>
              </w:trPr>
              <w:tc>
                <w:tcPr>
                  <w:tcW w:w="2106" w:type="dxa"/>
                </w:tcPr>
                <w:p w14:paraId="76F5BEFC" w14:textId="77777777" w:rsidR="00C454A1" w:rsidRPr="00C20348" w:rsidRDefault="00C454A1" w:rsidP="00881E6A">
                  <w:pPr>
                    <w:ind w:right="272"/>
                    <w:rPr>
                      <w:rFonts w:cs="Times New Roman"/>
                      <w:sz w:val="22"/>
                      <w:szCs w:val="22"/>
                    </w:rPr>
                  </w:pPr>
                  <w:r w:rsidRPr="00C20348">
                    <w:rPr>
                      <w:rFonts w:cs="Times New Roman"/>
                      <w:sz w:val="22"/>
                      <w:szCs w:val="22"/>
                    </w:rPr>
                    <w:t>Convención</w:t>
                  </w:r>
                </w:p>
              </w:tc>
              <w:tc>
                <w:tcPr>
                  <w:tcW w:w="2505" w:type="dxa"/>
                </w:tcPr>
                <w:p w14:paraId="4CACBCDC"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19D632BE" w14:textId="77777777" w:rsidR="00C454A1" w:rsidRPr="00C20348" w:rsidRDefault="00C454A1" w:rsidP="00881E6A">
                  <w:pPr>
                    <w:ind w:right="272"/>
                    <w:rPr>
                      <w:rFonts w:cs="Times New Roman"/>
                      <w:sz w:val="22"/>
                      <w:szCs w:val="22"/>
                    </w:rPr>
                  </w:pPr>
                  <w:r w:rsidRPr="00C20348">
                    <w:rPr>
                      <w:rFonts w:cs="Times New Roman"/>
                      <w:sz w:val="22"/>
                      <w:szCs w:val="22"/>
                    </w:rPr>
                    <w:t>2</w:t>
                  </w:r>
                </w:p>
              </w:tc>
              <w:tc>
                <w:tcPr>
                  <w:tcW w:w="765" w:type="dxa"/>
                </w:tcPr>
                <w:p w14:paraId="49656F4D"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840" w:type="dxa"/>
                </w:tcPr>
                <w:p w14:paraId="536BB35D" w14:textId="77777777" w:rsidR="00C454A1" w:rsidRPr="00C20348" w:rsidRDefault="00C454A1" w:rsidP="00881E6A">
                  <w:pPr>
                    <w:ind w:right="272"/>
                    <w:rPr>
                      <w:rFonts w:cs="Times New Roman"/>
                      <w:sz w:val="22"/>
                      <w:szCs w:val="22"/>
                    </w:rPr>
                  </w:pPr>
                </w:p>
              </w:tc>
              <w:tc>
                <w:tcPr>
                  <w:tcW w:w="780" w:type="dxa"/>
                </w:tcPr>
                <w:p w14:paraId="65CCE12E" w14:textId="77777777" w:rsidR="00C454A1" w:rsidRPr="00C20348" w:rsidRDefault="00C454A1" w:rsidP="00881E6A">
                  <w:pPr>
                    <w:ind w:right="272"/>
                    <w:rPr>
                      <w:rFonts w:cs="Times New Roman"/>
                      <w:sz w:val="22"/>
                      <w:szCs w:val="22"/>
                    </w:rPr>
                  </w:pPr>
                </w:p>
              </w:tc>
              <w:tc>
                <w:tcPr>
                  <w:tcW w:w="825" w:type="dxa"/>
                </w:tcPr>
                <w:p w14:paraId="7FE79F36" w14:textId="77777777" w:rsidR="00C454A1" w:rsidRPr="00C20348" w:rsidRDefault="00C454A1" w:rsidP="00881E6A">
                  <w:pPr>
                    <w:ind w:right="272"/>
                    <w:rPr>
                      <w:rFonts w:cs="Times New Roman"/>
                      <w:sz w:val="22"/>
                      <w:szCs w:val="22"/>
                    </w:rPr>
                  </w:pPr>
                  <w:r w:rsidRPr="00C20348">
                    <w:rPr>
                      <w:rFonts w:cs="Times New Roman"/>
                      <w:sz w:val="22"/>
                      <w:szCs w:val="22"/>
                    </w:rPr>
                    <w:t>3</w:t>
                  </w:r>
                </w:p>
              </w:tc>
            </w:tr>
            <w:tr w:rsidR="00C454A1" w:rsidRPr="0066141F" w14:paraId="2F34ACD2" w14:textId="77777777" w:rsidTr="001F3006">
              <w:trPr>
                <w:trHeight w:val="300"/>
                <w:jc w:val="center"/>
              </w:trPr>
              <w:tc>
                <w:tcPr>
                  <w:tcW w:w="2106" w:type="dxa"/>
                </w:tcPr>
                <w:p w14:paraId="22EB8BB0" w14:textId="77777777" w:rsidR="00C454A1" w:rsidRPr="00C20348" w:rsidRDefault="00C454A1" w:rsidP="00881E6A">
                  <w:pPr>
                    <w:ind w:right="272"/>
                    <w:rPr>
                      <w:rFonts w:cs="Times New Roman"/>
                      <w:sz w:val="22"/>
                      <w:szCs w:val="22"/>
                    </w:rPr>
                  </w:pPr>
                  <w:r w:rsidRPr="00C20348">
                    <w:rPr>
                      <w:rFonts w:cs="Times New Roman"/>
                      <w:sz w:val="22"/>
                      <w:szCs w:val="22"/>
                    </w:rPr>
                    <w:t>Cúcuta</w:t>
                  </w:r>
                </w:p>
              </w:tc>
              <w:tc>
                <w:tcPr>
                  <w:tcW w:w="2505" w:type="dxa"/>
                </w:tcPr>
                <w:p w14:paraId="415AADB0"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4EC60F1B" w14:textId="77777777" w:rsidR="00C454A1" w:rsidRPr="00C20348" w:rsidRDefault="00C454A1" w:rsidP="00881E6A">
                  <w:pPr>
                    <w:ind w:right="272"/>
                    <w:rPr>
                      <w:rFonts w:cs="Times New Roman"/>
                      <w:sz w:val="22"/>
                      <w:szCs w:val="22"/>
                    </w:rPr>
                  </w:pPr>
                  <w:r w:rsidRPr="00C20348">
                    <w:rPr>
                      <w:rFonts w:cs="Times New Roman"/>
                      <w:sz w:val="22"/>
                      <w:szCs w:val="22"/>
                    </w:rPr>
                    <w:t>2</w:t>
                  </w:r>
                </w:p>
              </w:tc>
              <w:tc>
                <w:tcPr>
                  <w:tcW w:w="765" w:type="dxa"/>
                </w:tcPr>
                <w:p w14:paraId="1F3E544E" w14:textId="77777777" w:rsidR="00C454A1" w:rsidRPr="00C20348" w:rsidRDefault="00C454A1" w:rsidP="00881E6A">
                  <w:pPr>
                    <w:ind w:right="272"/>
                    <w:rPr>
                      <w:rFonts w:cs="Times New Roman"/>
                      <w:sz w:val="22"/>
                      <w:szCs w:val="22"/>
                    </w:rPr>
                  </w:pPr>
                  <w:r w:rsidRPr="00C20348">
                    <w:rPr>
                      <w:rFonts w:cs="Times New Roman"/>
                      <w:sz w:val="22"/>
                      <w:szCs w:val="22"/>
                    </w:rPr>
                    <w:t>2</w:t>
                  </w:r>
                </w:p>
              </w:tc>
              <w:tc>
                <w:tcPr>
                  <w:tcW w:w="840" w:type="dxa"/>
                </w:tcPr>
                <w:p w14:paraId="3534F17A" w14:textId="77777777" w:rsidR="00C454A1" w:rsidRPr="00C20348" w:rsidRDefault="00C454A1" w:rsidP="00881E6A">
                  <w:pPr>
                    <w:ind w:right="272"/>
                    <w:rPr>
                      <w:rFonts w:cs="Times New Roman"/>
                      <w:sz w:val="22"/>
                      <w:szCs w:val="22"/>
                    </w:rPr>
                  </w:pPr>
                  <w:r w:rsidRPr="00C20348">
                    <w:rPr>
                      <w:rFonts w:cs="Times New Roman"/>
                      <w:sz w:val="22"/>
                      <w:szCs w:val="22"/>
                    </w:rPr>
                    <w:t>2</w:t>
                  </w:r>
                </w:p>
              </w:tc>
              <w:tc>
                <w:tcPr>
                  <w:tcW w:w="780" w:type="dxa"/>
                </w:tcPr>
                <w:p w14:paraId="4B20B78D" w14:textId="77777777" w:rsidR="00C454A1" w:rsidRPr="00C20348" w:rsidRDefault="00C454A1" w:rsidP="00881E6A">
                  <w:pPr>
                    <w:ind w:right="272"/>
                    <w:rPr>
                      <w:rFonts w:cs="Times New Roman"/>
                      <w:sz w:val="22"/>
                      <w:szCs w:val="22"/>
                    </w:rPr>
                  </w:pPr>
                </w:p>
              </w:tc>
              <w:tc>
                <w:tcPr>
                  <w:tcW w:w="825" w:type="dxa"/>
                </w:tcPr>
                <w:p w14:paraId="412E7B15" w14:textId="77777777" w:rsidR="00C454A1" w:rsidRPr="00C20348" w:rsidRDefault="00C454A1" w:rsidP="00881E6A">
                  <w:pPr>
                    <w:ind w:right="272"/>
                    <w:rPr>
                      <w:rFonts w:cs="Times New Roman"/>
                      <w:sz w:val="22"/>
                      <w:szCs w:val="22"/>
                    </w:rPr>
                  </w:pPr>
                  <w:r w:rsidRPr="00C20348">
                    <w:rPr>
                      <w:rFonts w:cs="Times New Roman"/>
                      <w:sz w:val="22"/>
                      <w:szCs w:val="22"/>
                    </w:rPr>
                    <w:t>6</w:t>
                  </w:r>
                </w:p>
              </w:tc>
            </w:tr>
            <w:tr w:rsidR="00C454A1" w:rsidRPr="0066141F" w14:paraId="291DFE58" w14:textId="77777777" w:rsidTr="001F3006">
              <w:trPr>
                <w:trHeight w:val="300"/>
                <w:jc w:val="center"/>
              </w:trPr>
              <w:tc>
                <w:tcPr>
                  <w:tcW w:w="2106" w:type="dxa"/>
                </w:tcPr>
                <w:p w14:paraId="12D6C61D" w14:textId="77777777" w:rsidR="00C454A1" w:rsidRPr="00C20348" w:rsidRDefault="00C454A1" w:rsidP="00881E6A">
                  <w:pPr>
                    <w:ind w:right="272"/>
                    <w:rPr>
                      <w:rFonts w:cs="Times New Roman"/>
                      <w:sz w:val="22"/>
                      <w:szCs w:val="22"/>
                    </w:rPr>
                  </w:pPr>
                  <w:r w:rsidRPr="00C20348">
                    <w:rPr>
                      <w:rFonts w:cs="Times New Roman"/>
                      <w:sz w:val="22"/>
                      <w:szCs w:val="22"/>
                    </w:rPr>
                    <w:t>El Tarra</w:t>
                  </w:r>
                </w:p>
              </w:tc>
              <w:tc>
                <w:tcPr>
                  <w:tcW w:w="2505" w:type="dxa"/>
                </w:tcPr>
                <w:p w14:paraId="547B077F"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0EDB7F7D" w14:textId="77777777" w:rsidR="00C454A1" w:rsidRPr="00C20348" w:rsidRDefault="00C454A1" w:rsidP="00881E6A">
                  <w:pPr>
                    <w:ind w:right="272"/>
                    <w:rPr>
                      <w:rFonts w:cs="Times New Roman"/>
                      <w:sz w:val="22"/>
                      <w:szCs w:val="22"/>
                    </w:rPr>
                  </w:pPr>
                </w:p>
              </w:tc>
              <w:tc>
                <w:tcPr>
                  <w:tcW w:w="765" w:type="dxa"/>
                </w:tcPr>
                <w:p w14:paraId="15B6848D" w14:textId="77777777" w:rsidR="00C454A1" w:rsidRPr="00C20348" w:rsidRDefault="00C454A1" w:rsidP="00881E6A">
                  <w:pPr>
                    <w:ind w:right="272"/>
                    <w:rPr>
                      <w:rFonts w:cs="Times New Roman"/>
                      <w:sz w:val="22"/>
                      <w:szCs w:val="22"/>
                    </w:rPr>
                  </w:pPr>
                </w:p>
              </w:tc>
              <w:tc>
                <w:tcPr>
                  <w:tcW w:w="840" w:type="dxa"/>
                </w:tcPr>
                <w:p w14:paraId="1607DA29" w14:textId="77777777" w:rsidR="00C454A1" w:rsidRPr="00C20348" w:rsidRDefault="00C454A1" w:rsidP="00881E6A">
                  <w:pPr>
                    <w:ind w:right="272"/>
                    <w:rPr>
                      <w:rFonts w:cs="Times New Roman"/>
                      <w:sz w:val="22"/>
                      <w:szCs w:val="22"/>
                    </w:rPr>
                  </w:pPr>
                </w:p>
              </w:tc>
              <w:tc>
                <w:tcPr>
                  <w:tcW w:w="780" w:type="dxa"/>
                </w:tcPr>
                <w:p w14:paraId="46490E91" w14:textId="77777777" w:rsidR="00C454A1" w:rsidRPr="00C20348" w:rsidRDefault="00C454A1" w:rsidP="00881E6A">
                  <w:pPr>
                    <w:ind w:right="272"/>
                    <w:rPr>
                      <w:rFonts w:cs="Times New Roman"/>
                      <w:sz w:val="22"/>
                      <w:szCs w:val="22"/>
                    </w:rPr>
                  </w:pPr>
                  <w:r w:rsidRPr="00C20348">
                    <w:rPr>
                      <w:rFonts w:cs="Times New Roman"/>
                      <w:sz w:val="22"/>
                      <w:szCs w:val="22"/>
                    </w:rPr>
                    <w:t>2</w:t>
                  </w:r>
                </w:p>
              </w:tc>
              <w:tc>
                <w:tcPr>
                  <w:tcW w:w="825" w:type="dxa"/>
                </w:tcPr>
                <w:p w14:paraId="7BC0A8F0" w14:textId="77777777" w:rsidR="00C454A1" w:rsidRPr="00C20348" w:rsidRDefault="00C454A1" w:rsidP="00881E6A">
                  <w:pPr>
                    <w:ind w:right="272"/>
                    <w:rPr>
                      <w:rFonts w:cs="Times New Roman"/>
                      <w:sz w:val="22"/>
                      <w:szCs w:val="22"/>
                    </w:rPr>
                  </w:pPr>
                  <w:r w:rsidRPr="00C20348">
                    <w:rPr>
                      <w:rFonts w:cs="Times New Roman"/>
                      <w:sz w:val="22"/>
                      <w:szCs w:val="22"/>
                    </w:rPr>
                    <w:t>2</w:t>
                  </w:r>
                </w:p>
              </w:tc>
            </w:tr>
            <w:tr w:rsidR="00C454A1" w:rsidRPr="0066141F" w14:paraId="3394E60B" w14:textId="77777777" w:rsidTr="001F3006">
              <w:trPr>
                <w:trHeight w:val="300"/>
                <w:jc w:val="center"/>
              </w:trPr>
              <w:tc>
                <w:tcPr>
                  <w:tcW w:w="2106" w:type="dxa"/>
                </w:tcPr>
                <w:p w14:paraId="7EB332E2" w14:textId="77777777" w:rsidR="00C454A1" w:rsidRPr="00C20348" w:rsidRDefault="00C454A1" w:rsidP="00881E6A">
                  <w:pPr>
                    <w:ind w:right="272"/>
                    <w:rPr>
                      <w:rFonts w:cs="Times New Roman"/>
                      <w:sz w:val="22"/>
                      <w:szCs w:val="22"/>
                    </w:rPr>
                  </w:pPr>
                  <w:r w:rsidRPr="00C20348">
                    <w:rPr>
                      <w:rFonts w:cs="Times New Roman"/>
                      <w:sz w:val="22"/>
                      <w:szCs w:val="22"/>
                    </w:rPr>
                    <w:t>El Zulia</w:t>
                  </w:r>
                </w:p>
              </w:tc>
              <w:tc>
                <w:tcPr>
                  <w:tcW w:w="2505" w:type="dxa"/>
                </w:tcPr>
                <w:p w14:paraId="3BB3FBCB"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02CF5F9C"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765" w:type="dxa"/>
                </w:tcPr>
                <w:p w14:paraId="68939460" w14:textId="77777777" w:rsidR="00C454A1" w:rsidRPr="00C20348" w:rsidRDefault="00C454A1" w:rsidP="00881E6A">
                  <w:pPr>
                    <w:ind w:right="272"/>
                    <w:rPr>
                      <w:rFonts w:cs="Times New Roman"/>
                      <w:sz w:val="22"/>
                      <w:szCs w:val="22"/>
                    </w:rPr>
                  </w:pPr>
                </w:p>
              </w:tc>
              <w:tc>
                <w:tcPr>
                  <w:tcW w:w="840" w:type="dxa"/>
                </w:tcPr>
                <w:p w14:paraId="00B00345" w14:textId="77777777" w:rsidR="00C454A1" w:rsidRPr="00C20348" w:rsidRDefault="00C454A1" w:rsidP="00881E6A">
                  <w:pPr>
                    <w:ind w:right="272"/>
                    <w:rPr>
                      <w:rFonts w:cs="Times New Roman"/>
                      <w:sz w:val="22"/>
                      <w:szCs w:val="22"/>
                    </w:rPr>
                  </w:pPr>
                </w:p>
              </w:tc>
              <w:tc>
                <w:tcPr>
                  <w:tcW w:w="780" w:type="dxa"/>
                </w:tcPr>
                <w:p w14:paraId="7B7A10C1" w14:textId="77777777" w:rsidR="00C454A1" w:rsidRPr="00C20348" w:rsidRDefault="00C454A1" w:rsidP="00881E6A">
                  <w:pPr>
                    <w:ind w:right="272"/>
                    <w:rPr>
                      <w:rFonts w:cs="Times New Roman"/>
                      <w:sz w:val="22"/>
                      <w:szCs w:val="22"/>
                    </w:rPr>
                  </w:pPr>
                </w:p>
              </w:tc>
              <w:tc>
                <w:tcPr>
                  <w:tcW w:w="825" w:type="dxa"/>
                </w:tcPr>
                <w:p w14:paraId="14E1C024" w14:textId="77777777" w:rsidR="00C454A1" w:rsidRPr="00C20348" w:rsidRDefault="00C454A1" w:rsidP="00881E6A">
                  <w:pPr>
                    <w:ind w:right="272"/>
                    <w:rPr>
                      <w:rFonts w:cs="Times New Roman"/>
                      <w:sz w:val="22"/>
                      <w:szCs w:val="22"/>
                    </w:rPr>
                  </w:pPr>
                  <w:r w:rsidRPr="00C20348">
                    <w:rPr>
                      <w:rFonts w:cs="Times New Roman"/>
                      <w:sz w:val="22"/>
                      <w:szCs w:val="22"/>
                    </w:rPr>
                    <w:t>1</w:t>
                  </w:r>
                </w:p>
              </w:tc>
            </w:tr>
            <w:tr w:rsidR="00C454A1" w:rsidRPr="0066141F" w14:paraId="48BB1D23" w14:textId="77777777" w:rsidTr="001F3006">
              <w:trPr>
                <w:trHeight w:val="300"/>
                <w:jc w:val="center"/>
              </w:trPr>
              <w:tc>
                <w:tcPr>
                  <w:tcW w:w="2106" w:type="dxa"/>
                </w:tcPr>
                <w:p w14:paraId="7249F9FA" w14:textId="77777777" w:rsidR="00C454A1" w:rsidRPr="00C20348" w:rsidRDefault="00C454A1" w:rsidP="00881E6A">
                  <w:pPr>
                    <w:ind w:right="272"/>
                    <w:rPr>
                      <w:rFonts w:cs="Times New Roman"/>
                      <w:sz w:val="22"/>
                      <w:szCs w:val="22"/>
                    </w:rPr>
                  </w:pPr>
                  <w:r w:rsidRPr="00C20348">
                    <w:rPr>
                      <w:rFonts w:cs="Times New Roman"/>
                      <w:sz w:val="22"/>
                      <w:szCs w:val="22"/>
                    </w:rPr>
                    <w:t>Fortul</w:t>
                  </w:r>
                </w:p>
              </w:tc>
              <w:tc>
                <w:tcPr>
                  <w:tcW w:w="2505" w:type="dxa"/>
                </w:tcPr>
                <w:p w14:paraId="1B07DEB0" w14:textId="77777777" w:rsidR="00C454A1" w:rsidRPr="00C20348" w:rsidRDefault="00C454A1" w:rsidP="00881E6A">
                  <w:pPr>
                    <w:ind w:right="272"/>
                    <w:rPr>
                      <w:rFonts w:cs="Times New Roman"/>
                      <w:sz w:val="22"/>
                      <w:szCs w:val="22"/>
                    </w:rPr>
                  </w:pPr>
                  <w:r w:rsidRPr="00C20348">
                    <w:rPr>
                      <w:rFonts w:cs="Times New Roman"/>
                      <w:sz w:val="22"/>
                      <w:szCs w:val="22"/>
                    </w:rPr>
                    <w:t>Arauca</w:t>
                  </w:r>
                </w:p>
              </w:tc>
              <w:tc>
                <w:tcPr>
                  <w:tcW w:w="810" w:type="dxa"/>
                </w:tcPr>
                <w:p w14:paraId="17F6CAF3" w14:textId="77777777" w:rsidR="00C454A1" w:rsidRPr="00C20348" w:rsidRDefault="00C454A1" w:rsidP="00881E6A">
                  <w:pPr>
                    <w:ind w:right="272"/>
                    <w:rPr>
                      <w:rFonts w:cs="Times New Roman"/>
                      <w:sz w:val="22"/>
                      <w:szCs w:val="22"/>
                    </w:rPr>
                  </w:pPr>
                  <w:r w:rsidRPr="00C20348">
                    <w:rPr>
                      <w:rFonts w:cs="Times New Roman"/>
                      <w:sz w:val="22"/>
                      <w:szCs w:val="22"/>
                    </w:rPr>
                    <w:t>2</w:t>
                  </w:r>
                </w:p>
              </w:tc>
              <w:tc>
                <w:tcPr>
                  <w:tcW w:w="765" w:type="dxa"/>
                </w:tcPr>
                <w:p w14:paraId="71D48AEA" w14:textId="77777777" w:rsidR="00C454A1" w:rsidRPr="00C20348" w:rsidRDefault="00C454A1" w:rsidP="00881E6A">
                  <w:pPr>
                    <w:ind w:right="272"/>
                    <w:rPr>
                      <w:rFonts w:cs="Times New Roman"/>
                      <w:sz w:val="22"/>
                      <w:szCs w:val="22"/>
                    </w:rPr>
                  </w:pPr>
                </w:p>
              </w:tc>
              <w:tc>
                <w:tcPr>
                  <w:tcW w:w="840" w:type="dxa"/>
                </w:tcPr>
                <w:p w14:paraId="01E22D85" w14:textId="77777777" w:rsidR="00C454A1" w:rsidRPr="00C20348" w:rsidRDefault="00C454A1" w:rsidP="00881E6A">
                  <w:pPr>
                    <w:ind w:right="272"/>
                    <w:rPr>
                      <w:rFonts w:cs="Times New Roman"/>
                      <w:sz w:val="22"/>
                      <w:szCs w:val="22"/>
                    </w:rPr>
                  </w:pPr>
                </w:p>
              </w:tc>
              <w:tc>
                <w:tcPr>
                  <w:tcW w:w="780" w:type="dxa"/>
                </w:tcPr>
                <w:p w14:paraId="5CF8FA31" w14:textId="77777777" w:rsidR="00C454A1" w:rsidRPr="00C20348" w:rsidRDefault="00C454A1" w:rsidP="00881E6A">
                  <w:pPr>
                    <w:ind w:right="272"/>
                    <w:rPr>
                      <w:rFonts w:cs="Times New Roman"/>
                      <w:sz w:val="22"/>
                      <w:szCs w:val="22"/>
                    </w:rPr>
                  </w:pPr>
                </w:p>
              </w:tc>
              <w:tc>
                <w:tcPr>
                  <w:tcW w:w="825" w:type="dxa"/>
                </w:tcPr>
                <w:p w14:paraId="56A31074" w14:textId="77777777" w:rsidR="00C454A1" w:rsidRPr="00C20348" w:rsidRDefault="00C454A1" w:rsidP="00881E6A">
                  <w:pPr>
                    <w:ind w:right="272"/>
                    <w:rPr>
                      <w:rFonts w:cs="Times New Roman"/>
                      <w:sz w:val="22"/>
                      <w:szCs w:val="22"/>
                    </w:rPr>
                  </w:pPr>
                  <w:r w:rsidRPr="00C20348">
                    <w:rPr>
                      <w:rFonts w:cs="Times New Roman"/>
                      <w:sz w:val="22"/>
                      <w:szCs w:val="22"/>
                    </w:rPr>
                    <w:t>2</w:t>
                  </w:r>
                </w:p>
              </w:tc>
            </w:tr>
            <w:tr w:rsidR="00C454A1" w:rsidRPr="0066141F" w14:paraId="5825A4FB" w14:textId="77777777" w:rsidTr="001F3006">
              <w:trPr>
                <w:trHeight w:val="300"/>
                <w:jc w:val="center"/>
              </w:trPr>
              <w:tc>
                <w:tcPr>
                  <w:tcW w:w="2106" w:type="dxa"/>
                </w:tcPr>
                <w:p w14:paraId="4D59B03D" w14:textId="77777777" w:rsidR="00C454A1" w:rsidRPr="00C20348" w:rsidRDefault="00C454A1" w:rsidP="00881E6A">
                  <w:pPr>
                    <w:ind w:right="272"/>
                    <w:rPr>
                      <w:rFonts w:cs="Times New Roman"/>
                      <w:sz w:val="22"/>
                      <w:szCs w:val="22"/>
                    </w:rPr>
                  </w:pPr>
                  <w:r w:rsidRPr="00C20348">
                    <w:rPr>
                      <w:rFonts w:cs="Times New Roman"/>
                      <w:sz w:val="22"/>
                      <w:szCs w:val="22"/>
                    </w:rPr>
                    <w:t>Los Patios</w:t>
                  </w:r>
                </w:p>
              </w:tc>
              <w:tc>
                <w:tcPr>
                  <w:tcW w:w="2505" w:type="dxa"/>
                </w:tcPr>
                <w:p w14:paraId="04CAFCEA"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7A554DEF" w14:textId="77777777" w:rsidR="00C454A1" w:rsidRPr="00C20348" w:rsidRDefault="00C454A1" w:rsidP="00881E6A">
                  <w:pPr>
                    <w:ind w:right="272"/>
                    <w:rPr>
                      <w:rFonts w:cs="Times New Roman"/>
                      <w:sz w:val="22"/>
                      <w:szCs w:val="22"/>
                    </w:rPr>
                  </w:pPr>
                </w:p>
              </w:tc>
              <w:tc>
                <w:tcPr>
                  <w:tcW w:w="765" w:type="dxa"/>
                </w:tcPr>
                <w:p w14:paraId="359BBB1E"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840" w:type="dxa"/>
                </w:tcPr>
                <w:p w14:paraId="326639F4" w14:textId="77777777" w:rsidR="00C454A1" w:rsidRPr="00C20348" w:rsidRDefault="00C454A1" w:rsidP="00881E6A">
                  <w:pPr>
                    <w:ind w:right="272"/>
                    <w:rPr>
                      <w:rFonts w:cs="Times New Roman"/>
                      <w:sz w:val="22"/>
                      <w:szCs w:val="22"/>
                    </w:rPr>
                  </w:pPr>
                </w:p>
              </w:tc>
              <w:tc>
                <w:tcPr>
                  <w:tcW w:w="780" w:type="dxa"/>
                </w:tcPr>
                <w:p w14:paraId="16CA0721" w14:textId="77777777" w:rsidR="00C454A1" w:rsidRPr="00C20348" w:rsidRDefault="00C454A1" w:rsidP="00881E6A">
                  <w:pPr>
                    <w:ind w:right="272"/>
                    <w:rPr>
                      <w:rFonts w:cs="Times New Roman"/>
                      <w:sz w:val="22"/>
                      <w:szCs w:val="22"/>
                    </w:rPr>
                  </w:pPr>
                </w:p>
              </w:tc>
              <w:tc>
                <w:tcPr>
                  <w:tcW w:w="825" w:type="dxa"/>
                </w:tcPr>
                <w:p w14:paraId="5F804D62" w14:textId="77777777" w:rsidR="00C454A1" w:rsidRPr="00C20348" w:rsidRDefault="00C454A1" w:rsidP="00881E6A">
                  <w:pPr>
                    <w:ind w:right="272"/>
                    <w:rPr>
                      <w:rFonts w:cs="Times New Roman"/>
                      <w:sz w:val="22"/>
                      <w:szCs w:val="22"/>
                    </w:rPr>
                  </w:pPr>
                  <w:r w:rsidRPr="00C20348">
                    <w:rPr>
                      <w:rFonts w:cs="Times New Roman"/>
                      <w:sz w:val="22"/>
                      <w:szCs w:val="22"/>
                    </w:rPr>
                    <w:t>1</w:t>
                  </w:r>
                </w:p>
              </w:tc>
            </w:tr>
            <w:tr w:rsidR="00C454A1" w:rsidRPr="0066141F" w14:paraId="6B43F64A" w14:textId="77777777" w:rsidTr="001F3006">
              <w:trPr>
                <w:trHeight w:val="300"/>
                <w:jc w:val="center"/>
              </w:trPr>
              <w:tc>
                <w:tcPr>
                  <w:tcW w:w="2106" w:type="dxa"/>
                </w:tcPr>
                <w:p w14:paraId="37371F1B" w14:textId="77777777" w:rsidR="00C454A1" w:rsidRPr="00C20348" w:rsidRDefault="00C454A1" w:rsidP="00881E6A">
                  <w:pPr>
                    <w:ind w:right="272"/>
                    <w:rPr>
                      <w:rFonts w:cs="Times New Roman"/>
                      <w:sz w:val="22"/>
                      <w:szCs w:val="22"/>
                    </w:rPr>
                  </w:pPr>
                  <w:r w:rsidRPr="00C20348">
                    <w:rPr>
                      <w:rFonts w:cs="Times New Roman"/>
                      <w:sz w:val="22"/>
                      <w:szCs w:val="22"/>
                    </w:rPr>
                    <w:t>San Cayetano</w:t>
                  </w:r>
                </w:p>
              </w:tc>
              <w:tc>
                <w:tcPr>
                  <w:tcW w:w="2505" w:type="dxa"/>
                </w:tcPr>
                <w:p w14:paraId="58B11431"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1C607D49" w14:textId="77777777" w:rsidR="00C454A1" w:rsidRPr="00C20348" w:rsidRDefault="00C454A1" w:rsidP="00881E6A">
                  <w:pPr>
                    <w:ind w:right="272"/>
                    <w:rPr>
                      <w:rFonts w:cs="Times New Roman"/>
                      <w:sz w:val="22"/>
                      <w:szCs w:val="22"/>
                    </w:rPr>
                  </w:pPr>
                  <w:r w:rsidRPr="00C20348">
                    <w:rPr>
                      <w:rFonts w:cs="Times New Roman"/>
                      <w:sz w:val="22"/>
                      <w:szCs w:val="22"/>
                    </w:rPr>
                    <w:t>4</w:t>
                  </w:r>
                </w:p>
              </w:tc>
              <w:tc>
                <w:tcPr>
                  <w:tcW w:w="765" w:type="dxa"/>
                </w:tcPr>
                <w:p w14:paraId="3CB3190F" w14:textId="77777777" w:rsidR="00C454A1" w:rsidRPr="00C20348" w:rsidRDefault="00C454A1" w:rsidP="00881E6A">
                  <w:pPr>
                    <w:ind w:right="272"/>
                    <w:rPr>
                      <w:rFonts w:cs="Times New Roman"/>
                      <w:sz w:val="22"/>
                      <w:szCs w:val="22"/>
                    </w:rPr>
                  </w:pPr>
                  <w:r w:rsidRPr="00C20348">
                    <w:rPr>
                      <w:rFonts w:cs="Times New Roman"/>
                      <w:sz w:val="22"/>
                      <w:szCs w:val="22"/>
                    </w:rPr>
                    <w:t>3</w:t>
                  </w:r>
                </w:p>
              </w:tc>
              <w:tc>
                <w:tcPr>
                  <w:tcW w:w="840" w:type="dxa"/>
                </w:tcPr>
                <w:p w14:paraId="3DD52F7D" w14:textId="77777777" w:rsidR="00C454A1" w:rsidRPr="00C20348" w:rsidRDefault="00C454A1" w:rsidP="00881E6A">
                  <w:pPr>
                    <w:ind w:right="272"/>
                    <w:rPr>
                      <w:rFonts w:cs="Times New Roman"/>
                      <w:sz w:val="22"/>
                      <w:szCs w:val="22"/>
                    </w:rPr>
                  </w:pPr>
                </w:p>
              </w:tc>
              <w:tc>
                <w:tcPr>
                  <w:tcW w:w="780" w:type="dxa"/>
                </w:tcPr>
                <w:p w14:paraId="368B9C7D" w14:textId="77777777" w:rsidR="00C454A1" w:rsidRPr="00C20348" w:rsidRDefault="00C454A1" w:rsidP="00881E6A">
                  <w:pPr>
                    <w:ind w:right="272"/>
                    <w:rPr>
                      <w:rFonts w:cs="Times New Roman"/>
                      <w:sz w:val="22"/>
                      <w:szCs w:val="22"/>
                    </w:rPr>
                  </w:pPr>
                </w:p>
              </w:tc>
              <w:tc>
                <w:tcPr>
                  <w:tcW w:w="825" w:type="dxa"/>
                </w:tcPr>
                <w:p w14:paraId="24FF253A" w14:textId="77777777" w:rsidR="00C454A1" w:rsidRPr="00C20348" w:rsidRDefault="00C454A1" w:rsidP="00881E6A">
                  <w:pPr>
                    <w:ind w:right="272"/>
                    <w:rPr>
                      <w:rFonts w:cs="Times New Roman"/>
                      <w:sz w:val="22"/>
                      <w:szCs w:val="22"/>
                    </w:rPr>
                  </w:pPr>
                  <w:r w:rsidRPr="00C20348">
                    <w:rPr>
                      <w:rFonts w:cs="Times New Roman"/>
                      <w:sz w:val="22"/>
                      <w:szCs w:val="22"/>
                    </w:rPr>
                    <w:t>7</w:t>
                  </w:r>
                </w:p>
              </w:tc>
            </w:tr>
            <w:tr w:rsidR="00C454A1" w:rsidRPr="0066141F" w14:paraId="7078E603" w14:textId="77777777" w:rsidTr="001F3006">
              <w:trPr>
                <w:trHeight w:val="300"/>
                <w:jc w:val="center"/>
              </w:trPr>
              <w:tc>
                <w:tcPr>
                  <w:tcW w:w="2106" w:type="dxa"/>
                </w:tcPr>
                <w:p w14:paraId="294C5504" w14:textId="77777777" w:rsidR="00C454A1" w:rsidRPr="00C20348" w:rsidRDefault="00C454A1" w:rsidP="00881E6A">
                  <w:pPr>
                    <w:ind w:right="272"/>
                    <w:rPr>
                      <w:rFonts w:cs="Times New Roman"/>
                      <w:sz w:val="22"/>
                      <w:szCs w:val="22"/>
                    </w:rPr>
                  </w:pPr>
                  <w:r w:rsidRPr="00C20348">
                    <w:rPr>
                      <w:rFonts w:cs="Times New Roman"/>
                      <w:sz w:val="22"/>
                      <w:szCs w:val="22"/>
                    </w:rPr>
                    <w:t>Saravena</w:t>
                  </w:r>
                </w:p>
              </w:tc>
              <w:tc>
                <w:tcPr>
                  <w:tcW w:w="2505" w:type="dxa"/>
                </w:tcPr>
                <w:p w14:paraId="70665616" w14:textId="77777777" w:rsidR="00C454A1" w:rsidRPr="00C20348" w:rsidRDefault="00C454A1" w:rsidP="00881E6A">
                  <w:pPr>
                    <w:ind w:right="272"/>
                    <w:rPr>
                      <w:rFonts w:cs="Times New Roman"/>
                      <w:sz w:val="22"/>
                      <w:szCs w:val="22"/>
                    </w:rPr>
                  </w:pPr>
                  <w:r w:rsidRPr="00C20348">
                    <w:rPr>
                      <w:rFonts w:cs="Times New Roman"/>
                      <w:sz w:val="22"/>
                      <w:szCs w:val="22"/>
                    </w:rPr>
                    <w:t>Arauca</w:t>
                  </w:r>
                </w:p>
              </w:tc>
              <w:tc>
                <w:tcPr>
                  <w:tcW w:w="810" w:type="dxa"/>
                </w:tcPr>
                <w:p w14:paraId="21018FD1" w14:textId="77777777" w:rsidR="00C454A1" w:rsidRPr="00C20348" w:rsidRDefault="00C454A1" w:rsidP="00881E6A">
                  <w:pPr>
                    <w:ind w:right="272"/>
                    <w:rPr>
                      <w:rFonts w:cs="Times New Roman"/>
                      <w:sz w:val="22"/>
                      <w:szCs w:val="22"/>
                    </w:rPr>
                  </w:pPr>
                  <w:r w:rsidRPr="00C20348">
                    <w:rPr>
                      <w:rFonts w:cs="Times New Roman"/>
                      <w:sz w:val="22"/>
                      <w:szCs w:val="22"/>
                    </w:rPr>
                    <w:t>2</w:t>
                  </w:r>
                </w:p>
              </w:tc>
              <w:tc>
                <w:tcPr>
                  <w:tcW w:w="765" w:type="dxa"/>
                </w:tcPr>
                <w:p w14:paraId="53F70849" w14:textId="77777777" w:rsidR="00C454A1" w:rsidRPr="00C20348" w:rsidRDefault="00C454A1" w:rsidP="00881E6A">
                  <w:pPr>
                    <w:ind w:right="272"/>
                    <w:rPr>
                      <w:rFonts w:cs="Times New Roman"/>
                      <w:sz w:val="22"/>
                      <w:szCs w:val="22"/>
                    </w:rPr>
                  </w:pPr>
                </w:p>
              </w:tc>
              <w:tc>
                <w:tcPr>
                  <w:tcW w:w="840" w:type="dxa"/>
                </w:tcPr>
                <w:p w14:paraId="4705BDAC" w14:textId="77777777" w:rsidR="00C454A1" w:rsidRPr="00C20348" w:rsidRDefault="00C454A1" w:rsidP="00881E6A">
                  <w:pPr>
                    <w:ind w:right="272"/>
                    <w:rPr>
                      <w:rFonts w:cs="Times New Roman"/>
                      <w:sz w:val="22"/>
                      <w:szCs w:val="22"/>
                    </w:rPr>
                  </w:pPr>
                </w:p>
              </w:tc>
              <w:tc>
                <w:tcPr>
                  <w:tcW w:w="780" w:type="dxa"/>
                </w:tcPr>
                <w:p w14:paraId="424A5191" w14:textId="77777777" w:rsidR="00C454A1" w:rsidRPr="00C20348" w:rsidRDefault="00C454A1" w:rsidP="00881E6A">
                  <w:pPr>
                    <w:ind w:right="272"/>
                    <w:rPr>
                      <w:rFonts w:cs="Times New Roman"/>
                      <w:sz w:val="22"/>
                      <w:szCs w:val="22"/>
                    </w:rPr>
                  </w:pPr>
                </w:p>
              </w:tc>
              <w:tc>
                <w:tcPr>
                  <w:tcW w:w="825" w:type="dxa"/>
                </w:tcPr>
                <w:p w14:paraId="3827F899" w14:textId="77777777" w:rsidR="00C454A1" w:rsidRPr="00C20348" w:rsidRDefault="00C454A1" w:rsidP="00881E6A">
                  <w:pPr>
                    <w:ind w:right="272"/>
                    <w:rPr>
                      <w:rFonts w:cs="Times New Roman"/>
                      <w:sz w:val="22"/>
                      <w:szCs w:val="22"/>
                    </w:rPr>
                  </w:pPr>
                  <w:r w:rsidRPr="00C20348">
                    <w:rPr>
                      <w:rFonts w:cs="Times New Roman"/>
                      <w:sz w:val="22"/>
                      <w:szCs w:val="22"/>
                    </w:rPr>
                    <w:t>2</w:t>
                  </w:r>
                </w:p>
              </w:tc>
            </w:tr>
            <w:tr w:rsidR="00C454A1" w:rsidRPr="0066141F" w14:paraId="3D39C5BC" w14:textId="77777777" w:rsidTr="001F3006">
              <w:trPr>
                <w:trHeight w:val="300"/>
                <w:jc w:val="center"/>
              </w:trPr>
              <w:tc>
                <w:tcPr>
                  <w:tcW w:w="2106" w:type="dxa"/>
                </w:tcPr>
                <w:p w14:paraId="691CF886" w14:textId="77777777" w:rsidR="00C454A1" w:rsidRPr="00C20348" w:rsidRDefault="00C454A1" w:rsidP="00881E6A">
                  <w:pPr>
                    <w:ind w:right="272"/>
                    <w:rPr>
                      <w:rFonts w:cs="Times New Roman"/>
                      <w:sz w:val="22"/>
                      <w:szCs w:val="22"/>
                    </w:rPr>
                  </w:pPr>
                  <w:r w:rsidRPr="00C20348">
                    <w:rPr>
                      <w:rFonts w:cs="Times New Roman"/>
                      <w:sz w:val="22"/>
                      <w:szCs w:val="22"/>
                    </w:rPr>
                    <w:t>Sardinata</w:t>
                  </w:r>
                </w:p>
              </w:tc>
              <w:tc>
                <w:tcPr>
                  <w:tcW w:w="2505" w:type="dxa"/>
                </w:tcPr>
                <w:p w14:paraId="17771B34"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4F5B4A4B" w14:textId="77777777" w:rsidR="00C454A1" w:rsidRPr="00C20348" w:rsidRDefault="00C454A1" w:rsidP="00881E6A">
                  <w:pPr>
                    <w:ind w:right="272"/>
                    <w:rPr>
                      <w:rFonts w:cs="Times New Roman"/>
                      <w:sz w:val="22"/>
                      <w:szCs w:val="22"/>
                    </w:rPr>
                  </w:pPr>
                </w:p>
              </w:tc>
              <w:tc>
                <w:tcPr>
                  <w:tcW w:w="765" w:type="dxa"/>
                </w:tcPr>
                <w:p w14:paraId="7C3E061F" w14:textId="77777777" w:rsidR="00C454A1" w:rsidRPr="00C20348" w:rsidRDefault="00C454A1" w:rsidP="00881E6A">
                  <w:pPr>
                    <w:ind w:right="272"/>
                    <w:rPr>
                      <w:rFonts w:cs="Times New Roman"/>
                      <w:sz w:val="22"/>
                      <w:szCs w:val="22"/>
                    </w:rPr>
                  </w:pPr>
                  <w:r w:rsidRPr="00C20348">
                    <w:rPr>
                      <w:rFonts w:cs="Times New Roman"/>
                      <w:sz w:val="22"/>
                      <w:szCs w:val="22"/>
                    </w:rPr>
                    <w:t>2</w:t>
                  </w:r>
                </w:p>
              </w:tc>
              <w:tc>
                <w:tcPr>
                  <w:tcW w:w="840" w:type="dxa"/>
                </w:tcPr>
                <w:p w14:paraId="727DBC29" w14:textId="77777777" w:rsidR="00C454A1" w:rsidRPr="00C20348" w:rsidRDefault="00C454A1" w:rsidP="00881E6A">
                  <w:pPr>
                    <w:ind w:right="272"/>
                    <w:rPr>
                      <w:rFonts w:cs="Times New Roman"/>
                      <w:sz w:val="22"/>
                      <w:szCs w:val="22"/>
                    </w:rPr>
                  </w:pPr>
                </w:p>
              </w:tc>
              <w:tc>
                <w:tcPr>
                  <w:tcW w:w="780" w:type="dxa"/>
                </w:tcPr>
                <w:p w14:paraId="5CA8561F" w14:textId="77777777" w:rsidR="00C454A1" w:rsidRPr="00C20348" w:rsidRDefault="00C454A1" w:rsidP="00881E6A">
                  <w:pPr>
                    <w:ind w:right="272"/>
                    <w:rPr>
                      <w:rFonts w:cs="Times New Roman"/>
                      <w:sz w:val="22"/>
                      <w:szCs w:val="22"/>
                    </w:rPr>
                  </w:pPr>
                </w:p>
              </w:tc>
              <w:tc>
                <w:tcPr>
                  <w:tcW w:w="825" w:type="dxa"/>
                </w:tcPr>
                <w:p w14:paraId="40FCCC63" w14:textId="77777777" w:rsidR="00C454A1" w:rsidRPr="00C20348" w:rsidRDefault="00C454A1" w:rsidP="00881E6A">
                  <w:pPr>
                    <w:ind w:right="272"/>
                    <w:rPr>
                      <w:rFonts w:cs="Times New Roman"/>
                      <w:sz w:val="22"/>
                      <w:szCs w:val="22"/>
                    </w:rPr>
                  </w:pPr>
                  <w:r w:rsidRPr="00C20348">
                    <w:rPr>
                      <w:rFonts w:cs="Times New Roman"/>
                      <w:sz w:val="22"/>
                      <w:szCs w:val="22"/>
                    </w:rPr>
                    <w:t>2</w:t>
                  </w:r>
                </w:p>
              </w:tc>
            </w:tr>
            <w:tr w:rsidR="00C454A1" w:rsidRPr="0066141F" w14:paraId="38D9753F" w14:textId="77777777" w:rsidTr="001F3006">
              <w:trPr>
                <w:trHeight w:val="300"/>
                <w:jc w:val="center"/>
              </w:trPr>
              <w:tc>
                <w:tcPr>
                  <w:tcW w:w="2106" w:type="dxa"/>
                </w:tcPr>
                <w:p w14:paraId="6C6399FB" w14:textId="77777777" w:rsidR="00C454A1" w:rsidRPr="00C20348" w:rsidRDefault="00C454A1" w:rsidP="00881E6A">
                  <w:pPr>
                    <w:ind w:right="272"/>
                    <w:rPr>
                      <w:rFonts w:cs="Times New Roman"/>
                      <w:sz w:val="22"/>
                      <w:szCs w:val="22"/>
                    </w:rPr>
                  </w:pPr>
                  <w:r w:rsidRPr="00C20348">
                    <w:rPr>
                      <w:rFonts w:cs="Times New Roman"/>
                      <w:sz w:val="22"/>
                      <w:szCs w:val="22"/>
                    </w:rPr>
                    <w:t>Teorama</w:t>
                  </w:r>
                </w:p>
              </w:tc>
              <w:tc>
                <w:tcPr>
                  <w:tcW w:w="2505" w:type="dxa"/>
                </w:tcPr>
                <w:p w14:paraId="44172679"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472BC633"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765" w:type="dxa"/>
                </w:tcPr>
                <w:p w14:paraId="755F6EFC" w14:textId="77777777" w:rsidR="00C454A1" w:rsidRPr="00C20348" w:rsidRDefault="00C454A1" w:rsidP="00881E6A">
                  <w:pPr>
                    <w:ind w:right="272"/>
                    <w:rPr>
                      <w:rFonts w:cs="Times New Roman"/>
                      <w:sz w:val="22"/>
                      <w:szCs w:val="22"/>
                    </w:rPr>
                  </w:pPr>
                </w:p>
              </w:tc>
              <w:tc>
                <w:tcPr>
                  <w:tcW w:w="840" w:type="dxa"/>
                </w:tcPr>
                <w:p w14:paraId="6931BF4B" w14:textId="77777777" w:rsidR="00C454A1" w:rsidRPr="00C20348" w:rsidRDefault="00C454A1" w:rsidP="00881E6A">
                  <w:pPr>
                    <w:ind w:right="272"/>
                    <w:rPr>
                      <w:rFonts w:cs="Times New Roman"/>
                      <w:sz w:val="22"/>
                      <w:szCs w:val="22"/>
                    </w:rPr>
                  </w:pPr>
                </w:p>
              </w:tc>
              <w:tc>
                <w:tcPr>
                  <w:tcW w:w="780" w:type="dxa"/>
                </w:tcPr>
                <w:p w14:paraId="348482ED"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825" w:type="dxa"/>
                </w:tcPr>
                <w:p w14:paraId="5A9FA067" w14:textId="77777777" w:rsidR="00C454A1" w:rsidRPr="00C20348" w:rsidRDefault="00C454A1" w:rsidP="00881E6A">
                  <w:pPr>
                    <w:ind w:right="272"/>
                    <w:rPr>
                      <w:rFonts w:cs="Times New Roman"/>
                      <w:sz w:val="22"/>
                      <w:szCs w:val="22"/>
                    </w:rPr>
                  </w:pPr>
                  <w:r w:rsidRPr="00C20348">
                    <w:rPr>
                      <w:rFonts w:cs="Times New Roman"/>
                      <w:sz w:val="22"/>
                      <w:szCs w:val="22"/>
                    </w:rPr>
                    <w:t>2</w:t>
                  </w:r>
                </w:p>
              </w:tc>
            </w:tr>
            <w:tr w:rsidR="00C454A1" w:rsidRPr="0066141F" w14:paraId="6F974695" w14:textId="77777777" w:rsidTr="001F3006">
              <w:trPr>
                <w:trHeight w:val="300"/>
                <w:jc w:val="center"/>
              </w:trPr>
              <w:tc>
                <w:tcPr>
                  <w:tcW w:w="2106" w:type="dxa"/>
                </w:tcPr>
                <w:p w14:paraId="0973C5F6" w14:textId="77777777" w:rsidR="00C454A1" w:rsidRPr="00C20348" w:rsidRDefault="00C454A1" w:rsidP="00881E6A">
                  <w:pPr>
                    <w:ind w:right="272"/>
                    <w:rPr>
                      <w:rFonts w:cs="Times New Roman"/>
                      <w:sz w:val="22"/>
                      <w:szCs w:val="22"/>
                    </w:rPr>
                  </w:pPr>
                  <w:r w:rsidRPr="00C20348">
                    <w:rPr>
                      <w:rFonts w:cs="Times New Roman"/>
                      <w:sz w:val="22"/>
                      <w:szCs w:val="22"/>
                    </w:rPr>
                    <w:t>Tibú</w:t>
                  </w:r>
                </w:p>
              </w:tc>
              <w:tc>
                <w:tcPr>
                  <w:tcW w:w="2505" w:type="dxa"/>
                </w:tcPr>
                <w:p w14:paraId="397E1A33"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35BFFA55"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765" w:type="dxa"/>
                </w:tcPr>
                <w:p w14:paraId="20F3669F" w14:textId="77777777" w:rsidR="00C454A1" w:rsidRPr="00C20348" w:rsidRDefault="00C454A1" w:rsidP="00881E6A">
                  <w:pPr>
                    <w:ind w:right="272"/>
                    <w:rPr>
                      <w:rFonts w:cs="Times New Roman"/>
                      <w:sz w:val="22"/>
                      <w:szCs w:val="22"/>
                    </w:rPr>
                  </w:pPr>
                  <w:r w:rsidRPr="00C20348">
                    <w:rPr>
                      <w:rFonts w:cs="Times New Roman"/>
                      <w:sz w:val="22"/>
                      <w:szCs w:val="22"/>
                    </w:rPr>
                    <w:t>5</w:t>
                  </w:r>
                </w:p>
              </w:tc>
              <w:tc>
                <w:tcPr>
                  <w:tcW w:w="840" w:type="dxa"/>
                </w:tcPr>
                <w:p w14:paraId="34B4B023" w14:textId="77777777" w:rsidR="00C454A1" w:rsidRPr="00C20348" w:rsidRDefault="00C454A1" w:rsidP="00881E6A">
                  <w:pPr>
                    <w:ind w:right="272"/>
                    <w:rPr>
                      <w:rFonts w:cs="Times New Roman"/>
                      <w:sz w:val="22"/>
                      <w:szCs w:val="22"/>
                    </w:rPr>
                  </w:pPr>
                </w:p>
              </w:tc>
              <w:tc>
                <w:tcPr>
                  <w:tcW w:w="780" w:type="dxa"/>
                </w:tcPr>
                <w:p w14:paraId="12D60868" w14:textId="77777777" w:rsidR="00C454A1" w:rsidRPr="00C20348" w:rsidRDefault="00C454A1" w:rsidP="00881E6A">
                  <w:pPr>
                    <w:ind w:right="272"/>
                    <w:rPr>
                      <w:rFonts w:cs="Times New Roman"/>
                      <w:sz w:val="22"/>
                      <w:szCs w:val="22"/>
                    </w:rPr>
                  </w:pPr>
                  <w:r w:rsidRPr="00C20348">
                    <w:rPr>
                      <w:rFonts w:cs="Times New Roman"/>
                      <w:sz w:val="22"/>
                      <w:szCs w:val="22"/>
                    </w:rPr>
                    <w:t>3</w:t>
                  </w:r>
                </w:p>
              </w:tc>
              <w:tc>
                <w:tcPr>
                  <w:tcW w:w="825" w:type="dxa"/>
                </w:tcPr>
                <w:p w14:paraId="380D4184" w14:textId="77777777" w:rsidR="00C454A1" w:rsidRPr="00C20348" w:rsidRDefault="00C454A1" w:rsidP="00881E6A">
                  <w:pPr>
                    <w:ind w:right="272"/>
                    <w:rPr>
                      <w:rFonts w:cs="Times New Roman"/>
                      <w:sz w:val="22"/>
                      <w:szCs w:val="22"/>
                    </w:rPr>
                  </w:pPr>
                  <w:r w:rsidRPr="00C20348">
                    <w:rPr>
                      <w:rFonts w:cs="Times New Roman"/>
                      <w:sz w:val="22"/>
                      <w:szCs w:val="22"/>
                    </w:rPr>
                    <w:t>9</w:t>
                  </w:r>
                </w:p>
              </w:tc>
            </w:tr>
            <w:tr w:rsidR="00C454A1" w:rsidRPr="0066141F" w14:paraId="7E9E655F" w14:textId="77777777" w:rsidTr="001F3006">
              <w:trPr>
                <w:trHeight w:val="300"/>
                <w:jc w:val="center"/>
              </w:trPr>
              <w:tc>
                <w:tcPr>
                  <w:tcW w:w="2106" w:type="dxa"/>
                </w:tcPr>
                <w:p w14:paraId="197BB5F9" w14:textId="77777777" w:rsidR="00C454A1" w:rsidRPr="00C20348" w:rsidRDefault="00C454A1" w:rsidP="00881E6A">
                  <w:pPr>
                    <w:ind w:right="272"/>
                    <w:rPr>
                      <w:rFonts w:cs="Times New Roman"/>
                      <w:sz w:val="22"/>
                      <w:szCs w:val="22"/>
                    </w:rPr>
                  </w:pPr>
                  <w:r w:rsidRPr="00C20348">
                    <w:rPr>
                      <w:rFonts w:cs="Times New Roman"/>
                      <w:sz w:val="22"/>
                      <w:szCs w:val="22"/>
                    </w:rPr>
                    <w:t>Villa del Rosario</w:t>
                  </w:r>
                </w:p>
              </w:tc>
              <w:tc>
                <w:tcPr>
                  <w:tcW w:w="2505" w:type="dxa"/>
                </w:tcPr>
                <w:p w14:paraId="3A00BE0A" w14:textId="77777777" w:rsidR="00C454A1" w:rsidRPr="00C20348" w:rsidRDefault="00C454A1" w:rsidP="00881E6A">
                  <w:pPr>
                    <w:ind w:right="272"/>
                    <w:rPr>
                      <w:rFonts w:cs="Times New Roman"/>
                      <w:sz w:val="22"/>
                      <w:szCs w:val="22"/>
                    </w:rPr>
                  </w:pPr>
                  <w:r w:rsidRPr="00C20348">
                    <w:rPr>
                      <w:rFonts w:cs="Times New Roman"/>
                      <w:sz w:val="22"/>
                      <w:szCs w:val="22"/>
                    </w:rPr>
                    <w:t>Norte de Santander</w:t>
                  </w:r>
                </w:p>
              </w:tc>
              <w:tc>
                <w:tcPr>
                  <w:tcW w:w="810" w:type="dxa"/>
                </w:tcPr>
                <w:p w14:paraId="49876265" w14:textId="77777777" w:rsidR="00C454A1" w:rsidRPr="00C20348" w:rsidRDefault="00C454A1" w:rsidP="00881E6A">
                  <w:pPr>
                    <w:ind w:right="272"/>
                    <w:rPr>
                      <w:rFonts w:cs="Times New Roman"/>
                      <w:sz w:val="22"/>
                      <w:szCs w:val="22"/>
                    </w:rPr>
                  </w:pPr>
                </w:p>
              </w:tc>
              <w:tc>
                <w:tcPr>
                  <w:tcW w:w="765" w:type="dxa"/>
                </w:tcPr>
                <w:p w14:paraId="69D69195"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840" w:type="dxa"/>
                </w:tcPr>
                <w:p w14:paraId="679BF99D" w14:textId="77777777" w:rsidR="00C454A1" w:rsidRPr="00C20348" w:rsidRDefault="00C454A1" w:rsidP="00881E6A">
                  <w:pPr>
                    <w:ind w:right="272"/>
                    <w:rPr>
                      <w:rFonts w:cs="Times New Roman"/>
                      <w:sz w:val="22"/>
                      <w:szCs w:val="22"/>
                    </w:rPr>
                  </w:pPr>
                </w:p>
              </w:tc>
              <w:tc>
                <w:tcPr>
                  <w:tcW w:w="780" w:type="dxa"/>
                </w:tcPr>
                <w:p w14:paraId="65C3D8DF" w14:textId="77777777" w:rsidR="00C454A1" w:rsidRPr="00C20348" w:rsidRDefault="00C454A1" w:rsidP="00881E6A">
                  <w:pPr>
                    <w:ind w:right="272"/>
                    <w:rPr>
                      <w:rFonts w:cs="Times New Roman"/>
                      <w:sz w:val="22"/>
                      <w:szCs w:val="22"/>
                    </w:rPr>
                  </w:pPr>
                </w:p>
              </w:tc>
              <w:tc>
                <w:tcPr>
                  <w:tcW w:w="825" w:type="dxa"/>
                </w:tcPr>
                <w:p w14:paraId="2563BEE0" w14:textId="77777777" w:rsidR="00C454A1" w:rsidRPr="00C20348" w:rsidRDefault="00C454A1" w:rsidP="00881E6A">
                  <w:pPr>
                    <w:ind w:right="272"/>
                    <w:rPr>
                      <w:rFonts w:cs="Times New Roman"/>
                      <w:sz w:val="22"/>
                      <w:szCs w:val="22"/>
                    </w:rPr>
                  </w:pPr>
                  <w:r w:rsidRPr="00C20348">
                    <w:rPr>
                      <w:rFonts w:cs="Times New Roman"/>
                      <w:sz w:val="22"/>
                      <w:szCs w:val="22"/>
                    </w:rPr>
                    <w:t>1</w:t>
                  </w:r>
                </w:p>
              </w:tc>
            </w:tr>
            <w:tr w:rsidR="00C454A1" w:rsidRPr="0066141F" w14:paraId="3E4BDC3C" w14:textId="77777777" w:rsidTr="001F3006">
              <w:trPr>
                <w:trHeight w:val="300"/>
                <w:jc w:val="center"/>
              </w:trPr>
              <w:tc>
                <w:tcPr>
                  <w:tcW w:w="2106" w:type="dxa"/>
                </w:tcPr>
                <w:p w14:paraId="1DA3F117" w14:textId="77777777" w:rsidR="00C454A1" w:rsidRPr="00C20348" w:rsidRDefault="00C454A1" w:rsidP="00881E6A">
                  <w:pPr>
                    <w:ind w:right="272"/>
                    <w:rPr>
                      <w:rFonts w:cs="Times New Roman"/>
                      <w:sz w:val="22"/>
                      <w:szCs w:val="22"/>
                    </w:rPr>
                  </w:pPr>
                  <w:r w:rsidRPr="00C20348">
                    <w:rPr>
                      <w:rFonts w:cs="Times New Roman"/>
                      <w:sz w:val="22"/>
                      <w:szCs w:val="22"/>
                    </w:rPr>
                    <w:t>Zona Bananera</w:t>
                  </w:r>
                </w:p>
              </w:tc>
              <w:tc>
                <w:tcPr>
                  <w:tcW w:w="2505" w:type="dxa"/>
                </w:tcPr>
                <w:p w14:paraId="3564B155" w14:textId="77777777" w:rsidR="00C454A1" w:rsidRPr="00C20348" w:rsidRDefault="00C454A1" w:rsidP="00881E6A">
                  <w:pPr>
                    <w:ind w:right="272"/>
                    <w:rPr>
                      <w:rFonts w:cs="Times New Roman"/>
                      <w:sz w:val="22"/>
                      <w:szCs w:val="22"/>
                    </w:rPr>
                  </w:pPr>
                  <w:r w:rsidRPr="00C20348">
                    <w:rPr>
                      <w:rFonts w:cs="Times New Roman"/>
                      <w:sz w:val="22"/>
                      <w:szCs w:val="22"/>
                    </w:rPr>
                    <w:t>Magdalena</w:t>
                  </w:r>
                </w:p>
              </w:tc>
              <w:tc>
                <w:tcPr>
                  <w:tcW w:w="810" w:type="dxa"/>
                </w:tcPr>
                <w:p w14:paraId="72F3E9A2" w14:textId="77777777" w:rsidR="00C454A1" w:rsidRPr="00C20348" w:rsidRDefault="00C454A1" w:rsidP="00881E6A">
                  <w:pPr>
                    <w:ind w:right="272"/>
                    <w:rPr>
                      <w:rFonts w:cs="Times New Roman"/>
                      <w:sz w:val="22"/>
                      <w:szCs w:val="22"/>
                    </w:rPr>
                  </w:pPr>
                </w:p>
              </w:tc>
              <w:tc>
                <w:tcPr>
                  <w:tcW w:w="765" w:type="dxa"/>
                </w:tcPr>
                <w:p w14:paraId="1256F14D" w14:textId="77777777" w:rsidR="00C454A1" w:rsidRPr="00C20348" w:rsidRDefault="00C454A1" w:rsidP="00881E6A">
                  <w:pPr>
                    <w:ind w:right="272"/>
                    <w:rPr>
                      <w:rFonts w:cs="Times New Roman"/>
                      <w:sz w:val="22"/>
                      <w:szCs w:val="22"/>
                    </w:rPr>
                  </w:pPr>
                </w:p>
              </w:tc>
              <w:tc>
                <w:tcPr>
                  <w:tcW w:w="840" w:type="dxa"/>
                </w:tcPr>
                <w:p w14:paraId="2C73DDC8" w14:textId="77777777" w:rsidR="00C454A1" w:rsidRPr="00C20348" w:rsidRDefault="00C454A1" w:rsidP="00881E6A">
                  <w:pPr>
                    <w:ind w:right="272"/>
                    <w:rPr>
                      <w:rFonts w:cs="Times New Roman"/>
                      <w:sz w:val="22"/>
                      <w:szCs w:val="22"/>
                    </w:rPr>
                  </w:pPr>
                  <w:r w:rsidRPr="00C20348">
                    <w:rPr>
                      <w:rFonts w:cs="Times New Roman"/>
                      <w:sz w:val="22"/>
                      <w:szCs w:val="22"/>
                    </w:rPr>
                    <w:t>1</w:t>
                  </w:r>
                </w:p>
              </w:tc>
              <w:tc>
                <w:tcPr>
                  <w:tcW w:w="780" w:type="dxa"/>
                </w:tcPr>
                <w:p w14:paraId="74100E15" w14:textId="77777777" w:rsidR="00C454A1" w:rsidRPr="00C20348" w:rsidRDefault="00C454A1" w:rsidP="00881E6A">
                  <w:pPr>
                    <w:ind w:right="272"/>
                    <w:rPr>
                      <w:rFonts w:cs="Times New Roman"/>
                      <w:sz w:val="22"/>
                      <w:szCs w:val="22"/>
                    </w:rPr>
                  </w:pPr>
                </w:p>
              </w:tc>
              <w:tc>
                <w:tcPr>
                  <w:tcW w:w="825" w:type="dxa"/>
                </w:tcPr>
                <w:p w14:paraId="26F91FF6" w14:textId="77777777" w:rsidR="00C454A1" w:rsidRPr="00C20348" w:rsidRDefault="00C454A1" w:rsidP="00881E6A">
                  <w:pPr>
                    <w:ind w:right="272"/>
                    <w:rPr>
                      <w:rFonts w:cs="Times New Roman"/>
                      <w:sz w:val="22"/>
                      <w:szCs w:val="22"/>
                    </w:rPr>
                  </w:pPr>
                  <w:r w:rsidRPr="00C20348">
                    <w:rPr>
                      <w:rFonts w:cs="Times New Roman"/>
                      <w:sz w:val="22"/>
                      <w:szCs w:val="22"/>
                    </w:rPr>
                    <w:t>1</w:t>
                  </w:r>
                </w:p>
              </w:tc>
            </w:tr>
            <w:tr w:rsidR="00C454A1" w:rsidRPr="0066141F" w14:paraId="3E04B4E2" w14:textId="77777777" w:rsidTr="001F3006">
              <w:trPr>
                <w:trHeight w:val="300"/>
                <w:jc w:val="center"/>
              </w:trPr>
              <w:tc>
                <w:tcPr>
                  <w:tcW w:w="4611" w:type="dxa"/>
                  <w:gridSpan w:val="2"/>
                </w:tcPr>
                <w:p w14:paraId="7F4CC8A7" w14:textId="77777777" w:rsidR="00C454A1" w:rsidRPr="00C20348" w:rsidRDefault="00C454A1" w:rsidP="00881E6A">
                  <w:pPr>
                    <w:ind w:right="272"/>
                    <w:rPr>
                      <w:rFonts w:cs="Times New Roman"/>
                      <w:sz w:val="22"/>
                      <w:szCs w:val="22"/>
                    </w:rPr>
                  </w:pPr>
                  <w:r w:rsidRPr="00C20348">
                    <w:rPr>
                      <w:rFonts w:cs="Times New Roman"/>
                      <w:sz w:val="22"/>
                      <w:szCs w:val="22"/>
                    </w:rPr>
                    <w:t>Total</w:t>
                  </w:r>
                </w:p>
              </w:tc>
              <w:tc>
                <w:tcPr>
                  <w:tcW w:w="810" w:type="dxa"/>
                </w:tcPr>
                <w:p w14:paraId="3FBAAD39" w14:textId="77777777" w:rsidR="00C454A1" w:rsidRPr="00C20348" w:rsidRDefault="00C454A1" w:rsidP="00881E6A">
                  <w:pPr>
                    <w:ind w:right="272"/>
                    <w:rPr>
                      <w:rFonts w:cs="Times New Roman"/>
                      <w:sz w:val="22"/>
                      <w:szCs w:val="22"/>
                    </w:rPr>
                  </w:pPr>
                  <w:r w:rsidRPr="00C20348">
                    <w:rPr>
                      <w:rFonts w:cs="Times New Roman"/>
                      <w:sz w:val="22"/>
                      <w:szCs w:val="22"/>
                    </w:rPr>
                    <w:t>17</w:t>
                  </w:r>
                </w:p>
              </w:tc>
              <w:tc>
                <w:tcPr>
                  <w:tcW w:w="765" w:type="dxa"/>
                </w:tcPr>
                <w:p w14:paraId="7794359A" w14:textId="77777777" w:rsidR="00C454A1" w:rsidRPr="00C20348" w:rsidRDefault="00C454A1" w:rsidP="00881E6A">
                  <w:pPr>
                    <w:ind w:right="272"/>
                    <w:rPr>
                      <w:rFonts w:cs="Times New Roman"/>
                      <w:sz w:val="22"/>
                      <w:szCs w:val="22"/>
                    </w:rPr>
                  </w:pPr>
                  <w:r w:rsidRPr="00C20348">
                    <w:rPr>
                      <w:rFonts w:cs="Times New Roman"/>
                      <w:sz w:val="22"/>
                      <w:szCs w:val="22"/>
                    </w:rPr>
                    <w:t>15</w:t>
                  </w:r>
                </w:p>
              </w:tc>
              <w:tc>
                <w:tcPr>
                  <w:tcW w:w="840" w:type="dxa"/>
                </w:tcPr>
                <w:p w14:paraId="0BD9433E" w14:textId="77777777" w:rsidR="00C454A1" w:rsidRPr="00C20348" w:rsidRDefault="00C454A1" w:rsidP="00881E6A">
                  <w:pPr>
                    <w:ind w:right="272"/>
                    <w:rPr>
                      <w:rFonts w:cs="Times New Roman"/>
                      <w:sz w:val="22"/>
                      <w:szCs w:val="22"/>
                    </w:rPr>
                  </w:pPr>
                  <w:r w:rsidRPr="00C20348">
                    <w:rPr>
                      <w:rFonts w:cs="Times New Roman"/>
                      <w:sz w:val="22"/>
                      <w:szCs w:val="22"/>
                    </w:rPr>
                    <w:t>3</w:t>
                  </w:r>
                </w:p>
              </w:tc>
              <w:tc>
                <w:tcPr>
                  <w:tcW w:w="780" w:type="dxa"/>
                </w:tcPr>
                <w:p w14:paraId="28F56363" w14:textId="77777777" w:rsidR="00C454A1" w:rsidRPr="00C20348" w:rsidRDefault="00C454A1" w:rsidP="00881E6A">
                  <w:pPr>
                    <w:ind w:right="272"/>
                    <w:rPr>
                      <w:rFonts w:cs="Times New Roman"/>
                      <w:sz w:val="22"/>
                      <w:szCs w:val="22"/>
                    </w:rPr>
                  </w:pPr>
                  <w:r w:rsidRPr="00C20348">
                    <w:rPr>
                      <w:rFonts w:cs="Times New Roman"/>
                      <w:sz w:val="22"/>
                      <w:szCs w:val="22"/>
                    </w:rPr>
                    <w:t>6</w:t>
                  </w:r>
                </w:p>
              </w:tc>
              <w:tc>
                <w:tcPr>
                  <w:tcW w:w="825" w:type="dxa"/>
                </w:tcPr>
                <w:p w14:paraId="68F299D7" w14:textId="77777777" w:rsidR="00C454A1" w:rsidRPr="00C20348" w:rsidRDefault="00C454A1" w:rsidP="00881E6A">
                  <w:pPr>
                    <w:ind w:right="272"/>
                    <w:rPr>
                      <w:rFonts w:cs="Times New Roman"/>
                      <w:sz w:val="22"/>
                      <w:szCs w:val="22"/>
                    </w:rPr>
                  </w:pPr>
                  <w:r w:rsidRPr="00C20348">
                    <w:rPr>
                      <w:rFonts w:cs="Times New Roman"/>
                      <w:sz w:val="22"/>
                      <w:szCs w:val="22"/>
                    </w:rPr>
                    <w:t>41</w:t>
                  </w:r>
                </w:p>
              </w:tc>
            </w:tr>
          </w:tbl>
          <w:p w14:paraId="559C0B88" w14:textId="77777777" w:rsidR="00C454A1" w:rsidRPr="003C58D9" w:rsidRDefault="00C454A1" w:rsidP="00881E6A">
            <w:pPr>
              <w:pStyle w:val="Prrafodelista"/>
              <w:ind w:right="272"/>
              <w:rPr>
                <w:rFonts w:cs="Times New Roman"/>
              </w:rPr>
            </w:pPr>
          </w:p>
          <w:p w14:paraId="5E733A8B" w14:textId="77777777" w:rsidR="00C454A1" w:rsidRPr="00DA6C7F" w:rsidRDefault="00C454A1" w:rsidP="005F4A6F">
            <w:pPr>
              <w:pStyle w:val="Prrafodelista"/>
              <w:numPr>
                <w:ilvl w:val="0"/>
                <w:numId w:val="46"/>
              </w:numPr>
              <w:ind w:right="272"/>
              <w:rPr>
                <w:rFonts w:cs="Times New Roman"/>
              </w:rPr>
            </w:pPr>
            <w:r w:rsidRPr="00DA6C7F">
              <w:rPr>
                <w:rFonts w:cs="Times New Roman"/>
              </w:rPr>
              <w:t>No “se encuentra documento alguno que dé cuenta de confrontaciones de grupos armados en esta jurisdicción desde el año 2022 hasta la fecha”</w:t>
            </w:r>
            <w:r w:rsidRPr="00DA6C7F">
              <w:rPr>
                <w:rStyle w:val="Refdenotaalpie"/>
                <w:rFonts w:cs="Times New Roman"/>
              </w:rPr>
              <w:footnoteReference w:id="773"/>
            </w:r>
            <w:r w:rsidRPr="00DA6C7F">
              <w:rPr>
                <w:rFonts w:cs="Times New Roman"/>
              </w:rPr>
              <w:t>.</w:t>
            </w:r>
          </w:p>
          <w:p w14:paraId="0599D40C" w14:textId="77777777" w:rsidR="00C454A1" w:rsidRPr="00DA6C7F" w:rsidRDefault="00C454A1" w:rsidP="005F4A6F">
            <w:pPr>
              <w:pStyle w:val="Prrafodelista"/>
              <w:numPr>
                <w:ilvl w:val="0"/>
                <w:numId w:val="46"/>
              </w:numPr>
              <w:ind w:right="272"/>
              <w:rPr>
                <w:rFonts w:cs="Times New Roman"/>
                <w:lang w:val="es-ES"/>
              </w:rPr>
            </w:pPr>
            <w:r w:rsidRPr="00DA6C7F">
              <w:rPr>
                <w:rFonts w:cs="Times New Roman"/>
                <w:lang w:val="es-ES"/>
              </w:rPr>
              <w:t>“[N]o se encuentra documento alguno que dé cuenta de que en este periodo de tiempo [...] el ELN, los GAOR Segunda Marquetalia y Estado Mayor Central, el GDO los ‘Pelusos’ y el Clan del Golfo hayan desplegado actividades ilícitas en esta jurisdicción territorial”</w:t>
            </w:r>
            <w:r w:rsidRPr="00DA6C7F">
              <w:rPr>
                <w:rStyle w:val="Refdenotaalpie"/>
                <w:rFonts w:cs="Times New Roman"/>
                <w:lang w:val="es-ES"/>
              </w:rPr>
              <w:footnoteReference w:id="774"/>
            </w:r>
            <w:r w:rsidRPr="00DA6C7F">
              <w:rPr>
                <w:rFonts w:cs="Times New Roman"/>
                <w:lang w:val="es-ES"/>
              </w:rPr>
              <w:t>.</w:t>
            </w:r>
          </w:p>
          <w:p w14:paraId="796872E6" w14:textId="77777777" w:rsidR="00C454A1" w:rsidRPr="00DA6C7F" w:rsidRDefault="00C454A1" w:rsidP="005F4A6F">
            <w:pPr>
              <w:pStyle w:val="Prrafodelista"/>
              <w:numPr>
                <w:ilvl w:val="0"/>
                <w:numId w:val="46"/>
              </w:numPr>
              <w:ind w:right="272"/>
              <w:rPr>
                <w:rFonts w:cs="Times New Roman"/>
              </w:rPr>
            </w:pPr>
            <w:r w:rsidRPr="00DA6C7F">
              <w:rPr>
                <w:rFonts w:cs="Times New Roman"/>
              </w:rPr>
              <w:lastRenderedPageBreak/>
              <w:t xml:space="preserve">Al no haberse presentado escenarios de enfrentamiento entre los grupos al margen de la ley, o vulneración de DDFF en esa jurisdicción, no se le ha advertido al </w:t>
            </w:r>
            <w:r>
              <w:rPr>
                <w:rFonts w:cs="Times New Roman"/>
              </w:rPr>
              <w:t>G</w:t>
            </w:r>
            <w:r w:rsidRPr="00DA6C7F">
              <w:rPr>
                <w:rFonts w:cs="Times New Roman"/>
              </w:rPr>
              <w:t>obierno nacional sobre los mismos.</w:t>
            </w:r>
          </w:p>
          <w:p w14:paraId="370CD7A4" w14:textId="77777777" w:rsidR="00C454A1" w:rsidRPr="00DA6C7F" w:rsidRDefault="00C454A1" w:rsidP="005F4A6F">
            <w:pPr>
              <w:pStyle w:val="Prrafodelista"/>
              <w:numPr>
                <w:ilvl w:val="0"/>
                <w:numId w:val="46"/>
              </w:numPr>
              <w:ind w:right="272"/>
              <w:rPr>
                <w:rFonts w:cs="Times New Roman"/>
              </w:rPr>
            </w:pPr>
            <w:r w:rsidRPr="00DA6C7F">
              <w:rPr>
                <w:rFonts w:cs="Times New Roman"/>
              </w:rPr>
              <w:t>No hay pruebas de la ocurrencia de daños a bienes protegidos entre 2022 y 2025.</w:t>
            </w:r>
          </w:p>
          <w:p w14:paraId="02B9929D" w14:textId="77777777" w:rsidR="00C454A1" w:rsidRPr="00DA6C7F" w:rsidRDefault="00C454A1" w:rsidP="00881E6A">
            <w:pPr>
              <w:ind w:right="272"/>
              <w:rPr>
                <w:rFonts w:cs="Times New Roman"/>
              </w:rPr>
            </w:pPr>
          </w:p>
          <w:p w14:paraId="243A30F5" w14:textId="77777777" w:rsidR="00C454A1" w:rsidRPr="00DA6C7F" w:rsidRDefault="00C454A1" w:rsidP="00881E6A">
            <w:pPr>
              <w:ind w:right="272"/>
              <w:rPr>
                <w:rFonts w:cs="Times New Roman"/>
              </w:rPr>
            </w:pPr>
            <w:r w:rsidRPr="00DA6C7F">
              <w:rPr>
                <w:rFonts w:cs="Times New Roman"/>
                <w:i/>
                <w:iCs/>
              </w:rPr>
              <w:t>Presupuesto de suficiencia</w:t>
            </w:r>
            <w:r w:rsidRPr="00DA6C7F">
              <w:rPr>
                <w:rFonts w:cs="Times New Roman"/>
              </w:rPr>
              <w:t>:</w:t>
            </w:r>
          </w:p>
          <w:p w14:paraId="6774E904" w14:textId="77777777" w:rsidR="00C454A1" w:rsidRPr="00DA6C7F" w:rsidRDefault="00C454A1" w:rsidP="00881E6A">
            <w:pPr>
              <w:ind w:right="272"/>
              <w:rPr>
                <w:rFonts w:cs="Times New Roman"/>
              </w:rPr>
            </w:pPr>
            <w:r w:rsidRPr="00DA6C7F">
              <w:rPr>
                <w:rFonts w:cs="Times New Roman"/>
              </w:rPr>
              <w:t>“[N]o existe evidencia de solicitudes presupuestales al Gobierno Nacional para que, por vía del Sistema General de Participaciones o el Sistema General de Regalías, se incrementaran las partidas asignadas, con el objetivo de (i) restablecer el orden público en el municipio y garantizar atención humanitaria a la población desplazada”</w:t>
            </w:r>
            <w:r w:rsidRPr="00DA6C7F">
              <w:rPr>
                <w:rStyle w:val="Refdenotaalpie"/>
                <w:rFonts w:cs="Times New Roman"/>
              </w:rPr>
              <w:footnoteReference w:id="775"/>
            </w:r>
            <w:r w:rsidRPr="00DA6C7F">
              <w:rPr>
                <w:rFonts w:cs="Times New Roman"/>
              </w:rPr>
              <w:t xml:space="preserve">. </w:t>
            </w:r>
          </w:p>
        </w:tc>
      </w:tr>
      <w:tr w:rsidR="00C454A1" w:rsidRPr="00F8202F" w14:paraId="4504CC94" w14:textId="77777777" w:rsidTr="005F4A6F">
        <w:trPr>
          <w:trHeight w:val="300"/>
        </w:trPr>
        <w:tc>
          <w:tcPr>
            <w:tcW w:w="642" w:type="pct"/>
            <w:vAlign w:val="center"/>
          </w:tcPr>
          <w:p w14:paraId="53749D88" w14:textId="77777777" w:rsidR="00C454A1" w:rsidRPr="00DA6C7F" w:rsidRDefault="00C454A1" w:rsidP="00881E6A">
            <w:pPr>
              <w:ind w:right="272"/>
              <w:jc w:val="center"/>
              <w:rPr>
                <w:rFonts w:cs="Times New Roman"/>
                <w:b/>
                <w:bCs/>
              </w:rPr>
            </w:pPr>
            <w:r w:rsidRPr="00DA6C7F">
              <w:rPr>
                <w:rFonts w:cs="Times New Roman"/>
                <w:b/>
                <w:bCs/>
              </w:rPr>
              <w:lastRenderedPageBreak/>
              <w:t>Municipio Puerto Santander</w:t>
            </w:r>
          </w:p>
        </w:tc>
        <w:tc>
          <w:tcPr>
            <w:tcW w:w="4358" w:type="pct"/>
          </w:tcPr>
          <w:p w14:paraId="3BCC5BC6" w14:textId="77777777" w:rsidR="00C454A1" w:rsidRPr="00C20348" w:rsidRDefault="00C454A1" w:rsidP="00881E6A">
            <w:pPr>
              <w:ind w:right="272"/>
              <w:rPr>
                <w:rFonts w:cs="Times New Roman"/>
                <w:lang w:val="es-ES"/>
              </w:rPr>
            </w:pPr>
            <w:r w:rsidRPr="00C20348">
              <w:rPr>
                <w:rFonts w:cs="Times New Roman"/>
                <w:lang w:val="es-ES"/>
              </w:rPr>
              <w:t>La alcaldía remitió la siguiente información:</w:t>
            </w:r>
          </w:p>
          <w:p w14:paraId="29E98DF4" w14:textId="77777777" w:rsidR="00C454A1" w:rsidRPr="00C20348" w:rsidRDefault="00C454A1" w:rsidP="00881E6A">
            <w:pPr>
              <w:ind w:right="272"/>
              <w:rPr>
                <w:rFonts w:cs="Times New Roman"/>
                <w:lang w:val="es-ES"/>
              </w:rPr>
            </w:pPr>
          </w:p>
          <w:p w14:paraId="7FF78701" w14:textId="77777777" w:rsidR="00C454A1" w:rsidRPr="00C20348" w:rsidRDefault="00C454A1" w:rsidP="00881E6A">
            <w:pPr>
              <w:ind w:right="272"/>
              <w:rPr>
                <w:rFonts w:cs="Times New Roman"/>
                <w:lang w:val="es-ES"/>
              </w:rPr>
            </w:pPr>
            <w:r w:rsidRPr="00C20348">
              <w:rPr>
                <w:rFonts w:cs="Times New Roman"/>
                <w:i/>
                <w:iCs/>
                <w:lang w:val="es-ES"/>
              </w:rPr>
              <w:t>Presupuesto fáctico</w:t>
            </w:r>
            <w:r w:rsidRPr="00C20348">
              <w:rPr>
                <w:rFonts w:cs="Times New Roman"/>
                <w:lang w:val="es-ES"/>
              </w:rPr>
              <w:t>:</w:t>
            </w:r>
          </w:p>
          <w:p w14:paraId="56032880"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Personas desplazadas: 11 (sin fecha).</w:t>
            </w:r>
          </w:p>
          <w:p w14:paraId="52358925"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Ataques contra firmantes de paz y líderes sociales: 0.</w:t>
            </w:r>
          </w:p>
          <w:p w14:paraId="6ADB37B1"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Extorsión, secuestros, amenazas y ataques en contra de población civil: 3 (todos de un mismo núcleo familiar – amenazas) (sin fecha).</w:t>
            </w:r>
          </w:p>
          <w:p w14:paraId="76F466AD"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Homicidio y lesiones personales: 0.</w:t>
            </w:r>
          </w:p>
          <w:p w14:paraId="1913F1E9"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Desaparición forzada: 1 en 2024.</w:t>
            </w:r>
          </w:p>
          <w:p w14:paraId="2D344340"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La entidad territorial le endilga la responsabilidad de estos hechos a los “grupos armados al margen de la ley que se encuentran en la zona como el GAO y ELN”</w:t>
            </w:r>
            <w:r w:rsidRPr="00C20348">
              <w:rPr>
                <w:rStyle w:val="Refdenotaalpie"/>
                <w:rFonts w:cs="Times New Roman"/>
                <w:lang w:val="es-ES"/>
              </w:rPr>
              <w:footnoteReference w:id="776"/>
            </w:r>
            <w:r w:rsidRPr="00C20348">
              <w:rPr>
                <w:rFonts w:cs="Times New Roman"/>
                <w:lang w:val="es-ES"/>
              </w:rPr>
              <w:t>.</w:t>
            </w:r>
          </w:p>
          <w:p w14:paraId="4904AC4A"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Cuántas víctimas: 11 personas desplazadas, entre esos 4 menores.</w:t>
            </w:r>
          </w:p>
          <w:p w14:paraId="53527C02"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En qué zona: en el Catatumbo, “llegando a si al municipio en el mes de enero la respuesta del municipio fue realizar junto con la personería municipal las declaraciones para poder seguir con la ruta que corresponde que termina en la entrega de ayuda humanitaria a las personas víctimas de este conflicto armado”</w:t>
            </w:r>
            <w:r w:rsidRPr="00C20348">
              <w:rPr>
                <w:rStyle w:val="Refdenotaalpie"/>
                <w:rFonts w:cs="Times New Roman"/>
                <w:lang w:val="es-ES"/>
              </w:rPr>
              <w:footnoteReference w:id="777"/>
            </w:r>
            <w:r w:rsidRPr="00C20348">
              <w:rPr>
                <w:rFonts w:cs="Times New Roman"/>
                <w:lang w:val="es-ES"/>
              </w:rPr>
              <w:t xml:space="preserve">. </w:t>
            </w:r>
          </w:p>
          <w:p w14:paraId="1E6C2C80"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t>No tuvieron desbordamiento institucional.</w:t>
            </w:r>
          </w:p>
          <w:p w14:paraId="36F3E0D3" w14:textId="77777777" w:rsidR="00C454A1" w:rsidRPr="00C20348" w:rsidRDefault="00C454A1" w:rsidP="005F4A6F">
            <w:pPr>
              <w:pStyle w:val="Prrafodelista"/>
              <w:numPr>
                <w:ilvl w:val="0"/>
                <w:numId w:val="41"/>
              </w:numPr>
              <w:ind w:right="272"/>
              <w:rPr>
                <w:rFonts w:cs="Times New Roman"/>
                <w:lang w:val="es-ES"/>
              </w:rPr>
            </w:pPr>
            <w:r w:rsidRPr="00C20348">
              <w:rPr>
                <w:rFonts w:cs="Times New Roman"/>
                <w:lang w:val="es-ES"/>
              </w:rPr>
              <w:lastRenderedPageBreak/>
              <w:t>La entidad territorial informó que no tienen conocimiento respecto de los lugares en donde ha ocurrido los enfrentamientos.</w:t>
            </w:r>
          </w:p>
        </w:tc>
      </w:tr>
      <w:tr w:rsidR="00C454A1" w:rsidRPr="00F8202F" w14:paraId="3A2695F0" w14:textId="77777777" w:rsidTr="005F4A6F">
        <w:trPr>
          <w:trHeight w:val="300"/>
        </w:trPr>
        <w:tc>
          <w:tcPr>
            <w:tcW w:w="642" w:type="pct"/>
            <w:vAlign w:val="center"/>
          </w:tcPr>
          <w:p w14:paraId="64292002" w14:textId="77777777" w:rsidR="00C454A1" w:rsidRPr="00DA6C7F" w:rsidRDefault="00C454A1" w:rsidP="00881E6A">
            <w:pPr>
              <w:ind w:right="272"/>
              <w:jc w:val="center"/>
              <w:rPr>
                <w:rFonts w:cs="Times New Roman"/>
                <w:b/>
                <w:bCs/>
              </w:rPr>
            </w:pPr>
            <w:r w:rsidRPr="00DA6C7F">
              <w:rPr>
                <w:rFonts w:cs="Times New Roman"/>
                <w:b/>
                <w:bCs/>
              </w:rPr>
              <w:lastRenderedPageBreak/>
              <w:t>Municipio de Ábrego, Norte de Santander</w:t>
            </w:r>
          </w:p>
        </w:tc>
        <w:tc>
          <w:tcPr>
            <w:tcW w:w="4358" w:type="pct"/>
          </w:tcPr>
          <w:p w14:paraId="18BDC931" w14:textId="77777777" w:rsidR="00C454A1" w:rsidRPr="00DA6C7F" w:rsidRDefault="00C454A1" w:rsidP="00881E6A">
            <w:pPr>
              <w:ind w:right="272"/>
              <w:rPr>
                <w:rFonts w:cs="Times New Roman"/>
              </w:rPr>
            </w:pPr>
            <w:r w:rsidRPr="00DA6C7F">
              <w:rPr>
                <w:rFonts w:cs="Times New Roman"/>
              </w:rPr>
              <w:t>La Alcaldía de Ábrego, N.S. remitió la siguiente información en relación con las preguntas planteadas en el auto de pruebas respecto de cada uno de los presupuestos:</w:t>
            </w:r>
          </w:p>
          <w:p w14:paraId="43DC15D2" w14:textId="77777777" w:rsidR="00C454A1" w:rsidRPr="00DA6C7F" w:rsidRDefault="00C454A1" w:rsidP="00881E6A">
            <w:pPr>
              <w:ind w:right="272"/>
              <w:rPr>
                <w:rFonts w:cs="Times New Roman"/>
                <w:i/>
              </w:rPr>
            </w:pPr>
          </w:p>
          <w:p w14:paraId="6D3DFBE4" w14:textId="77777777" w:rsidR="00C454A1" w:rsidRPr="00DA6C7F" w:rsidRDefault="00C454A1" w:rsidP="00881E6A">
            <w:pPr>
              <w:ind w:right="272"/>
              <w:rPr>
                <w:rFonts w:cs="Times New Roman"/>
              </w:rPr>
            </w:pPr>
            <w:r w:rsidRPr="00DA6C7F">
              <w:rPr>
                <w:rFonts w:cs="Times New Roman"/>
                <w:i/>
                <w:iCs/>
              </w:rPr>
              <w:t>Presupuesto fáctico</w:t>
            </w:r>
            <w:r w:rsidRPr="00DA6C7F">
              <w:rPr>
                <w:rFonts w:cs="Times New Roman"/>
              </w:rPr>
              <w:t xml:space="preserve">. </w:t>
            </w:r>
          </w:p>
          <w:p w14:paraId="7DF55B87" w14:textId="77777777" w:rsidR="00C454A1" w:rsidRPr="00DA6C7F" w:rsidRDefault="00C454A1" w:rsidP="005F4A6F">
            <w:pPr>
              <w:pStyle w:val="Prrafodelista"/>
              <w:numPr>
                <w:ilvl w:val="0"/>
                <w:numId w:val="57"/>
              </w:numPr>
              <w:ind w:left="741" w:right="272" w:hanging="567"/>
              <w:rPr>
                <w:rFonts w:cs="Times New Roman"/>
                <w:lang w:val="es-ES"/>
              </w:rPr>
            </w:pPr>
            <w:r w:rsidRPr="00DA6C7F">
              <w:rPr>
                <w:rFonts w:cs="Times New Roman"/>
                <w:lang w:val="es-ES"/>
              </w:rPr>
              <w:t>Hechos victimizantes</w:t>
            </w:r>
          </w:p>
          <w:p w14:paraId="48C53411" w14:textId="77777777" w:rsidR="00C454A1" w:rsidRDefault="00C454A1" w:rsidP="00881E6A">
            <w:pPr>
              <w:pStyle w:val="Prrafodelista"/>
              <w:ind w:left="641" w:right="272"/>
              <w:rPr>
                <w:rFonts w:cs="Times New Roman"/>
              </w:rPr>
            </w:pPr>
          </w:p>
          <w:p w14:paraId="506B4AEA" w14:textId="77777777" w:rsidR="00C454A1" w:rsidRPr="00864B61" w:rsidRDefault="00C454A1" w:rsidP="00881E6A">
            <w:pPr>
              <w:pStyle w:val="Prrafodelista"/>
              <w:ind w:left="641" w:right="272"/>
              <w:jc w:val="center"/>
              <w:rPr>
                <w:rFonts w:cs="Times New Roman"/>
                <w:i/>
                <w:iCs/>
                <w:sz w:val="20"/>
                <w:szCs w:val="20"/>
              </w:rPr>
            </w:pPr>
            <w:r w:rsidRPr="00864B61">
              <w:rPr>
                <w:rFonts w:cs="Times New Roman"/>
                <w:i/>
                <w:iCs/>
                <w:sz w:val="20"/>
                <w:szCs w:val="20"/>
              </w:rPr>
              <w:t xml:space="preserve">Tabla 35: datos de ataques contra la población civil reportados por el municipio de </w:t>
            </w:r>
            <w:r>
              <w:rPr>
                <w:rFonts w:cs="Times New Roman"/>
                <w:i/>
                <w:iCs/>
                <w:sz w:val="20"/>
                <w:szCs w:val="20"/>
              </w:rPr>
              <w:t>Ábrego</w:t>
            </w:r>
          </w:p>
          <w:tbl>
            <w:tblPr>
              <w:tblStyle w:val="Tablaconcuadrcula"/>
              <w:tblW w:w="16270" w:type="dxa"/>
              <w:jc w:val="center"/>
              <w:tblLook w:val="04A0" w:firstRow="1" w:lastRow="0" w:firstColumn="1" w:lastColumn="0" w:noHBand="0" w:noVBand="1"/>
            </w:tblPr>
            <w:tblGrid>
              <w:gridCol w:w="2381"/>
              <w:gridCol w:w="2381"/>
              <w:gridCol w:w="2381"/>
              <w:gridCol w:w="2381"/>
              <w:gridCol w:w="1984"/>
              <w:gridCol w:w="2381"/>
              <w:gridCol w:w="2381"/>
            </w:tblGrid>
            <w:tr w:rsidR="00C454A1" w:rsidRPr="00C20348" w14:paraId="63B67683" w14:textId="77777777" w:rsidTr="001F3006">
              <w:trPr>
                <w:jc w:val="center"/>
              </w:trPr>
              <w:tc>
                <w:tcPr>
                  <w:tcW w:w="2381" w:type="dxa"/>
                </w:tcPr>
                <w:p w14:paraId="3F25CB93" w14:textId="77777777" w:rsidR="00C454A1" w:rsidRPr="00C20348" w:rsidRDefault="00C454A1" w:rsidP="00881E6A">
                  <w:pPr>
                    <w:pStyle w:val="Prrafodelista"/>
                    <w:ind w:left="0" w:right="272"/>
                    <w:rPr>
                      <w:rFonts w:cs="Times New Roman"/>
                      <w:sz w:val="22"/>
                      <w:szCs w:val="22"/>
                    </w:rPr>
                  </w:pPr>
                  <w:r w:rsidRPr="00C20348">
                    <w:rPr>
                      <w:rFonts w:cs="Times New Roman"/>
                      <w:sz w:val="22"/>
                      <w:szCs w:val="22"/>
                    </w:rPr>
                    <w:t>Desplazamiento forzado</w:t>
                  </w:r>
                </w:p>
              </w:tc>
              <w:tc>
                <w:tcPr>
                  <w:tcW w:w="2381" w:type="dxa"/>
                </w:tcPr>
                <w:p w14:paraId="27FF94B4" w14:textId="77777777" w:rsidR="00C454A1" w:rsidRPr="00C20348" w:rsidRDefault="00C454A1" w:rsidP="00881E6A">
                  <w:pPr>
                    <w:pStyle w:val="Prrafodelista"/>
                    <w:ind w:left="0" w:right="272"/>
                    <w:rPr>
                      <w:rFonts w:cs="Times New Roman"/>
                      <w:sz w:val="22"/>
                      <w:szCs w:val="22"/>
                    </w:rPr>
                  </w:pPr>
                  <w:r w:rsidRPr="00C20348">
                    <w:rPr>
                      <w:rFonts w:cs="Times New Roman"/>
                      <w:sz w:val="22"/>
                      <w:szCs w:val="22"/>
                    </w:rPr>
                    <w:t>Ataques contra líderes sociales</w:t>
                  </w:r>
                </w:p>
              </w:tc>
              <w:tc>
                <w:tcPr>
                  <w:tcW w:w="2381" w:type="dxa"/>
                </w:tcPr>
                <w:p w14:paraId="12F8901D" w14:textId="77777777" w:rsidR="00C454A1" w:rsidRPr="00C20348" w:rsidRDefault="00C454A1" w:rsidP="00881E6A">
                  <w:pPr>
                    <w:pStyle w:val="Prrafodelista"/>
                    <w:ind w:left="0" w:right="272"/>
                    <w:rPr>
                      <w:rFonts w:cs="Times New Roman"/>
                      <w:sz w:val="22"/>
                      <w:szCs w:val="22"/>
                    </w:rPr>
                  </w:pPr>
                  <w:r w:rsidRPr="00C20348">
                    <w:rPr>
                      <w:rFonts w:cs="Times New Roman"/>
                      <w:sz w:val="22"/>
                      <w:szCs w:val="22"/>
                    </w:rPr>
                    <w:t>Secuestros</w:t>
                  </w:r>
                </w:p>
              </w:tc>
              <w:tc>
                <w:tcPr>
                  <w:tcW w:w="2381" w:type="dxa"/>
                </w:tcPr>
                <w:p w14:paraId="64BD7064" w14:textId="77777777" w:rsidR="00C454A1" w:rsidRPr="00C20348" w:rsidRDefault="00C454A1" w:rsidP="00881E6A">
                  <w:pPr>
                    <w:pStyle w:val="Prrafodelista"/>
                    <w:ind w:left="0" w:right="272"/>
                    <w:rPr>
                      <w:rFonts w:cs="Times New Roman"/>
                      <w:sz w:val="22"/>
                      <w:szCs w:val="22"/>
                    </w:rPr>
                  </w:pPr>
                  <w:r w:rsidRPr="00C20348">
                    <w:rPr>
                      <w:rFonts w:cs="Times New Roman"/>
                      <w:sz w:val="22"/>
                      <w:szCs w:val="22"/>
                    </w:rPr>
                    <w:t>Amenazas</w:t>
                  </w:r>
                </w:p>
              </w:tc>
              <w:tc>
                <w:tcPr>
                  <w:tcW w:w="1984" w:type="dxa"/>
                </w:tcPr>
                <w:p w14:paraId="528D8D96" w14:textId="77777777" w:rsidR="00C454A1" w:rsidRPr="00C20348" w:rsidRDefault="00C454A1" w:rsidP="00881E6A">
                  <w:pPr>
                    <w:pStyle w:val="Prrafodelista"/>
                    <w:ind w:left="0" w:right="272"/>
                    <w:rPr>
                      <w:rFonts w:cs="Times New Roman"/>
                      <w:sz w:val="22"/>
                      <w:szCs w:val="22"/>
                    </w:rPr>
                  </w:pPr>
                  <w:r w:rsidRPr="00C20348">
                    <w:rPr>
                      <w:rFonts w:cs="Times New Roman"/>
                      <w:sz w:val="22"/>
                      <w:szCs w:val="22"/>
                    </w:rPr>
                    <w:t>Extorsiones</w:t>
                  </w:r>
                </w:p>
              </w:tc>
              <w:tc>
                <w:tcPr>
                  <w:tcW w:w="2381" w:type="dxa"/>
                </w:tcPr>
                <w:p w14:paraId="1B7D847E" w14:textId="77777777" w:rsidR="00C454A1" w:rsidRPr="00C20348" w:rsidRDefault="00C454A1" w:rsidP="00881E6A">
                  <w:pPr>
                    <w:pStyle w:val="Prrafodelista"/>
                    <w:ind w:left="0" w:right="272"/>
                    <w:rPr>
                      <w:rFonts w:cs="Times New Roman"/>
                      <w:sz w:val="22"/>
                      <w:szCs w:val="22"/>
                    </w:rPr>
                  </w:pPr>
                  <w:r w:rsidRPr="00C20348">
                    <w:rPr>
                      <w:rFonts w:cs="Times New Roman"/>
                      <w:sz w:val="22"/>
                      <w:szCs w:val="22"/>
                    </w:rPr>
                    <w:t>Homicidio</w:t>
                  </w:r>
                </w:p>
              </w:tc>
              <w:tc>
                <w:tcPr>
                  <w:tcW w:w="2381" w:type="dxa"/>
                </w:tcPr>
                <w:p w14:paraId="395096D0" w14:textId="77777777" w:rsidR="00C454A1" w:rsidRPr="00C20348" w:rsidRDefault="00C454A1" w:rsidP="00881E6A">
                  <w:pPr>
                    <w:pStyle w:val="Prrafodelista"/>
                    <w:ind w:left="0" w:right="272"/>
                    <w:rPr>
                      <w:rFonts w:cs="Times New Roman"/>
                      <w:sz w:val="22"/>
                      <w:szCs w:val="22"/>
                    </w:rPr>
                  </w:pPr>
                  <w:r w:rsidRPr="00C20348">
                    <w:rPr>
                      <w:rFonts w:cs="Times New Roman"/>
                      <w:sz w:val="22"/>
                      <w:szCs w:val="22"/>
                    </w:rPr>
                    <w:t>Desaparición forzada</w:t>
                  </w:r>
                </w:p>
              </w:tc>
            </w:tr>
            <w:tr w:rsidR="00C454A1" w:rsidRPr="00C20348" w14:paraId="3CDFD8F8" w14:textId="77777777" w:rsidTr="001F3006">
              <w:trPr>
                <w:jc w:val="center"/>
              </w:trPr>
              <w:tc>
                <w:tcPr>
                  <w:tcW w:w="2381" w:type="dxa"/>
                </w:tcPr>
                <w:p w14:paraId="69ED6E55" w14:textId="77777777" w:rsidR="00C454A1" w:rsidRPr="00C20348" w:rsidRDefault="00C454A1" w:rsidP="005F4A6F">
                  <w:pPr>
                    <w:pStyle w:val="Prrafodelista"/>
                    <w:numPr>
                      <w:ilvl w:val="0"/>
                      <w:numId w:val="43"/>
                    </w:numPr>
                    <w:ind w:left="113" w:right="272" w:hanging="113"/>
                    <w:rPr>
                      <w:rFonts w:cs="Times New Roman"/>
                      <w:sz w:val="22"/>
                      <w:szCs w:val="22"/>
                    </w:rPr>
                  </w:pPr>
                  <w:r w:rsidRPr="00C20348">
                    <w:rPr>
                      <w:rFonts w:cs="Times New Roman"/>
                      <w:sz w:val="22"/>
                      <w:szCs w:val="22"/>
                    </w:rPr>
                    <w:t>2022: 58 declaraciones</w:t>
                  </w:r>
                </w:p>
                <w:p w14:paraId="54AE9E8D" w14:textId="77777777" w:rsidR="00C454A1" w:rsidRPr="00C20348" w:rsidRDefault="00C454A1" w:rsidP="005F4A6F">
                  <w:pPr>
                    <w:pStyle w:val="Prrafodelista"/>
                    <w:numPr>
                      <w:ilvl w:val="0"/>
                      <w:numId w:val="43"/>
                    </w:numPr>
                    <w:ind w:left="113" w:right="272" w:hanging="113"/>
                    <w:rPr>
                      <w:rFonts w:cs="Times New Roman"/>
                      <w:sz w:val="22"/>
                      <w:szCs w:val="22"/>
                    </w:rPr>
                  </w:pPr>
                  <w:r w:rsidRPr="00C20348">
                    <w:rPr>
                      <w:rFonts w:cs="Times New Roman"/>
                      <w:sz w:val="22"/>
                      <w:szCs w:val="22"/>
                    </w:rPr>
                    <w:t>2023: 40 declaraciones</w:t>
                  </w:r>
                </w:p>
                <w:p w14:paraId="4A0561BC" w14:textId="77777777" w:rsidR="00C454A1" w:rsidRPr="00C20348" w:rsidRDefault="00C454A1" w:rsidP="005F4A6F">
                  <w:pPr>
                    <w:pStyle w:val="Prrafodelista"/>
                    <w:numPr>
                      <w:ilvl w:val="0"/>
                      <w:numId w:val="43"/>
                    </w:numPr>
                    <w:ind w:left="113" w:right="272" w:hanging="113"/>
                    <w:rPr>
                      <w:rFonts w:cs="Times New Roman"/>
                      <w:sz w:val="22"/>
                      <w:szCs w:val="22"/>
                    </w:rPr>
                  </w:pPr>
                  <w:r w:rsidRPr="00C20348">
                    <w:rPr>
                      <w:rFonts w:cs="Times New Roman"/>
                      <w:sz w:val="22"/>
                      <w:szCs w:val="22"/>
                    </w:rPr>
                    <w:t>2024: 29 declaraciones</w:t>
                  </w:r>
                </w:p>
                <w:p w14:paraId="4B835352" w14:textId="77777777" w:rsidR="00C454A1" w:rsidRPr="00C20348" w:rsidRDefault="00C454A1" w:rsidP="005F4A6F">
                  <w:pPr>
                    <w:pStyle w:val="Prrafodelista"/>
                    <w:numPr>
                      <w:ilvl w:val="0"/>
                      <w:numId w:val="43"/>
                    </w:numPr>
                    <w:ind w:left="113" w:right="272" w:hanging="113"/>
                    <w:rPr>
                      <w:rFonts w:cs="Times New Roman"/>
                      <w:sz w:val="22"/>
                      <w:szCs w:val="22"/>
                    </w:rPr>
                  </w:pPr>
                  <w:r w:rsidRPr="00C20348">
                    <w:rPr>
                      <w:rFonts w:cs="Times New Roman"/>
                      <w:sz w:val="22"/>
                      <w:szCs w:val="22"/>
                    </w:rPr>
                    <w:t>2025: 33 declaraciones</w:t>
                  </w:r>
                </w:p>
              </w:tc>
              <w:tc>
                <w:tcPr>
                  <w:tcW w:w="2381" w:type="dxa"/>
                </w:tcPr>
                <w:p w14:paraId="08204B75" w14:textId="77777777" w:rsidR="00C454A1" w:rsidRPr="00C20348" w:rsidRDefault="00C454A1" w:rsidP="005F4A6F">
                  <w:pPr>
                    <w:pStyle w:val="Prrafodelista"/>
                    <w:numPr>
                      <w:ilvl w:val="0"/>
                      <w:numId w:val="43"/>
                    </w:numPr>
                    <w:ind w:left="141" w:right="272" w:hanging="142"/>
                    <w:rPr>
                      <w:rFonts w:cs="Times New Roman"/>
                      <w:sz w:val="22"/>
                      <w:szCs w:val="22"/>
                    </w:rPr>
                  </w:pPr>
                  <w:r w:rsidRPr="00C20348">
                    <w:rPr>
                      <w:rFonts w:cs="Times New Roman"/>
                      <w:sz w:val="22"/>
                      <w:szCs w:val="22"/>
                    </w:rPr>
                    <w:t>2022 a 2023: 0 registros</w:t>
                  </w:r>
                </w:p>
                <w:p w14:paraId="59FB72BC" w14:textId="77777777" w:rsidR="00C454A1" w:rsidRPr="00C20348" w:rsidRDefault="00C454A1" w:rsidP="005F4A6F">
                  <w:pPr>
                    <w:pStyle w:val="Prrafodelista"/>
                    <w:numPr>
                      <w:ilvl w:val="0"/>
                      <w:numId w:val="43"/>
                    </w:numPr>
                    <w:ind w:left="141" w:right="272" w:hanging="142"/>
                    <w:rPr>
                      <w:rFonts w:cs="Times New Roman"/>
                      <w:sz w:val="22"/>
                      <w:szCs w:val="22"/>
                    </w:rPr>
                  </w:pPr>
                  <w:r w:rsidRPr="00C20348">
                    <w:rPr>
                      <w:rFonts w:cs="Times New Roman"/>
                      <w:sz w:val="22"/>
                      <w:szCs w:val="22"/>
                    </w:rPr>
                    <w:t>2025: 1 persona</w:t>
                  </w:r>
                </w:p>
              </w:tc>
              <w:tc>
                <w:tcPr>
                  <w:tcW w:w="2381" w:type="dxa"/>
                </w:tcPr>
                <w:p w14:paraId="1E6D8F15" w14:textId="77777777" w:rsidR="00C454A1" w:rsidRPr="00C20348" w:rsidRDefault="00C454A1" w:rsidP="005F4A6F">
                  <w:pPr>
                    <w:pStyle w:val="Prrafodelista"/>
                    <w:numPr>
                      <w:ilvl w:val="0"/>
                      <w:numId w:val="45"/>
                    </w:numPr>
                    <w:ind w:left="175" w:right="272" w:hanging="175"/>
                    <w:rPr>
                      <w:rFonts w:cs="Times New Roman"/>
                      <w:sz w:val="22"/>
                      <w:szCs w:val="22"/>
                    </w:rPr>
                  </w:pPr>
                  <w:r w:rsidRPr="00C20348">
                    <w:rPr>
                      <w:rFonts w:cs="Times New Roman"/>
                      <w:sz w:val="22"/>
                      <w:szCs w:val="22"/>
                    </w:rPr>
                    <w:t>2022: 3 declaraciones</w:t>
                  </w:r>
                </w:p>
                <w:p w14:paraId="6C16EAF9" w14:textId="77777777" w:rsidR="00C454A1" w:rsidRPr="00C20348" w:rsidRDefault="00C454A1" w:rsidP="005F4A6F">
                  <w:pPr>
                    <w:pStyle w:val="Prrafodelista"/>
                    <w:numPr>
                      <w:ilvl w:val="0"/>
                      <w:numId w:val="45"/>
                    </w:numPr>
                    <w:ind w:left="175" w:right="272" w:hanging="175"/>
                    <w:rPr>
                      <w:rFonts w:cs="Times New Roman"/>
                      <w:sz w:val="22"/>
                      <w:szCs w:val="22"/>
                    </w:rPr>
                  </w:pPr>
                  <w:r w:rsidRPr="00C20348">
                    <w:rPr>
                      <w:rFonts w:cs="Times New Roman"/>
                      <w:sz w:val="22"/>
                      <w:szCs w:val="22"/>
                    </w:rPr>
                    <w:t>2023: 6 declaraciones</w:t>
                  </w:r>
                </w:p>
                <w:p w14:paraId="46414433" w14:textId="77777777" w:rsidR="00C454A1" w:rsidRPr="00C20348" w:rsidRDefault="00C454A1" w:rsidP="005F4A6F">
                  <w:pPr>
                    <w:pStyle w:val="Prrafodelista"/>
                    <w:numPr>
                      <w:ilvl w:val="0"/>
                      <w:numId w:val="45"/>
                    </w:numPr>
                    <w:ind w:left="175" w:right="272" w:hanging="175"/>
                    <w:rPr>
                      <w:rFonts w:cs="Times New Roman"/>
                      <w:sz w:val="22"/>
                      <w:szCs w:val="22"/>
                    </w:rPr>
                  </w:pPr>
                  <w:r w:rsidRPr="00C20348">
                    <w:rPr>
                      <w:rFonts w:cs="Times New Roman"/>
                      <w:sz w:val="22"/>
                      <w:szCs w:val="22"/>
                    </w:rPr>
                    <w:t>2024: 0 declaraciones</w:t>
                  </w:r>
                </w:p>
                <w:p w14:paraId="50E2282D" w14:textId="77777777" w:rsidR="00C454A1" w:rsidRPr="00C20348" w:rsidRDefault="00C454A1" w:rsidP="005F4A6F">
                  <w:pPr>
                    <w:pStyle w:val="Prrafodelista"/>
                    <w:numPr>
                      <w:ilvl w:val="0"/>
                      <w:numId w:val="45"/>
                    </w:numPr>
                    <w:ind w:left="175" w:right="272" w:hanging="175"/>
                    <w:rPr>
                      <w:rFonts w:cs="Times New Roman"/>
                      <w:sz w:val="22"/>
                      <w:szCs w:val="22"/>
                    </w:rPr>
                  </w:pPr>
                  <w:r w:rsidRPr="00C20348">
                    <w:rPr>
                      <w:rFonts w:cs="Times New Roman"/>
                      <w:sz w:val="22"/>
                      <w:szCs w:val="22"/>
                    </w:rPr>
                    <w:t>2025: 0 declaraciones</w:t>
                  </w:r>
                </w:p>
              </w:tc>
              <w:tc>
                <w:tcPr>
                  <w:tcW w:w="2381" w:type="dxa"/>
                </w:tcPr>
                <w:p w14:paraId="0F2C2369" w14:textId="77777777" w:rsidR="00C454A1" w:rsidRPr="00C20348" w:rsidRDefault="00C454A1" w:rsidP="005F4A6F">
                  <w:pPr>
                    <w:pStyle w:val="Prrafodelista"/>
                    <w:numPr>
                      <w:ilvl w:val="0"/>
                      <w:numId w:val="44"/>
                    </w:numPr>
                    <w:ind w:left="136" w:right="272" w:hanging="136"/>
                    <w:rPr>
                      <w:rFonts w:cs="Times New Roman"/>
                      <w:sz w:val="22"/>
                      <w:szCs w:val="22"/>
                    </w:rPr>
                  </w:pPr>
                  <w:r w:rsidRPr="00C20348">
                    <w:rPr>
                      <w:rFonts w:cs="Times New Roman"/>
                      <w:sz w:val="22"/>
                      <w:szCs w:val="22"/>
                    </w:rPr>
                    <w:t>2022: 32 declaraciones</w:t>
                  </w:r>
                </w:p>
                <w:p w14:paraId="2B573D8D" w14:textId="77777777" w:rsidR="00C454A1" w:rsidRPr="00C20348" w:rsidRDefault="00C454A1" w:rsidP="005F4A6F">
                  <w:pPr>
                    <w:pStyle w:val="Prrafodelista"/>
                    <w:numPr>
                      <w:ilvl w:val="0"/>
                      <w:numId w:val="44"/>
                    </w:numPr>
                    <w:ind w:left="136" w:right="272" w:hanging="136"/>
                    <w:rPr>
                      <w:rFonts w:cs="Times New Roman"/>
                      <w:sz w:val="22"/>
                      <w:szCs w:val="22"/>
                    </w:rPr>
                  </w:pPr>
                  <w:r w:rsidRPr="00C20348">
                    <w:rPr>
                      <w:rFonts w:cs="Times New Roman"/>
                      <w:sz w:val="22"/>
                      <w:szCs w:val="22"/>
                    </w:rPr>
                    <w:t>2023: 10 declaraciones</w:t>
                  </w:r>
                </w:p>
                <w:p w14:paraId="4CE10BDC" w14:textId="77777777" w:rsidR="00C454A1" w:rsidRPr="00C20348" w:rsidRDefault="00C454A1" w:rsidP="005F4A6F">
                  <w:pPr>
                    <w:pStyle w:val="Prrafodelista"/>
                    <w:numPr>
                      <w:ilvl w:val="0"/>
                      <w:numId w:val="44"/>
                    </w:numPr>
                    <w:ind w:left="136" w:right="272" w:hanging="136"/>
                    <w:rPr>
                      <w:rFonts w:cs="Times New Roman"/>
                      <w:sz w:val="22"/>
                      <w:szCs w:val="22"/>
                    </w:rPr>
                  </w:pPr>
                  <w:r w:rsidRPr="00C20348">
                    <w:rPr>
                      <w:rFonts w:cs="Times New Roman"/>
                      <w:sz w:val="22"/>
                      <w:szCs w:val="22"/>
                    </w:rPr>
                    <w:t>2024: 7 declaraciones</w:t>
                  </w:r>
                </w:p>
                <w:p w14:paraId="7090D541" w14:textId="77777777" w:rsidR="00C454A1" w:rsidRPr="00C20348" w:rsidRDefault="00C454A1" w:rsidP="005F4A6F">
                  <w:pPr>
                    <w:pStyle w:val="Prrafodelista"/>
                    <w:numPr>
                      <w:ilvl w:val="0"/>
                      <w:numId w:val="44"/>
                    </w:numPr>
                    <w:ind w:left="136" w:right="272" w:hanging="136"/>
                    <w:rPr>
                      <w:rFonts w:cs="Times New Roman"/>
                      <w:sz w:val="22"/>
                      <w:szCs w:val="22"/>
                    </w:rPr>
                  </w:pPr>
                  <w:r w:rsidRPr="00C20348">
                    <w:rPr>
                      <w:rFonts w:cs="Times New Roman"/>
                      <w:sz w:val="22"/>
                      <w:szCs w:val="22"/>
                    </w:rPr>
                    <w:t>2025: 20 declaraciones</w:t>
                  </w:r>
                </w:p>
              </w:tc>
              <w:tc>
                <w:tcPr>
                  <w:tcW w:w="1984" w:type="dxa"/>
                </w:tcPr>
                <w:p w14:paraId="7F5212C0" w14:textId="77777777" w:rsidR="00C454A1" w:rsidRPr="00C20348" w:rsidRDefault="00C454A1" w:rsidP="00881E6A">
                  <w:pPr>
                    <w:pStyle w:val="Prrafodelista"/>
                    <w:ind w:left="153" w:right="272"/>
                    <w:rPr>
                      <w:rFonts w:cs="Times New Roman"/>
                      <w:sz w:val="22"/>
                      <w:szCs w:val="22"/>
                    </w:rPr>
                  </w:pPr>
                  <w:r w:rsidRPr="00C20348">
                    <w:rPr>
                      <w:rFonts w:cs="Times New Roman"/>
                      <w:sz w:val="22"/>
                      <w:szCs w:val="22"/>
                    </w:rPr>
                    <w:t>Sin registros</w:t>
                  </w:r>
                </w:p>
              </w:tc>
              <w:tc>
                <w:tcPr>
                  <w:tcW w:w="2381" w:type="dxa"/>
                </w:tcPr>
                <w:p w14:paraId="0AA63E93" w14:textId="77777777" w:rsidR="00C454A1" w:rsidRPr="00C20348" w:rsidRDefault="00C454A1" w:rsidP="005F4A6F">
                  <w:pPr>
                    <w:pStyle w:val="Prrafodelista"/>
                    <w:numPr>
                      <w:ilvl w:val="0"/>
                      <w:numId w:val="44"/>
                    </w:numPr>
                    <w:ind w:left="153" w:right="272" w:hanging="153"/>
                    <w:rPr>
                      <w:rFonts w:cs="Times New Roman"/>
                      <w:sz w:val="22"/>
                      <w:szCs w:val="22"/>
                    </w:rPr>
                  </w:pPr>
                  <w:r w:rsidRPr="00C20348">
                    <w:rPr>
                      <w:rFonts w:cs="Times New Roman"/>
                      <w:sz w:val="22"/>
                      <w:szCs w:val="22"/>
                    </w:rPr>
                    <w:t>2022: 3 declaraciones</w:t>
                  </w:r>
                </w:p>
                <w:p w14:paraId="26BB3365" w14:textId="77777777" w:rsidR="00C454A1" w:rsidRPr="00C20348" w:rsidRDefault="00C454A1" w:rsidP="005F4A6F">
                  <w:pPr>
                    <w:pStyle w:val="Prrafodelista"/>
                    <w:numPr>
                      <w:ilvl w:val="0"/>
                      <w:numId w:val="44"/>
                    </w:numPr>
                    <w:ind w:left="153" w:right="272" w:hanging="153"/>
                    <w:rPr>
                      <w:rFonts w:cs="Times New Roman"/>
                      <w:sz w:val="22"/>
                      <w:szCs w:val="22"/>
                    </w:rPr>
                  </w:pPr>
                  <w:r w:rsidRPr="00C20348">
                    <w:rPr>
                      <w:rFonts w:cs="Times New Roman"/>
                      <w:sz w:val="22"/>
                      <w:szCs w:val="22"/>
                    </w:rPr>
                    <w:t>2023: 6 declaraciones</w:t>
                  </w:r>
                </w:p>
                <w:p w14:paraId="76AF60B0" w14:textId="77777777" w:rsidR="00C454A1" w:rsidRPr="00C20348" w:rsidRDefault="00C454A1" w:rsidP="005F4A6F">
                  <w:pPr>
                    <w:pStyle w:val="Prrafodelista"/>
                    <w:numPr>
                      <w:ilvl w:val="0"/>
                      <w:numId w:val="44"/>
                    </w:numPr>
                    <w:ind w:left="153" w:right="272" w:hanging="153"/>
                    <w:rPr>
                      <w:rFonts w:cs="Times New Roman"/>
                      <w:sz w:val="22"/>
                      <w:szCs w:val="22"/>
                    </w:rPr>
                  </w:pPr>
                  <w:r w:rsidRPr="00C20348">
                    <w:rPr>
                      <w:rFonts w:cs="Times New Roman"/>
                      <w:sz w:val="22"/>
                      <w:szCs w:val="22"/>
                    </w:rPr>
                    <w:t>2024: 2 declaraciones</w:t>
                  </w:r>
                </w:p>
                <w:p w14:paraId="411D2637" w14:textId="77777777" w:rsidR="00C454A1" w:rsidRPr="00C20348" w:rsidRDefault="00C454A1" w:rsidP="005F4A6F">
                  <w:pPr>
                    <w:pStyle w:val="Prrafodelista"/>
                    <w:numPr>
                      <w:ilvl w:val="0"/>
                      <w:numId w:val="44"/>
                    </w:numPr>
                    <w:ind w:left="153" w:right="272" w:hanging="153"/>
                    <w:rPr>
                      <w:rFonts w:cs="Times New Roman"/>
                      <w:sz w:val="22"/>
                      <w:szCs w:val="22"/>
                    </w:rPr>
                  </w:pPr>
                  <w:r w:rsidRPr="00C20348">
                    <w:rPr>
                      <w:rFonts w:cs="Times New Roman"/>
                      <w:sz w:val="22"/>
                      <w:szCs w:val="22"/>
                    </w:rPr>
                    <w:t>2025: 1 declaraciones</w:t>
                  </w:r>
                </w:p>
              </w:tc>
              <w:tc>
                <w:tcPr>
                  <w:tcW w:w="2381" w:type="dxa"/>
                </w:tcPr>
                <w:p w14:paraId="164FE393" w14:textId="77777777" w:rsidR="00C454A1" w:rsidRPr="00C20348" w:rsidRDefault="00C454A1" w:rsidP="005F4A6F">
                  <w:pPr>
                    <w:pStyle w:val="Prrafodelista"/>
                    <w:numPr>
                      <w:ilvl w:val="0"/>
                      <w:numId w:val="44"/>
                    </w:numPr>
                    <w:ind w:left="153" w:right="272" w:hanging="153"/>
                    <w:rPr>
                      <w:rFonts w:cs="Times New Roman"/>
                      <w:sz w:val="22"/>
                      <w:szCs w:val="22"/>
                    </w:rPr>
                  </w:pPr>
                  <w:r w:rsidRPr="00C20348">
                    <w:rPr>
                      <w:rFonts w:cs="Times New Roman"/>
                      <w:sz w:val="22"/>
                      <w:szCs w:val="22"/>
                    </w:rPr>
                    <w:t>2022: 0 declaraciones</w:t>
                  </w:r>
                </w:p>
                <w:p w14:paraId="11DA3ED8" w14:textId="77777777" w:rsidR="00C454A1" w:rsidRPr="00C20348" w:rsidRDefault="00C454A1" w:rsidP="005F4A6F">
                  <w:pPr>
                    <w:pStyle w:val="Prrafodelista"/>
                    <w:numPr>
                      <w:ilvl w:val="0"/>
                      <w:numId w:val="44"/>
                    </w:numPr>
                    <w:ind w:left="153" w:right="272" w:hanging="153"/>
                    <w:rPr>
                      <w:rFonts w:cs="Times New Roman"/>
                      <w:sz w:val="22"/>
                      <w:szCs w:val="22"/>
                    </w:rPr>
                  </w:pPr>
                  <w:r w:rsidRPr="00C20348">
                    <w:rPr>
                      <w:rFonts w:cs="Times New Roman"/>
                      <w:sz w:val="22"/>
                      <w:szCs w:val="22"/>
                    </w:rPr>
                    <w:t>2023: 4 declaraciones</w:t>
                  </w:r>
                </w:p>
                <w:p w14:paraId="7CA9A009" w14:textId="77777777" w:rsidR="00C454A1" w:rsidRPr="00C20348" w:rsidRDefault="00C454A1" w:rsidP="005F4A6F">
                  <w:pPr>
                    <w:pStyle w:val="Prrafodelista"/>
                    <w:numPr>
                      <w:ilvl w:val="0"/>
                      <w:numId w:val="44"/>
                    </w:numPr>
                    <w:ind w:left="153" w:right="272" w:hanging="153"/>
                    <w:rPr>
                      <w:rFonts w:cs="Times New Roman"/>
                      <w:sz w:val="22"/>
                      <w:szCs w:val="22"/>
                    </w:rPr>
                  </w:pPr>
                  <w:r w:rsidRPr="00C20348">
                    <w:rPr>
                      <w:rFonts w:cs="Times New Roman"/>
                      <w:sz w:val="22"/>
                      <w:szCs w:val="22"/>
                    </w:rPr>
                    <w:t>2024: 0 declaraciones</w:t>
                  </w:r>
                </w:p>
                <w:p w14:paraId="126D629F" w14:textId="77777777" w:rsidR="00C454A1" w:rsidRPr="00C20348" w:rsidRDefault="00C454A1" w:rsidP="005F4A6F">
                  <w:pPr>
                    <w:pStyle w:val="Prrafodelista"/>
                    <w:numPr>
                      <w:ilvl w:val="0"/>
                      <w:numId w:val="44"/>
                    </w:numPr>
                    <w:ind w:left="153" w:right="272" w:hanging="153"/>
                    <w:rPr>
                      <w:rFonts w:cs="Times New Roman"/>
                      <w:sz w:val="22"/>
                      <w:szCs w:val="22"/>
                    </w:rPr>
                  </w:pPr>
                  <w:r w:rsidRPr="00C20348">
                    <w:rPr>
                      <w:rFonts w:cs="Times New Roman"/>
                      <w:sz w:val="22"/>
                      <w:szCs w:val="22"/>
                    </w:rPr>
                    <w:t>2025: 0 declaraciones</w:t>
                  </w:r>
                </w:p>
                <w:p w14:paraId="096D303A" w14:textId="77777777" w:rsidR="00C454A1" w:rsidRPr="00C20348" w:rsidRDefault="00C454A1" w:rsidP="00881E6A">
                  <w:pPr>
                    <w:pStyle w:val="Prrafodelista"/>
                    <w:ind w:left="0" w:right="272"/>
                    <w:rPr>
                      <w:rFonts w:cs="Times New Roman"/>
                      <w:sz w:val="22"/>
                      <w:szCs w:val="22"/>
                    </w:rPr>
                  </w:pPr>
                </w:p>
              </w:tc>
            </w:tr>
          </w:tbl>
          <w:p w14:paraId="729368E6" w14:textId="77777777" w:rsidR="00C454A1" w:rsidRDefault="00C454A1" w:rsidP="00881E6A">
            <w:pPr>
              <w:pStyle w:val="Prrafodelista"/>
              <w:ind w:right="272"/>
              <w:rPr>
                <w:rFonts w:cs="Times New Roman"/>
              </w:rPr>
            </w:pPr>
          </w:p>
          <w:p w14:paraId="1C2C3259" w14:textId="77777777" w:rsidR="00C454A1" w:rsidRPr="00DA6C7F" w:rsidRDefault="00C454A1" w:rsidP="005F4A6F">
            <w:pPr>
              <w:pStyle w:val="Prrafodelista"/>
              <w:numPr>
                <w:ilvl w:val="0"/>
                <w:numId w:val="47"/>
              </w:numPr>
              <w:ind w:right="272"/>
              <w:rPr>
                <w:rFonts w:cs="Times New Roman"/>
              </w:rPr>
            </w:pPr>
            <w:r w:rsidRPr="00DA6C7F">
              <w:rPr>
                <w:rFonts w:cs="Times New Roman"/>
              </w:rPr>
              <w:t xml:space="preserve">La alcaldía informó que no tiene estadísticas sobre los victimarios. </w:t>
            </w:r>
          </w:p>
          <w:p w14:paraId="66943E4C" w14:textId="77777777" w:rsidR="00C454A1" w:rsidRPr="00DA6C7F" w:rsidRDefault="00C454A1" w:rsidP="005F4A6F">
            <w:pPr>
              <w:pStyle w:val="Prrafodelista"/>
              <w:numPr>
                <w:ilvl w:val="0"/>
                <w:numId w:val="47"/>
              </w:numPr>
              <w:ind w:right="272"/>
              <w:rPr>
                <w:rFonts w:cs="Times New Roman"/>
              </w:rPr>
            </w:pPr>
            <w:r>
              <w:rPr>
                <w:rFonts w:cs="Times New Roman"/>
              </w:rPr>
              <w:t>Las</w:t>
            </w:r>
            <w:r w:rsidRPr="00DA6C7F">
              <w:rPr>
                <w:rFonts w:cs="Times New Roman"/>
              </w:rPr>
              <w:t xml:space="preserve"> víctimas son adultos y niños</w:t>
            </w:r>
            <w:r>
              <w:rPr>
                <w:rFonts w:cs="Times New Roman"/>
              </w:rPr>
              <w:t>.</w:t>
            </w:r>
          </w:p>
          <w:p w14:paraId="6026CBC4" w14:textId="77777777" w:rsidR="00C454A1" w:rsidRPr="00DA6C7F" w:rsidRDefault="00C454A1" w:rsidP="005F4A6F">
            <w:pPr>
              <w:pStyle w:val="Prrafodelista"/>
              <w:numPr>
                <w:ilvl w:val="0"/>
                <w:numId w:val="47"/>
              </w:numPr>
              <w:ind w:right="272"/>
              <w:rPr>
                <w:rFonts w:cs="Times New Roman"/>
              </w:rPr>
            </w:pPr>
            <w:r w:rsidRPr="00DA6C7F">
              <w:rPr>
                <w:rFonts w:cs="Times New Roman"/>
              </w:rPr>
              <w:t>Las zonas del municipio más afectadas son</w:t>
            </w:r>
            <w:r>
              <w:rPr>
                <w:rFonts w:cs="Times New Roman"/>
              </w:rPr>
              <w:t>:</w:t>
            </w:r>
          </w:p>
          <w:p w14:paraId="4B63F618" w14:textId="77777777" w:rsidR="00C454A1" w:rsidRPr="00DA6C7F" w:rsidRDefault="00C454A1" w:rsidP="005F4A6F">
            <w:pPr>
              <w:pStyle w:val="Prrafodelista"/>
              <w:numPr>
                <w:ilvl w:val="1"/>
                <w:numId w:val="47"/>
              </w:numPr>
              <w:ind w:right="272"/>
              <w:rPr>
                <w:rFonts w:cs="Times New Roman"/>
              </w:rPr>
            </w:pPr>
            <w:r w:rsidRPr="00DA6C7F">
              <w:rPr>
                <w:rFonts w:cs="Times New Roman"/>
              </w:rPr>
              <w:t>Urbana: Barrio San pedro, Barrio la inmaculada, Barrio San Antonio.</w:t>
            </w:r>
          </w:p>
          <w:p w14:paraId="54E4D308" w14:textId="77777777" w:rsidR="00C454A1" w:rsidRPr="00DA6C7F" w:rsidRDefault="00C454A1" w:rsidP="005F4A6F">
            <w:pPr>
              <w:pStyle w:val="Prrafodelista"/>
              <w:numPr>
                <w:ilvl w:val="1"/>
                <w:numId w:val="47"/>
              </w:numPr>
              <w:ind w:right="272"/>
              <w:rPr>
                <w:rFonts w:cs="Times New Roman"/>
                <w:lang w:val="es-ES"/>
              </w:rPr>
            </w:pPr>
            <w:r w:rsidRPr="00DA6C7F">
              <w:rPr>
                <w:rFonts w:cs="Times New Roman"/>
                <w:lang w:val="es-ES"/>
              </w:rPr>
              <w:t xml:space="preserve">Rural: Vereda Capitán largo, el Chorro, Oropoma, Haraganazo, El Salado, El </w:t>
            </w:r>
            <w:r>
              <w:rPr>
                <w:rFonts w:cs="Times New Roman"/>
                <w:lang w:val="es-ES"/>
              </w:rPr>
              <w:t>C</w:t>
            </w:r>
            <w:r w:rsidRPr="00DA6C7F">
              <w:rPr>
                <w:rFonts w:cs="Times New Roman"/>
                <w:lang w:val="es-ES"/>
              </w:rPr>
              <w:t>ampanario, Santa Rita, Los Asientos, Corregimiento unión Campesina, El molino, El hoyo, San Miguel, Alto Pávez y el Tabaco</w:t>
            </w:r>
            <w:r w:rsidRPr="00DA6C7F">
              <w:rPr>
                <w:rStyle w:val="Refdenotaalpie"/>
                <w:rFonts w:cs="Times New Roman"/>
                <w:lang w:val="es-ES"/>
              </w:rPr>
              <w:footnoteReference w:id="778"/>
            </w:r>
            <w:r w:rsidRPr="00DA6C7F">
              <w:rPr>
                <w:rFonts w:cs="Times New Roman"/>
                <w:lang w:val="es-ES"/>
              </w:rPr>
              <w:t>.</w:t>
            </w:r>
          </w:p>
          <w:p w14:paraId="6980AB5A" w14:textId="77777777" w:rsidR="00C454A1" w:rsidRPr="00DA6C7F" w:rsidRDefault="00C454A1" w:rsidP="005F4A6F">
            <w:pPr>
              <w:pStyle w:val="Prrafodelista"/>
              <w:numPr>
                <w:ilvl w:val="0"/>
                <w:numId w:val="47"/>
              </w:numPr>
              <w:ind w:right="272"/>
              <w:rPr>
                <w:rFonts w:cs="Times New Roman"/>
              </w:rPr>
            </w:pPr>
            <w:r w:rsidRPr="00DA6C7F">
              <w:rPr>
                <w:rFonts w:cs="Times New Roman"/>
              </w:rPr>
              <w:lastRenderedPageBreak/>
              <w:t>Agregó sobre los desplazamientos que:</w:t>
            </w:r>
          </w:p>
          <w:p w14:paraId="083A868C" w14:textId="77777777" w:rsidR="00C454A1" w:rsidRPr="00DA6C7F" w:rsidRDefault="00C454A1" w:rsidP="005F4A6F">
            <w:pPr>
              <w:pStyle w:val="Prrafodelista"/>
              <w:numPr>
                <w:ilvl w:val="1"/>
                <w:numId w:val="47"/>
              </w:numPr>
              <w:ind w:right="272"/>
              <w:rPr>
                <w:rFonts w:cs="Times New Roman"/>
              </w:rPr>
            </w:pPr>
            <w:r w:rsidRPr="00DA6C7F">
              <w:rPr>
                <w:rFonts w:cs="Times New Roman"/>
              </w:rPr>
              <w:t>La respuesta institucional fue “eficiente ya que se generaron ayudas humanitarias de manera inmediata, teniendo alojamiento en albergues, alimentación y transporte de emergencia en caso de que se requiera”</w:t>
            </w:r>
            <w:r w:rsidRPr="00DA6C7F">
              <w:rPr>
                <w:rStyle w:val="Refdenotaalpie"/>
                <w:rFonts w:cs="Times New Roman"/>
              </w:rPr>
              <w:footnoteReference w:id="779"/>
            </w:r>
            <w:r w:rsidRPr="00DA6C7F">
              <w:rPr>
                <w:rFonts w:cs="Times New Roman"/>
              </w:rPr>
              <w:t>.</w:t>
            </w:r>
          </w:p>
          <w:p w14:paraId="48485D16" w14:textId="77777777" w:rsidR="00C454A1" w:rsidRPr="00DA6C7F" w:rsidRDefault="00C454A1" w:rsidP="005F4A6F">
            <w:pPr>
              <w:pStyle w:val="Prrafodelista"/>
              <w:numPr>
                <w:ilvl w:val="1"/>
                <w:numId w:val="47"/>
              </w:numPr>
              <w:ind w:right="272"/>
              <w:rPr>
                <w:rFonts w:cs="Times New Roman"/>
              </w:rPr>
            </w:pPr>
            <w:r w:rsidRPr="00DA6C7F">
              <w:rPr>
                <w:rFonts w:cs="Times New Roman"/>
              </w:rPr>
              <w:t>Las personas desplazadas se dirigieron al centro del municipio, pero la mayoría ya ha retornado a su lugar de origen.</w:t>
            </w:r>
          </w:p>
          <w:p w14:paraId="1B27DFA0" w14:textId="77777777" w:rsidR="00C454A1" w:rsidRPr="00DA6C7F" w:rsidRDefault="00C454A1" w:rsidP="00881E6A">
            <w:pPr>
              <w:pStyle w:val="Prrafodelista"/>
              <w:ind w:right="272"/>
              <w:rPr>
                <w:rFonts w:cs="Times New Roman"/>
              </w:rPr>
            </w:pPr>
          </w:p>
          <w:p w14:paraId="63BAAD4D" w14:textId="77777777" w:rsidR="00C454A1" w:rsidRPr="00DA6C7F" w:rsidRDefault="00C454A1" w:rsidP="005F4A6F">
            <w:pPr>
              <w:pStyle w:val="Prrafodelista"/>
              <w:numPr>
                <w:ilvl w:val="0"/>
                <w:numId w:val="57"/>
              </w:numPr>
              <w:ind w:left="741" w:right="272" w:hanging="567"/>
              <w:rPr>
                <w:rFonts w:cs="Times New Roman"/>
              </w:rPr>
            </w:pPr>
            <w:r w:rsidRPr="00DA6C7F">
              <w:rPr>
                <w:rFonts w:cs="Times New Roman"/>
              </w:rPr>
              <w:t>Confrontaciones entre los GAO</w:t>
            </w:r>
          </w:p>
          <w:p w14:paraId="0B975B50" w14:textId="77777777" w:rsidR="00C454A1" w:rsidRPr="00DA6C7F" w:rsidRDefault="00C454A1" w:rsidP="005F4A6F">
            <w:pPr>
              <w:pStyle w:val="Prrafodelista"/>
              <w:numPr>
                <w:ilvl w:val="0"/>
                <w:numId w:val="48"/>
              </w:numPr>
              <w:ind w:left="782" w:right="272" w:hanging="425"/>
              <w:rPr>
                <w:rFonts w:cs="Times New Roman"/>
                <w:lang w:val="es-ES"/>
              </w:rPr>
            </w:pPr>
            <w:r w:rsidRPr="00DA6C7F">
              <w:rPr>
                <w:rFonts w:cs="Times New Roman"/>
                <w:lang w:val="es-ES"/>
              </w:rPr>
              <w:t xml:space="preserve">Informó </w:t>
            </w:r>
            <w:r>
              <w:rPr>
                <w:rFonts w:cs="Times New Roman"/>
                <w:lang w:val="es-ES"/>
              </w:rPr>
              <w:t xml:space="preserve">que </w:t>
            </w:r>
            <w:r w:rsidRPr="00DA6C7F">
              <w:rPr>
                <w:rFonts w:cs="Times New Roman"/>
                <w:lang w:val="es-ES"/>
              </w:rPr>
              <w:t xml:space="preserve">durante 2022 hasta 2024 no se presentaron confrontaciones, pero </w:t>
            </w:r>
            <w:r>
              <w:rPr>
                <w:rFonts w:cs="Times New Roman"/>
                <w:lang w:val="es-ES"/>
              </w:rPr>
              <w:t>estas comenzaron desde</w:t>
            </w:r>
            <w:r w:rsidRPr="00DA6C7F">
              <w:rPr>
                <w:rFonts w:cs="Times New Roman"/>
                <w:lang w:val="es-ES"/>
              </w:rPr>
              <w:t xml:space="preserve"> enero de 2025.</w:t>
            </w:r>
          </w:p>
          <w:p w14:paraId="4896B499"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Señaló que en el municipio hay una disputa por el territorio entre el ELN y el GAOR FRENTE 33 </w:t>
            </w:r>
            <w:r>
              <w:rPr>
                <w:rFonts w:cs="Times New Roman"/>
              </w:rPr>
              <w:t>de las</w:t>
            </w:r>
            <w:r w:rsidRPr="00DA6C7F">
              <w:rPr>
                <w:rFonts w:cs="Times New Roman"/>
              </w:rPr>
              <w:t xml:space="preserve"> FARC, en el corregimiento de la Unión Campesina</w:t>
            </w:r>
            <w:r w:rsidRPr="00DA6C7F">
              <w:rPr>
                <w:rStyle w:val="Refdenotaalpie"/>
                <w:rFonts w:cs="Times New Roman"/>
              </w:rPr>
              <w:footnoteReference w:id="780"/>
            </w:r>
          </w:p>
          <w:p w14:paraId="589B35AF" w14:textId="77777777" w:rsidR="00C454A1" w:rsidRPr="00DA6C7F" w:rsidRDefault="00C454A1" w:rsidP="005F4A6F">
            <w:pPr>
              <w:pStyle w:val="Prrafodelista"/>
              <w:numPr>
                <w:ilvl w:val="0"/>
                <w:numId w:val="48"/>
              </w:numPr>
              <w:ind w:left="782" w:right="272" w:hanging="425"/>
              <w:rPr>
                <w:rFonts w:cs="Times New Roman"/>
              </w:rPr>
            </w:pPr>
            <w:r>
              <w:rPr>
                <w:rFonts w:cs="Times New Roman"/>
              </w:rPr>
              <w:t>R</w:t>
            </w:r>
            <w:r w:rsidRPr="00DA6C7F">
              <w:rPr>
                <w:rFonts w:cs="Times New Roman"/>
              </w:rPr>
              <w:t>esaltó que ha tomado las siguientes medidas por los enfrentamientos:</w:t>
            </w:r>
          </w:p>
          <w:p w14:paraId="55676E30" w14:textId="77777777" w:rsidR="00C454A1" w:rsidRPr="00DA6C7F" w:rsidRDefault="00C454A1" w:rsidP="005F4A6F">
            <w:pPr>
              <w:pStyle w:val="Prrafodelista"/>
              <w:numPr>
                <w:ilvl w:val="1"/>
                <w:numId w:val="48"/>
              </w:numPr>
              <w:ind w:left="1455" w:right="272" w:hanging="283"/>
              <w:rPr>
                <w:rFonts w:cs="Times New Roman"/>
              </w:rPr>
            </w:pPr>
            <w:r w:rsidRPr="00DA6C7F">
              <w:rPr>
                <w:rFonts w:cs="Times New Roman"/>
              </w:rPr>
              <w:t>Realizó la declaración de Urgencia manifiesta mediante el decreto 004 del 20 de enero de 2025.</w:t>
            </w:r>
          </w:p>
          <w:p w14:paraId="7BFB0BB0" w14:textId="77777777" w:rsidR="00C454A1" w:rsidRPr="00DA6C7F" w:rsidRDefault="00C454A1" w:rsidP="005F4A6F">
            <w:pPr>
              <w:pStyle w:val="Prrafodelista"/>
              <w:numPr>
                <w:ilvl w:val="1"/>
                <w:numId w:val="48"/>
              </w:numPr>
              <w:ind w:left="1455" w:right="272" w:hanging="283"/>
              <w:rPr>
                <w:rFonts w:cs="Times New Roman"/>
                <w:lang w:val="es-ES"/>
              </w:rPr>
            </w:pPr>
            <w:r w:rsidRPr="00DA6C7F">
              <w:rPr>
                <w:rFonts w:cs="Times New Roman"/>
                <w:lang w:val="es-ES"/>
              </w:rPr>
              <w:t>Dispuso de todos los recursos humanos y administrativos de la administración municipal, incluyendo el apoyo de la Cruz Roja, Sisbén, Policía Nacional, el Consejo Noruego</w:t>
            </w:r>
            <w:r>
              <w:rPr>
                <w:rFonts w:cs="Times New Roman"/>
                <w:lang w:val="es-ES"/>
              </w:rPr>
              <w:t xml:space="preserve"> para Refugiados</w:t>
            </w:r>
            <w:r w:rsidRPr="00DA6C7F">
              <w:rPr>
                <w:rFonts w:cs="Times New Roman"/>
                <w:lang w:val="es-ES"/>
              </w:rPr>
              <w:t>, Defensa Civil, ICBF, Unidad de Víctimas y Gobernación de Norte de Santander.</w:t>
            </w:r>
          </w:p>
          <w:p w14:paraId="68FC607D" w14:textId="77777777" w:rsidR="00C454A1" w:rsidRPr="00DA6C7F" w:rsidRDefault="00C454A1" w:rsidP="005F4A6F">
            <w:pPr>
              <w:pStyle w:val="Prrafodelista"/>
              <w:numPr>
                <w:ilvl w:val="1"/>
                <w:numId w:val="48"/>
              </w:numPr>
              <w:ind w:left="1455" w:right="272" w:hanging="283"/>
              <w:rPr>
                <w:rFonts w:cs="Times New Roman"/>
                <w:lang w:val="es-ES"/>
              </w:rPr>
            </w:pPr>
            <w:r w:rsidRPr="00DA6C7F">
              <w:rPr>
                <w:rFonts w:cs="Times New Roman"/>
                <w:lang w:val="es-ES"/>
              </w:rPr>
              <w:t>Como medida de prevención (i) habilitó una antigua sede educativa como tercer albergue, (ii) está realizando monitoreos constantes en coordinación con los organismos de seguridad y entidades respondientes para prevenir nuevas movilizaciones, (iii) está gestionando brigadas médicas y dotación de insumos esenciales.</w:t>
            </w:r>
          </w:p>
          <w:p w14:paraId="350E777F" w14:textId="77777777" w:rsidR="00C454A1" w:rsidRPr="00DA6C7F" w:rsidRDefault="00C454A1" w:rsidP="00881E6A">
            <w:pPr>
              <w:pStyle w:val="Prrafodelista"/>
              <w:ind w:right="272"/>
              <w:rPr>
                <w:rFonts w:cs="Times New Roman"/>
              </w:rPr>
            </w:pPr>
          </w:p>
          <w:p w14:paraId="070B260C" w14:textId="77777777" w:rsidR="00C454A1" w:rsidRPr="00DA6C7F" w:rsidRDefault="00C454A1" w:rsidP="005F4A6F">
            <w:pPr>
              <w:pStyle w:val="Prrafodelista"/>
              <w:numPr>
                <w:ilvl w:val="0"/>
                <w:numId w:val="57"/>
              </w:numPr>
              <w:ind w:left="741" w:right="272" w:hanging="567"/>
              <w:rPr>
                <w:rFonts w:cs="Times New Roman"/>
              </w:rPr>
            </w:pPr>
            <w:r w:rsidRPr="00DA6C7F">
              <w:rPr>
                <w:rFonts w:cs="Times New Roman"/>
              </w:rPr>
              <w:t>Actividades ilícitas de los GAO</w:t>
            </w:r>
          </w:p>
          <w:p w14:paraId="51BF44D8" w14:textId="77777777" w:rsidR="00C454A1" w:rsidRPr="00DA6C7F" w:rsidRDefault="00C454A1" w:rsidP="005F4A6F">
            <w:pPr>
              <w:pStyle w:val="Prrafodelista"/>
              <w:numPr>
                <w:ilvl w:val="0"/>
                <w:numId w:val="48"/>
              </w:numPr>
              <w:ind w:right="272"/>
              <w:rPr>
                <w:rFonts w:cs="Times New Roman"/>
              </w:rPr>
            </w:pPr>
            <w:r w:rsidRPr="00DA6C7F">
              <w:rPr>
                <w:rFonts w:cs="Times New Roman"/>
              </w:rPr>
              <w:lastRenderedPageBreak/>
              <w:t xml:space="preserve">Informó que las actividades ilícitas pueden clasificarse en cultivos de uso ilícito, rutas de micro y macro tráfico en comercio de alucinógenos, extorsiones, retenes ilegales, atentados contra la fuerza pública, amedrantamiento poblacional, homicidios selectivos, zonas minadas y control del </w:t>
            </w:r>
            <w:r>
              <w:rPr>
                <w:rFonts w:cs="Times New Roman"/>
              </w:rPr>
              <w:t>n</w:t>
            </w:r>
            <w:r w:rsidRPr="00DA6C7F">
              <w:rPr>
                <w:rFonts w:cs="Times New Roman"/>
              </w:rPr>
              <w:t>arcotráfico:</w:t>
            </w:r>
          </w:p>
          <w:p w14:paraId="31C0EBEF" w14:textId="77777777" w:rsidR="00C454A1" w:rsidRPr="00DA6C7F" w:rsidRDefault="00C454A1" w:rsidP="005F4A6F">
            <w:pPr>
              <w:pStyle w:val="Prrafodelista"/>
              <w:numPr>
                <w:ilvl w:val="0"/>
                <w:numId w:val="48"/>
              </w:numPr>
              <w:ind w:right="272"/>
              <w:rPr>
                <w:rFonts w:cs="Times New Roman"/>
              </w:rPr>
            </w:pPr>
            <w:r w:rsidRPr="00DA6C7F">
              <w:rPr>
                <w:rFonts w:cs="Times New Roman"/>
              </w:rPr>
              <w:t>Sobre las medidas tomadas por la administración municipal y sus resultados, señaló lo siguiente:</w:t>
            </w:r>
          </w:p>
          <w:p w14:paraId="51280504" w14:textId="77777777" w:rsidR="00C454A1" w:rsidRDefault="00C454A1" w:rsidP="00881E6A">
            <w:pPr>
              <w:pStyle w:val="Prrafodelista"/>
              <w:ind w:left="1361" w:right="272"/>
              <w:rPr>
                <w:rFonts w:cs="Times New Roman"/>
              </w:rPr>
            </w:pPr>
          </w:p>
          <w:p w14:paraId="07555874" w14:textId="77777777" w:rsidR="00C454A1" w:rsidRPr="00C214E0" w:rsidRDefault="00C454A1" w:rsidP="00881E6A">
            <w:pPr>
              <w:pStyle w:val="Prrafodelista"/>
              <w:ind w:left="1361" w:right="272"/>
              <w:jc w:val="center"/>
              <w:rPr>
                <w:rFonts w:cs="Times New Roman"/>
                <w:i/>
                <w:iCs/>
                <w:sz w:val="20"/>
                <w:szCs w:val="20"/>
              </w:rPr>
            </w:pPr>
            <w:r w:rsidRPr="00C214E0">
              <w:rPr>
                <w:rFonts w:cs="Times New Roman"/>
                <w:i/>
                <w:iCs/>
                <w:sz w:val="20"/>
                <w:szCs w:val="20"/>
              </w:rPr>
              <w:t>Tabla 36: medidas adoptadas por el municipio de Ábrego frente a las actividades ilícitas de los GAO</w:t>
            </w:r>
          </w:p>
          <w:tbl>
            <w:tblPr>
              <w:tblStyle w:val="Tablaconcuadrcula"/>
              <w:tblW w:w="0" w:type="auto"/>
              <w:jc w:val="center"/>
              <w:tblLook w:val="04A0" w:firstRow="1" w:lastRow="0" w:firstColumn="1" w:lastColumn="0" w:noHBand="0" w:noVBand="1"/>
            </w:tblPr>
            <w:tblGrid>
              <w:gridCol w:w="2603"/>
              <w:gridCol w:w="5604"/>
              <w:gridCol w:w="5324"/>
            </w:tblGrid>
            <w:tr w:rsidR="00C454A1" w:rsidRPr="000F7730" w14:paraId="19534AEF" w14:textId="77777777" w:rsidTr="001F3006">
              <w:trPr>
                <w:jc w:val="center"/>
              </w:trPr>
              <w:tc>
                <w:tcPr>
                  <w:tcW w:w="2835" w:type="dxa"/>
                  <w:shd w:val="clear" w:color="auto" w:fill="D9D9D9" w:themeFill="background1" w:themeFillShade="D9"/>
                </w:tcPr>
                <w:p w14:paraId="702F0020" w14:textId="77777777" w:rsidR="00C454A1" w:rsidRPr="004856DF" w:rsidRDefault="00C454A1" w:rsidP="00881E6A">
                  <w:pPr>
                    <w:ind w:right="272"/>
                    <w:jc w:val="center"/>
                    <w:rPr>
                      <w:rFonts w:cs="Times New Roman"/>
                      <w:sz w:val="22"/>
                      <w:szCs w:val="22"/>
                    </w:rPr>
                  </w:pPr>
                  <w:r w:rsidRPr="004856DF">
                    <w:rPr>
                      <w:rFonts w:cs="Times New Roman"/>
                      <w:sz w:val="22"/>
                      <w:szCs w:val="22"/>
                    </w:rPr>
                    <w:t>Actividad ilícita</w:t>
                  </w:r>
                </w:p>
              </w:tc>
              <w:tc>
                <w:tcPr>
                  <w:tcW w:w="6803" w:type="dxa"/>
                  <w:shd w:val="clear" w:color="auto" w:fill="D9D9D9" w:themeFill="background1" w:themeFillShade="D9"/>
                </w:tcPr>
                <w:p w14:paraId="5624CF59" w14:textId="77777777" w:rsidR="00C454A1" w:rsidRPr="004856DF" w:rsidRDefault="00C454A1" w:rsidP="00881E6A">
                  <w:pPr>
                    <w:ind w:right="272"/>
                    <w:jc w:val="center"/>
                    <w:rPr>
                      <w:rFonts w:cs="Times New Roman"/>
                      <w:sz w:val="22"/>
                      <w:szCs w:val="22"/>
                    </w:rPr>
                  </w:pPr>
                  <w:r w:rsidRPr="004856DF">
                    <w:rPr>
                      <w:rFonts w:cs="Times New Roman"/>
                      <w:sz w:val="22"/>
                      <w:szCs w:val="22"/>
                    </w:rPr>
                    <w:t>Medidas adoptadas</w:t>
                  </w:r>
                </w:p>
              </w:tc>
              <w:tc>
                <w:tcPr>
                  <w:tcW w:w="6803" w:type="dxa"/>
                  <w:shd w:val="clear" w:color="auto" w:fill="D9D9D9" w:themeFill="background1" w:themeFillShade="D9"/>
                </w:tcPr>
                <w:p w14:paraId="5D336FC2" w14:textId="77777777" w:rsidR="00C454A1" w:rsidRPr="004856DF" w:rsidRDefault="00C454A1" w:rsidP="00881E6A">
                  <w:pPr>
                    <w:ind w:right="272"/>
                    <w:jc w:val="center"/>
                    <w:rPr>
                      <w:rFonts w:cs="Times New Roman"/>
                      <w:sz w:val="22"/>
                      <w:szCs w:val="22"/>
                    </w:rPr>
                  </w:pPr>
                  <w:r w:rsidRPr="004856DF">
                    <w:rPr>
                      <w:rFonts w:cs="Times New Roman"/>
                      <w:sz w:val="22"/>
                      <w:szCs w:val="22"/>
                    </w:rPr>
                    <w:t>Resultado</w:t>
                  </w:r>
                </w:p>
              </w:tc>
            </w:tr>
            <w:tr w:rsidR="00C454A1" w:rsidRPr="00F8202F" w14:paraId="3F0B5F2C" w14:textId="77777777" w:rsidTr="001F3006">
              <w:trPr>
                <w:jc w:val="center"/>
              </w:trPr>
              <w:tc>
                <w:tcPr>
                  <w:tcW w:w="2835" w:type="dxa"/>
                </w:tcPr>
                <w:p w14:paraId="2B6E640E" w14:textId="77777777" w:rsidR="00C454A1" w:rsidRPr="004856DF" w:rsidRDefault="00C454A1" w:rsidP="00881E6A">
                  <w:pPr>
                    <w:ind w:right="272"/>
                    <w:rPr>
                      <w:rFonts w:cs="Times New Roman"/>
                      <w:sz w:val="22"/>
                      <w:szCs w:val="22"/>
                    </w:rPr>
                  </w:pPr>
                  <w:r w:rsidRPr="004856DF">
                    <w:rPr>
                      <w:rFonts w:cs="Times New Roman"/>
                      <w:sz w:val="22"/>
                      <w:szCs w:val="22"/>
                    </w:rPr>
                    <w:t>Microtráfico y comercio de alucinógenos</w:t>
                  </w:r>
                </w:p>
              </w:tc>
              <w:tc>
                <w:tcPr>
                  <w:tcW w:w="6803" w:type="dxa"/>
                </w:tcPr>
                <w:p w14:paraId="45012D86" w14:textId="77777777" w:rsidR="00C454A1" w:rsidRPr="004856DF" w:rsidRDefault="00C454A1" w:rsidP="005F4A6F">
                  <w:pPr>
                    <w:pStyle w:val="Prrafodelista"/>
                    <w:numPr>
                      <w:ilvl w:val="3"/>
                      <w:numId w:val="31"/>
                    </w:numPr>
                    <w:tabs>
                      <w:tab w:val="left" w:pos="997"/>
                    </w:tabs>
                    <w:ind w:left="0" w:right="272" w:firstLine="0"/>
                    <w:rPr>
                      <w:rFonts w:cs="Times New Roman"/>
                      <w:sz w:val="22"/>
                      <w:szCs w:val="22"/>
                    </w:rPr>
                  </w:pPr>
                  <w:r w:rsidRPr="004856DF">
                    <w:rPr>
                      <w:rFonts w:cs="Times New Roman"/>
                      <w:sz w:val="22"/>
                      <w:szCs w:val="22"/>
                    </w:rPr>
                    <w:t>Operativos de control y captura mediante acciones coordinadas entre la Policía Nacional y otras autoridades para desmantelar redes de microtráfico.</w:t>
                  </w:r>
                </w:p>
                <w:p w14:paraId="593C4F9C" w14:textId="77777777" w:rsidR="00C454A1" w:rsidRPr="004856DF" w:rsidRDefault="00C454A1" w:rsidP="005F4A6F">
                  <w:pPr>
                    <w:pStyle w:val="Prrafodelista"/>
                    <w:numPr>
                      <w:ilvl w:val="3"/>
                      <w:numId w:val="31"/>
                    </w:numPr>
                    <w:tabs>
                      <w:tab w:val="left" w:pos="997"/>
                    </w:tabs>
                    <w:ind w:left="0" w:right="272" w:firstLine="0"/>
                    <w:rPr>
                      <w:rFonts w:cs="Times New Roman"/>
                      <w:sz w:val="22"/>
                      <w:szCs w:val="22"/>
                    </w:rPr>
                  </w:pPr>
                  <w:r w:rsidRPr="004856DF">
                    <w:rPr>
                      <w:rFonts w:cs="Times New Roman"/>
                      <w:sz w:val="22"/>
                      <w:szCs w:val="22"/>
                    </w:rPr>
                    <w:t>Fortalecimiento del control en zonas de alta incidencia a través de la creación de planes de seguridad en barrios y sectores</w:t>
                  </w:r>
                  <w:r>
                    <w:rPr>
                      <w:rFonts w:cs="Times New Roman"/>
                      <w:sz w:val="22"/>
                      <w:szCs w:val="22"/>
                    </w:rPr>
                    <w:t>.</w:t>
                  </w:r>
                </w:p>
              </w:tc>
              <w:tc>
                <w:tcPr>
                  <w:tcW w:w="6803" w:type="dxa"/>
                </w:tcPr>
                <w:p w14:paraId="79C6FD05" w14:textId="77777777" w:rsidR="00C454A1" w:rsidRPr="004856DF" w:rsidRDefault="00C454A1" w:rsidP="00881E6A">
                  <w:pPr>
                    <w:ind w:right="272"/>
                    <w:rPr>
                      <w:rFonts w:cs="Times New Roman"/>
                      <w:sz w:val="22"/>
                      <w:szCs w:val="22"/>
                    </w:rPr>
                  </w:pPr>
                  <w:r w:rsidRPr="004856DF">
                    <w:rPr>
                      <w:rFonts w:cs="Times New Roman"/>
                      <w:sz w:val="22"/>
                      <w:szCs w:val="22"/>
                    </w:rPr>
                    <w:t>“A pesar de los operativos, las redes de microtráfico son</w:t>
                  </w:r>
                </w:p>
                <w:p w14:paraId="61E5917D" w14:textId="77777777" w:rsidR="00C454A1" w:rsidRPr="004856DF" w:rsidRDefault="00C454A1" w:rsidP="00881E6A">
                  <w:pPr>
                    <w:ind w:right="272"/>
                    <w:rPr>
                      <w:rFonts w:cs="Times New Roman"/>
                      <w:sz w:val="22"/>
                      <w:szCs w:val="22"/>
                    </w:rPr>
                  </w:pPr>
                  <w:r w:rsidRPr="004856DF">
                    <w:rPr>
                      <w:rFonts w:cs="Times New Roman"/>
                      <w:sz w:val="22"/>
                      <w:szCs w:val="22"/>
                    </w:rPr>
                    <w:t>muy dinámicas y rápidamente se reconfiguran, lo que dificulta resultados permanentes”</w:t>
                  </w:r>
                  <w:r w:rsidRPr="004856DF">
                    <w:rPr>
                      <w:rStyle w:val="Refdenotaalpie"/>
                      <w:rFonts w:cs="Times New Roman"/>
                      <w:sz w:val="22"/>
                      <w:szCs w:val="22"/>
                    </w:rPr>
                    <w:footnoteReference w:id="781"/>
                  </w:r>
                  <w:r w:rsidRPr="004856DF">
                    <w:rPr>
                      <w:rFonts w:cs="Times New Roman"/>
                      <w:sz w:val="22"/>
                      <w:szCs w:val="22"/>
                    </w:rPr>
                    <w:t>.</w:t>
                  </w:r>
                </w:p>
              </w:tc>
            </w:tr>
            <w:tr w:rsidR="00C454A1" w:rsidRPr="00F8202F" w14:paraId="7A4D1BFC" w14:textId="77777777" w:rsidTr="001F3006">
              <w:trPr>
                <w:jc w:val="center"/>
              </w:trPr>
              <w:tc>
                <w:tcPr>
                  <w:tcW w:w="2835" w:type="dxa"/>
                </w:tcPr>
                <w:p w14:paraId="324EF101" w14:textId="77777777" w:rsidR="00C454A1" w:rsidRPr="004856DF" w:rsidRDefault="00C454A1" w:rsidP="00881E6A">
                  <w:pPr>
                    <w:ind w:right="272"/>
                    <w:rPr>
                      <w:rFonts w:cs="Times New Roman"/>
                      <w:sz w:val="22"/>
                      <w:szCs w:val="22"/>
                    </w:rPr>
                  </w:pPr>
                  <w:r w:rsidRPr="004856DF">
                    <w:rPr>
                      <w:rFonts w:cs="Times New Roman"/>
                      <w:sz w:val="22"/>
                      <w:szCs w:val="22"/>
                    </w:rPr>
                    <w:t>Extorsiones</w:t>
                  </w:r>
                </w:p>
              </w:tc>
              <w:tc>
                <w:tcPr>
                  <w:tcW w:w="6803" w:type="dxa"/>
                </w:tcPr>
                <w:p w14:paraId="19807AEC" w14:textId="77777777" w:rsidR="00C454A1" w:rsidRPr="004856DF" w:rsidRDefault="00C454A1" w:rsidP="005F4A6F">
                  <w:pPr>
                    <w:pStyle w:val="Prrafodelista"/>
                    <w:numPr>
                      <w:ilvl w:val="3"/>
                      <w:numId w:val="29"/>
                    </w:numPr>
                    <w:ind w:left="48" w:right="272" w:hanging="48"/>
                    <w:rPr>
                      <w:rFonts w:cs="Times New Roman"/>
                      <w:sz w:val="22"/>
                      <w:szCs w:val="22"/>
                    </w:rPr>
                  </w:pPr>
                  <w:r w:rsidRPr="004856DF">
                    <w:rPr>
                      <w:rFonts w:cs="Times New Roman"/>
                      <w:sz w:val="22"/>
                      <w:szCs w:val="22"/>
                    </w:rPr>
                    <w:t>Programas para incentivar a la ciudadanía a denunciar casos de extorsión.</w:t>
                  </w:r>
                </w:p>
                <w:p w14:paraId="70F8751E" w14:textId="77777777" w:rsidR="00C454A1" w:rsidRPr="004856DF" w:rsidRDefault="00C454A1" w:rsidP="005F4A6F">
                  <w:pPr>
                    <w:pStyle w:val="Prrafodelista"/>
                    <w:numPr>
                      <w:ilvl w:val="3"/>
                      <w:numId w:val="29"/>
                    </w:numPr>
                    <w:ind w:left="48" w:right="272" w:hanging="48"/>
                    <w:rPr>
                      <w:rFonts w:cs="Times New Roman"/>
                      <w:sz w:val="22"/>
                      <w:szCs w:val="22"/>
                    </w:rPr>
                  </w:pPr>
                  <w:r w:rsidRPr="004856DF">
                    <w:rPr>
                      <w:rFonts w:cs="Times New Roman"/>
                      <w:sz w:val="22"/>
                      <w:szCs w:val="22"/>
                    </w:rPr>
                    <w:t>Operativos de inteligencia y seguimiento por la Policía Nacional contra bandas dedicadas a extorsionar</w:t>
                  </w:r>
                </w:p>
                <w:p w14:paraId="06B1E162" w14:textId="77777777" w:rsidR="00C454A1" w:rsidRPr="004856DF" w:rsidRDefault="00C454A1" w:rsidP="00881E6A">
                  <w:pPr>
                    <w:ind w:right="272"/>
                    <w:rPr>
                      <w:rFonts w:cs="Times New Roman"/>
                      <w:sz w:val="22"/>
                      <w:szCs w:val="22"/>
                    </w:rPr>
                  </w:pPr>
                  <w:r w:rsidRPr="004856DF">
                    <w:rPr>
                      <w:rFonts w:cs="Times New Roman"/>
                      <w:sz w:val="22"/>
                      <w:szCs w:val="22"/>
                    </w:rPr>
                    <w:t>A comerciantes y otros grupos vulnerables</w:t>
                  </w:r>
                  <w:r>
                    <w:rPr>
                      <w:rFonts w:cs="Times New Roman"/>
                      <w:sz w:val="22"/>
                      <w:szCs w:val="22"/>
                    </w:rPr>
                    <w:t>.</w:t>
                  </w:r>
                </w:p>
              </w:tc>
              <w:tc>
                <w:tcPr>
                  <w:tcW w:w="6803" w:type="dxa"/>
                </w:tcPr>
                <w:p w14:paraId="71202C37" w14:textId="77777777" w:rsidR="00C454A1" w:rsidRPr="004856DF" w:rsidRDefault="00C454A1" w:rsidP="00881E6A">
                  <w:pPr>
                    <w:ind w:right="272"/>
                    <w:rPr>
                      <w:rFonts w:cs="Times New Roman"/>
                      <w:sz w:val="22"/>
                      <w:szCs w:val="22"/>
                    </w:rPr>
                  </w:pPr>
                  <w:r w:rsidRPr="004856DF">
                    <w:rPr>
                      <w:rFonts w:cs="Times New Roman"/>
                      <w:sz w:val="22"/>
                      <w:szCs w:val="22"/>
                    </w:rPr>
                    <w:t>La captura de extorsionadores ha tenido un efecto disuasivo en algunas zonas específicas. Sin embargo, las extorsiones continúan siendo un problema estructural en el municipio, especialmente en áreas rurales donde la presencia de la fuerza pública es limitada</w:t>
                  </w:r>
                  <w:r w:rsidRPr="004856DF">
                    <w:rPr>
                      <w:rStyle w:val="Refdenotaalpie"/>
                      <w:rFonts w:cs="Times New Roman"/>
                      <w:sz w:val="22"/>
                      <w:szCs w:val="22"/>
                    </w:rPr>
                    <w:footnoteReference w:id="782"/>
                  </w:r>
                  <w:r w:rsidRPr="004856DF">
                    <w:rPr>
                      <w:rFonts w:cs="Times New Roman"/>
                      <w:sz w:val="22"/>
                      <w:szCs w:val="22"/>
                    </w:rPr>
                    <w:t>.</w:t>
                  </w:r>
                </w:p>
              </w:tc>
            </w:tr>
            <w:tr w:rsidR="00C454A1" w:rsidRPr="00F8202F" w14:paraId="411EBD50" w14:textId="77777777" w:rsidTr="001F3006">
              <w:trPr>
                <w:jc w:val="center"/>
              </w:trPr>
              <w:tc>
                <w:tcPr>
                  <w:tcW w:w="2835" w:type="dxa"/>
                </w:tcPr>
                <w:p w14:paraId="7B3782DC" w14:textId="77777777" w:rsidR="00C454A1" w:rsidRPr="004856DF" w:rsidRDefault="00C454A1" w:rsidP="00881E6A">
                  <w:pPr>
                    <w:ind w:right="272"/>
                    <w:rPr>
                      <w:rFonts w:cs="Times New Roman"/>
                      <w:sz w:val="22"/>
                      <w:szCs w:val="22"/>
                    </w:rPr>
                  </w:pPr>
                  <w:r w:rsidRPr="004856DF">
                    <w:rPr>
                      <w:rFonts w:cs="Times New Roman"/>
                      <w:sz w:val="22"/>
                      <w:szCs w:val="22"/>
                    </w:rPr>
                    <w:t>Retenes ilegales</w:t>
                  </w:r>
                </w:p>
              </w:tc>
              <w:tc>
                <w:tcPr>
                  <w:tcW w:w="6803" w:type="dxa"/>
                </w:tcPr>
                <w:p w14:paraId="1BA43CEB" w14:textId="77777777" w:rsidR="00C454A1" w:rsidRPr="004856DF" w:rsidRDefault="00C454A1" w:rsidP="005F4A6F">
                  <w:pPr>
                    <w:pStyle w:val="Prrafodelista"/>
                    <w:numPr>
                      <w:ilvl w:val="0"/>
                      <w:numId w:val="58"/>
                    </w:numPr>
                    <w:ind w:left="48" w:right="272" w:firstLine="0"/>
                    <w:rPr>
                      <w:rFonts w:cs="Times New Roman"/>
                      <w:sz w:val="22"/>
                      <w:szCs w:val="22"/>
                    </w:rPr>
                  </w:pPr>
                  <w:r w:rsidRPr="004856DF">
                    <w:rPr>
                      <w:rFonts w:cs="Times New Roman"/>
                      <w:sz w:val="22"/>
                      <w:szCs w:val="22"/>
                    </w:rPr>
                    <w:t>Fortalecimiento la seguridad y control de carreteras a través de la implementación de retenes legales y puntos de control para evitar la instalación de retenes ilegales.</w:t>
                  </w:r>
                </w:p>
                <w:p w14:paraId="06C1B4C1" w14:textId="77777777" w:rsidR="00C454A1" w:rsidRPr="004856DF" w:rsidRDefault="00C454A1" w:rsidP="005F4A6F">
                  <w:pPr>
                    <w:pStyle w:val="Prrafodelista"/>
                    <w:numPr>
                      <w:ilvl w:val="0"/>
                      <w:numId w:val="58"/>
                    </w:numPr>
                    <w:ind w:left="48" w:right="272" w:firstLine="0"/>
                    <w:rPr>
                      <w:rFonts w:cs="Times New Roman"/>
                      <w:sz w:val="22"/>
                      <w:szCs w:val="22"/>
                    </w:rPr>
                  </w:pPr>
                  <w:r w:rsidRPr="004856DF">
                    <w:rPr>
                      <w:rFonts w:cs="Times New Roman"/>
                      <w:sz w:val="22"/>
                      <w:szCs w:val="22"/>
                    </w:rPr>
                    <w:t>Operativos de desmantelamiento de grupos armados ilegales mediante la intervención en zonas donde se identifican retenes ilegales o bloqueos por parte de grupos armados.</w:t>
                  </w:r>
                </w:p>
              </w:tc>
              <w:tc>
                <w:tcPr>
                  <w:tcW w:w="6803" w:type="dxa"/>
                </w:tcPr>
                <w:p w14:paraId="503FF820" w14:textId="77777777" w:rsidR="00C454A1" w:rsidRPr="004856DF" w:rsidRDefault="00C454A1" w:rsidP="00881E6A">
                  <w:pPr>
                    <w:ind w:right="272"/>
                    <w:rPr>
                      <w:rFonts w:cs="Times New Roman"/>
                      <w:sz w:val="22"/>
                      <w:szCs w:val="22"/>
                    </w:rPr>
                  </w:pPr>
                  <w:r w:rsidRPr="004856DF">
                    <w:rPr>
                      <w:rFonts w:cs="Times New Roman"/>
                      <w:sz w:val="22"/>
                      <w:szCs w:val="22"/>
                    </w:rPr>
                    <w:t>La seguridad en muchas zonas ha mejorado, pero la presencia de grupos ilegales continúa en algunos sectores estratégicos, lo que permite la reaparición de retenes ilegales.</w:t>
                  </w:r>
                </w:p>
              </w:tc>
            </w:tr>
            <w:tr w:rsidR="00C454A1" w:rsidRPr="00F8202F" w14:paraId="270FFA1A" w14:textId="77777777" w:rsidTr="001F3006">
              <w:trPr>
                <w:jc w:val="center"/>
              </w:trPr>
              <w:tc>
                <w:tcPr>
                  <w:tcW w:w="2835" w:type="dxa"/>
                </w:tcPr>
                <w:p w14:paraId="53519029" w14:textId="77777777" w:rsidR="00C454A1" w:rsidRPr="004856DF" w:rsidRDefault="00C454A1" w:rsidP="00881E6A">
                  <w:pPr>
                    <w:ind w:right="272"/>
                    <w:rPr>
                      <w:rFonts w:cs="Times New Roman"/>
                      <w:sz w:val="22"/>
                      <w:szCs w:val="22"/>
                    </w:rPr>
                  </w:pPr>
                  <w:r w:rsidRPr="004856DF">
                    <w:rPr>
                      <w:rFonts w:cs="Times New Roman"/>
                      <w:sz w:val="22"/>
                      <w:szCs w:val="22"/>
                    </w:rPr>
                    <w:t>Amedrantamiento poblacional</w:t>
                  </w:r>
                </w:p>
              </w:tc>
              <w:tc>
                <w:tcPr>
                  <w:tcW w:w="6803" w:type="dxa"/>
                </w:tcPr>
                <w:p w14:paraId="7B145686" w14:textId="77777777" w:rsidR="00C454A1" w:rsidRPr="004856DF" w:rsidRDefault="00C454A1" w:rsidP="005F4A6F">
                  <w:pPr>
                    <w:pStyle w:val="Prrafodelista"/>
                    <w:numPr>
                      <w:ilvl w:val="0"/>
                      <w:numId w:val="59"/>
                    </w:numPr>
                    <w:ind w:left="48" w:right="272" w:firstLine="0"/>
                    <w:rPr>
                      <w:rFonts w:cs="Times New Roman"/>
                      <w:sz w:val="22"/>
                      <w:szCs w:val="22"/>
                    </w:rPr>
                  </w:pPr>
                  <w:r w:rsidRPr="004856DF">
                    <w:rPr>
                      <w:rFonts w:cs="Times New Roman"/>
                      <w:sz w:val="22"/>
                      <w:szCs w:val="22"/>
                    </w:rPr>
                    <w:t xml:space="preserve">Protección a líderes sociales y defensores de derechos humanos con la creación de medidas especiales </w:t>
                  </w:r>
                  <w:r w:rsidRPr="004856DF">
                    <w:rPr>
                      <w:rFonts w:cs="Times New Roman"/>
                      <w:sz w:val="22"/>
                      <w:szCs w:val="22"/>
                    </w:rPr>
                    <w:lastRenderedPageBreak/>
                    <w:t>de protección para quienes son amenazados por grupos ilegales con articulación con el ARN.</w:t>
                  </w:r>
                </w:p>
                <w:p w14:paraId="56484685" w14:textId="77777777" w:rsidR="00C454A1" w:rsidRPr="004856DF" w:rsidRDefault="00C454A1" w:rsidP="005F4A6F">
                  <w:pPr>
                    <w:pStyle w:val="Prrafodelista"/>
                    <w:numPr>
                      <w:ilvl w:val="0"/>
                      <w:numId w:val="59"/>
                    </w:numPr>
                    <w:ind w:left="48" w:right="272" w:firstLine="0"/>
                    <w:rPr>
                      <w:rFonts w:cs="Times New Roman"/>
                      <w:sz w:val="22"/>
                      <w:szCs w:val="22"/>
                    </w:rPr>
                  </w:pPr>
                  <w:r w:rsidRPr="004856DF">
                    <w:rPr>
                      <w:rFonts w:cs="Times New Roman"/>
                      <w:sz w:val="22"/>
                      <w:szCs w:val="22"/>
                    </w:rPr>
                    <w:t>Fortalecimiento de la presencia de la fuerza pública en zonas vulnerables para garantizar la seguridad de la población civil y disminuir las amenazas.</w:t>
                  </w:r>
                </w:p>
              </w:tc>
              <w:tc>
                <w:tcPr>
                  <w:tcW w:w="6803" w:type="dxa"/>
                </w:tcPr>
                <w:p w14:paraId="2DC62F43" w14:textId="77777777" w:rsidR="00C454A1" w:rsidRPr="004856DF" w:rsidRDefault="00C454A1" w:rsidP="00881E6A">
                  <w:pPr>
                    <w:ind w:right="272"/>
                    <w:rPr>
                      <w:rFonts w:cs="Times New Roman"/>
                      <w:sz w:val="22"/>
                      <w:szCs w:val="22"/>
                    </w:rPr>
                  </w:pPr>
                  <w:r w:rsidRPr="004856DF">
                    <w:rPr>
                      <w:rFonts w:cs="Times New Roman"/>
                      <w:sz w:val="22"/>
                      <w:szCs w:val="22"/>
                    </w:rPr>
                    <w:lastRenderedPageBreak/>
                    <w:t>Persisten las amenazas en algunas zonas rurales, a pesar de los programas de protección.</w:t>
                  </w:r>
                </w:p>
              </w:tc>
            </w:tr>
            <w:tr w:rsidR="00C454A1" w:rsidRPr="00F8202F" w14:paraId="40116CA5" w14:textId="77777777" w:rsidTr="001F3006">
              <w:trPr>
                <w:jc w:val="center"/>
              </w:trPr>
              <w:tc>
                <w:tcPr>
                  <w:tcW w:w="2835" w:type="dxa"/>
                </w:tcPr>
                <w:p w14:paraId="2AFA8C57" w14:textId="77777777" w:rsidR="00C454A1" w:rsidRPr="004856DF" w:rsidRDefault="00C454A1" w:rsidP="00881E6A">
                  <w:pPr>
                    <w:ind w:right="272"/>
                    <w:rPr>
                      <w:rFonts w:cs="Times New Roman"/>
                      <w:sz w:val="22"/>
                      <w:szCs w:val="22"/>
                    </w:rPr>
                  </w:pPr>
                  <w:r w:rsidRPr="004856DF">
                    <w:rPr>
                      <w:rFonts w:cs="Times New Roman"/>
                      <w:sz w:val="22"/>
                      <w:szCs w:val="22"/>
                    </w:rPr>
                    <w:lastRenderedPageBreak/>
                    <w:t>Homicidios selectivos</w:t>
                  </w:r>
                </w:p>
              </w:tc>
              <w:tc>
                <w:tcPr>
                  <w:tcW w:w="6803" w:type="dxa"/>
                </w:tcPr>
                <w:p w14:paraId="68E6B7BA" w14:textId="77777777" w:rsidR="00C454A1" w:rsidRPr="004856DF" w:rsidRDefault="00C454A1" w:rsidP="005F4A6F">
                  <w:pPr>
                    <w:pStyle w:val="Prrafodelista"/>
                    <w:numPr>
                      <w:ilvl w:val="0"/>
                      <w:numId w:val="60"/>
                    </w:numPr>
                    <w:ind w:left="48" w:right="272" w:firstLine="0"/>
                    <w:rPr>
                      <w:rFonts w:cs="Times New Roman"/>
                      <w:sz w:val="22"/>
                      <w:szCs w:val="22"/>
                    </w:rPr>
                  </w:pPr>
                  <w:r w:rsidRPr="004856DF">
                    <w:rPr>
                      <w:rFonts w:cs="Times New Roman"/>
                      <w:sz w:val="22"/>
                      <w:szCs w:val="22"/>
                    </w:rPr>
                    <w:t>Investigación y judicialización de crímenes, en especial de aquellos relacionados con el narcotráfico o disputas territoriales</w:t>
                  </w:r>
                </w:p>
              </w:tc>
              <w:tc>
                <w:tcPr>
                  <w:tcW w:w="6803" w:type="dxa"/>
                </w:tcPr>
                <w:p w14:paraId="76233767" w14:textId="77777777" w:rsidR="00C454A1" w:rsidRPr="004856DF" w:rsidRDefault="00C454A1" w:rsidP="00881E6A">
                  <w:pPr>
                    <w:ind w:right="272"/>
                    <w:rPr>
                      <w:rFonts w:cs="Times New Roman"/>
                      <w:sz w:val="22"/>
                      <w:szCs w:val="22"/>
                    </w:rPr>
                  </w:pPr>
                  <w:r w:rsidRPr="004856DF">
                    <w:rPr>
                      <w:rFonts w:cs="Times New Roman"/>
                      <w:sz w:val="22"/>
                      <w:szCs w:val="22"/>
                    </w:rPr>
                    <w:t>Aunque se han reducido el número de homicidios, este sigue siendo un desafío teniendo en cuenta la presencia de los GAO.</w:t>
                  </w:r>
                </w:p>
              </w:tc>
            </w:tr>
            <w:tr w:rsidR="00C454A1" w:rsidRPr="00F8202F" w14:paraId="35676A9E" w14:textId="77777777" w:rsidTr="001F3006">
              <w:trPr>
                <w:jc w:val="center"/>
              </w:trPr>
              <w:tc>
                <w:tcPr>
                  <w:tcW w:w="2835" w:type="dxa"/>
                </w:tcPr>
                <w:p w14:paraId="7781C417" w14:textId="77777777" w:rsidR="00C454A1" w:rsidRPr="004856DF" w:rsidRDefault="00C454A1" w:rsidP="00881E6A">
                  <w:pPr>
                    <w:ind w:right="272"/>
                    <w:rPr>
                      <w:rFonts w:cs="Times New Roman"/>
                      <w:sz w:val="22"/>
                      <w:szCs w:val="22"/>
                    </w:rPr>
                  </w:pPr>
                  <w:r w:rsidRPr="004856DF">
                    <w:rPr>
                      <w:rFonts w:cs="Times New Roman"/>
                      <w:sz w:val="22"/>
                      <w:szCs w:val="22"/>
                    </w:rPr>
                    <w:t>Zonas minadas y control del narcotráfico</w:t>
                  </w:r>
                </w:p>
              </w:tc>
              <w:tc>
                <w:tcPr>
                  <w:tcW w:w="6803" w:type="dxa"/>
                </w:tcPr>
                <w:p w14:paraId="484C9181" w14:textId="77777777" w:rsidR="00C454A1" w:rsidRPr="004856DF" w:rsidRDefault="00C454A1" w:rsidP="005F4A6F">
                  <w:pPr>
                    <w:pStyle w:val="Prrafodelista"/>
                    <w:numPr>
                      <w:ilvl w:val="0"/>
                      <w:numId w:val="61"/>
                    </w:numPr>
                    <w:ind w:left="757" w:right="272" w:hanging="709"/>
                    <w:rPr>
                      <w:rFonts w:cs="Times New Roman"/>
                      <w:sz w:val="22"/>
                      <w:szCs w:val="22"/>
                    </w:rPr>
                  </w:pPr>
                  <w:r w:rsidRPr="004856DF">
                    <w:rPr>
                      <w:rFonts w:cs="Times New Roman"/>
                      <w:sz w:val="22"/>
                      <w:szCs w:val="22"/>
                    </w:rPr>
                    <w:t>Desminado humanitario</w:t>
                  </w:r>
                  <w:r>
                    <w:rPr>
                      <w:rFonts w:cs="Times New Roman"/>
                      <w:sz w:val="22"/>
                      <w:szCs w:val="22"/>
                    </w:rPr>
                    <w:t>.</w:t>
                  </w:r>
                </w:p>
              </w:tc>
              <w:tc>
                <w:tcPr>
                  <w:tcW w:w="6803" w:type="dxa"/>
                </w:tcPr>
                <w:p w14:paraId="3C76D21D" w14:textId="77777777" w:rsidR="00C454A1" w:rsidRPr="004856DF" w:rsidRDefault="00C454A1" w:rsidP="00881E6A">
                  <w:pPr>
                    <w:ind w:right="272"/>
                    <w:rPr>
                      <w:rFonts w:cs="Times New Roman"/>
                      <w:sz w:val="22"/>
                      <w:szCs w:val="22"/>
                    </w:rPr>
                  </w:pPr>
                  <w:r w:rsidRPr="004856DF">
                    <w:rPr>
                      <w:rFonts w:cs="Times New Roman"/>
                      <w:sz w:val="22"/>
                      <w:szCs w:val="22"/>
                    </w:rPr>
                    <w:t>El desminado ha avanzado en algunas regiones, pero el proceso es lento y costoso. En cuanto al control del narcotráfico, la influencia de los grupos sigue siendo una amenaza en muchas zonas</w:t>
                  </w:r>
                  <w:r w:rsidRPr="004856DF">
                    <w:rPr>
                      <w:rStyle w:val="Refdenotaalpie"/>
                      <w:rFonts w:cs="Times New Roman"/>
                      <w:sz w:val="22"/>
                      <w:szCs w:val="22"/>
                    </w:rPr>
                    <w:footnoteReference w:id="783"/>
                  </w:r>
                  <w:r w:rsidRPr="004856DF">
                    <w:rPr>
                      <w:rFonts w:cs="Times New Roman"/>
                      <w:sz w:val="22"/>
                      <w:szCs w:val="22"/>
                    </w:rPr>
                    <w:t>.</w:t>
                  </w:r>
                </w:p>
              </w:tc>
            </w:tr>
          </w:tbl>
          <w:p w14:paraId="5B71FF32" w14:textId="77777777" w:rsidR="00C454A1" w:rsidRDefault="00C454A1" w:rsidP="00881E6A">
            <w:pPr>
              <w:pStyle w:val="Prrafodelista"/>
              <w:ind w:left="782" w:right="272"/>
              <w:rPr>
                <w:rFonts w:cs="Times New Roman"/>
              </w:rPr>
            </w:pPr>
          </w:p>
          <w:p w14:paraId="3F580C29"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Si bien las medidas adoptadas por la administración municipal han tenido un impacto positivo en la disminución de algunas actividades ilícitas, el narcotráfico y la violencia siguen siendo problemas complejos que requieren un enfoque integral y sostenible.</w:t>
            </w:r>
          </w:p>
          <w:p w14:paraId="2FD7696C" w14:textId="77777777" w:rsidR="00C454A1" w:rsidRPr="00DA6C7F" w:rsidRDefault="00C454A1" w:rsidP="00881E6A">
            <w:pPr>
              <w:pStyle w:val="Prrafodelista"/>
              <w:ind w:left="782" w:right="272"/>
              <w:rPr>
                <w:rFonts w:cs="Times New Roman"/>
              </w:rPr>
            </w:pPr>
          </w:p>
          <w:p w14:paraId="75F4169E" w14:textId="77777777" w:rsidR="00C454A1" w:rsidRPr="00DA6C7F" w:rsidRDefault="00C454A1" w:rsidP="005F4A6F">
            <w:pPr>
              <w:pStyle w:val="Prrafodelista"/>
              <w:numPr>
                <w:ilvl w:val="0"/>
                <w:numId w:val="57"/>
              </w:numPr>
              <w:ind w:left="1025" w:right="272" w:hanging="851"/>
              <w:rPr>
                <w:rFonts w:cs="Times New Roman"/>
              </w:rPr>
            </w:pPr>
            <w:r w:rsidRPr="00DA6C7F">
              <w:rPr>
                <w:rFonts w:cs="Times New Roman"/>
              </w:rPr>
              <w:t xml:space="preserve">Advertencias al Gobierno </w:t>
            </w:r>
            <w:r>
              <w:rPr>
                <w:rFonts w:cs="Times New Roman"/>
              </w:rPr>
              <w:t>n</w:t>
            </w:r>
            <w:r w:rsidRPr="00DA6C7F">
              <w:rPr>
                <w:rFonts w:cs="Times New Roman"/>
              </w:rPr>
              <w:t>acional</w:t>
            </w:r>
          </w:p>
          <w:p w14:paraId="3014A90E" w14:textId="77777777" w:rsidR="00C454A1" w:rsidRPr="00DA6C7F" w:rsidRDefault="00C454A1" w:rsidP="00881E6A">
            <w:pPr>
              <w:ind w:right="272"/>
              <w:rPr>
                <w:rFonts w:cs="Times New Roman"/>
              </w:rPr>
            </w:pPr>
          </w:p>
          <w:p w14:paraId="23A64917"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Informó que las advertencias al </w:t>
            </w:r>
            <w:r>
              <w:rPr>
                <w:rFonts w:cs="Times New Roman"/>
              </w:rPr>
              <w:t>G</w:t>
            </w:r>
            <w:r w:rsidRPr="00DA6C7F">
              <w:rPr>
                <w:rFonts w:cs="Times New Roman"/>
              </w:rPr>
              <w:t xml:space="preserve">obierno nacional las hizo la </w:t>
            </w:r>
            <w:r>
              <w:rPr>
                <w:rFonts w:cs="Times New Roman"/>
              </w:rPr>
              <w:t>De</w:t>
            </w:r>
            <w:r w:rsidRPr="00DA6C7F">
              <w:rPr>
                <w:rFonts w:cs="Times New Roman"/>
              </w:rPr>
              <w:t xml:space="preserve">fensoría del </w:t>
            </w:r>
            <w:r>
              <w:rPr>
                <w:rFonts w:cs="Times New Roman"/>
              </w:rPr>
              <w:t>P</w:t>
            </w:r>
            <w:r w:rsidRPr="00DA6C7F">
              <w:rPr>
                <w:rFonts w:cs="Times New Roman"/>
              </w:rPr>
              <w:t>ueblo mediante alertas tempranas.</w:t>
            </w:r>
          </w:p>
          <w:p w14:paraId="3D4ECA60"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Señaló que las medidas que ha adoptado el Gobierno </w:t>
            </w:r>
            <w:r>
              <w:rPr>
                <w:rFonts w:cs="Times New Roman"/>
              </w:rPr>
              <w:t>n</w:t>
            </w:r>
            <w:r w:rsidRPr="00DA6C7F">
              <w:rPr>
                <w:rFonts w:cs="Times New Roman"/>
              </w:rPr>
              <w:t>acional con ocasión de dichas advertencias es la adopción del estado de conmoción</w:t>
            </w:r>
          </w:p>
          <w:p w14:paraId="12B6A89C" w14:textId="77777777" w:rsidR="00C454A1" w:rsidRPr="00DA6C7F" w:rsidRDefault="00C454A1" w:rsidP="00881E6A">
            <w:pPr>
              <w:ind w:right="272"/>
              <w:rPr>
                <w:rFonts w:cs="Times New Roman"/>
              </w:rPr>
            </w:pPr>
          </w:p>
          <w:p w14:paraId="046F1316" w14:textId="77777777" w:rsidR="00C454A1" w:rsidRPr="00DA6C7F" w:rsidRDefault="00C454A1" w:rsidP="005F4A6F">
            <w:pPr>
              <w:pStyle w:val="Prrafodelista"/>
              <w:numPr>
                <w:ilvl w:val="0"/>
                <w:numId w:val="57"/>
              </w:numPr>
              <w:ind w:left="1025" w:right="272" w:hanging="851"/>
              <w:rPr>
                <w:rFonts w:cs="Times New Roman"/>
              </w:rPr>
            </w:pPr>
            <w:r w:rsidRPr="00DA6C7F">
              <w:rPr>
                <w:rFonts w:cs="Times New Roman"/>
              </w:rPr>
              <w:t>Daños a bienes protegidos y al medio ambiente</w:t>
            </w:r>
          </w:p>
          <w:p w14:paraId="343BDF20"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Señaló que no se encuentran registros de ese tipo de afectaciones</w:t>
            </w:r>
            <w:r w:rsidRPr="00DA6C7F">
              <w:rPr>
                <w:rStyle w:val="Refdenotaalpie"/>
                <w:rFonts w:cs="Times New Roman"/>
              </w:rPr>
              <w:footnoteReference w:id="784"/>
            </w:r>
            <w:r w:rsidRPr="00DA6C7F">
              <w:rPr>
                <w:rFonts w:cs="Times New Roman"/>
              </w:rPr>
              <w:t>.</w:t>
            </w:r>
          </w:p>
          <w:p w14:paraId="77EBA7F0" w14:textId="77777777" w:rsidR="00C454A1" w:rsidRPr="00DA6C7F" w:rsidRDefault="00C454A1" w:rsidP="00881E6A">
            <w:pPr>
              <w:ind w:right="272"/>
              <w:rPr>
                <w:rFonts w:cs="Times New Roman"/>
              </w:rPr>
            </w:pPr>
          </w:p>
          <w:p w14:paraId="26968FCF" w14:textId="77777777" w:rsidR="00C454A1" w:rsidRPr="00DA6C7F" w:rsidRDefault="00C454A1" w:rsidP="00881E6A">
            <w:pPr>
              <w:ind w:right="272"/>
              <w:rPr>
                <w:rFonts w:cs="Times New Roman"/>
              </w:rPr>
            </w:pPr>
            <w:r w:rsidRPr="00DA6C7F">
              <w:rPr>
                <w:rFonts w:cs="Times New Roman"/>
                <w:i/>
              </w:rPr>
              <w:t>Presupuesto de suficiencia</w:t>
            </w:r>
            <w:r w:rsidRPr="00DA6C7F">
              <w:rPr>
                <w:rFonts w:cs="Times New Roman"/>
              </w:rPr>
              <w:t xml:space="preserve">. </w:t>
            </w:r>
          </w:p>
          <w:p w14:paraId="7917C825" w14:textId="77777777" w:rsidR="00C454A1" w:rsidRPr="00DA6C7F" w:rsidRDefault="00C454A1" w:rsidP="00881E6A">
            <w:pPr>
              <w:ind w:right="272"/>
              <w:rPr>
                <w:rFonts w:cs="Times New Roman"/>
              </w:rPr>
            </w:pPr>
          </w:p>
          <w:p w14:paraId="20662C61" w14:textId="77777777" w:rsidR="00C454A1" w:rsidRPr="00DA6C7F" w:rsidRDefault="00C454A1" w:rsidP="005F4A6F">
            <w:pPr>
              <w:pStyle w:val="Prrafodelista"/>
              <w:numPr>
                <w:ilvl w:val="0"/>
                <w:numId w:val="62"/>
              </w:numPr>
              <w:ind w:left="741" w:right="272" w:hanging="567"/>
              <w:rPr>
                <w:rFonts w:cs="Times New Roman"/>
              </w:rPr>
            </w:pPr>
            <w:r w:rsidRPr="00DA6C7F">
              <w:rPr>
                <w:rFonts w:cs="Times New Roman"/>
              </w:rPr>
              <w:t>Solicitud de presupuesto</w:t>
            </w:r>
          </w:p>
          <w:p w14:paraId="0AC13F50" w14:textId="77777777" w:rsidR="00C454A1" w:rsidRPr="00DA6C7F" w:rsidRDefault="00C454A1" w:rsidP="005F4A6F">
            <w:pPr>
              <w:pStyle w:val="Prrafodelista"/>
              <w:numPr>
                <w:ilvl w:val="0"/>
                <w:numId w:val="48"/>
              </w:numPr>
              <w:ind w:left="782" w:right="272" w:hanging="425"/>
              <w:rPr>
                <w:rFonts w:cs="Times New Roman"/>
                <w:lang w:val="es-ES"/>
              </w:rPr>
            </w:pPr>
            <w:r w:rsidRPr="00DA6C7F">
              <w:rPr>
                <w:rFonts w:cs="Times New Roman"/>
                <w:lang w:val="es-ES"/>
              </w:rPr>
              <w:t xml:space="preserve">Señaló que no ha solicitado al </w:t>
            </w:r>
            <w:r>
              <w:rPr>
                <w:rFonts w:cs="Times New Roman"/>
                <w:lang w:val="es-ES"/>
              </w:rPr>
              <w:t>G</w:t>
            </w:r>
            <w:r w:rsidRPr="00DA6C7F">
              <w:rPr>
                <w:rFonts w:cs="Times New Roman"/>
                <w:lang w:val="es-ES"/>
              </w:rPr>
              <w:t>obierno nacional presupuesto para reestablecer el orden público en su territorio</w:t>
            </w:r>
            <w:r>
              <w:rPr>
                <w:rFonts w:cs="Times New Roman"/>
                <w:lang w:val="es-ES"/>
              </w:rPr>
              <w:t>,</w:t>
            </w:r>
            <w:r w:rsidRPr="00DA6C7F">
              <w:rPr>
                <w:rFonts w:cs="Times New Roman"/>
                <w:lang w:val="es-ES"/>
              </w:rPr>
              <w:t xml:space="preserve"> pero si a la Gobernación de Norte de Santander y a la Unidad Nacional para la Atención a Víctimas del Conflicto</w:t>
            </w:r>
            <w:r w:rsidRPr="00DA6C7F">
              <w:rPr>
                <w:rStyle w:val="Refdenotaalpie"/>
                <w:rFonts w:cs="Times New Roman"/>
                <w:lang w:val="es-ES"/>
              </w:rPr>
              <w:footnoteReference w:id="785"/>
            </w:r>
            <w:r w:rsidRPr="00DA6C7F">
              <w:rPr>
                <w:rFonts w:cs="Times New Roman"/>
                <w:lang w:val="es-ES"/>
              </w:rPr>
              <w:t>.</w:t>
            </w:r>
          </w:p>
          <w:p w14:paraId="32A68AC6" w14:textId="77777777" w:rsidR="00C454A1" w:rsidRPr="00DA6C7F" w:rsidRDefault="00C454A1" w:rsidP="00881E6A">
            <w:pPr>
              <w:ind w:right="272"/>
              <w:rPr>
                <w:rFonts w:cs="Times New Roman"/>
              </w:rPr>
            </w:pPr>
          </w:p>
        </w:tc>
      </w:tr>
      <w:tr w:rsidR="00C454A1" w:rsidRPr="00F8202F" w14:paraId="5A1171FE" w14:textId="77777777" w:rsidTr="005F4A6F">
        <w:trPr>
          <w:trHeight w:val="300"/>
        </w:trPr>
        <w:tc>
          <w:tcPr>
            <w:tcW w:w="642" w:type="pct"/>
            <w:vAlign w:val="center"/>
          </w:tcPr>
          <w:p w14:paraId="7552E104" w14:textId="77777777" w:rsidR="00C454A1" w:rsidRPr="00DA6C7F" w:rsidRDefault="00C454A1" w:rsidP="00881E6A">
            <w:pPr>
              <w:ind w:right="272"/>
              <w:jc w:val="center"/>
              <w:rPr>
                <w:rFonts w:cs="Times New Roman"/>
                <w:b/>
                <w:bCs/>
              </w:rPr>
            </w:pPr>
            <w:r w:rsidRPr="00DA6C7F">
              <w:rPr>
                <w:rFonts w:cs="Times New Roman"/>
                <w:b/>
                <w:bCs/>
              </w:rPr>
              <w:lastRenderedPageBreak/>
              <w:t>Departamento del Cesar</w:t>
            </w:r>
          </w:p>
        </w:tc>
        <w:tc>
          <w:tcPr>
            <w:tcW w:w="4358" w:type="pct"/>
          </w:tcPr>
          <w:p w14:paraId="078F4593" w14:textId="77777777" w:rsidR="00C454A1" w:rsidRPr="00DA6C7F" w:rsidRDefault="00C454A1" w:rsidP="00881E6A">
            <w:pPr>
              <w:ind w:right="272"/>
              <w:rPr>
                <w:rFonts w:cs="Times New Roman"/>
              </w:rPr>
            </w:pPr>
            <w:r w:rsidRPr="00DA6C7F">
              <w:rPr>
                <w:rFonts w:cs="Times New Roman"/>
              </w:rPr>
              <w:t>La Gobernación del Cesar remitió la siguiente información en relación con las preguntas planteadas en el auto de pruebas respecto de cada uno de los presupuestos:</w:t>
            </w:r>
          </w:p>
          <w:p w14:paraId="1E6CDA44" w14:textId="77777777" w:rsidR="00C454A1" w:rsidRPr="00DA6C7F" w:rsidRDefault="00C454A1" w:rsidP="00881E6A">
            <w:pPr>
              <w:ind w:right="272"/>
              <w:rPr>
                <w:rFonts w:cs="Times New Roman"/>
              </w:rPr>
            </w:pPr>
            <w:r w:rsidRPr="00DA6C7F">
              <w:rPr>
                <w:rFonts w:cs="Times New Roman"/>
                <w:i/>
                <w:iCs/>
              </w:rPr>
              <w:t>Presupuesto fáctico</w:t>
            </w:r>
            <w:r w:rsidRPr="00DA6C7F">
              <w:rPr>
                <w:rFonts w:cs="Times New Roman"/>
              </w:rPr>
              <w:t xml:space="preserve">. </w:t>
            </w:r>
            <w:r>
              <w:rPr>
                <w:rFonts w:cs="Times New Roman"/>
              </w:rPr>
              <w:t>R</w:t>
            </w:r>
            <w:r w:rsidRPr="00DA6C7F">
              <w:rPr>
                <w:rFonts w:cs="Times New Roman"/>
              </w:rPr>
              <w:t>efirió los siguientes datos respecto de los municipios de R</w:t>
            </w:r>
            <w:r>
              <w:rPr>
                <w:rFonts w:cs="Times New Roman"/>
              </w:rPr>
              <w:t>í</w:t>
            </w:r>
            <w:r w:rsidRPr="00DA6C7F">
              <w:rPr>
                <w:rFonts w:cs="Times New Roman"/>
              </w:rPr>
              <w:t xml:space="preserve">o de </w:t>
            </w:r>
            <w:r>
              <w:rPr>
                <w:rFonts w:cs="Times New Roman"/>
              </w:rPr>
              <w:t>O</w:t>
            </w:r>
            <w:r w:rsidRPr="00DA6C7F">
              <w:rPr>
                <w:rFonts w:cs="Times New Roman"/>
              </w:rPr>
              <w:t>ro y González:</w:t>
            </w:r>
          </w:p>
          <w:p w14:paraId="50FE2F94" w14:textId="77777777" w:rsidR="00C454A1" w:rsidRPr="00DA6C7F" w:rsidRDefault="00C454A1" w:rsidP="005F4A6F">
            <w:pPr>
              <w:pStyle w:val="Prrafodelista"/>
              <w:numPr>
                <w:ilvl w:val="0"/>
                <w:numId w:val="63"/>
              </w:numPr>
              <w:ind w:left="741" w:right="272" w:hanging="567"/>
              <w:rPr>
                <w:rFonts w:cs="Times New Roman"/>
                <w:lang w:val="es-ES"/>
              </w:rPr>
            </w:pPr>
            <w:r w:rsidRPr="00DA6C7F">
              <w:rPr>
                <w:rFonts w:cs="Times New Roman"/>
                <w:lang w:val="es-ES"/>
              </w:rPr>
              <w:t>Hechos victimizantes de 2022 a 2025</w:t>
            </w:r>
          </w:p>
          <w:p w14:paraId="4274288B" w14:textId="77777777" w:rsidR="00C454A1" w:rsidRDefault="00C454A1" w:rsidP="00881E6A">
            <w:pPr>
              <w:pStyle w:val="Prrafodelista"/>
              <w:ind w:left="641" w:right="272"/>
              <w:rPr>
                <w:rFonts w:cs="Times New Roman"/>
              </w:rPr>
            </w:pPr>
          </w:p>
          <w:p w14:paraId="7D4425EC" w14:textId="77777777" w:rsidR="00C454A1" w:rsidRPr="00394493" w:rsidRDefault="00C454A1" w:rsidP="00881E6A">
            <w:pPr>
              <w:pStyle w:val="Prrafodelista"/>
              <w:ind w:left="641" w:right="272"/>
              <w:jc w:val="center"/>
              <w:rPr>
                <w:rFonts w:cs="Times New Roman"/>
                <w:i/>
                <w:iCs/>
                <w:sz w:val="20"/>
                <w:szCs w:val="20"/>
              </w:rPr>
            </w:pPr>
            <w:r w:rsidRPr="00394493">
              <w:rPr>
                <w:rFonts w:cs="Times New Roman"/>
                <w:i/>
                <w:iCs/>
                <w:sz w:val="20"/>
                <w:szCs w:val="20"/>
              </w:rPr>
              <w:t>Tabla 37: ataques contra la población civil reportados por la Gobernación de Cesar en la región del Catatumbo</w:t>
            </w:r>
          </w:p>
          <w:tbl>
            <w:tblPr>
              <w:tblStyle w:val="Tablaconcuadrcula"/>
              <w:tblW w:w="13605" w:type="dxa"/>
              <w:jc w:val="center"/>
              <w:tblLook w:val="04A0" w:firstRow="1" w:lastRow="0" w:firstColumn="1" w:lastColumn="0" w:noHBand="0" w:noVBand="1"/>
            </w:tblPr>
            <w:tblGrid>
              <w:gridCol w:w="1981"/>
              <w:gridCol w:w="1963"/>
              <w:gridCol w:w="1969"/>
              <w:gridCol w:w="1970"/>
              <w:gridCol w:w="2059"/>
              <w:gridCol w:w="1964"/>
              <w:gridCol w:w="1699"/>
            </w:tblGrid>
            <w:tr w:rsidR="00C454A1" w:rsidRPr="00CC6176" w14:paraId="428D59AE" w14:textId="77777777" w:rsidTr="001F3006">
              <w:trPr>
                <w:jc w:val="center"/>
              </w:trPr>
              <w:tc>
                <w:tcPr>
                  <w:tcW w:w="1984" w:type="dxa"/>
                </w:tcPr>
                <w:p w14:paraId="3A6FCF3D"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Desplazamiento forzado</w:t>
                  </w:r>
                </w:p>
              </w:tc>
              <w:tc>
                <w:tcPr>
                  <w:tcW w:w="1984" w:type="dxa"/>
                </w:tcPr>
                <w:p w14:paraId="6E6E1E6A"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Ataques contra líderes sociales</w:t>
                  </w:r>
                </w:p>
              </w:tc>
              <w:tc>
                <w:tcPr>
                  <w:tcW w:w="1984" w:type="dxa"/>
                </w:tcPr>
                <w:p w14:paraId="1191BEBF"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Secuestros</w:t>
                  </w:r>
                </w:p>
              </w:tc>
              <w:tc>
                <w:tcPr>
                  <w:tcW w:w="1984" w:type="dxa"/>
                </w:tcPr>
                <w:p w14:paraId="1F4F7124"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Ataques contra la población civil</w:t>
                  </w:r>
                </w:p>
              </w:tc>
              <w:tc>
                <w:tcPr>
                  <w:tcW w:w="1984" w:type="dxa"/>
                </w:tcPr>
                <w:p w14:paraId="45B43E0E"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Homicidio</w:t>
                  </w:r>
                </w:p>
              </w:tc>
              <w:tc>
                <w:tcPr>
                  <w:tcW w:w="1984" w:type="dxa"/>
                </w:tcPr>
                <w:p w14:paraId="2EBD7FF8"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Lesiones Personales</w:t>
                  </w:r>
                </w:p>
              </w:tc>
              <w:tc>
                <w:tcPr>
                  <w:tcW w:w="1701" w:type="dxa"/>
                </w:tcPr>
                <w:p w14:paraId="36E3219D"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Desaparición forzada</w:t>
                  </w:r>
                </w:p>
              </w:tc>
            </w:tr>
            <w:tr w:rsidR="00C454A1" w:rsidRPr="00CC6176" w14:paraId="6C331FF8" w14:textId="77777777" w:rsidTr="001F3006">
              <w:trPr>
                <w:jc w:val="center"/>
              </w:trPr>
              <w:tc>
                <w:tcPr>
                  <w:tcW w:w="1984" w:type="dxa"/>
                </w:tcPr>
                <w:p w14:paraId="43B6334A" w14:textId="77777777" w:rsidR="00C454A1" w:rsidRPr="00CC6176" w:rsidRDefault="00C454A1" w:rsidP="005F4A6F">
                  <w:pPr>
                    <w:pStyle w:val="Prrafodelista"/>
                    <w:numPr>
                      <w:ilvl w:val="0"/>
                      <w:numId w:val="43"/>
                    </w:numPr>
                    <w:ind w:left="113" w:right="272" w:hanging="113"/>
                    <w:rPr>
                      <w:rFonts w:cs="Times New Roman"/>
                      <w:sz w:val="22"/>
                      <w:szCs w:val="22"/>
                    </w:rPr>
                  </w:pPr>
                  <w:r w:rsidRPr="00CC6176">
                    <w:rPr>
                      <w:rFonts w:cs="Times New Roman"/>
                      <w:sz w:val="22"/>
                      <w:szCs w:val="22"/>
                    </w:rPr>
                    <w:t>Rio de Oro: 35 personas</w:t>
                  </w:r>
                </w:p>
                <w:p w14:paraId="3FDA77DF" w14:textId="77777777" w:rsidR="00C454A1" w:rsidRPr="00CC6176" w:rsidRDefault="00C454A1" w:rsidP="005F4A6F">
                  <w:pPr>
                    <w:pStyle w:val="Prrafodelista"/>
                    <w:numPr>
                      <w:ilvl w:val="0"/>
                      <w:numId w:val="43"/>
                    </w:numPr>
                    <w:ind w:left="113" w:right="272" w:hanging="113"/>
                    <w:rPr>
                      <w:rFonts w:cs="Times New Roman"/>
                      <w:sz w:val="22"/>
                      <w:szCs w:val="22"/>
                    </w:rPr>
                  </w:pPr>
                  <w:r w:rsidRPr="00CC6176">
                    <w:rPr>
                      <w:rFonts w:cs="Times New Roman"/>
                      <w:sz w:val="22"/>
                      <w:szCs w:val="22"/>
                    </w:rPr>
                    <w:t>González: 61 personas</w:t>
                  </w:r>
                </w:p>
              </w:tc>
              <w:tc>
                <w:tcPr>
                  <w:tcW w:w="1984" w:type="dxa"/>
                </w:tcPr>
                <w:p w14:paraId="3B35859F" w14:textId="77777777" w:rsidR="00C454A1" w:rsidRPr="00CC6176" w:rsidRDefault="00C454A1" w:rsidP="005F4A6F">
                  <w:pPr>
                    <w:pStyle w:val="Prrafodelista"/>
                    <w:numPr>
                      <w:ilvl w:val="0"/>
                      <w:numId w:val="43"/>
                    </w:numPr>
                    <w:ind w:left="141" w:right="272" w:hanging="142"/>
                    <w:rPr>
                      <w:rFonts w:cs="Times New Roman"/>
                      <w:sz w:val="22"/>
                      <w:szCs w:val="22"/>
                    </w:rPr>
                  </w:pPr>
                  <w:r w:rsidRPr="00CC6176">
                    <w:rPr>
                      <w:rFonts w:cs="Times New Roman"/>
                      <w:sz w:val="22"/>
                      <w:szCs w:val="22"/>
                    </w:rPr>
                    <w:t>Sin registros</w:t>
                  </w:r>
                </w:p>
              </w:tc>
              <w:tc>
                <w:tcPr>
                  <w:tcW w:w="1984" w:type="dxa"/>
                </w:tcPr>
                <w:p w14:paraId="0F53F5EA" w14:textId="77777777" w:rsidR="00C454A1" w:rsidRPr="00CC6176" w:rsidRDefault="00C454A1" w:rsidP="005F4A6F">
                  <w:pPr>
                    <w:pStyle w:val="Prrafodelista"/>
                    <w:numPr>
                      <w:ilvl w:val="0"/>
                      <w:numId w:val="45"/>
                    </w:numPr>
                    <w:ind w:left="175" w:right="272" w:hanging="175"/>
                    <w:rPr>
                      <w:rFonts w:cs="Times New Roman"/>
                      <w:sz w:val="22"/>
                      <w:szCs w:val="22"/>
                    </w:rPr>
                  </w:pPr>
                  <w:r w:rsidRPr="00CC6176">
                    <w:rPr>
                      <w:rFonts w:cs="Times New Roman"/>
                      <w:sz w:val="22"/>
                      <w:szCs w:val="22"/>
                    </w:rPr>
                    <w:t>Rio de Oro: 6 casos; 2 en 2022, 2 en 2023 y 4 en 2024.</w:t>
                  </w:r>
                </w:p>
                <w:p w14:paraId="230DBA9F" w14:textId="77777777" w:rsidR="00C454A1" w:rsidRPr="00CC6176" w:rsidRDefault="00C454A1" w:rsidP="005F4A6F">
                  <w:pPr>
                    <w:pStyle w:val="Prrafodelista"/>
                    <w:numPr>
                      <w:ilvl w:val="0"/>
                      <w:numId w:val="45"/>
                    </w:numPr>
                    <w:ind w:left="175" w:right="272" w:hanging="175"/>
                    <w:rPr>
                      <w:rFonts w:cs="Times New Roman"/>
                      <w:sz w:val="22"/>
                      <w:szCs w:val="22"/>
                    </w:rPr>
                  </w:pPr>
                  <w:r w:rsidRPr="00CC6176">
                    <w:rPr>
                      <w:rFonts w:cs="Times New Roman"/>
                      <w:sz w:val="22"/>
                      <w:szCs w:val="22"/>
                    </w:rPr>
                    <w:t>González: Sin registros</w:t>
                  </w:r>
                </w:p>
              </w:tc>
              <w:tc>
                <w:tcPr>
                  <w:tcW w:w="1984" w:type="dxa"/>
                </w:tcPr>
                <w:p w14:paraId="60BD2A78"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 xml:space="preserve">2024: 2 ataques en la vía Rio de Oro </w:t>
                  </w:r>
                  <w:r>
                    <w:rPr>
                      <w:rFonts w:cs="Times New Roman"/>
                      <w:sz w:val="22"/>
                      <w:szCs w:val="22"/>
                    </w:rPr>
                    <w:t>–</w:t>
                  </w:r>
                  <w:r w:rsidRPr="00CC6176">
                    <w:rPr>
                      <w:rFonts w:cs="Times New Roman"/>
                      <w:sz w:val="22"/>
                      <w:szCs w:val="22"/>
                    </w:rPr>
                    <w:t xml:space="preserve"> Aguachica</w:t>
                  </w:r>
                </w:p>
              </w:tc>
              <w:tc>
                <w:tcPr>
                  <w:tcW w:w="1984" w:type="dxa"/>
                </w:tcPr>
                <w:p w14:paraId="54132D16"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 xml:space="preserve">2023: 4 personas en la vía Rio de Oro </w:t>
                  </w:r>
                  <w:r>
                    <w:rPr>
                      <w:rFonts w:cs="Times New Roman"/>
                      <w:sz w:val="22"/>
                      <w:szCs w:val="22"/>
                    </w:rPr>
                    <w:t>–</w:t>
                  </w:r>
                  <w:r w:rsidRPr="00CC6176">
                    <w:rPr>
                      <w:rFonts w:cs="Times New Roman"/>
                      <w:sz w:val="22"/>
                      <w:szCs w:val="22"/>
                    </w:rPr>
                    <w:t xml:space="preserve"> Ocaña</w:t>
                  </w:r>
                </w:p>
                <w:p w14:paraId="7EB5899E"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2024: 2 soldados en enfrentamientos con el ELN</w:t>
                  </w:r>
                </w:p>
              </w:tc>
              <w:tc>
                <w:tcPr>
                  <w:tcW w:w="1984" w:type="dxa"/>
                </w:tcPr>
                <w:p w14:paraId="156D706E"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2022: 1 eventos</w:t>
                  </w:r>
                </w:p>
                <w:p w14:paraId="227EF385"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2023: 11 eventos</w:t>
                  </w:r>
                </w:p>
                <w:p w14:paraId="7B50FAB2"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2024: 1 eventos</w:t>
                  </w:r>
                </w:p>
              </w:tc>
              <w:tc>
                <w:tcPr>
                  <w:tcW w:w="1701" w:type="dxa"/>
                </w:tcPr>
                <w:p w14:paraId="6CAE8682"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Sin registros</w:t>
                  </w:r>
                </w:p>
                <w:p w14:paraId="7E6B0F33" w14:textId="77777777" w:rsidR="00C454A1" w:rsidRPr="00CC6176" w:rsidRDefault="00C454A1" w:rsidP="00881E6A">
                  <w:pPr>
                    <w:pStyle w:val="Prrafodelista"/>
                    <w:ind w:left="0" w:right="272"/>
                    <w:rPr>
                      <w:rFonts w:cs="Times New Roman"/>
                      <w:sz w:val="22"/>
                      <w:szCs w:val="22"/>
                    </w:rPr>
                  </w:pPr>
                </w:p>
              </w:tc>
            </w:tr>
          </w:tbl>
          <w:p w14:paraId="005E6475" w14:textId="77777777" w:rsidR="00C454A1" w:rsidRDefault="00C454A1" w:rsidP="00881E6A">
            <w:pPr>
              <w:pStyle w:val="Prrafodelista"/>
              <w:ind w:right="272"/>
              <w:rPr>
                <w:rFonts w:cs="Times New Roman"/>
              </w:rPr>
            </w:pPr>
          </w:p>
          <w:p w14:paraId="40409D9E" w14:textId="77777777" w:rsidR="00C454A1" w:rsidRPr="00DA6C7F" w:rsidRDefault="00C454A1" w:rsidP="005F4A6F">
            <w:pPr>
              <w:pStyle w:val="Prrafodelista"/>
              <w:numPr>
                <w:ilvl w:val="0"/>
                <w:numId w:val="47"/>
              </w:numPr>
              <w:ind w:right="272"/>
              <w:rPr>
                <w:rFonts w:cs="Times New Roman"/>
              </w:rPr>
            </w:pPr>
            <w:r w:rsidRPr="00DA6C7F">
              <w:rPr>
                <w:rFonts w:cs="Times New Roman"/>
              </w:rPr>
              <w:lastRenderedPageBreak/>
              <w:t xml:space="preserve">Agregó que </w:t>
            </w:r>
            <w:r>
              <w:rPr>
                <w:rFonts w:cs="Times New Roman"/>
              </w:rPr>
              <w:t>e</w:t>
            </w:r>
            <w:r w:rsidRPr="00DA6C7F">
              <w:rPr>
                <w:rFonts w:cs="Times New Roman"/>
              </w:rPr>
              <w:t xml:space="preserve">l 20 de marzo de 2023, aparecieron letreros alusivos a las disidencias de las FARC, </w:t>
            </w:r>
            <w:r>
              <w:rPr>
                <w:rFonts w:cs="Times New Roman"/>
              </w:rPr>
              <w:t>F</w:t>
            </w:r>
            <w:r w:rsidRPr="00DA6C7F">
              <w:rPr>
                <w:rFonts w:cs="Times New Roman"/>
              </w:rPr>
              <w:t>rente 41, causando zozobra en la población civil.</w:t>
            </w:r>
          </w:p>
          <w:p w14:paraId="09EB8A53" w14:textId="77777777" w:rsidR="00C454A1" w:rsidRPr="00DA6C7F" w:rsidRDefault="00C454A1" w:rsidP="005F4A6F">
            <w:pPr>
              <w:pStyle w:val="Prrafodelista"/>
              <w:numPr>
                <w:ilvl w:val="0"/>
                <w:numId w:val="47"/>
              </w:numPr>
              <w:ind w:right="272"/>
              <w:rPr>
                <w:rFonts w:cs="Times New Roman"/>
                <w:lang w:val="es-ES"/>
              </w:rPr>
            </w:pPr>
            <w:r w:rsidRPr="00DA6C7F">
              <w:rPr>
                <w:rFonts w:cs="Times New Roman"/>
                <w:lang w:val="es-ES"/>
              </w:rPr>
              <w:t>La alcaldía informó que los victimarios son los grupos armados del ELN, las disidencias de las FARC</w:t>
            </w:r>
            <w:r w:rsidRPr="00DA6C7F">
              <w:rPr>
                <w:rStyle w:val="Refdenotaalpie"/>
                <w:rFonts w:cs="Times New Roman"/>
                <w:lang w:val="es-ES"/>
              </w:rPr>
              <w:footnoteReference w:id="786"/>
            </w:r>
            <w:r w:rsidRPr="00DA6C7F">
              <w:rPr>
                <w:rFonts w:cs="Times New Roman"/>
                <w:lang w:val="es-ES"/>
              </w:rPr>
              <w:t xml:space="preserve">, el EPL (Pelusos) y </w:t>
            </w:r>
            <w:r>
              <w:rPr>
                <w:rFonts w:cs="Times New Roman"/>
                <w:lang w:val="es-ES"/>
              </w:rPr>
              <w:t xml:space="preserve">el </w:t>
            </w:r>
            <w:r w:rsidRPr="00DA6C7F">
              <w:rPr>
                <w:rFonts w:cs="Times New Roman"/>
                <w:lang w:val="es-ES"/>
              </w:rPr>
              <w:t>Clan del golfo</w:t>
            </w:r>
            <w:r>
              <w:rPr>
                <w:rFonts w:cs="Times New Roman"/>
                <w:lang w:val="es-ES"/>
              </w:rPr>
              <w:t>.</w:t>
            </w:r>
          </w:p>
          <w:p w14:paraId="2C263E70" w14:textId="77777777" w:rsidR="00C454A1" w:rsidRPr="00DA6C7F" w:rsidRDefault="00C454A1" w:rsidP="005F4A6F">
            <w:pPr>
              <w:pStyle w:val="Prrafodelista"/>
              <w:numPr>
                <w:ilvl w:val="0"/>
                <w:numId w:val="47"/>
              </w:numPr>
              <w:spacing w:after="160" w:line="278" w:lineRule="auto"/>
              <w:ind w:right="272"/>
              <w:rPr>
                <w:rFonts w:cs="Times New Roman"/>
              </w:rPr>
            </w:pPr>
            <w:r w:rsidRPr="00DA6C7F">
              <w:rPr>
                <w:rFonts w:cs="Times New Roman"/>
              </w:rPr>
              <w:t>Agregó que la situación actual “afecta la capacidad institucional en términos de asistencia humanitaria”</w:t>
            </w:r>
            <w:r w:rsidRPr="00DA6C7F">
              <w:rPr>
                <w:rStyle w:val="Refdenotaalpie"/>
                <w:rFonts w:cs="Times New Roman"/>
              </w:rPr>
              <w:footnoteReference w:id="787"/>
            </w:r>
            <w:r w:rsidRPr="00DA6C7F">
              <w:rPr>
                <w:rFonts w:cs="Times New Roman"/>
              </w:rPr>
              <w:t>.</w:t>
            </w:r>
          </w:p>
          <w:p w14:paraId="52360F93" w14:textId="77777777" w:rsidR="00C454A1" w:rsidRPr="00DA6C7F" w:rsidRDefault="00C454A1" w:rsidP="005F4A6F">
            <w:pPr>
              <w:pStyle w:val="Prrafodelista"/>
              <w:numPr>
                <w:ilvl w:val="0"/>
                <w:numId w:val="47"/>
              </w:numPr>
              <w:spacing w:after="160" w:line="278" w:lineRule="auto"/>
              <w:ind w:right="272"/>
              <w:rPr>
                <w:rFonts w:cs="Times New Roman"/>
              </w:rPr>
            </w:pPr>
            <w:r w:rsidRPr="00DA6C7F">
              <w:rPr>
                <w:rFonts w:cs="Times New Roman"/>
              </w:rPr>
              <w:t>La asesora de paz del departamento presentó además las siguientes cifras que difieren de las presentadas por la gobernación:</w:t>
            </w:r>
          </w:p>
          <w:p w14:paraId="7F005FC7" w14:textId="77777777" w:rsidR="00C454A1" w:rsidRDefault="00C454A1" w:rsidP="00881E6A">
            <w:pPr>
              <w:pStyle w:val="Prrafodelista"/>
              <w:spacing w:after="160" w:line="278" w:lineRule="auto"/>
              <w:ind w:right="272"/>
              <w:rPr>
                <w:rFonts w:cs="Times New Roman"/>
              </w:rPr>
            </w:pPr>
          </w:p>
          <w:p w14:paraId="4C674C47" w14:textId="77777777" w:rsidR="00C454A1" w:rsidRPr="000621E5" w:rsidRDefault="00C454A1" w:rsidP="00881E6A">
            <w:pPr>
              <w:pStyle w:val="Prrafodelista"/>
              <w:spacing w:after="160" w:line="278" w:lineRule="auto"/>
              <w:ind w:right="272"/>
              <w:jc w:val="center"/>
              <w:rPr>
                <w:rFonts w:cs="Times New Roman"/>
                <w:i/>
                <w:iCs/>
                <w:sz w:val="20"/>
                <w:szCs w:val="20"/>
              </w:rPr>
            </w:pPr>
            <w:r w:rsidRPr="000621E5">
              <w:rPr>
                <w:rFonts w:cs="Times New Roman"/>
                <w:i/>
                <w:iCs/>
                <w:sz w:val="20"/>
                <w:szCs w:val="20"/>
              </w:rPr>
              <w:t>Tabla 38: ataques contra la población civil reportados por la Asesora de Paz de la Gobernación del Cesar</w:t>
            </w:r>
          </w:p>
          <w:tbl>
            <w:tblPr>
              <w:tblStyle w:val="Tablaconcuadrcula"/>
              <w:tblW w:w="13608" w:type="dxa"/>
              <w:jc w:val="center"/>
              <w:tblLook w:val="04A0" w:firstRow="1" w:lastRow="0" w:firstColumn="1" w:lastColumn="0" w:noHBand="0" w:noVBand="1"/>
            </w:tblPr>
            <w:tblGrid>
              <w:gridCol w:w="3402"/>
              <w:gridCol w:w="3402"/>
              <w:gridCol w:w="3402"/>
              <w:gridCol w:w="3402"/>
            </w:tblGrid>
            <w:tr w:rsidR="00C454A1" w:rsidRPr="00394493" w14:paraId="0DFF3A17" w14:textId="77777777" w:rsidTr="001F3006">
              <w:trPr>
                <w:jc w:val="center"/>
              </w:trPr>
              <w:tc>
                <w:tcPr>
                  <w:tcW w:w="3402" w:type="dxa"/>
                </w:tcPr>
                <w:p w14:paraId="31E62AB8"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Desplazamiento forzado</w:t>
                  </w:r>
                </w:p>
              </w:tc>
              <w:tc>
                <w:tcPr>
                  <w:tcW w:w="3402" w:type="dxa"/>
                </w:tcPr>
                <w:p w14:paraId="66019009"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Ataques contra líderes sociales</w:t>
                  </w:r>
                </w:p>
              </w:tc>
              <w:tc>
                <w:tcPr>
                  <w:tcW w:w="3402" w:type="dxa"/>
                </w:tcPr>
                <w:p w14:paraId="64FF9623"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Secuestros</w:t>
                  </w:r>
                </w:p>
              </w:tc>
              <w:tc>
                <w:tcPr>
                  <w:tcW w:w="3402" w:type="dxa"/>
                </w:tcPr>
                <w:p w14:paraId="3C2FB9FF" w14:textId="77777777" w:rsidR="00C454A1" w:rsidRPr="00CC6176" w:rsidRDefault="00C454A1" w:rsidP="00881E6A">
                  <w:pPr>
                    <w:pStyle w:val="Prrafodelista"/>
                    <w:ind w:left="0" w:right="272"/>
                    <w:rPr>
                      <w:rFonts w:cs="Times New Roman"/>
                      <w:sz w:val="22"/>
                      <w:szCs w:val="22"/>
                    </w:rPr>
                  </w:pPr>
                  <w:r w:rsidRPr="00CC6176">
                    <w:rPr>
                      <w:rFonts w:cs="Times New Roman"/>
                      <w:sz w:val="22"/>
                      <w:szCs w:val="22"/>
                    </w:rPr>
                    <w:t>Homicidio</w:t>
                  </w:r>
                </w:p>
              </w:tc>
            </w:tr>
            <w:tr w:rsidR="00C454A1" w:rsidRPr="00F8202F" w14:paraId="7A86B2DF" w14:textId="77777777" w:rsidTr="001F3006">
              <w:trPr>
                <w:jc w:val="center"/>
              </w:trPr>
              <w:tc>
                <w:tcPr>
                  <w:tcW w:w="3402" w:type="dxa"/>
                </w:tcPr>
                <w:p w14:paraId="13643EA7" w14:textId="77777777" w:rsidR="00C454A1" w:rsidRPr="00CC6176" w:rsidRDefault="00C454A1" w:rsidP="005F4A6F">
                  <w:pPr>
                    <w:pStyle w:val="Prrafodelista"/>
                    <w:numPr>
                      <w:ilvl w:val="0"/>
                      <w:numId w:val="43"/>
                    </w:numPr>
                    <w:ind w:left="113" w:right="272" w:hanging="113"/>
                    <w:rPr>
                      <w:rFonts w:cs="Times New Roman"/>
                      <w:sz w:val="22"/>
                      <w:szCs w:val="22"/>
                    </w:rPr>
                  </w:pPr>
                  <w:r w:rsidRPr="00CC6176">
                    <w:rPr>
                      <w:rFonts w:cs="Times New Roman"/>
                      <w:sz w:val="22"/>
                      <w:szCs w:val="22"/>
                    </w:rPr>
                    <w:t>Rio de Oro: 190 personas (20 personas en 2022, 102 en 2023, 20 en 2024 y 48 en 2025)</w:t>
                  </w:r>
                </w:p>
                <w:p w14:paraId="07C44C49" w14:textId="77777777" w:rsidR="00C454A1" w:rsidRPr="00CC6176" w:rsidRDefault="00C454A1" w:rsidP="005F4A6F">
                  <w:pPr>
                    <w:pStyle w:val="Prrafodelista"/>
                    <w:numPr>
                      <w:ilvl w:val="0"/>
                      <w:numId w:val="43"/>
                    </w:numPr>
                    <w:ind w:left="113" w:right="272" w:hanging="113"/>
                    <w:rPr>
                      <w:rFonts w:cs="Times New Roman"/>
                      <w:sz w:val="22"/>
                      <w:szCs w:val="22"/>
                    </w:rPr>
                  </w:pPr>
                  <w:r w:rsidRPr="00CC6176">
                    <w:rPr>
                      <w:rFonts w:cs="Times New Roman"/>
                      <w:sz w:val="22"/>
                      <w:szCs w:val="22"/>
                    </w:rPr>
                    <w:t>González: 280 personas (95 en 2022, 92 en 2023, 32 en 2024 y 61 en 2025)</w:t>
                  </w:r>
                </w:p>
              </w:tc>
              <w:tc>
                <w:tcPr>
                  <w:tcW w:w="3402" w:type="dxa"/>
                </w:tcPr>
                <w:p w14:paraId="10AF482A" w14:textId="77777777" w:rsidR="00C454A1" w:rsidRPr="00CC6176" w:rsidRDefault="00C454A1" w:rsidP="005F4A6F">
                  <w:pPr>
                    <w:pStyle w:val="Prrafodelista"/>
                    <w:numPr>
                      <w:ilvl w:val="0"/>
                      <w:numId w:val="43"/>
                    </w:numPr>
                    <w:ind w:left="141" w:right="272" w:hanging="142"/>
                    <w:rPr>
                      <w:rFonts w:cs="Times New Roman"/>
                      <w:sz w:val="22"/>
                      <w:szCs w:val="22"/>
                    </w:rPr>
                  </w:pPr>
                  <w:r w:rsidRPr="00CC6176">
                    <w:rPr>
                      <w:rFonts w:cs="Times New Roman"/>
                      <w:sz w:val="22"/>
                      <w:szCs w:val="22"/>
                    </w:rPr>
                    <w:t>Se registra a 3 firmantes de paz que fueron desplazados</w:t>
                  </w:r>
                </w:p>
              </w:tc>
              <w:tc>
                <w:tcPr>
                  <w:tcW w:w="3402" w:type="dxa"/>
                </w:tcPr>
                <w:p w14:paraId="2F703D37" w14:textId="77777777" w:rsidR="00C454A1" w:rsidRPr="00CC6176" w:rsidRDefault="00C454A1" w:rsidP="005F4A6F">
                  <w:pPr>
                    <w:pStyle w:val="Prrafodelista"/>
                    <w:numPr>
                      <w:ilvl w:val="0"/>
                      <w:numId w:val="45"/>
                    </w:numPr>
                    <w:ind w:left="175" w:right="272" w:hanging="175"/>
                    <w:rPr>
                      <w:rFonts w:cs="Times New Roman"/>
                      <w:sz w:val="22"/>
                      <w:szCs w:val="22"/>
                    </w:rPr>
                  </w:pPr>
                  <w:r w:rsidRPr="00CC6176">
                    <w:rPr>
                      <w:rFonts w:cs="Times New Roman"/>
                      <w:sz w:val="22"/>
                      <w:szCs w:val="22"/>
                    </w:rPr>
                    <w:t xml:space="preserve">Rio de Oro: 3 personas en 2024 </w:t>
                  </w:r>
                </w:p>
                <w:p w14:paraId="7FE9252B" w14:textId="77777777" w:rsidR="00C454A1" w:rsidRPr="00CC6176" w:rsidRDefault="00C454A1" w:rsidP="005F4A6F">
                  <w:pPr>
                    <w:pStyle w:val="Prrafodelista"/>
                    <w:numPr>
                      <w:ilvl w:val="0"/>
                      <w:numId w:val="45"/>
                    </w:numPr>
                    <w:ind w:left="175" w:right="272" w:hanging="175"/>
                    <w:rPr>
                      <w:rFonts w:cs="Times New Roman"/>
                      <w:sz w:val="22"/>
                      <w:szCs w:val="22"/>
                    </w:rPr>
                  </w:pPr>
                  <w:r w:rsidRPr="00CC6176">
                    <w:rPr>
                      <w:rFonts w:cs="Times New Roman"/>
                      <w:sz w:val="22"/>
                      <w:szCs w:val="22"/>
                    </w:rPr>
                    <w:t>González: Sin registros</w:t>
                  </w:r>
                </w:p>
              </w:tc>
              <w:tc>
                <w:tcPr>
                  <w:tcW w:w="3402" w:type="dxa"/>
                </w:tcPr>
                <w:p w14:paraId="2E43D9AF"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2022: 1 persona por el ELN en González</w:t>
                  </w:r>
                </w:p>
                <w:p w14:paraId="7C02DA2C"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2023: 1 persona por el frente 41 de las disidencias de las FARC en González y 5 personas en Rio de Oro (4 de ellas fueron asesinadas por el ELN)</w:t>
                  </w:r>
                </w:p>
                <w:p w14:paraId="1478D4C1" w14:textId="77777777" w:rsidR="00C454A1" w:rsidRPr="00CC6176" w:rsidRDefault="00C454A1" w:rsidP="005F4A6F">
                  <w:pPr>
                    <w:pStyle w:val="Prrafodelista"/>
                    <w:numPr>
                      <w:ilvl w:val="0"/>
                      <w:numId w:val="44"/>
                    </w:numPr>
                    <w:ind w:left="153" w:right="272" w:hanging="153"/>
                    <w:rPr>
                      <w:rFonts w:cs="Times New Roman"/>
                      <w:sz w:val="22"/>
                      <w:szCs w:val="22"/>
                    </w:rPr>
                  </w:pPr>
                  <w:r w:rsidRPr="00CC6176">
                    <w:rPr>
                      <w:rFonts w:cs="Times New Roman"/>
                      <w:sz w:val="22"/>
                      <w:szCs w:val="22"/>
                    </w:rPr>
                    <w:t>2024: 2 soldados en Río de Oro</w:t>
                  </w:r>
                </w:p>
              </w:tc>
            </w:tr>
          </w:tbl>
          <w:p w14:paraId="1C890F26" w14:textId="77777777" w:rsidR="00C454A1" w:rsidRDefault="00C454A1" w:rsidP="00881E6A">
            <w:pPr>
              <w:pStyle w:val="Prrafodelista"/>
              <w:ind w:right="272"/>
              <w:rPr>
                <w:rFonts w:cs="Times New Roman"/>
                <w:lang w:val="es-ES"/>
              </w:rPr>
            </w:pPr>
          </w:p>
          <w:p w14:paraId="5116DB47" w14:textId="77777777" w:rsidR="00C454A1" w:rsidRPr="00DA6C7F" w:rsidRDefault="00C454A1" w:rsidP="005F4A6F">
            <w:pPr>
              <w:pStyle w:val="Prrafodelista"/>
              <w:numPr>
                <w:ilvl w:val="0"/>
                <w:numId w:val="68"/>
              </w:numPr>
              <w:ind w:right="272"/>
              <w:rPr>
                <w:rFonts w:cs="Times New Roman"/>
                <w:lang w:val="es-ES"/>
              </w:rPr>
            </w:pPr>
            <w:r w:rsidRPr="00DA6C7F">
              <w:rPr>
                <w:rFonts w:cs="Times New Roman"/>
                <w:lang w:val="es-ES"/>
              </w:rPr>
              <w:t>La asesora de paz del departamento agregó que el ELN, las disidencias de las FARC (Segunda Marquetalia) y el Estado Mayor Central, así como el EPL, también conocidos como los “Pelusos”</w:t>
            </w:r>
            <w:r>
              <w:rPr>
                <w:rFonts w:cs="Times New Roman"/>
                <w:lang w:val="es-ES"/>
              </w:rPr>
              <w:t>,</w:t>
            </w:r>
            <w:r w:rsidRPr="00DA6C7F">
              <w:rPr>
                <w:rFonts w:cs="Times New Roman"/>
                <w:lang w:val="es-ES"/>
              </w:rPr>
              <w:t xml:space="preserve"> realizan actividades ilícitas como (i) narcotráfico, (ii) extorsión, (iii) secuestro y (iv) reclutamiento forzado</w:t>
            </w:r>
            <w:r w:rsidRPr="00DA6C7F">
              <w:rPr>
                <w:rStyle w:val="Refdenotaalpie"/>
                <w:rFonts w:cs="Times New Roman"/>
                <w:lang w:val="es-ES"/>
              </w:rPr>
              <w:footnoteReference w:id="788"/>
            </w:r>
            <w:r w:rsidRPr="00DA6C7F">
              <w:rPr>
                <w:rFonts w:cs="Times New Roman"/>
                <w:lang w:val="es-ES"/>
              </w:rPr>
              <w:t>.</w:t>
            </w:r>
          </w:p>
          <w:p w14:paraId="74E70EA7" w14:textId="77777777" w:rsidR="00C454A1" w:rsidRPr="00DA6C7F" w:rsidRDefault="00C454A1" w:rsidP="00881E6A">
            <w:pPr>
              <w:ind w:right="272"/>
              <w:rPr>
                <w:rFonts w:cs="Times New Roman"/>
              </w:rPr>
            </w:pPr>
          </w:p>
          <w:p w14:paraId="5F2A1108" w14:textId="77777777" w:rsidR="00C454A1" w:rsidRPr="00DA6C7F" w:rsidRDefault="00C454A1" w:rsidP="005F4A6F">
            <w:pPr>
              <w:pStyle w:val="Prrafodelista"/>
              <w:numPr>
                <w:ilvl w:val="0"/>
                <w:numId w:val="63"/>
              </w:numPr>
              <w:ind w:left="1025" w:right="272" w:hanging="851"/>
              <w:rPr>
                <w:rFonts w:cs="Times New Roman"/>
              </w:rPr>
            </w:pPr>
            <w:r w:rsidRPr="00DA6C7F">
              <w:rPr>
                <w:rFonts w:cs="Times New Roman"/>
              </w:rPr>
              <w:lastRenderedPageBreak/>
              <w:t>Confrontaciones entre los GAO</w:t>
            </w:r>
          </w:p>
          <w:p w14:paraId="6BDC3D31" w14:textId="77777777" w:rsidR="00C454A1" w:rsidRPr="00DA6C7F" w:rsidRDefault="00C454A1" w:rsidP="005F4A6F">
            <w:pPr>
              <w:pStyle w:val="Prrafodelista"/>
              <w:numPr>
                <w:ilvl w:val="0"/>
                <w:numId w:val="48"/>
              </w:numPr>
              <w:spacing w:after="160" w:line="278" w:lineRule="auto"/>
              <w:ind w:left="782" w:right="272" w:hanging="425"/>
              <w:rPr>
                <w:rFonts w:cs="Times New Roman"/>
              </w:rPr>
            </w:pPr>
            <w:r w:rsidRPr="00DA6C7F">
              <w:rPr>
                <w:rFonts w:cs="Times New Roman"/>
              </w:rPr>
              <w:t xml:space="preserve">Informó que según la alerta temprana 026 de 2024, la defensoría del pueblo advirtió que hay confrontaciones entre el </w:t>
            </w:r>
            <w:r>
              <w:rPr>
                <w:rFonts w:cs="Times New Roman"/>
              </w:rPr>
              <w:t>F</w:t>
            </w:r>
            <w:r w:rsidRPr="00DA6C7F">
              <w:rPr>
                <w:rFonts w:cs="Times New Roman"/>
              </w:rPr>
              <w:t>rente 33 de las disidencias de las FARC y el ELN</w:t>
            </w:r>
            <w:r w:rsidRPr="00DA6C7F">
              <w:rPr>
                <w:rStyle w:val="Refdenotaalpie"/>
                <w:rFonts w:cs="Times New Roman"/>
              </w:rPr>
              <w:footnoteReference w:id="789"/>
            </w:r>
            <w:r w:rsidRPr="00DA6C7F">
              <w:rPr>
                <w:rFonts w:cs="Times New Roman"/>
              </w:rPr>
              <w:t>.</w:t>
            </w:r>
          </w:p>
          <w:p w14:paraId="7B24601B" w14:textId="77777777" w:rsidR="00C454A1" w:rsidRPr="00DA6C7F" w:rsidRDefault="00C454A1" w:rsidP="005F4A6F">
            <w:pPr>
              <w:pStyle w:val="Prrafodelista"/>
              <w:numPr>
                <w:ilvl w:val="0"/>
                <w:numId w:val="48"/>
              </w:numPr>
              <w:spacing w:after="160" w:line="278" w:lineRule="auto"/>
              <w:ind w:left="782" w:right="272" w:hanging="425"/>
              <w:rPr>
                <w:rFonts w:cs="Times New Roman"/>
                <w:lang w:val="es-ES"/>
              </w:rPr>
            </w:pPr>
            <w:r w:rsidRPr="00DA6C7F">
              <w:rPr>
                <w:rFonts w:cs="Times New Roman"/>
                <w:lang w:val="es-ES"/>
              </w:rPr>
              <w:t xml:space="preserve">Explicó que según la alerta, las actividades ilícitas incluyen la presencia y expansión de estos grupos en el territorio, así como violaciones a los derechos humanos como (i) </w:t>
            </w:r>
            <w:r>
              <w:rPr>
                <w:rFonts w:cs="Times New Roman"/>
                <w:lang w:val="es-ES"/>
              </w:rPr>
              <w:t>h</w:t>
            </w:r>
            <w:r w:rsidRPr="00DA6C7F">
              <w:rPr>
                <w:rFonts w:cs="Times New Roman"/>
                <w:lang w:val="es-ES"/>
              </w:rPr>
              <w:t>omicidios selectivos y asesinatos de miembros de la Fuerza Pública</w:t>
            </w:r>
            <w:r>
              <w:rPr>
                <w:rFonts w:cs="Times New Roman"/>
                <w:lang w:val="es-ES"/>
              </w:rPr>
              <w:t>;</w:t>
            </w:r>
            <w:r w:rsidRPr="00DA6C7F">
              <w:rPr>
                <w:rFonts w:cs="Times New Roman"/>
                <w:lang w:val="es-ES"/>
              </w:rPr>
              <w:t xml:space="preserve"> (ii) </w:t>
            </w:r>
            <w:r>
              <w:rPr>
                <w:rFonts w:cs="Times New Roman"/>
                <w:lang w:val="es-ES"/>
              </w:rPr>
              <w:t>r</w:t>
            </w:r>
            <w:r w:rsidRPr="00DA6C7F">
              <w:rPr>
                <w:rFonts w:cs="Times New Roman"/>
                <w:lang w:val="es-ES"/>
              </w:rPr>
              <w:t>etenes ilegales en vías estratégicas</w:t>
            </w:r>
            <w:r>
              <w:rPr>
                <w:rFonts w:cs="Times New Roman"/>
                <w:lang w:val="es-ES"/>
              </w:rPr>
              <w:t>;</w:t>
            </w:r>
            <w:r w:rsidRPr="00DA6C7F">
              <w:rPr>
                <w:rFonts w:cs="Times New Roman"/>
                <w:lang w:val="es-ES"/>
              </w:rPr>
              <w:t xml:space="preserve"> (iii) </w:t>
            </w:r>
            <w:r>
              <w:rPr>
                <w:rFonts w:cs="Times New Roman"/>
                <w:lang w:val="es-ES"/>
              </w:rPr>
              <w:t>a</w:t>
            </w:r>
            <w:r w:rsidRPr="00DA6C7F">
              <w:rPr>
                <w:rFonts w:cs="Times New Roman"/>
                <w:lang w:val="es-ES"/>
              </w:rPr>
              <w:t>taques indiscriminados con artefactos explosivos y uso de minas antipersona</w:t>
            </w:r>
            <w:r>
              <w:rPr>
                <w:rFonts w:cs="Times New Roman"/>
                <w:lang w:val="es-ES"/>
              </w:rPr>
              <w:t>;</w:t>
            </w:r>
            <w:r w:rsidRPr="00DA6C7F">
              <w:rPr>
                <w:rFonts w:cs="Times New Roman"/>
                <w:lang w:val="es-ES"/>
              </w:rPr>
              <w:t xml:space="preserve"> (iv) </w:t>
            </w:r>
            <w:r>
              <w:rPr>
                <w:rFonts w:cs="Times New Roman"/>
                <w:lang w:val="es-ES"/>
              </w:rPr>
              <w:t>s</w:t>
            </w:r>
            <w:r w:rsidRPr="00DA6C7F">
              <w:rPr>
                <w:rFonts w:cs="Times New Roman"/>
                <w:lang w:val="es-ES"/>
              </w:rPr>
              <w:t xml:space="preserve">ecuestros de comerciantes, ganaderos, transportadores y líderes sociales; y (v) Extorsión a comerciantes y expendedores de combustible mediante el cobro de </w:t>
            </w:r>
            <w:r>
              <w:rPr>
                <w:rFonts w:cs="Times New Roman"/>
                <w:lang w:val="es-ES"/>
              </w:rPr>
              <w:t>“</w:t>
            </w:r>
            <w:r w:rsidRPr="00DA6C7F">
              <w:rPr>
                <w:rFonts w:cs="Times New Roman"/>
                <w:lang w:val="es-ES"/>
              </w:rPr>
              <w:t>impuesto de guerra</w:t>
            </w:r>
            <w:r>
              <w:rPr>
                <w:rFonts w:cs="Times New Roman"/>
                <w:lang w:val="es-ES"/>
              </w:rPr>
              <w:t>”</w:t>
            </w:r>
            <w:r w:rsidRPr="00DA6C7F">
              <w:rPr>
                <w:rFonts w:cs="Times New Roman"/>
                <w:lang w:val="es-ES"/>
              </w:rPr>
              <w:t>.</w:t>
            </w:r>
          </w:p>
          <w:p w14:paraId="3D87EDCF" w14:textId="77777777" w:rsidR="00C454A1" w:rsidRPr="00DA6C7F" w:rsidRDefault="00C454A1" w:rsidP="005F4A6F">
            <w:pPr>
              <w:pStyle w:val="Prrafodelista"/>
              <w:numPr>
                <w:ilvl w:val="0"/>
                <w:numId w:val="48"/>
              </w:numPr>
              <w:spacing w:after="160" w:line="278" w:lineRule="auto"/>
              <w:ind w:left="782" w:right="272" w:hanging="425"/>
              <w:rPr>
                <w:rFonts w:cs="Times New Roman"/>
              </w:rPr>
            </w:pPr>
            <w:r w:rsidRPr="00DA6C7F">
              <w:rPr>
                <w:rFonts w:cs="Times New Roman"/>
              </w:rPr>
              <w:t>Añadió que el departamento es un escenario activo de riesgo, lo cual implica riesgos de afectación inminente y directa a la estabilidad institucional, la seguridad del Estado y la convivencia ciudadana. Esto porque:</w:t>
            </w:r>
          </w:p>
          <w:p w14:paraId="22BAFDBC" w14:textId="77777777" w:rsidR="00C454A1" w:rsidRPr="00DA6C7F" w:rsidRDefault="00C454A1" w:rsidP="005F4A6F">
            <w:pPr>
              <w:pStyle w:val="Prrafodelista"/>
              <w:numPr>
                <w:ilvl w:val="1"/>
                <w:numId w:val="48"/>
              </w:numPr>
              <w:spacing w:after="160" w:line="278" w:lineRule="auto"/>
              <w:ind w:left="1276" w:right="272" w:hanging="425"/>
              <w:rPr>
                <w:rFonts w:cs="Times New Roman"/>
                <w:lang w:val="es-ES"/>
              </w:rPr>
            </w:pPr>
            <w:r w:rsidRPr="00DA6C7F">
              <w:rPr>
                <w:rFonts w:cs="Times New Roman"/>
                <w:lang w:val="es-ES"/>
              </w:rPr>
              <w:t>El Cesar tiene 154 km de frontera con Venezuela, lo que supone que, ante la intensificación del conflicto, los grupos armados busquen por territorio del departamento cruzar la frontera para evadir los operativos militares.</w:t>
            </w:r>
          </w:p>
          <w:p w14:paraId="7AA4DF79" w14:textId="77777777" w:rsidR="00C454A1" w:rsidRPr="00DA6C7F" w:rsidRDefault="00C454A1" w:rsidP="005F4A6F">
            <w:pPr>
              <w:pStyle w:val="Prrafodelista"/>
              <w:numPr>
                <w:ilvl w:val="1"/>
                <w:numId w:val="48"/>
              </w:numPr>
              <w:spacing w:after="160" w:line="278" w:lineRule="auto"/>
              <w:ind w:left="1276" w:right="272" w:hanging="425"/>
              <w:rPr>
                <w:rFonts w:cs="Times New Roman"/>
              </w:rPr>
            </w:pPr>
            <w:r w:rsidRPr="00DA6C7F">
              <w:rPr>
                <w:rFonts w:cs="Times New Roman"/>
              </w:rPr>
              <w:t>Hay un escenario masivo de desplazamiento forzado de la región del Catatumbo, lo que genera un desbordamiento de las capacidades de respuesta por parte de las autoridades locales.</w:t>
            </w:r>
          </w:p>
          <w:p w14:paraId="221E1E6B" w14:textId="77777777" w:rsidR="00C454A1" w:rsidRPr="00DA6C7F" w:rsidRDefault="00C454A1" w:rsidP="005F4A6F">
            <w:pPr>
              <w:pStyle w:val="Prrafodelista"/>
              <w:numPr>
                <w:ilvl w:val="1"/>
                <w:numId w:val="48"/>
              </w:numPr>
              <w:spacing w:after="160" w:line="278" w:lineRule="auto"/>
              <w:ind w:left="1276" w:right="272" w:hanging="425"/>
              <w:rPr>
                <w:rFonts w:cs="Times New Roman"/>
              </w:rPr>
            </w:pPr>
            <w:r w:rsidRPr="00DA6C7F">
              <w:rPr>
                <w:rFonts w:cs="Times New Roman"/>
              </w:rPr>
              <w:t>Hay falta de presencia estatal en zonas rurales, escenario que podría ser aprovechada por grupos ilegales para consolidar su control territorial y ejercer poder sobre la población.</w:t>
            </w:r>
          </w:p>
          <w:p w14:paraId="7881B347" w14:textId="77777777" w:rsidR="00C454A1" w:rsidRPr="00DA6C7F" w:rsidRDefault="00C454A1" w:rsidP="005F4A6F">
            <w:pPr>
              <w:pStyle w:val="Prrafodelista"/>
              <w:numPr>
                <w:ilvl w:val="1"/>
                <w:numId w:val="48"/>
              </w:numPr>
              <w:ind w:left="1276" w:right="272" w:hanging="425"/>
              <w:rPr>
                <w:rFonts w:cs="Times New Roman"/>
              </w:rPr>
            </w:pPr>
            <w:r w:rsidRPr="00DA6C7F">
              <w:rPr>
                <w:rFonts w:cs="Times New Roman"/>
              </w:rPr>
              <w:t>Existe una afectación a la economía de los municipios del Cesar porque la mayoría de los productos provienen de la región del Catatumbo.</w:t>
            </w:r>
          </w:p>
          <w:p w14:paraId="22C7A4C7" w14:textId="77777777" w:rsidR="00C454A1" w:rsidRPr="00DA6C7F" w:rsidRDefault="00C454A1" w:rsidP="00881E6A">
            <w:pPr>
              <w:pStyle w:val="Prrafodelista"/>
              <w:spacing w:after="160" w:line="278" w:lineRule="auto"/>
              <w:ind w:left="782" w:right="272"/>
              <w:rPr>
                <w:rFonts w:cs="Times New Roman"/>
              </w:rPr>
            </w:pPr>
          </w:p>
          <w:p w14:paraId="6009350A" w14:textId="77777777" w:rsidR="00C454A1" w:rsidRPr="00DA6C7F" w:rsidRDefault="00C454A1" w:rsidP="005F4A6F">
            <w:pPr>
              <w:pStyle w:val="Prrafodelista"/>
              <w:numPr>
                <w:ilvl w:val="0"/>
                <w:numId w:val="63"/>
              </w:numPr>
              <w:ind w:left="1025" w:right="272" w:hanging="851"/>
              <w:rPr>
                <w:rFonts w:cs="Times New Roman"/>
              </w:rPr>
            </w:pPr>
            <w:r w:rsidRPr="00DA6C7F">
              <w:rPr>
                <w:rFonts w:cs="Times New Roman"/>
              </w:rPr>
              <w:t xml:space="preserve">Advertencias al Gobierno </w:t>
            </w:r>
            <w:r>
              <w:rPr>
                <w:rFonts w:cs="Times New Roman"/>
              </w:rPr>
              <w:t>n</w:t>
            </w:r>
            <w:r w:rsidRPr="00DA6C7F">
              <w:rPr>
                <w:rFonts w:cs="Times New Roman"/>
              </w:rPr>
              <w:t>acional</w:t>
            </w:r>
          </w:p>
          <w:p w14:paraId="5C44BD2A" w14:textId="77777777" w:rsidR="00C454A1" w:rsidRPr="00DA6C7F" w:rsidRDefault="00C454A1" w:rsidP="00881E6A">
            <w:pPr>
              <w:pStyle w:val="Prrafodelista"/>
              <w:ind w:left="1025" w:right="272"/>
              <w:rPr>
                <w:rFonts w:cs="Times New Roman"/>
              </w:rPr>
            </w:pPr>
          </w:p>
          <w:p w14:paraId="5419C9C0" w14:textId="77777777" w:rsidR="00C454A1" w:rsidRDefault="00C454A1" w:rsidP="005F4A6F">
            <w:pPr>
              <w:pStyle w:val="Prrafodelista"/>
              <w:numPr>
                <w:ilvl w:val="0"/>
                <w:numId w:val="48"/>
              </w:numPr>
              <w:ind w:left="782" w:right="272" w:hanging="425"/>
              <w:rPr>
                <w:rFonts w:cs="Times New Roman"/>
              </w:rPr>
            </w:pPr>
            <w:r w:rsidRPr="00DA6C7F">
              <w:rPr>
                <w:rFonts w:cs="Times New Roman"/>
              </w:rPr>
              <w:t xml:space="preserve">La </w:t>
            </w:r>
            <w:r>
              <w:rPr>
                <w:rFonts w:cs="Times New Roman"/>
              </w:rPr>
              <w:t>gobernación</w:t>
            </w:r>
            <w:r w:rsidRPr="00DA6C7F">
              <w:rPr>
                <w:rFonts w:cs="Times New Roman"/>
              </w:rPr>
              <w:t xml:space="preserve"> informó que ha llevado a cabo las siguientes reuniones para dar a conocer la situación de los dos municipios del Cesar</w:t>
            </w:r>
            <w:r w:rsidRPr="00DA6C7F">
              <w:rPr>
                <w:rStyle w:val="Refdenotaalpie"/>
                <w:rFonts w:cs="Times New Roman"/>
              </w:rPr>
              <w:footnoteReference w:id="790"/>
            </w:r>
            <w:r w:rsidRPr="00DA6C7F">
              <w:rPr>
                <w:rFonts w:cs="Times New Roman"/>
              </w:rPr>
              <w:t>:</w:t>
            </w:r>
          </w:p>
          <w:p w14:paraId="7C5DAE40" w14:textId="77777777" w:rsidR="00C454A1" w:rsidRDefault="00C454A1" w:rsidP="00881E6A">
            <w:pPr>
              <w:pStyle w:val="Prrafodelista"/>
              <w:ind w:left="782" w:right="272"/>
              <w:rPr>
                <w:rFonts w:cs="Times New Roman"/>
              </w:rPr>
            </w:pPr>
          </w:p>
          <w:p w14:paraId="30F2D5D8" w14:textId="77777777" w:rsidR="00C454A1" w:rsidRPr="003F4F4C" w:rsidRDefault="00C454A1" w:rsidP="00881E6A">
            <w:pPr>
              <w:pStyle w:val="Prrafodelista"/>
              <w:ind w:left="782" w:right="272"/>
              <w:jc w:val="center"/>
              <w:rPr>
                <w:rFonts w:cs="Times New Roman"/>
                <w:i/>
                <w:iCs/>
                <w:sz w:val="20"/>
                <w:szCs w:val="20"/>
              </w:rPr>
            </w:pPr>
            <w:r w:rsidRPr="003F4F4C">
              <w:rPr>
                <w:rFonts w:cs="Times New Roman"/>
                <w:i/>
                <w:iCs/>
                <w:sz w:val="20"/>
                <w:szCs w:val="20"/>
              </w:rPr>
              <w:t>Tabla 39: reuniones realizadas por la Gobernación del Cesar en relación con la situación de orden público</w:t>
            </w:r>
          </w:p>
          <w:tbl>
            <w:tblPr>
              <w:tblStyle w:val="Tablaconcuadrcula"/>
              <w:tblW w:w="0" w:type="auto"/>
              <w:jc w:val="center"/>
              <w:tblLook w:val="04A0" w:firstRow="1" w:lastRow="0" w:firstColumn="1" w:lastColumn="0" w:noHBand="0" w:noVBand="1"/>
            </w:tblPr>
            <w:tblGrid>
              <w:gridCol w:w="1664"/>
              <w:gridCol w:w="11867"/>
            </w:tblGrid>
            <w:tr w:rsidR="00C454A1" w:rsidRPr="003F4F4C" w14:paraId="21B35F9E" w14:textId="77777777" w:rsidTr="001F3006">
              <w:trPr>
                <w:jc w:val="center"/>
              </w:trPr>
              <w:tc>
                <w:tcPr>
                  <w:tcW w:w="1696" w:type="dxa"/>
                  <w:shd w:val="clear" w:color="auto" w:fill="D9D9D9" w:themeFill="background1" w:themeFillShade="D9"/>
                </w:tcPr>
                <w:p w14:paraId="6F029E66" w14:textId="77777777" w:rsidR="00C454A1" w:rsidRPr="0013265E" w:rsidRDefault="00C454A1" w:rsidP="00881E6A">
                  <w:pPr>
                    <w:ind w:right="272"/>
                    <w:rPr>
                      <w:rFonts w:cs="Times New Roman"/>
                      <w:sz w:val="22"/>
                      <w:szCs w:val="22"/>
                    </w:rPr>
                  </w:pPr>
                  <w:r w:rsidRPr="0013265E">
                    <w:rPr>
                      <w:rFonts w:cs="Times New Roman"/>
                      <w:sz w:val="22"/>
                      <w:szCs w:val="22"/>
                    </w:rPr>
                    <w:t>Año</w:t>
                  </w:r>
                </w:p>
              </w:tc>
              <w:tc>
                <w:tcPr>
                  <w:tcW w:w="12298" w:type="dxa"/>
                  <w:shd w:val="clear" w:color="auto" w:fill="D9D9D9" w:themeFill="background1" w:themeFillShade="D9"/>
                </w:tcPr>
                <w:p w14:paraId="5283B493" w14:textId="77777777" w:rsidR="00C454A1" w:rsidRPr="0013265E" w:rsidRDefault="00C454A1" w:rsidP="00881E6A">
                  <w:pPr>
                    <w:ind w:right="272"/>
                    <w:rPr>
                      <w:rFonts w:cs="Times New Roman"/>
                      <w:sz w:val="22"/>
                      <w:szCs w:val="22"/>
                    </w:rPr>
                  </w:pPr>
                  <w:r w:rsidRPr="0013265E">
                    <w:rPr>
                      <w:rFonts w:cs="Times New Roman"/>
                      <w:sz w:val="22"/>
                      <w:szCs w:val="22"/>
                    </w:rPr>
                    <w:t>Actividad</w:t>
                  </w:r>
                </w:p>
              </w:tc>
            </w:tr>
            <w:tr w:rsidR="00C454A1" w:rsidRPr="00F8202F" w14:paraId="3FA1B1F2" w14:textId="77777777" w:rsidTr="001F3006">
              <w:trPr>
                <w:jc w:val="center"/>
              </w:trPr>
              <w:tc>
                <w:tcPr>
                  <w:tcW w:w="1696" w:type="dxa"/>
                </w:tcPr>
                <w:p w14:paraId="7967FFAB" w14:textId="77777777" w:rsidR="00C454A1" w:rsidRPr="0013265E" w:rsidRDefault="00C454A1" w:rsidP="00881E6A">
                  <w:pPr>
                    <w:ind w:right="272"/>
                    <w:rPr>
                      <w:rFonts w:cs="Times New Roman"/>
                      <w:sz w:val="22"/>
                      <w:szCs w:val="22"/>
                    </w:rPr>
                  </w:pPr>
                  <w:r w:rsidRPr="0013265E">
                    <w:rPr>
                      <w:rFonts w:cs="Times New Roman"/>
                      <w:sz w:val="22"/>
                      <w:szCs w:val="22"/>
                    </w:rPr>
                    <w:t>2024</w:t>
                  </w:r>
                </w:p>
              </w:tc>
              <w:tc>
                <w:tcPr>
                  <w:tcW w:w="12298" w:type="dxa"/>
                </w:tcPr>
                <w:p w14:paraId="25C84A12" w14:textId="77777777" w:rsidR="00C454A1" w:rsidRDefault="00C454A1" w:rsidP="005F4A6F">
                  <w:pPr>
                    <w:pStyle w:val="Prrafodelista"/>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272" w:firstLine="0"/>
                    <w:rPr>
                      <w:rFonts w:cs="Times New Roman"/>
                      <w:color w:val="000000"/>
                      <w:sz w:val="22"/>
                      <w:szCs w:val="22"/>
                    </w:rPr>
                  </w:pPr>
                  <w:r w:rsidRPr="0013265E">
                    <w:rPr>
                      <w:rFonts w:cs="Times New Roman"/>
                      <w:color w:val="000000"/>
                      <w:sz w:val="22"/>
                      <w:szCs w:val="22"/>
                    </w:rPr>
                    <w:t>Consejo de seguridad extraordinario en el municipio de Valledupar, con la presencia del Gobernador encargado, varios alcaldes municipales del departamento, el director de Fiscalía de Magdalena Medio, el comandante de Policía del Cesar y el comandante de la Décima Brigada del Ejército Nacional para tratar los casos de secuestro, homicidio y extorsión en los municipios de Aguachica y Rio de Oro. Se señaló que el Ejército Nacional estaba llevando a cabo un plan de control de expansión de los GAO evitando su expansión en el departamento.</w:t>
                  </w:r>
                </w:p>
                <w:p w14:paraId="0FCE4D43" w14:textId="77777777" w:rsidR="00C454A1" w:rsidRPr="0013265E" w:rsidRDefault="00C454A1" w:rsidP="005F4A6F">
                  <w:pPr>
                    <w:pStyle w:val="Prrafodelista"/>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272" w:firstLine="0"/>
                    <w:rPr>
                      <w:rFonts w:cs="Times New Roman"/>
                      <w:color w:val="000000"/>
                      <w:sz w:val="22"/>
                      <w:szCs w:val="22"/>
                    </w:rPr>
                  </w:pPr>
                  <w:r w:rsidRPr="0013265E">
                    <w:rPr>
                      <w:rFonts w:cs="Times New Roman"/>
                      <w:sz w:val="22"/>
                      <w:szCs w:val="22"/>
                      <w:lang w:val="es-ES"/>
                    </w:rPr>
                    <w:t xml:space="preserve">Consejo de seguridad extraordinario en el municipio de Rio de Oro </w:t>
                  </w:r>
                  <w:r w:rsidRPr="0013265E">
                    <w:rPr>
                      <w:rFonts w:cs="Times New Roman"/>
                      <w:color w:val="000000"/>
                      <w:sz w:val="22"/>
                      <w:szCs w:val="22"/>
                      <w:lang w:val="es-ES"/>
                    </w:rPr>
                    <w:t>con la presencia del alcalde del Municipio de Rio de Oro, el comandante de Policía del Cesar, el secretario de gobierno departamental, el comandante del Batallón Antonio Ricaurte, los Jefes de Especialidades del Gaula, Sijin y Sipol, para revisar lo ocurrido con ocasión al secuestro de Ana Valentina Vergel Guerrero, sucedido el 14/01/2024 en jurisdicción del Municipio de Rio de Oro.</w:t>
                  </w:r>
                </w:p>
                <w:p w14:paraId="7876CA12" w14:textId="77777777" w:rsidR="00C454A1" w:rsidRPr="0013265E" w:rsidRDefault="00C454A1" w:rsidP="005F4A6F">
                  <w:pPr>
                    <w:pStyle w:val="Prrafodelista"/>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272" w:firstLine="0"/>
                    <w:rPr>
                      <w:rFonts w:cs="Times New Roman"/>
                      <w:color w:val="000000"/>
                      <w:sz w:val="22"/>
                      <w:szCs w:val="22"/>
                    </w:rPr>
                  </w:pPr>
                  <w:r w:rsidRPr="0013265E">
                    <w:rPr>
                      <w:rFonts w:cs="Times New Roman"/>
                      <w:color w:val="000000"/>
                      <w:sz w:val="22"/>
                      <w:szCs w:val="22"/>
                      <w:lang w:val="es-ES"/>
                    </w:rPr>
                    <w:t>Consejo de seguridad extraordinario para revisar las acciones que adelantó el Ejército Nacional, la Policía y la UNP para evitar el secuestro del Alcalde de Rio de Oro. Esta reunión se hizo con presencia del comandante de la Décima Brigada del Ejército, el comandante del Gaula Cesar, el comandante Operativo de la Policía Metropolitana de Valledupar, el Procurador Regional del Cesar, el coordinador de Migración.</w:t>
                  </w:r>
                </w:p>
                <w:p w14:paraId="0033005D" w14:textId="77777777" w:rsidR="00C454A1" w:rsidRPr="0013265E" w:rsidRDefault="00C454A1" w:rsidP="005F4A6F">
                  <w:pPr>
                    <w:pStyle w:val="Prrafodelista"/>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272" w:firstLine="0"/>
                    <w:rPr>
                      <w:rFonts w:cs="Times New Roman"/>
                      <w:color w:val="000000"/>
                      <w:sz w:val="22"/>
                      <w:szCs w:val="22"/>
                    </w:rPr>
                  </w:pPr>
                  <w:r w:rsidRPr="0013265E">
                    <w:rPr>
                      <w:rFonts w:cs="Times New Roman"/>
                      <w:color w:val="000000"/>
                      <w:sz w:val="22"/>
                      <w:szCs w:val="22"/>
                      <w:lang w:val="es-ES"/>
                    </w:rPr>
                    <w:t>Consejo de seguridad extraordinario en el municipio de San Alberto con la presencia del comandante de la Policía Departamental, Ejército Nacional, el delegado de la Fiscalía General de la Nación, el alcalde Municipal del San Alberto, concejales del Municipio y representante de los comerciantes. En esta reunión se advierte la ausencia de la defensoría del pueblo, a pesar de que fue citada con el fin de revisar la alerta temprana 021 del 2024. El comerciante agrega que no ha podido ir a su parcela por la presencia de GAO</w:t>
                  </w:r>
                </w:p>
              </w:tc>
            </w:tr>
            <w:tr w:rsidR="00C454A1" w:rsidRPr="00F8202F" w14:paraId="35CEDCBA" w14:textId="77777777" w:rsidTr="001F3006">
              <w:trPr>
                <w:jc w:val="center"/>
              </w:trPr>
              <w:tc>
                <w:tcPr>
                  <w:tcW w:w="1696" w:type="dxa"/>
                </w:tcPr>
                <w:p w14:paraId="393479AB" w14:textId="77777777" w:rsidR="00C454A1" w:rsidRPr="0013265E" w:rsidRDefault="00C454A1" w:rsidP="00881E6A">
                  <w:pPr>
                    <w:ind w:right="272"/>
                    <w:rPr>
                      <w:rFonts w:cs="Times New Roman"/>
                      <w:sz w:val="22"/>
                      <w:szCs w:val="22"/>
                    </w:rPr>
                  </w:pPr>
                  <w:r w:rsidRPr="0013265E">
                    <w:rPr>
                      <w:rFonts w:cs="Times New Roman"/>
                      <w:sz w:val="22"/>
                      <w:szCs w:val="22"/>
                    </w:rPr>
                    <w:t>2025</w:t>
                  </w:r>
                </w:p>
              </w:tc>
              <w:tc>
                <w:tcPr>
                  <w:tcW w:w="12298" w:type="dxa"/>
                </w:tcPr>
                <w:p w14:paraId="2D2C5470" w14:textId="77777777" w:rsidR="00C454A1" w:rsidRPr="0013265E" w:rsidRDefault="00C454A1" w:rsidP="00881E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72"/>
                    <w:rPr>
                      <w:rFonts w:cs="Times New Roman"/>
                      <w:color w:val="000000"/>
                      <w:sz w:val="22"/>
                      <w:szCs w:val="22"/>
                    </w:rPr>
                  </w:pPr>
                  <w:r w:rsidRPr="0013265E">
                    <w:rPr>
                      <w:rFonts w:cs="Times New Roman"/>
                      <w:color w:val="000000"/>
                      <w:sz w:val="22"/>
                      <w:szCs w:val="22"/>
                    </w:rPr>
                    <w:t>Comité Territorial de Justicia Transicional convocado por la Gobernación del Cesar, donde se informó sobre la situación de</w:t>
                  </w:r>
                </w:p>
                <w:p w14:paraId="18B012D3" w14:textId="77777777" w:rsidR="00C454A1" w:rsidRPr="0013265E" w:rsidRDefault="00C454A1" w:rsidP="00881E6A">
                  <w:pPr>
                    <w:ind w:right="272"/>
                    <w:rPr>
                      <w:rFonts w:cs="Times New Roman"/>
                      <w:sz w:val="22"/>
                      <w:szCs w:val="22"/>
                    </w:rPr>
                  </w:pPr>
                  <w:r w:rsidRPr="0013265E">
                    <w:rPr>
                      <w:rFonts w:cs="Times New Roman"/>
                      <w:color w:val="000000"/>
                      <w:sz w:val="22"/>
                      <w:szCs w:val="22"/>
                    </w:rPr>
                    <w:t>desplazamiento forzado en el sur del Cesar, en articulación con la Defensoría del Pueblo</w:t>
                  </w:r>
                </w:p>
              </w:tc>
            </w:tr>
          </w:tbl>
          <w:p w14:paraId="5BF6AEA0" w14:textId="77777777" w:rsidR="00C454A1" w:rsidRPr="00DA6C7F" w:rsidRDefault="00C454A1" w:rsidP="00881E6A">
            <w:pPr>
              <w:pStyle w:val="Prrafodelista"/>
              <w:ind w:left="1025" w:right="272"/>
              <w:rPr>
                <w:rFonts w:cs="Times New Roman"/>
              </w:rPr>
            </w:pPr>
          </w:p>
          <w:p w14:paraId="21960EE9" w14:textId="77777777" w:rsidR="00C454A1" w:rsidRPr="00DA6C7F" w:rsidRDefault="00C454A1" w:rsidP="005F4A6F">
            <w:pPr>
              <w:pStyle w:val="Prrafodelista"/>
              <w:numPr>
                <w:ilvl w:val="0"/>
                <w:numId w:val="63"/>
              </w:numPr>
              <w:ind w:left="993" w:right="272" w:hanging="709"/>
              <w:rPr>
                <w:rFonts w:cs="Times New Roman"/>
              </w:rPr>
            </w:pPr>
            <w:r w:rsidRPr="00DA6C7F">
              <w:rPr>
                <w:rFonts w:cs="Times New Roman"/>
              </w:rPr>
              <w:t>Daños a bienes protegidos y al medio ambiente</w:t>
            </w:r>
          </w:p>
          <w:p w14:paraId="14C6D1DF" w14:textId="77777777" w:rsidR="00C454A1" w:rsidRPr="00DA6C7F" w:rsidRDefault="00C454A1" w:rsidP="00881E6A">
            <w:pPr>
              <w:pStyle w:val="Prrafodelista"/>
              <w:ind w:left="1025" w:right="272"/>
              <w:rPr>
                <w:rFonts w:cs="Times New Roman"/>
              </w:rPr>
            </w:pPr>
          </w:p>
          <w:p w14:paraId="2A6E0798"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Señaló que no se reporta ningún daño significativo</w:t>
            </w:r>
            <w:r w:rsidRPr="0013265E">
              <w:rPr>
                <w:rFonts w:cs="Times New Roman"/>
                <w:vertAlign w:val="superscript"/>
              </w:rPr>
              <w:footnoteReference w:id="791"/>
            </w:r>
            <w:r>
              <w:rPr>
                <w:rFonts w:cs="Times New Roman"/>
              </w:rPr>
              <w:t xml:space="preserve">. </w:t>
            </w:r>
            <w:r w:rsidRPr="00DA6C7F">
              <w:rPr>
                <w:rFonts w:cs="Times New Roman"/>
              </w:rPr>
              <w:t>Sin embargo, la asesora de paz del departamento mencionó que el alcalde del municipio de Rio de oro señaló en un comité que “el municipio ha enfrentado una crisis ambiental debido a la contaminación del río por el tráfico ilegal de combustible, afectando el suministro de agua potable”</w:t>
            </w:r>
            <w:r w:rsidRPr="00DA6C7F">
              <w:rPr>
                <w:rStyle w:val="Refdenotaalpie"/>
                <w:rFonts w:cs="Times New Roman"/>
              </w:rPr>
              <w:footnoteReference w:id="792"/>
            </w:r>
            <w:r>
              <w:rPr>
                <w:rFonts w:cs="Times New Roman"/>
              </w:rPr>
              <w:t>.</w:t>
            </w:r>
          </w:p>
          <w:p w14:paraId="5A2612CE" w14:textId="77777777" w:rsidR="00C454A1" w:rsidRPr="00DA6C7F" w:rsidRDefault="00C454A1" w:rsidP="00881E6A">
            <w:pPr>
              <w:pStyle w:val="Prrafodelista"/>
              <w:ind w:left="1025" w:right="272"/>
              <w:rPr>
                <w:rFonts w:cs="Times New Roman"/>
              </w:rPr>
            </w:pPr>
          </w:p>
          <w:p w14:paraId="01AC58B5" w14:textId="77777777" w:rsidR="00C454A1" w:rsidRPr="00DA6C7F" w:rsidRDefault="00C454A1" w:rsidP="005F4A6F">
            <w:pPr>
              <w:pStyle w:val="Prrafodelista"/>
              <w:numPr>
                <w:ilvl w:val="0"/>
                <w:numId w:val="63"/>
              </w:numPr>
              <w:ind w:left="1025" w:right="272" w:hanging="851"/>
              <w:rPr>
                <w:rFonts w:cs="Times New Roman"/>
              </w:rPr>
            </w:pPr>
            <w:r w:rsidRPr="00DA6C7F">
              <w:rPr>
                <w:rFonts w:cs="Times New Roman"/>
              </w:rPr>
              <w:t xml:space="preserve">Medidas adoptadas por el </w:t>
            </w:r>
            <w:r>
              <w:rPr>
                <w:rFonts w:cs="Times New Roman"/>
              </w:rPr>
              <w:t>G</w:t>
            </w:r>
            <w:r w:rsidRPr="00DA6C7F">
              <w:rPr>
                <w:rFonts w:cs="Times New Roman"/>
              </w:rPr>
              <w:t>obierno local</w:t>
            </w:r>
          </w:p>
          <w:p w14:paraId="4BD3D27F" w14:textId="77777777" w:rsidR="00C454A1" w:rsidRPr="00DA6C7F" w:rsidRDefault="00C454A1" w:rsidP="00881E6A">
            <w:pPr>
              <w:pStyle w:val="Prrafodelista"/>
              <w:ind w:left="1025" w:right="272"/>
              <w:rPr>
                <w:rFonts w:cs="Times New Roman"/>
              </w:rPr>
            </w:pPr>
          </w:p>
          <w:p w14:paraId="183F3B91" w14:textId="77777777" w:rsidR="00C454A1" w:rsidRPr="00DA6C7F" w:rsidRDefault="00C454A1" w:rsidP="005F4A6F">
            <w:pPr>
              <w:pStyle w:val="Prrafodelista"/>
              <w:numPr>
                <w:ilvl w:val="0"/>
                <w:numId w:val="48"/>
              </w:numPr>
              <w:ind w:left="782" w:right="272" w:hanging="425"/>
              <w:rPr>
                <w:rFonts w:cs="Times New Roman"/>
                <w:lang w:val="es-ES"/>
              </w:rPr>
            </w:pPr>
            <w:r w:rsidRPr="00DA6C7F">
              <w:rPr>
                <w:rFonts w:cs="Times New Roman"/>
                <w:lang w:val="es-ES"/>
              </w:rPr>
              <w:t xml:space="preserve">Señaló que el municipio de González dictó Decreto N° 007 del 24/01/2025 mediante el cual se </w:t>
            </w:r>
            <w:r w:rsidRPr="00DA6C7F">
              <w:rPr>
                <w:rFonts w:cs="Times New Roman"/>
                <w:color w:val="000000"/>
                <w:lang w:val="es-ES"/>
              </w:rPr>
              <w:t>declara la urgencia manifiesta para facilitar trámites presupuestales y garantizar la atención humanitaria</w:t>
            </w:r>
            <w:r>
              <w:rPr>
                <w:rFonts w:cs="Times New Roman"/>
                <w:color w:val="000000"/>
                <w:lang w:val="es-ES"/>
              </w:rPr>
              <w:t>.</w:t>
            </w:r>
          </w:p>
          <w:p w14:paraId="4CDCE398" w14:textId="77777777" w:rsidR="00C454A1" w:rsidRPr="00DA6C7F" w:rsidRDefault="00C454A1" w:rsidP="005F4A6F">
            <w:pPr>
              <w:pStyle w:val="Prrafodelista"/>
              <w:numPr>
                <w:ilvl w:val="0"/>
                <w:numId w:val="48"/>
              </w:numPr>
              <w:spacing w:after="160" w:line="278" w:lineRule="auto"/>
              <w:ind w:left="782" w:right="272" w:hanging="425"/>
              <w:rPr>
                <w:rFonts w:cs="Times New Roman"/>
                <w:lang w:val="es-ES"/>
              </w:rPr>
            </w:pPr>
            <w:r w:rsidRPr="00DA6C7F">
              <w:rPr>
                <w:rFonts w:cs="Times New Roman"/>
                <w:lang w:val="es-ES"/>
              </w:rPr>
              <w:t>El municipio de Rio de Oro dictó Decreto N° 029 del 24/01/2025 mediante el cual se dictan medidas para salvaguardar el orden público y seguridad de los pobladores, en el marco del estado de conmoción interior</w:t>
            </w:r>
            <w:r w:rsidRPr="00DA6C7F">
              <w:rPr>
                <w:rStyle w:val="Refdenotaalpie"/>
                <w:rFonts w:cs="Times New Roman"/>
                <w:lang w:val="es-ES"/>
              </w:rPr>
              <w:footnoteReference w:id="793"/>
            </w:r>
            <w:r w:rsidRPr="00DA6C7F">
              <w:rPr>
                <w:rFonts w:cs="Times New Roman"/>
                <w:lang w:val="es-ES"/>
              </w:rPr>
              <w:t>.</w:t>
            </w:r>
          </w:p>
          <w:p w14:paraId="511427B8" w14:textId="77777777" w:rsidR="00C454A1" w:rsidRPr="00DA6C7F" w:rsidRDefault="00C454A1" w:rsidP="005F4A6F">
            <w:pPr>
              <w:pStyle w:val="Prrafodelista"/>
              <w:numPr>
                <w:ilvl w:val="0"/>
                <w:numId w:val="48"/>
              </w:numPr>
              <w:spacing w:after="160" w:line="278" w:lineRule="auto"/>
              <w:ind w:left="782" w:right="272" w:hanging="425"/>
              <w:rPr>
                <w:rFonts w:cs="Times New Roman"/>
              </w:rPr>
            </w:pPr>
            <w:r w:rsidRPr="00DA6C7F">
              <w:rPr>
                <w:rFonts w:cs="Times New Roman"/>
              </w:rPr>
              <w:t>Agregó que el departamento realizó en noviembre de 2024 una mesa de seguridad con el Ministerio de defensa nacional, donde se acordó la creación del Distrito Especial de Policía del Sur del Cesar, el cual es un “avance significativo en el aumento del pie de fuerza y la mejora de la capacidad de respuesta ante las necesidades de seguridad ciudadana”</w:t>
            </w:r>
            <w:r w:rsidRPr="00DA6C7F">
              <w:rPr>
                <w:rStyle w:val="Refdenotaalpie"/>
                <w:rFonts w:cs="Times New Roman"/>
              </w:rPr>
              <w:footnoteReference w:id="794"/>
            </w:r>
            <w:r w:rsidRPr="00DA6C7F">
              <w:rPr>
                <w:rFonts w:cs="Times New Roman"/>
              </w:rPr>
              <w:t>.</w:t>
            </w:r>
          </w:p>
          <w:p w14:paraId="0D448E18" w14:textId="77777777" w:rsidR="00C454A1" w:rsidRPr="00DA6C7F" w:rsidRDefault="00C454A1" w:rsidP="005F4A6F">
            <w:pPr>
              <w:pStyle w:val="Prrafodelista"/>
              <w:numPr>
                <w:ilvl w:val="0"/>
                <w:numId w:val="48"/>
              </w:numPr>
              <w:ind w:left="782" w:right="272" w:hanging="425"/>
              <w:rPr>
                <w:rFonts w:cs="Times New Roman"/>
                <w:lang w:val="es-ES"/>
              </w:rPr>
            </w:pPr>
            <w:r w:rsidRPr="00DA6C7F">
              <w:rPr>
                <w:rFonts w:cs="Times New Roman"/>
                <w:lang w:val="es-ES"/>
              </w:rPr>
              <w:t xml:space="preserve">Además, las estaciones de policía de dichos municipios hay realizado (i) planes de intervención sobre la vía nacional para la verificación de antecedentes, identificación de personas, registro a motocicletas e incautación de armas, (ii) control y patrullaje de establecimientos abiertos al público, (iii) planes constantes de control y </w:t>
            </w:r>
            <w:r w:rsidRPr="00DA6C7F">
              <w:rPr>
                <w:rFonts w:cs="Times New Roman"/>
                <w:lang w:val="es-ES"/>
              </w:rPr>
              <w:lastRenderedPageBreak/>
              <w:t>verificación a las entidades financieras y de recaudo, (iv) campañas contra la extorsión y (v) actividades para la protección de la infancia y adolescencia frente al reclutamiento forzado</w:t>
            </w:r>
            <w:r w:rsidRPr="00DA6C7F">
              <w:rPr>
                <w:rStyle w:val="Refdenotaalpie"/>
                <w:rFonts w:cs="Times New Roman"/>
                <w:lang w:val="es-ES"/>
              </w:rPr>
              <w:footnoteReference w:id="795"/>
            </w:r>
            <w:r w:rsidRPr="00DA6C7F">
              <w:rPr>
                <w:rFonts w:cs="Times New Roman"/>
                <w:lang w:val="es-ES"/>
              </w:rPr>
              <w:t>.</w:t>
            </w:r>
          </w:p>
          <w:p w14:paraId="1A0BF6CD" w14:textId="77777777" w:rsidR="00C454A1" w:rsidRPr="00DA6C7F" w:rsidRDefault="00C454A1" w:rsidP="00881E6A">
            <w:pPr>
              <w:ind w:right="272"/>
              <w:rPr>
                <w:rFonts w:cs="Times New Roman"/>
              </w:rPr>
            </w:pPr>
            <w:r w:rsidRPr="00DA6C7F">
              <w:rPr>
                <w:rFonts w:cs="Times New Roman"/>
                <w:i/>
              </w:rPr>
              <w:t>Presupuesto suficiencia</w:t>
            </w:r>
            <w:r w:rsidRPr="00DA6C7F">
              <w:rPr>
                <w:rFonts w:cs="Times New Roman"/>
              </w:rPr>
              <w:t xml:space="preserve">. </w:t>
            </w:r>
          </w:p>
          <w:p w14:paraId="5807E645" w14:textId="77777777" w:rsidR="00C454A1" w:rsidRPr="00DA6C7F" w:rsidRDefault="00C454A1" w:rsidP="005F4A6F">
            <w:pPr>
              <w:pStyle w:val="Prrafodelista"/>
              <w:numPr>
                <w:ilvl w:val="0"/>
                <w:numId w:val="66"/>
              </w:numPr>
              <w:ind w:left="957" w:right="272" w:hanging="709"/>
              <w:rPr>
                <w:rFonts w:cs="Times New Roman"/>
              </w:rPr>
            </w:pPr>
            <w:r w:rsidRPr="00DA6C7F">
              <w:rPr>
                <w:rFonts w:cs="Times New Roman"/>
              </w:rPr>
              <w:t>Solicitud de presupuesto</w:t>
            </w:r>
          </w:p>
          <w:p w14:paraId="4219D010"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Señaló que no ha solicitado presupuesto para reestablecer el orden público en el departamento o para garantizar atención humanitaria a la población</w:t>
            </w:r>
            <w:r w:rsidRPr="00DA6C7F">
              <w:rPr>
                <w:rStyle w:val="Refdenotaalpie"/>
                <w:rFonts w:cs="Times New Roman"/>
              </w:rPr>
              <w:footnoteReference w:id="796"/>
            </w:r>
            <w:r w:rsidRPr="00DA6C7F">
              <w:rPr>
                <w:rFonts w:cs="Times New Roman"/>
              </w:rPr>
              <w:t>.</w:t>
            </w:r>
          </w:p>
          <w:p w14:paraId="734FDE56" w14:textId="77777777" w:rsidR="00C454A1" w:rsidRPr="00DA6C7F" w:rsidRDefault="00C454A1" w:rsidP="00881E6A">
            <w:pPr>
              <w:ind w:right="272"/>
              <w:rPr>
                <w:rFonts w:cs="Times New Roman"/>
              </w:rPr>
            </w:pPr>
          </w:p>
        </w:tc>
      </w:tr>
      <w:tr w:rsidR="00C454A1" w:rsidRPr="00F8202F" w14:paraId="0E7125D0" w14:textId="77777777" w:rsidTr="005F4A6F">
        <w:trPr>
          <w:trHeight w:val="300"/>
        </w:trPr>
        <w:tc>
          <w:tcPr>
            <w:tcW w:w="642" w:type="pct"/>
            <w:vAlign w:val="center"/>
          </w:tcPr>
          <w:p w14:paraId="6A4EF4B6" w14:textId="77777777" w:rsidR="00C454A1" w:rsidRPr="00DA6C7F" w:rsidRDefault="00C454A1" w:rsidP="00881E6A">
            <w:pPr>
              <w:ind w:right="272"/>
              <w:jc w:val="center"/>
              <w:rPr>
                <w:rFonts w:cs="Times New Roman"/>
                <w:b/>
                <w:bCs/>
              </w:rPr>
            </w:pPr>
            <w:r w:rsidRPr="00DA6C7F">
              <w:rPr>
                <w:rFonts w:cs="Times New Roman"/>
                <w:b/>
                <w:bCs/>
              </w:rPr>
              <w:lastRenderedPageBreak/>
              <w:t xml:space="preserve">Municipio de </w:t>
            </w:r>
            <w:r>
              <w:rPr>
                <w:rFonts w:cs="Times New Roman"/>
                <w:b/>
                <w:bCs/>
              </w:rPr>
              <w:t>E</w:t>
            </w:r>
            <w:r w:rsidRPr="00DA6C7F">
              <w:rPr>
                <w:rFonts w:cs="Times New Roman"/>
                <w:b/>
                <w:bCs/>
              </w:rPr>
              <w:t>l Carmen, Norte de Santander</w:t>
            </w:r>
          </w:p>
        </w:tc>
        <w:tc>
          <w:tcPr>
            <w:tcW w:w="4358" w:type="pct"/>
          </w:tcPr>
          <w:p w14:paraId="720EE958" w14:textId="77777777" w:rsidR="00C454A1" w:rsidRPr="00DA6C7F" w:rsidRDefault="00C454A1" w:rsidP="00881E6A">
            <w:pPr>
              <w:ind w:right="272"/>
              <w:rPr>
                <w:rFonts w:cs="Times New Roman"/>
              </w:rPr>
            </w:pPr>
            <w:r w:rsidRPr="00DA6C7F">
              <w:rPr>
                <w:rFonts w:cs="Times New Roman"/>
              </w:rPr>
              <w:t xml:space="preserve">La Alcaldía de </w:t>
            </w:r>
            <w:r>
              <w:rPr>
                <w:rFonts w:cs="Times New Roman"/>
              </w:rPr>
              <w:t>E</w:t>
            </w:r>
            <w:r w:rsidRPr="00DA6C7F">
              <w:rPr>
                <w:rFonts w:cs="Times New Roman"/>
              </w:rPr>
              <w:t>l Carmen</w:t>
            </w:r>
            <w:r>
              <w:rPr>
                <w:rFonts w:cs="Times New Roman"/>
              </w:rPr>
              <w:t xml:space="preserve"> </w:t>
            </w:r>
            <w:r w:rsidRPr="00DA6C7F">
              <w:rPr>
                <w:rFonts w:cs="Times New Roman"/>
              </w:rPr>
              <w:t>remitió la siguiente información en relación con las preguntas planteadas en el auto de pruebas respecto de cada uno de los presupuestos:</w:t>
            </w:r>
          </w:p>
          <w:p w14:paraId="411ABF24" w14:textId="77777777" w:rsidR="00C454A1" w:rsidRPr="00DA6C7F" w:rsidRDefault="00C454A1" w:rsidP="00881E6A">
            <w:pPr>
              <w:ind w:right="272"/>
              <w:rPr>
                <w:rFonts w:cs="Times New Roman"/>
                <w:i/>
              </w:rPr>
            </w:pPr>
          </w:p>
          <w:p w14:paraId="3A23B0C1" w14:textId="77777777" w:rsidR="00C454A1" w:rsidRPr="00DA6C7F" w:rsidRDefault="00C454A1" w:rsidP="00881E6A">
            <w:pPr>
              <w:ind w:right="272"/>
              <w:rPr>
                <w:rFonts w:cs="Times New Roman"/>
              </w:rPr>
            </w:pPr>
            <w:r w:rsidRPr="00DA6C7F">
              <w:rPr>
                <w:rFonts w:cs="Times New Roman"/>
                <w:i/>
                <w:iCs/>
              </w:rPr>
              <w:t>Presupuesto fáctico</w:t>
            </w:r>
            <w:r w:rsidRPr="00DA6C7F">
              <w:rPr>
                <w:rFonts w:cs="Times New Roman"/>
              </w:rPr>
              <w:t>. La alcaldía municipal refirió los siguientes datos:</w:t>
            </w:r>
          </w:p>
          <w:p w14:paraId="0640AC71" w14:textId="77777777" w:rsidR="00C454A1" w:rsidRPr="00DA6C7F" w:rsidRDefault="00C454A1" w:rsidP="00881E6A">
            <w:pPr>
              <w:ind w:right="272"/>
              <w:rPr>
                <w:rFonts w:cs="Times New Roman"/>
              </w:rPr>
            </w:pPr>
          </w:p>
          <w:p w14:paraId="7A2413BC" w14:textId="77777777" w:rsidR="00C454A1" w:rsidRPr="00DA6C7F" w:rsidRDefault="00C454A1" w:rsidP="005F4A6F">
            <w:pPr>
              <w:pStyle w:val="Prrafodelista"/>
              <w:numPr>
                <w:ilvl w:val="0"/>
                <w:numId w:val="75"/>
              </w:numPr>
              <w:ind w:right="272"/>
              <w:rPr>
                <w:rFonts w:cs="Times New Roman"/>
                <w:lang w:val="es-ES"/>
              </w:rPr>
            </w:pPr>
            <w:r w:rsidRPr="00DA6C7F">
              <w:rPr>
                <w:rFonts w:cs="Times New Roman"/>
                <w:lang w:val="es-ES"/>
              </w:rPr>
              <w:t>Hechos victimizantes</w:t>
            </w:r>
          </w:p>
          <w:p w14:paraId="55160556" w14:textId="77777777" w:rsidR="00C454A1" w:rsidRDefault="00C454A1" w:rsidP="00881E6A">
            <w:pPr>
              <w:pStyle w:val="Prrafodelista"/>
              <w:ind w:left="641" w:right="272"/>
              <w:rPr>
                <w:rFonts w:cs="Times New Roman"/>
              </w:rPr>
            </w:pPr>
          </w:p>
          <w:p w14:paraId="48D79FC4" w14:textId="77777777" w:rsidR="00C454A1" w:rsidRPr="00FA3E2C" w:rsidRDefault="00C454A1" w:rsidP="00881E6A">
            <w:pPr>
              <w:pStyle w:val="Prrafodelista"/>
              <w:ind w:left="641" w:right="272"/>
              <w:jc w:val="center"/>
              <w:rPr>
                <w:rFonts w:cs="Times New Roman"/>
                <w:i/>
                <w:iCs/>
                <w:sz w:val="20"/>
                <w:szCs w:val="20"/>
              </w:rPr>
            </w:pPr>
            <w:r w:rsidRPr="00FA3E2C">
              <w:rPr>
                <w:rFonts w:cs="Times New Roman"/>
                <w:i/>
                <w:iCs/>
                <w:sz w:val="20"/>
                <w:szCs w:val="20"/>
              </w:rPr>
              <w:t>Tabla 40: hechos victimizantes reportados por la alcaldía de El Carmen</w:t>
            </w:r>
          </w:p>
          <w:tbl>
            <w:tblPr>
              <w:tblStyle w:val="Tablaconcuadrcula"/>
              <w:tblW w:w="16340" w:type="dxa"/>
              <w:jc w:val="center"/>
              <w:tblLook w:val="04A0" w:firstRow="1" w:lastRow="0" w:firstColumn="1" w:lastColumn="0" w:noHBand="0" w:noVBand="1"/>
            </w:tblPr>
            <w:tblGrid>
              <w:gridCol w:w="1906"/>
              <w:gridCol w:w="1998"/>
              <w:gridCol w:w="1973"/>
              <w:gridCol w:w="2544"/>
              <w:gridCol w:w="2119"/>
              <w:gridCol w:w="1980"/>
              <w:gridCol w:w="2119"/>
              <w:gridCol w:w="1701"/>
            </w:tblGrid>
            <w:tr w:rsidR="00C454A1" w:rsidRPr="007675E1" w14:paraId="2202AD34" w14:textId="77777777" w:rsidTr="001F3006">
              <w:trPr>
                <w:jc w:val="center"/>
              </w:trPr>
              <w:tc>
                <w:tcPr>
                  <w:tcW w:w="1882" w:type="dxa"/>
                </w:tcPr>
                <w:p w14:paraId="1318EEC8" w14:textId="77777777" w:rsidR="00C454A1" w:rsidRPr="007675E1" w:rsidRDefault="00C454A1" w:rsidP="00881E6A">
                  <w:pPr>
                    <w:pStyle w:val="Prrafodelista"/>
                    <w:ind w:left="0" w:right="272"/>
                    <w:rPr>
                      <w:rFonts w:cs="Times New Roman"/>
                      <w:sz w:val="22"/>
                      <w:szCs w:val="22"/>
                    </w:rPr>
                  </w:pPr>
                  <w:r w:rsidRPr="007675E1">
                    <w:rPr>
                      <w:rFonts w:cs="Times New Roman"/>
                      <w:sz w:val="22"/>
                      <w:szCs w:val="22"/>
                    </w:rPr>
                    <w:t>Desplazamiento forzado</w:t>
                  </w:r>
                </w:p>
              </w:tc>
              <w:tc>
                <w:tcPr>
                  <w:tcW w:w="1990" w:type="dxa"/>
                </w:tcPr>
                <w:p w14:paraId="3E8D3A8F" w14:textId="77777777" w:rsidR="00C454A1" w:rsidRPr="007675E1" w:rsidRDefault="00C454A1" w:rsidP="00881E6A">
                  <w:pPr>
                    <w:pStyle w:val="Prrafodelista"/>
                    <w:ind w:left="0" w:right="272"/>
                    <w:rPr>
                      <w:rFonts w:cs="Times New Roman"/>
                      <w:sz w:val="22"/>
                      <w:szCs w:val="22"/>
                    </w:rPr>
                  </w:pPr>
                  <w:r w:rsidRPr="007675E1">
                    <w:rPr>
                      <w:rFonts w:cs="Times New Roman"/>
                      <w:sz w:val="22"/>
                      <w:szCs w:val="22"/>
                    </w:rPr>
                    <w:t>Ataques contra líderes sociales</w:t>
                  </w:r>
                </w:p>
              </w:tc>
              <w:tc>
                <w:tcPr>
                  <w:tcW w:w="1979" w:type="dxa"/>
                </w:tcPr>
                <w:p w14:paraId="4B0C59DD" w14:textId="77777777" w:rsidR="00C454A1" w:rsidRPr="007675E1" w:rsidRDefault="00C454A1" w:rsidP="00881E6A">
                  <w:pPr>
                    <w:pStyle w:val="Prrafodelista"/>
                    <w:ind w:left="0" w:right="272"/>
                    <w:rPr>
                      <w:rFonts w:cs="Times New Roman"/>
                      <w:sz w:val="22"/>
                      <w:szCs w:val="22"/>
                    </w:rPr>
                  </w:pPr>
                  <w:r w:rsidRPr="007675E1">
                    <w:rPr>
                      <w:rFonts w:cs="Times New Roman"/>
                      <w:sz w:val="22"/>
                      <w:szCs w:val="22"/>
                    </w:rPr>
                    <w:t>Secuestros</w:t>
                  </w:r>
                </w:p>
              </w:tc>
              <w:tc>
                <w:tcPr>
                  <w:tcW w:w="2551" w:type="dxa"/>
                </w:tcPr>
                <w:p w14:paraId="33E04BED" w14:textId="77777777" w:rsidR="00C454A1" w:rsidRPr="007675E1" w:rsidRDefault="00C454A1" w:rsidP="00881E6A">
                  <w:pPr>
                    <w:pStyle w:val="Prrafodelista"/>
                    <w:ind w:left="0" w:right="272"/>
                    <w:rPr>
                      <w:rFonts w:cs="Times New Roman"/>
                      <w:sz w:val="22"/>
                      <w:szCs w:val="22"/>
                    </w:rPr>
                  </w:pPr>
                  <w:r w:rsidRPr="007675E1">
                    <w:rPr>
                      <w:rFonts w:cs="Times New Roman"/>
                      <w:sz w:val="22"/>
                      <w:szCs w:val="22"/>
                    </w:rPr>
                    <w:t>Amenazas</w:t>
                  </w:r>
                </w:p>
              </w:tc>
              <w:tc>
                <w:tcPr>
                  <w:tcW w:w="2126" w:type="dxa"/>
                </w:tcPr>
                <w:p w14:paraId="3ECD985E" w14:textId="77777777" w:rsidR="00C454A1" w:rsidRPr="007675E1" w:rsidRDefault="00C454A1" w:rsidP="00881E6A">
                  <w:pPr>
                    <w:pStyle w:val="Prrafodelista"/>
                    <w:ind w:left="0" w:right="272"/>
                    <w:rPr>
                      <w:rFonts w:cs="Times New Roman"/>
                      <w:sz w:val="22"/>
                      <w:szCs w:val="22"/>
                    </w:rPr>
                  </w:pPr>
                  <w:r w:rsidRPr="007675E1">
                    <w:rPr>
                      <w:rFonts w:cs="Times New Roman"/>
                      <w:sz w:val="22"/>
                      <w:szCs w:val="22"/>
                    </w:rPr>
                    <w:t>Ataques contra la población civil</w:t>
                  </w:r>
                </w:p>
              </w:tc>
              <w:tc>
                <w:tcPr>
                  <w:tcW w:w="1985" w:type="dxa"/>
                </w:tcPr>
                <w:p w14:paraId="705B1CBF" w14:textId="77777777" w:rsidR="00C454A1" w:rsidRPr="007675E1" w:rsidRDefault="00C454A1" w:rsidP="00881E6A">
                  <w:pPr>
                    <w:pStyle w:val="Prrafodelista"/>
                    <w:ind w:left="0" w:right="272"/>
                    <w:rPr>
                      <w:rFonts w:cs="Times New Roman"/>
                      <w:sz w:val="22"/>
                      <w:szCs w:val="22"/>
                    </w:rPr>
                  </w:pPr>
                  <w:r w:rsidRPr="007675E1">
                    <w:rPr>
                      <w:rFonts w:cs="Times New Roman"/>
                      <w:sz w:val="22"/>
                      <w:szCs w:val="22"/>
                    </w:rPr>
                    <w:t>Homicidio</w:t>
                  </w:r>
                </w:p>
              </w:tc>
              <w:tc>
                <w:tcPr>
                  <w:tcW w:w="2126" w:type="dxa"/>
                </w:tcPr>
                <w:p w14:paraId="726AB9FA" w14:textId="77777777" w:rsidR="00C454A1" w:rsidRPr="007675E1" w:rsidRDefault="00C454A1" w:rsidP="00881E6A">
                  <w:pPr>
                    <w:pStyle w:val="Prrafodelista"/>
                    <w:ind w:left="0" w:right="272"/>
                    <w:rPr>
                      <w:rFonts w:cs="Times New Roman"/>
                      <w:sz w:val="22"/>
                      <w:szCs w:val="22"/>
                    </w:rPr>
                  </w:pPr>
                  <w:r w:rsidRPr="007675E1">
                    <w:rPr>
                      <w:rFonts w:cs="Times New Roman"/>
                      <w:sz w:val="22"/>
                      <w:szCs w:val="22"/>
                    </w:rPr>
                    <w:t>Lesiones Personales</w:t>
                  </w:r>
                </w:p>
              </w:tc>
              <w:tc>
                <w:tcPr>
                  <w:tcW w:w="1701" w:type="dxa"/>
                </w:tcPr>
                <w:p w14:paraId="036DAFEC" w14:textId="77777777" w:rsidR="00C454A1" w:rsidRPr="007675E1" w:rsidRDefault="00C454A1" w:rsidP="00881E6A">
                  <w:pPr>
                    <w:pStyle w:val="Prrafodelista"/>
                    <w:ind w:left="0" w:right="272"/>
                    <w:rPr>
                      <w:rFonts w:cs="Times New Roman"/>
                      <w:sz w:val="22"/>
                      <w:szCs w:val="22"/>
                    </w:rPr>
                  </w:pPr>
                  <w:r w:rsidRPr="007675E1">
                    <w:rPr>
                      <w:rFonts w:cs="Times New Roman"/>
                      <w:sz w:val="22"/>
                      <w:szCs w:val="22"/>
                    </w:rPr>
                    <w:t>Desaparición forzada</w:t>
                  </w:r>
                </w:p>
              </w:tc>
            </w:tr>
            <w:tr w:rsidR="00C454A1" w:rsidRPr="007675E1" w14:paraId="687EAD60" w14:textId="77777777" w:rsidTr="001F3006">
              <w:trPr>
                <w:jc w:val="center"/>
              </w:trPr>
              <w:tc>
                <w:tcPr>
                  <w:tcW w:w="1882" w:type="dxa"/>
                </w:tcPr>
                <w:p w14:paraId="5BBB6DC5" w14:textId="77777777" w:rsidR="00C454A1" w:rsidRPr="007675E1" w:rsidRDefault="00C454A1" w:rsidP="005F4A6F">
                  <w:pPr>
                    <w:pStyle w:val="Prrafodelista"/>
                    <w:numPr>
                      <w:ilvl w:val="0"/>
                      <w:numId w:val="43"/>
                    </w:numPr>
                    <w:ind w:left="113" w:right="272" w:hanging="113"/>
                    <w:rPr>
                      <w:rFonts w:cs="Times New Roman"/>
                      <w:sz w:val="22"/>
                      <w:szCs w:val="22"/>
                    </w:rPr>
                  </w:pPr>
                  <w:r w:rsidRPr="007675E1">
                    <w:rPr>
                      <w:rFonts w:cs="Times New Roman"/>
                      <w:sz w:val="22"/>
                      <w:szCs w:val="22"/>
                    </w:rPr>
                    <w:t>2022: 96 personas</w:t>
                  </w:r>
                </w:p>
                <w:p w14:paraId="406EFC27" w14:textId="77777777" w:rsidR="00C454A1" w:rsidRPr="007675E1" w:rsidRDefault="00C454A1" w:rsidP="005F4A6F">
                  <w:pPr>
                    <w:pStyle w:val="Prrafodelista"/>
                    <w:numPr>
                      <w:ilvl w:val="0"/>
                      <w:numId w:val="43"/>
                    </w:numPr>
                    <w:ind w:left="113" w:right="272" w:hanging="113"/>
                    <w:rPr>
                      <w:rFonts w:cs="Times New Roman"/>
                      <w:sz w:val="22"/>
                      <w:szCs w:val="22"/>
                    </w:rPr>
                  </w:pPr>
                  <w:r w:rsidRPr="007675E1">
                    <w:rPr>
                      <w:rFonts w:cs="Times New Roman"/>
                      <w:sz w:val="22"/>
                      <w:szCs w:val="22"/>
                    </w:rPr>
                    <w:t>2023: 341 personas</w:t>
                  </w:r>
                </w:p>
                <w:p w14:paraId="7CCC38FC" w14:textId="77777777" w:rsidR="00C454A1" w:rsidRPr="007675E1" w:rsidRDefault="00C454A1" w:rsidP="005F4A6F">
                  <w:pPr>
                    <w:pStyle w:val="Prrafodelista"/>
                    <w:numPr>
                      <w:ilvl w:val="0"/>
                      <w:numId w:val="43"/>
                    </w:numPr>
                    <w:ind w:left="113" w:right="272" w:hanging="113"/>
                    <w:rPr>
                      <w:rFonts w:cs="Times New Roman"/>
                      <w:sz w:val="22"/>
                      <w:szCs w:val="22"/>
                    </w:rPr>
                  </w:pPr>
                  <w:r w:rsidRPr="007675E1">
                    <w:rPr>
                      <w:rFonts w:cs="Times New Roman"/>
                      <w:sz w:val="22"/>
                      <w:szCs w:val="22"/>
                    </w:rPr>
                    <w:t>2024: 37 personas</w:t>
                  </w:r>
                </w:p>
              </w:tc>
              <w:tc>
                <w:tcPr>
                  <w:tcW w:w="1990" w:type="dxa"/>
                </w:tcPr>
                <w:p w14:paraId="41B30D10" w14:textId="77777777" w:rsidR="00C454A1" w:rsidRPr="007675E1" w:rsidRDefault="00C454A1" w:rsidP="005F4A6F">
                  <w:pPr>
                    <w:pStyle w:val="Prrafodelista"/>
                    <w:numPr>
                      <w:ilvl w:val="0"/>
                      <w:numId w:val="43"/>
                    </w:numPr>
                    <w:ind w:left="141" w:right="272" w:hanging="142"/>
                    <w:rPr>
                      <w:rFonts w:cs="Times New Roman"/>
                      <w:sz w:val="22"/>
                      <w:szCs w:val="22"/>
                    </w:rPr>
                  </w:pPr>
                  <w:r w:rsidRPr="007675E1">
                    <w:rPr>
                      <w:rFonts w:cs="Times New Roman"/>
                      <w:sz w:val="22"/>
                      <w:szCs w:val="22"/>
                    </w:rPr>
                    <w:t>2024: 1 homicidio, 2 amenazas y 1 desplazamiento</w:t>
                  </w:r>
                </w:p>
              </w:tc>
              <w:tc>
                <w:tcPr>
                  <w:tcW w:w="1979" w:type="dxa"/>
                </w:tcPr>
                <w:p w14:paraId="0D08FFD9" w14:textId="77777777" w:rsidR="00C454A1" w:rsidRPr="007675E1" w:rsidRDefault="00C454A1" w:rsidP="005F4A6F">
                  <w:pPr>
                    <w:pStyle w:val="Prrafodelista"/>
                    <w:numPr>
                      <w:ilvl w:val="0"/>
                      <w:numId w:val="45"/>
                    </w:numPr>
                    <w:ind w:left="175" w:right="272" w:hanging="175"/>
                    <w:rPr>
                      <w:rFonts w:cs="Times New Roman"/>
                      <w:sz w:val="22"/>
                      <w:szCs w:val="22"/>
                    </w:rPr>
                  </w:pPr>
                  <w:r w:rsidRPr="007675E1">
                    <w:rPr>
                      <w:rFonts w:cs="Times New Roman"/>
                      <w:sz w:val="22"/>
                      <w:szCs w:val="22"/>
                    </w:rPr>
                    <w:t>2021:9 eventos</w:t>
                  </w:r>
                </w:p>
                <w:p w14:paraId="2D4BE3ED" w14:textId="77777777" w:rsidR="00C454A1" w:rsidRPr="007675E1" w:rsidRDefault="00C454A1" w:rsidP="005F4A6F">
                  <w:pPr>
                    <w:pStyle w:val="Prrafodelista"/>
                    <w:numPr>
                      <w:ilvl w:val="0"/>
                      <w:numId w:val="45"/>
                    </w:numPr>
                    <w:ind w:left="175" w:right="272" w:hanging="175"/>
                    <w:rPr>
                      <w:rFonts w:cs="Times New Roman"/>
                      <w:sz w:val="22"/>
                      <w:szCs w:val="22"/>
                    </w:rPr>
                  </w:pPr>
                  <w:r w:rsidRPr="007675E1">
                    <w:rPr>
                      <w:rFonts w:cs="Times New Roman"/>
                      <w:sz w:val="22"/>
                      <w:szCs w:val="22"/>
                    </w:rPr>
                    <w:t>2022 a 2024: 0 eventos</w:t>
                  </w:r>
                </w:p>
              </w:tc>
              <w:tc>
                <w:tcPr>
                  <w:tcW w:w="2551" w:type="dxa"/>
                </w:tcPr>
                <w:p w14:paraId="5373C87F" w14:textId="77777777" w:rsidR="00C454A1" w:rsidRPr="007675E1" w:rsidRDefault="00C454A1" w:rsidP="005F4A6F">
                  <w:pPr>
                    <w:pStyle w:val="Prrafodelista"/>
                    <w:numPr>
                      <w:ilvl w:val="0"/>
                      <w:numId w:val="44"/>
                    </w:numPr>
                    <w:ind w:left="136" w:right="272" w:hanging="136"/>
                    <w:rPr>
                      <w:rFonts w:cs="Times New Roman"/>
                      <w:sz w:val="22"/>
                      <w:szCs w:val="22"/>
                    </w:rPr>
                  </w:pPr>
                  <w:r w:rsidRPr="007675E1">
                    <w:rPr>
                      <w:rFonts w:cs="Times New Roman"/>
                      <w:sz w:val="22"/>
                      <w:szCs w:val="22"/>
                    </w:rPr>
                    <w:t>2022: 18 declaraciones</w:t>
                  </w:r>
                </w:p>
                <w:p w14:paraId="1BDFA254" w14:textId="77777777" w:rsidR="00C454A1" w:rsidRPr="007675E1" w:rsidRDefault="00C454A1" w:rsidP="005F4A6F">
                  <w:pPr>
                    <w:pStyle w:val="Prrafodelista"/>
                    <w:numPr>
                      <w:ilvl w:val="0"/>
                      <w:numId w:val="44"/>
                    </w:numPr>
                    <w:ind w:left="136" w:right="272" w:hanging="136"/>
                    <w:rPr>
                      <w:rFonts w:cs="Times New Roman"/>
                      <w:sz w:val="22"/>
                      <w:szCs w:val="22"/>
                    </w:rPr>
                  </w:pPr>
                  <w:r w:rsidRPr="007675E1">
                    <w:rPr>
                      <w:rFonts w:cs="Times New Roman"/>
                      <w:sz w:val="22"/>
                      <w:szCs w:val="22"/>
                    </w:rPr>
                    <w:t>2023: 58 declaraciones</w:t>
                  </w:r>
                </w:p>
                <w:p w14:paraId="6D634375" w14:textId="77777777" w:rsidR="00C454A1" w:rsidRPr="007675E1" w:rsidRDefault="00C454A1" w:rsidP="005F4A6F">
                  <w:pPr>
                    <w:pStyle w:val="Prrafodelista"/>
                    <w:numPr>
                      <w:ilvl w:val="0"/>
                      <w:numId w:val="44"/>
                    </w:numPr>
                    <w:ind w:left="136" w:right="272" w:hanging="136"/>
                    <w:rPr>
                      <w:rFonts w:cs="Times New Roman"/>
                      <w:sz w:val="22"/>
                      <w:szCs w:val="22"/>
                    </w:rPr>
                  </w:pPr>
                  <w:r w:rsidRPr="007675E1">
                    <w:rPr>
                      <w:rFonts w:cs="Times New Roman"/>
                      <w:sz w:val="22"/>
                      <w:szCs w:val="22"/>
                    </w:rPr>
                    <w:t>2024: 61 declaraciones</w:t>
                  </w:r>
                </w:p>
                <w:p w14:paraId="141FE2A2" w14:textId="77777777" w:rsidR="00C454A1" w:rsidRPr="007675E1" w:rsidRDefault="00C454A1" w:rsidP="005F4A6F">
                  <w:pPr>
                    <w:pStyle w:val="Prrafodelista"/>
                    <w:numPr>
                      <w:ilvl w:val="0"/>
                      <w:numId w:val="44"/>
                    </w:numPr>
                    <w:ind w:left="136" w:right="272" w:hanging="136"/>
                    <w:rPr>
                      <w:rFonts w:cs="Times New Roman"/>
                      <w:sz w:val="22"/>
                      <w:szCs w:val="22"/>
                    </w:rPr>
                  </w:pPr>
                  <w:r w:rsidRPr="007675E1">
                    <w:rPr>
                      <w:rFonts w:cs="Times New Roman"/>
                      <w:sz w:val="22"/>
                      <w:szCs w:val="22"/>
                    </w:rPr>
                    <w:t>2025: 20 declaraciones</w:t>
                  </w:r>
                </w:p>
              </w:tc>
              <w:tc>
                <w:tcPr>
                  <w:tcW w:w="2126" w:type="dxa"/>
                </w:tcPr>
                <w:p w14:paraId="26460F89"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2022: 2 ataques</w:t>
                  </w:r>
                </w:p>
                <w:p w14:paraId="68CEB476"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2023: 10 ataques</w:t>
                  </w:r>
                </w:p>
                <w:p w14:paraId="5CEE0DD3"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2024: 5 ataques</w:t>
                  </w:r>
                </w:p>
                <w:p w14:paraId="33953444" w14:textId="77777777" w:rsidR="00C454A1" w:rsidRPr="007675E1" w:rsidRDefault="00C454A1" w:rsidP="00881E6A">
                  <w:pPr>
                    <w:pStyle w:val="Prrafodelista"/>
                    <w:ind w:left="153" w:right="272"/>
                    <w:rPr>
                      <w:rFonts w:cs="Times New Roman"/>
                      <w:sz w:val="22"/>
                      <w:szCs w:val="22"/>
                    </w:rPr>
                  </w:pPr>
                </w:p>
              </w:tc>
              <w:tc>
                <w:tcPr>
                  <w:tcW w:w="1985" w:type="dxa"/>
                </w:tcPr>
                <w:p w14:paraId="7E02DBA8"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2022: 17 eventos</w:t>
                  </w:r>
                </w:p>
                <w:p w14:paraId="4EB1BCC2"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2023: 13 eventos</w:t>
                  </w:r>
                </w:p>
                <w:p w14:paraId="13A33AB7"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2024: 4 eventos</w:t>
                  </w:r>
                </w:p>
              </w:tc>
              <w:tc>
                <w:tcPr>
                  <w:tcW w:w="2126" w:type="dxa"/>
                </w:tcPr>
                <w:p w14:paraId="781048F5"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2022: 1 eventos</w:t>
                  </w:r>
                </w:p>
                <w:p w14:paraId="23CBCDFA"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2023: 11 eventos</w:t>
                  </w:r>
                </w:p>
                <w:p w14:paraId="5CA9A3BF"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2024: 1 eventos</w:t>
                  </w:r>
                </w:p>
              </w:tc>
              <w:tc>
                <w:tcPr>
                  <w:tcW w:w="1701" w:type="dxa"/>
                </w:tcPr>
                <w:p w14:paraId="72FBAB81" w14:textId="77777777" w:rsidR="00C454A1" w:rsidRPr="007675E1" w:rsidRDefault="00C454A1" w:rsidP="005F4A6F">
                  <w:pPr>
                    <w:pStyle w:val="Prrafodelista"/>
                    <w:numPr>
                      <w:ilvl w:val="0"/>
                      <w:numId w:val="44"/>
                    </w:numPr>
                    <w:ind w:left="153" w:right="272" w:hanging="153"/>
                    <w:rPr>
                      <w:rFonts w:cs="Times New Roman"/>
                      <w:sz w:val="22"/>
                      <w:szCs w:val="22"/>
                    </w:rPr>
                  </w:pPr>
                  <w:r w:rsidRPr="007675E1">
                    <w:rPr>
                      <w:rFonts w:cs="Times New Roman"/>
                      <w:sz w:val="22"/>
                      <w:szCs w:val="22"/>
                    </w:rPr>
                    <w:t>2025: 1 declaración</w:t>
                  </w:r>
                </w:p>
                <w:p w14:paraId="3BEF5AE4" w14:textId="77777777" w:rsidR="00C454A1" w:rsidRPr="007675E1" w:rsidRDefault="00C454A1" w:rsidP="00881E6A">
                  <w:pPr>
                    <w:pStyle w:val="Prrafodelista"/>
                    <w:ind w:left="0" w:right="272"/>
                    <w:rPr>
                      <w:rFonts w:cs="Times New Roman"/>
                      <w:sz w:val="22"/>
                      <w:szCs w:val="22"/>
                    </w:rPr>
                  </w:pPr>
                </w:p>
              </w:tc>
            </w:tr>
          </w:tbl>
          <w:p w14:paraId="5ECE1FD4" w14:textId="77777777" w:rsidR="00C454A1" w:rsidRDefault="00C454A1" w:rsidP="00881E6A">
            <w:pPr>
              <w:pStyle w:val="Prrafodelista"/>
              <w:ind w:right="272"/>
              <w:rPr>
                <w:rFonts w:cs="Times New Roman"/>
              </w:rPr>
            </w:pPr>
          </w:p>
          <w:p w14:paraId="24A7EDB2" w14:textId="77777777" w:rsidR="00C454A1" w:rsidRPr="00DA6C7F" w:rsidRDefault="00C454A1" w:rsidP="005F4A6F">
            <w:pPr>
              <w:pStyle w:val="Prrafodelista"/>
              <w:numPr>
                <w:ilvl w:val="0"/>
                <w:numId w:val="47"/>
              </w:numPr>
              <w:ind w:right="272"/>
              <w:rPr>
                <w:rFonts w:cs="Times New Roman"/>
              </w:rPr>
            </w:pPr>
            <w:r w:rsidRPr="00DA6C7F">
              <w:rPr>
                <w:rFonts w:cs="Times New Roman"/>
              </w:rPr>
              <w:lastRenderedPageBreak/>
              <w:t>La alcaldía informó que los victimarios son los grupos armados organizados Residuales GAOR - 33 y GAO – ELN y se asume presencia del EPL</w:t>
            </w:r>
            <w:r>
              <w:rPr>
                <w:rFonts w:cs="Times New Roman"/>
              </w:rPr>
              <w:t>.</w:t>
            </w:r>
          </w:p>
          <w:p w14:paraId="59568BCC" w14:textId="77777777" w:rsidR="00C454A1" w:rsidRPr="00DA6C7F" w:rsidRDefault="00C454A1" w:rsidP="005F4A6F">
            <w:pPr>
              <w:pStyle w:val="Prrafodelista"/>
              <w:numPr>
                <w:ilvl w:val="0"/>
                <w:numId w:val="47"/>
              </w:numPr>
              <w:ind w:right="272"/>
              <w:rPr>
                <w:rFonts w:cs="Times New Roman"/>
                <w:lang w:val="es-ES"/>
              </w:rPr>
            </w:pPr>
            <w:r w:rsidRPr="00DA6C7F">
              <w:rPr>
                <w:rFonts w:cs="Times New Roman"/>
                <w:lang w:val="es-ES"/>
              </w:rPr>
              <w:t>Informó que hay 474 v</w:t>
            </w:r>
            <w:r>
              <w:rPr>
                <w:rFonts w:cs="Times New Roman"/>
                <w:lang w:val="es-ES"/>
              </w:rPr>
              <w:t>í</w:t>
            </w:r>
            <w:r w:rsidRPr="00DA6C7F">
              <w:rPr>
                <w:rFonts w:cs="Times New Roman"/>
                <w:lang w:val="es-ES"/>
              </w:rPr>
              <w:t>ctimas entre los años 2022 a 2024, de los cuales 50 son menores de edad, 8 líderes sociales 8 y 2 firmantes de paz</w:t>
            </w:r>
            <w:r w:rsidRPr="00DA6C7F">
              <w:rPr>
                <w:rStyle w:val="Refdenotaalpie"/>
                <w:rFonts w:cs="Times New Roman"/>
                <w:lang w:val="es-ES"/>
              </w:rPr>
              <w:footnoteReference w:id="797"/>
            </w:r>
            <w:r w:rsidRPr="00DA6C7F">
              <w:rPr>
                <w:rFonts w:cs="Times New Roman"/>
                <w:lang w:val="es-ES"/>
              </w:rPr>
              <w:t>.</w:t>
            </w:r>
          </w:p>
          <w:p w14:paraId="683DEB8C" w14:textId="77777777" w:rsidR="00C454A1" w:rsidRPr="00DA6C7F" w:rsidRDefault="00C454A1" w:rsidP="005F4A6F">
            <w:pPr>
              <w:pStyle w:val="Prrafodelista"/>
              <w:numPr>
                <w:ilvl w:val="0"/>
                <w:numId w:val="47"/>
              </w:numPr>
              <w:ind w:right="272"/>
              <w:rPr>
                <w:rFonts w:cs="Times New Roman"/>
              </w:rPr>
            </w:pPr>
            <w:r w:rsidRPr="00DA6C7F">
              <w:rPr>
                <w:rFonts w:cs="Times New Roman"/>
              </w:rPr>
              <w:t>Las zonas del municipio más afectadas son las rurales, el centro poblado Guamalito y la cabecera del municipio</w:t>
            </w:r>
            <w:r w:rsidRPr="00DA6C7F">
              <w:rPr>
                <w:rStyle w:val="Refdenotaalpie"/>
                <w:rFonts w:cs="Times New Roman"/>
              </w:rPr>
              <w:footnoteReference w:id="798"/>
            </w:r>
            <w:r w:rsidRPr="00DA6C7F">
              <w:rPr>
                <w:rFonts w:cs="Times New Roman"/>
              </w:rPr>
              <w:t>.</w:t>
            </w:r>
          </w:p>
          <w:p w14:paraId="2A823CEB" w14:textId="77777777" w:rsidR="00C454A1" w:rsidRPr="00DA6C7F" w:rsidRDefault="00C454A1" w:rsidP="005F4A6F">
            <w:pPr>
              <w:pStyle w:val="Prrafodelista"/>
              <w:numPr>
                <w:ilvl w:val="0"/>
                <w:numId w:val="47"/>
              </w:numPr>
              <w:ind w:right="272"/>
              <w:rPr>
                <w:rFonts w:cs="Times New Roman"/>
              </w:rPr>
            </w:pPr>
            <w:r w:rsidRPr="00DA6C7F">
              <w:rPr>
                <w:rFonts w:cs="Times New Roman"/>
              </w:rPr>
              <w:t>Agregó sobre que las personas víctimas de desplazamientos se desplazan hacia la cabecera municipal, los municipios aledaños, Cúcuta y la Costa Caribe.</w:t>
            </w:r>
          </w:p>
          <w:p w14:paraId="6167BBCA" w14:textId="77777777" w:rsidR="00C454A1" w:rsidRPr="00DA6C7F" w:rsidRDefault="00C454A1" w:rsidP="005F4A6F">
            <w:pPr>
              <w:pStyle w:val="Prrafodelista"/>
              <w:numPr>
                <w:ilvl w:val="0"/>
                <w:numId w:val="47"/>
              </w:numPr>
              <w:ind w:right="272"/>
              <w:rPr>
                <w:rFonts w:cs="Times New Roman"/>
                <w:color w:val="000000"/>
                <w:sz w:val="25"/>
                <w:szCs w:val="25"/>
              </w:rPr>
            </w:pPr>
            <w:r w:rsidRPr="00DA6C7F">
              <w:rPr>
                <w:rFonts w:cs="Times New Roman"/>
              </w:rPr>
              <w:t>Agregó que la respuesta institucional se da a través de la Personería, la Fuerza Pública, la Administración Municipal, la UARIV, la Defensoría Del Pueblo, la Gobernación de Norte de Santander, entre otras entidades de orden nacional como las agencias en el territorio.</w:t>
            </w:r>
          </w:p>
          <w:p w14:paraId="639C2BF7" w14:textId="77777777" w:rsidR="00C454A1" w:rsidRPr="00DA6C7F" w:rsidRDefault="00C454A1" w:rsidP="005F4A6F">
            <w:pPr>
              <w:pStyle w:val="Prrafodelista"/>
              <w:numPr>
                <w:ilvl w:val="0"/>
                <w:numId w:val="47"/>
              </w:numPr>
              <w:ind w:right="272"/>
              <w:rPr>
                <w:rFonts w:cs="Times New Roman"/>
              </w:rPr>
            </w:pPr>
            <w:r w:rsidRPr="00DA6C7F">
              <w:rPr>
                <w:rFonts w:cs="Times New Roman"/>
              </w:rPr>
              <w:t>Informó que la situación actual desborda la capacidad económica e institucional de la administración puesto que para la actual vigencia se han registrado 50 personas por desplazamiento forzado, 11 núcleos o familias y confinados 706 familias en 16 veredas con un promedio de 3500 personas. Lo anterior ha hecho que el municipio tenga que acudir al apoyo de las instancias departamentales y nacionales o de cooperación internacional</w:t>
            </w:r>
            <w:r w:rsidRPr="00DA6C7F">
              <w:rPr>
                <w:rStyle w:val="Refdenotaalpie"/>
                <w:rFonts w:cs="Times New Roman"/>
              </w:rPr>
              <w:footnoteReference w:id="799"/>
            </w:r>
            <w:r w:rsidRPr="00DA6C7F">
              <w:rPr>
                <w:rFonts w:cs="Times New Roman"/>
              </w:rPr>
              <w:t>.</w:t>
            </w:r>
          </w:p>
          <w:p w14:paraId="794F9F09" w14:textId="77777777" w:rsidR="00C454A1" w:rsidRPr="00DA6C7F" w:rsidRDefault="00C454A1" w:rsidP="00881E6A">
            <w:pPr>
              <w:ind w:right="272"/>
              <w:rPr>
                <w:rFonts w:cs="Times New Roman"/>
              </w:rPr>
            </w:pPr>
          </w:p>
          <w:p w14:paraId="7E950338" w14:textId="77777777" w:rsidR="00C454A1" w:rsidRPr="00DA6C7F" w:rsidRDefault="00C454A1" w:rsidP="005F4A6F">
            <w:pPr>
              <w:pStyle w:val="Prrafodelista"/>
              <w:numPr>
                <w:ilvl w:val="0"/>
                <w:numId w:val="75"/>
              </w:numPr>
              <w:ind w:left="1025" w:right="272" w:hanging="851"/>
              <w:rPr>
                <w:rFonts w:cs="Times New Roman"/>
              </w:rPr>
            </w:pPr>
            <w:r w:rsidRPr="00DA6C7F">
              <w:rPr>
                <w:rFonts w:cs="Times New Roman"/>
              </w:rPr>
              <w:t>Confrontaciones entre los GAO</w:t>
            </w:r>
          </w:p>
          <w:p w14:paraId="35A96B5D"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Informó que “pese a que no se han generado confrontaciones entre grupos al margen de la ley en nuestro municipio, si se vive una tensión y zozobra por la cercanía con otros municipios donde sí hay confrontaciones”</w:t>
            </w:r>
            <w:r w:rsidRPr="00DA6C7F">
              <w:rPr>
                <w:rStyle w:val="Refdenotaalpie"/>
                <w:rFonts w:cs="Times New Roman"/>
              </w:rPr>
              <w:footnoteReference w:id="800"/>
            </w:r>
            <w:r w:rsidRPr="00DA6C7F">
              <w:rPr>
                <w:rFonts w:cs="Times New Roman"/>
              </w:rPr>
              <w:t>.</w:t>
            </w:r>
          </w:p>
          <w:p w14:paraId="3F88978A"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Agregó que dichos enfrentamientos en municipios vecinos han resultado en una escasez de alimentos por el temor y la presencia de los GAOR.</w:t>
            </w:r>
          </w:p>
          <w:p w14:paraId="762A7148"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Indicó que las zonas más afectadas son las rurales, el centro poblado de Guamalito y cabecera municipal de El Carmen.</w:t>
            </w:r>
          </w:p>
          <w:p w14:paraId="5548C36D"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lastRenderedPageBreak/>
              <w:t>Señaló que para controlar esta situación ha realizado consejos de seguridad, comités de orden público, consejos territoriales de paz y comités territoriales de justicia transicional.</w:t>
            </w:r>
          </w:p>
          <w:p w14:paraId="637E1891" w14:textId="77777777" w:rsidR="00C454A1" w:rsidRPr="00DA6C7F" w:rsidRDefault="00C454A1" w:rsidP="00881E6A">
            <w:pPr>
              <w:ind w:right="272"/>
              <w:rPr>
                <w:rFonts w:cs="Times New Roman"/>
              </w:rPr>
            </w:pPr>
          </w:p>
          <w:p w14:paraId="7781690F" w14:textId="77777777" w:rsidR="00C454A1" w:rsidRPr="00DA6C7F" w:rsidRDefault="00C454A1" w:rsidP="005F4A6F">
            <w:pPr>
              <w:pStyle w:val="Prrafodelista"/>
              <w:numPr>
                <w:ilvl w:val="0"/>
                <w:numId w:val="75"/>
              </w:numPr>
              <w:ind w:left="1025" w:right="272" w:hanging="851"/>
              <w:rPr>
                <w:rFonts w:cs="Times New Roman"/>
              </w:rPr>
            </w:pPr>
            <w:r w:rsidRPr="00DA6C7F">
              <w:rPr>
                <w:rFonts w:cs="Times New Roman"/>
              </w:rPr>
              <w:t>Actividades ilícitas de los GAO</w:t>
            </w:r>
          </w:p>
          <w:p w14:paraId="3AA8645A" w14:textId="77777777" w:rsidR="00C454A1" w:rsidRPr="00DA6C7F" w:rsidRDefault="00C454A1" w:rsidP="00881E6A">
            <w:pPr>
              <w:pStyle w:val="Prrafodelista"/>
              <w:ind w:left="1025" w:right="272"/>
              <w:rPr>
                <w:rFonts w:cs="Times New Roman"/>
              </w:rPr>
            </w:pPr>
          </w:p>
          <w:p w14:paraId="691EACEE"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Informó que el grupo armado organizado residual – </w:t>
            </w:r>
            <w:r>
              <w:rPr>
                <w:rFonts w:cs="Times New Roman"/>
              </w:rPr>
              <w:t>F</w:t>
            </w:r>
            <w:r w:rsidRPr="00DA6C7F">
              <w:rPr>
                <w:rFonts w:cs="Times New Roman"/>
              </w:rPr>
              <w:t>rente 33 de las FARC, el ELN y el EPL realizan el “control territorial de economías ilegales, amenazas, desplazamiento, terrorismo, ataque a las bases militares y estaciones de policía”</w:t>
            </w:r>
            <w:r w:rsidRPr="00DA6C7F">
              <w:rPr>
                <w:rStyle w:val="Refdenotaalpie"/>
                <w:rFonts w:cs="Times New Roman"/>
              </w:rPr>
              <w:footnoteReference w:id="801"/>
            </w:r>
            <w:r w:rsidRPr="00DA6C7F">
              <w:rPr>
                <w:rFonts w:cs="Times New Roman"/>
              </w:rPr>
              <w:t>, así como actividades delincuenciales como despojos y homicidios.</w:t>
            </w:r>
          </w:p>
          <w:p w14:paraId="58DD174D" w14:textId="77777777" w:rsidR="00C454A1" w:rsidRPr="00DA6C7F" w:rsidRDefault="00C454A1" w:rsidP="005F4A6F">
            <w:pPr>
              <w:pStyle w:val="Prrafodelista"/>
              <w:numPr>
                <w:ilvl w:val="0"/>
                <w:numId w:val="48"/>
              </w:numPr>
              <w:ind w:left="782" w:right="272" w:hanging="425"/>
              <w:rPr>
                <w:rFonts w:cs="Times New Roman"/>
                <w:lang w:val="es-ES"/>
              </w:rPr>
            </w:pPr>
            <w:r w:rsidRPr="00DA6C7F">
              <w:rPr>
                <w:rFonts w:cs="Times New Roman"/>
                <w:lang w:val="es-ES"/>
              </w:rPr>
              <w:t>Agregó que, para contrarrestar esas actividades, en la vigencia 2024, (i) se solicitó mayor presencia de la fuerza pública, (ii) se hizo el fortalecimiento de sistemas de cámaras de seguridad en el centro poblado y cabecera municipal y (ii) se inició la adecuación o reubicación de las estaciones de policía en el corregimiento de Guamalito. Todo lo anterior en virtud de la recomendación de la defensoría del pueblo en la Alerta temprana 026 de 2024.</w:t>
            </w:r>
          </w:p>
          <w:p w14:paraId="34D3D3F1"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Indicó que los logros han sido muy mínimos, puesto que no se han aprobado los recursos para la reubicación de la estación de Policía del Corregimiento de Guamalito y su adecuación. Sin embargo, aseguró que la alcaldía se viene articulando con la fuerza pública para atender las eventualidades y lograr una seguridad y convivencia en el territorio.</w:t>
            </w:r>
          </w:p>
          <w:p w14:paraId="3D769EC4" w14:textId="77777777" w:rsidR="00C454A1" w:rsidRPr="00DA6C7F" w:rsidRDefault="00C454A1" w:rsidP="00881E6A">
            <w:pPr>
              <w:ind w:right="272"/>
              <w:rPr>
                <w:rFonts w:cs="Times New Roman"/>
              </w:rPr>
            </w:pPr>
          </w:p>
          <w:p w14:paraId="0AB5935B" w14:textId="77777777" w:rsidR="00C454A1" w:rsidRPr="00DA6C7F" w:rsidRDefault="00C454A1" w:rsidP="005F4A6F">
            <w:pPr>
              <w:pStyle w:val="Prrafodelista"/>
              <w:numPr>
                <w:ilvl w:val="0"/>
                <w:numId w:val="75"/>
              </w:numPr>
              <w:ind w:left="1025" w:right="272" w:hanging="851"/>
              <w:rPr>
                <w:rFonts w:cs="Times New Roman"/>
              </w:rPr>
            </w:pPr>
            <w:r w:rsidRPr="00DA6C7F">
              <w:rPr>
                <w:rFonts w:cs="Times New Roman"/>
              </w:rPr>
              <w:t xml:space="preserve">Advertencias al Gobierno </w:t>
            </w:r>
            <w:r>
              <w:rPr>
                <w:rFonts w:cs="Times New Roman"/>
              </w:rPr>
              <w:t>n</w:t>
            </w:r>
            <w:r w:rsidRPr="00DA6C7F">
              <w:rPr>
                <w:rFonts w:cs="Times New Roman"/>
              </w:rPr>
              <w:t>acional</w:t>
            </w:r>
          </w:p>
          <w:p w14:paraId="72E2CED7" w14:textId="77777777" w:rsidR="00C454A1" w:rsidRPr="00DA6C7F" w:rsidRDefault="00C454A1" w:rsidP="00881E6A">
            <w:pPr>
              <w:pStyle w:val="Prrafodelista"/>
              <w:ind w:left="1025" w:right="272"/>
              <w:rPr>
                <w:rFonts w:cs="Times New Roman"/>
              </w:rPr>
            </w:pPr>
          </w:p>
          <w:p w14:paraId="02260492"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La alcaldía </w:t>
            </w:r>
            <w:r>
              <w:rPr>
                <w:rFonts w:cs="Times New Roman"/>
              </w:rPr>
              <w:t>manifestó</w:t>
            </w:r>
            <w:r w:rsidRPr="00DA6C7F">
              <w:rPr>
                <w:rFonts w:cs="Times New Roman"/>
              </w:rPr>
              <w:t xml:space="preserve"> que el Gobierno </w:t>
            </w:r>
            <w:r>
              <w:rPr>
                <w:rFonts w:cs="Times New Roman"/>
              </w:rPr>
              <w:t>n</w:t>
            </w:r>
            <w:r w:rsidRPr="00DA6C7F">
              <w:rPr>
                <w:rFonts w:cs="Times New Roman"/>
              </w:rPr>
              <w:t xml:space="preserve">acional fue informado de la situación de orden público a través de las alertas tempranas </w:t>
            </w:r>
            <w:r>
              <w:rPr>
                <w:rFonts w:cs="Times New Roman"/>
              </w:rPr>
              <w:t>N</w:t>
            </w:r>
            <w:r w:rsidRPr="00DA6C7F">
              <w:rPr>
                <w:rFonts w:cs="Times New Roman"/>
              </w:rPr>
              <w:t xml:space="preserve">o 004 de 2021 y 026 de 2024 de la </w:t>
            </w:r>
            <w:r>
              <w:rPr>
                <w:rFonts w:cs="Times New Roman"/>
              </w:rPr>
              <w:t>D</w:t>
            </w:r>
            <w:r w:rsidRPr="00DA6C7F">
              <w:rPr>
                <w:rFonts w:cs="Times New Roman"/>
              </w:rPr>
              <w:t xml:space="preserve">efensoría del </w:t>
            </w:r>
            <w:r>
              <w:rPr>
                <w:rFonts w:cs="Times New Roman"/>
              </w:rPr>
              <w:t>P</w:t>
            </w:r>
            <w:r w:rsidRPr="00DA6C7F">
              <w:rPr>
                <w:rFonts w:cs="Times New Roman"/>
              </w:rPr>
              <w:t>ueblo, pero que hubo “poca respuesta”</w:t>
            </w:r>
            <w:r w:rsidRPr="00DA6C7F">
              <w:rPr>
                <w:rStyle w:val="Refdenotaalpie"/>
                <w:rFonts w:cs="Times New Roman"/>
              </w:rPr>
              <w:footnoteReference w:id="802"/>
            </w:r>
            <w:r w:rsidRPr="00DA6C7F">
              <w:rPr>
                <w:rFonts w:cs="Times New Roman"/>
              </w:rPr>
              <w:t>.</w:t>
            </w:r>
          </w:p>
          <w:p w14:paraId="078A0F43" w14:textId="77777777" w:rsidR="00C454A1" w:rsidRPr="00DA6C7F" w:rsidRDefault="00C454A1" w:rsidP="00881E6A">
            <w:pPr>
              <w:pStyle w:val="Prrafodelista"/>
              <w:ind w:left="1025" w:right="272"/>
              <w:rPr>
                <w:rFonts w:cs="Times New Roman"/>
              </w:rPr>
            </w:pPr>
          </w:p>
          <w:p w14:paraId="567835FD" w14:textId="77777777" w:rsidR="00C454A1" w:rsidRPr="00DA6C7F" w:rsidRDefault="00C454A1" w:rsidP="005F4A6F">
            <w:pPr>
              <w:pStyle w:val="Prrafodelista"/>
              <w:numPr>
                <w:ilvl w:val="0"/>
                <w:numId w:val="57"/>
              </w:numPr>
              <w:ind w:left="1025" w:right="272" w:hanging="851"/>
              <w:rPr>
                <w:rFonts w:cs="Times New Roman"/>
              </w:rPr>
            </w:pPr>
            <w:r w:rsidRPr="00DA6C7F">
              <w:rPr>
                <w:rFonts w:cs="Times New Roman"/>
              </w:rPr>
              <w:t>Daños a bienes protegidos y al medio ambiente</w:t>
            </w:r>
          </w:p>
          <w:p w14:paraId="5CBC01AB" w14:textId="77777777" w:rsidR="00C454A1" w:rsidRPr="00DA6C7F" w:rsidRDefault="00C454A1" w:rsidP="00881E6A">
            <w:pPr>
              <w:pStyle w:val="Prrafodelista"/>
              <w:ind w:left="1025" w:right="272"/>
              <w:rPr>
                <w:rFonts w:cs="Times New Roman"/>
              </w:rPr>
            </w:pPr>
          </w:p>
          <w:p w14:paraId="3398D4B7"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Señaló que hay daño a los ecosistemas acuíferos en la </w:t>
            </w:r>
            <w:r>
              <w:rPr>
                <w:rFonts w:cs="Times New Roman"/>
              </w:rPr>
              <w:t>Q</w:t>
            </w:r>
            <w:r w:rsidRPr="00DA6C7F">
              <w:rPr>
                <w:rFonts w:cs="Times New Roman"/>
              </w:rPr>
              <w:t xml:space="preserve">uebrada </w:t>
            </w:r>
            <w:r>
              <w:rPr>
                <w:rFonts w:cs="Times New Roman"/>
              </w:rPr>
              <w:t>G</w:t>
            </w:r>
            <w:r w:rsidRPr="00DA6C7F">
              <w:rPr>
                <w:rFonts w:cs="Times New Roman"/>
              </w:rPr>
              <w:t xml:space="preserve">rande de Guamalito y </w:t>
            </w:r>
            <w:r>
              <w:rPr>
                <w:rFonts w:cs="Times New Roman"/>
              </w:rPr>
              <w:t>C</w:t>
            </w:r>
            <w:r w:rsidRPr="00DA6C7F">
              <w:rPr>
                <w:rFonts w:cs="Times New Roman"/>
              </w:rPr>
              <w:t xml:space="preserve">año de las </w:t>
            </w:r>
            <w:r>
              <w:rPr>
                <w:rFonts w:cs="Times New Roman"/>
              </w:rPr>
              <w:t>C</w:t>
            </w:r>
            <w:r w:rsidRPr="00DA6C7F">
              <w:rPr>
                <w:rFonts w:cs="Times New Roman"/>
              </w:rPr>
              <w:t>ascaras donde se surten los acueductos rurales. Atribuye estos daños al Frente 33 de las disidencias de las FARC y al ELN.</w:t>
            </w:r>
          </w:p>
          <w:p w14:paraId="092530EC"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 xml:space="preserve">Agregó que han sido muy pocas las medidas tomadas por el Gobierno </w:t>
            </w:r>
            <w:r>
              <w:rPr>
                <w:rFonts w:cs="Times New Roman"/>
              </w:rPr>
              <w:t>n</w:t>
            </w:r>
            <w:r w:rsidRPr="00DA6C7F">
              <w:rPr>
                <w:rFonts w:cs="Times New Roman"/>
              </w:rPr>
              <w:t>acional para mitigar estas circunstancias.</w:t>
            </w:r>
          </w:p>
          <w:p w14:paraId="72D2894D" w14:textId="77777777" w:rsidR="00C454A1" w:rsidRPr="00DA6C7F" w:rsidRDefault="00C454A1" w:rsidP="00881E6A">
            <w:pPr>
              <w:ind w:right="272"/>
              <w:rPr>
                <w:rFonts w:cs="Times New Roman"/>
              </w:rPr>
            </w:pPr>
          </w:p>
          <w:p w14:paraId="11EA3853" w14:textId="77777777" w:rsidR="00C454A1" w:rsidRPr="00DA6C7F" w:rsidRDefault="00C454A1" w:rsidP="00881E6A">
            <w:pPr>
              <w:ind w:right="272"/>
              <w:rPr>
                <w:rFonts w:cs="Times New Roman"/>
              </w:rPr>
            </w:pPr>
            <w:r w:rsidRPr="00DA6C7F">
              <w:rPr>
                <w:rFonts w:cs="Times New Roman"/>
                <w:i/>
              </w:rPr>
              <w:t>Presupuesto suficiencia</w:t>
            </w:r>
            <w:r w:rsidRPr="00DA6C7F">
              <w:rPr>
                <w:rFonts w:cs="Times New Roman"/>
              </w:rPr>
              <w:t xml:space="preserve">. </w:t>
            </w:r>
          </w:p>
          <w:p w14:paraId="617F8A9D" w14:textId="77777777" w:rsidR="00C454A1" w:rsidRPr="00DA6C7F" w:rsidRDefault="00C454A1" w:rsidP="00881E6A">
            <w:pPr>
              <w:ind w:right="272"/>
              <w:rPr>
                <w:rFonts w:cs="Times New Roman"/>
              </w:rPr>
            </w:pPr>
          </w:p>
          <w:p w14:paraId="74F5874B" w14:textId="77777777" w:rsidR="00C454A1" w:rsidRPr="00DA6C7F" w:rsidRDefault="00C454A1" w:rsidP="005F4A6F">
            <w:pPr>
              <w:pStyle w:val="Prrafodelista"/>
              <w:numPr>
                <w:ilvl w:val="0"/>
                <w:numId w:val="66"/>
              </w:numPr>
              <w:ind w:left="957" w:right="272" w:hanging="709"/>
              <w:rPr>
                <w:rFonts w:cs="Times New Roman"/>
              </w:rPr>
            </w:pPr>
            <w:r w:rsidRPr="00DA6C7F">
              <w:rPr>
                <w:rFonts w:cs="Times New Roman"/>
              </w:rPr>
              <w:t>Solicitud de presupuesto</w:t>
            </w:r>
          </w:p>
          <w:p w14:paraId="0A54356C" w14:textId="77777777" w:rsidR="00C454A1" w:rsidRPr="00DA6C7F" w:rsidRDefault="00C454A1" w:rsidP="005F4A6F">
            <w:pPr>
              <w:pStyle w:val="Prrafodelista"/>
              <w:numPr>
                <w:ilvl w:val="0"/>
                <w:numId w:val="48"/>
              </w:numPr>
              <w:ind w:left="782" w:right="272" w:hanging="425"/>
              <w:rPr>
                <w:rFonts w:cs="Times New Roman"/>
              </w:rPr>
            </w:pPr>
            <w:r w:rsidRPr="00DA6C7F">
              <w:rPr>
                <w:rFonts w:cs="Times New Roman"/>
              </w:rPr>
              <w:t>Señaló que no ha solicitado presupuesto para reestablecer el orden público en su territorio o para garantizar atención humanitaria a la población</w:t>
            </w:r>
            <w:r w:rsidRPr="00DA6C7F">
              <w:rPr>
                <w:rStyle w:val="Refdenotaalpie"/>
                <w:rFonts w:cs="Times New Roman"/>
              </w:rPr>
              <w:footnoteReference w:id="803"/>
            </w:r>
            <w:r w:rsidRPr="00DA6C7F">
              <w:rPr>
                <w:rFonts w:cs="Times New Roman"/>
              </w:rPr>
              <w:t>.</w:t>
            </w:r>
          </w:p>
          <w:p w14:paraId="5B92165F" w14:textId="77777777" w:rsidR="00C454A1" w:rsidRPr="00DA6C7F" w:rsidRDefault="00C454A1" w:rsidP="00881E6A">
            <w:pPr>
              <w:ind w:right="272"/>
              <w:rPr>
                <w:rFonts w:cs="Times New Roman"/>
              </w:rPr>
            </w:pPr>
          </w:p>
        </w:tc>
      </w:tr>
      <w:tr w:rsidR="00C454A1" w:rsidRPr="00F8202F" w14:paraId="0EFB2852" w14:textId="77777777" w:rsidTr="005F4A6F">
        <w:trPr>
          <w:trHeight w:val="300"/>
        </w:trPr>
        <w:tc>
          <w:tcPr>
            <w:tcW w:w="642" w:type="pct"/>
            <w:vAlign w:val="center"/>
          </w:tcPr>
          <w:p w14:paraId="25C4543C" w14:textId="77777777" w:rsidR="00C454A1" w:rsidRPr="00DA6C7F" w:rsidRDefault="00C454A1" w:rsidP="00881E6A">
            <w:pPr>
              <w:ind w:right="272"/>
              <w:jc w:val="center"/>
              <w:rPr>
                <w:rFonts w:cs="Times New Roman"/>
                <w:b/>
                <w:bCs/>
              </w:rPr>
            </w:pPr>
            <w:r w:rsidRPr="00DA6C7F">
              <w:rPr>
                <w:rFonts w:cs="Times New Roman"/>
                <w:b/>
                <w:bCs/>
              </w:rPr>
              <w:lastRenderedPageBreak/>
              <w:t>Alcalde del municipio de San Calixto, Norte Santander</w:t>
            </w:r>
            <w:r w:rsidRPr="00DA6C7F">
              <w:rPr>
                <w:rFonts w:cs="Times New Roman"/>
                <w:vertAlign w:val="superscript"/>
              </w:rPr>
              <w:footnoteReference w:id="804"/>
            </w:r>
          </w:p>
        </w:tc>
        <w:tc>
          <w:tcPr>
            <w:tcW w:w="4358" w:type="pct"/>
          </w:tcPr>
          <w:p w14:paraId="77E05A0F" w14:textId="77777777" w:rsidR="00C454A1" w:rsidRPr="00DA6C7F" w:rsidRDefault="00C454A1" w:rsidP="00881E6A">
            <w:pPr>
              <w:ind w:right="272"/>
              <w:rPr>
                <w:rFonts w:cs="Times New Roman"/>
              </w:rPr>
            </w:pPr>
            <w:r w:rsidRPr="00DA6C7F">
              <w:rPr>
                <w:rFonts w:cs="Times New Roman"/>
              </w:rPr>
              <w:t>El alcalde del municipio de San Calixto remitió la siguiente información en relación con las preguntas planteadas en el auto de pruebas respecto de cada uno de los presupuestos:</w:t>
            </w:r>
          </w:p>
          <w:p w14:paraId="74EBF09A" w14:textId="77777777" w:rsidR="00C454A1" w:rsidRPr="00DA6C7F" w:rsidRDefault="00C454A1" w:rsidP="00881E6A">
            <w:pPr>
              <w:ind w:right="272"/>
              <w:rPr>
                <w:rFonts w:cs="Times New Roman"/>
              </w:rPr>
            </w:pPr>
          </w:p>
          <w:p w14:paraId="1A7A273A" w14:textId="77777777" w:rsidR="00C454A1" w:rsidRDefault="00C454A1" w:rsidP="00881E6A">
            <w:pPr>
              <w:ind w:right="272"/>
              <w:rPr>
                <w:rFonts w:cs="Times New Roman"/>
              </w:rPr>
            </w:pPr>
            <w:r w:rsidRPr="00DA6C7F">
              <w:rPr>
                <w:rFonts w:cs="Times New Roman"/>
                <w:b/>
                <w:bCs/>
                <w:i/>
                <w:iCs/>
              </w:rPr>
              <w:t>Presupuesto Fáctico</w:t>
            </w:r>
            <w:r w:rsidRPr="00DA6C7F">
              <w:rPr>
                <w:rFonts w:cs="Times New Roman"/>
              </w:rPr>
              <w:t xml:space="preserve">. Presentó los siguientes datos sobre la situación de orden público en su municipio en el período entre el 2022-2025. </w:t>
            </w:r>
          </w:p>
          <w:p w14:paraId="5B3FA978" w14:textId="77777777" w:rsidR="00C454A1" w:rsidRPr="00DA6C7F" w:rsidRDefault="00C454A1" w:rsidP="00881E6A">
            <w:pPr>
              <w:ind w:right="272"/>
              <w:rPr>
                <w:rFonts w:cs="Times New Roman"/>
              </w:rPr>
            </w:pPr>
          </w:p>
          <w:p w14:paraId="345552C9" w14:textId="77777777" w:rsidR="00C454A1" w:rsidRPr="008B4282" w:rsidRDefault="00C454A1" w:rsidP="00881E6A">
            <w:pPr>
              <w:ind w:right="272"/>
              <w:jc w:val="center"/>
              <w:rPr>
                <w:rFonts w:cs="Times New Roman"/>
                <w:i/>
                <w:iCs/>
                <w:sz w:val="20"/>
                <w:szCs w:val="20"/>
              </w:rPr>
            </w:pPr>
            <w:r w:rsidRPr="008B4282">
              <w:rPr>
                <w:rFonts w:cs="Times New Roman"/>
                <w:i/>
                <w:iCs/>
                <w:sz w:val="20"/>
                <w:szCs w:val="20"/>
              </w:rPr>
              <w:t>Tabla 41: datos reportados por la alcaldía de San Calixto sobre ataques contra la población civil y la fuerza pública</w:t>
            </w:r>
          </w:p>
          <w:tbl>
            <w:tblPr>
              <w:tblStyle w:val="Tablaconcuadrcula"/>
              <w:tblW w:w="9458" w:type="dxa"/>
              <w:tblInd w:w="2992" w:type="dxa"/>
              <w:tblLook w:val="04A0" w:firstRow="1" w:lastRow="0" w:firstColumn="1" w:lastColumn="0" w:noHBand="0" w:noVBand="1"/>
            </w:tblPr>
            <w:tblGrid>
              <w:gridCol w:w="929"/>
              <w:gridCol w:w="8529"/>
            </w:tblGrid>
            <w:tr w:rsidR="00C454A1" w:rsidRPr="00F8202F" w14:paraId="3771825C" w14:textId="77777777" w:rsidTr="001F3006">
              <w:trPr>
                <w:trHeight w:val="711"/>
              </w:trPr>
              <w:tc>
                <w:tcPr>
                  <w:tcW w:w="729" w:type="dxa"/>
                  <w:shd w:val="clear" w:color="auto" w:fill="D1D1D1" w:themeFill="background2" w:themeFillShade="E6"/>
                </w:tcPr>
                <w:p w14:paraId="4855BBF7" w14:textId="77777777" w:rsidR="00C454A1" w:rsidRPr="00F70A10" w:rsidRDefault="00C454A1" w:rsidP="00881E6A">
                  <w:pPr>
                    <w:ind w:right="272"/>
                    <w:textAlignment w:val="baseline"/>
                    <w:rPr>
                      <w:rFonts w:cs="Times New Roman"/>
                      <w:b/>
                      <w:bCs/>
                      <w:sz w:val="22"/>
                      <w:szCs w:val="22"/>
                    </w:rPr>
                  </w:pPr>
                  <w:r w:rsidRPr="00F70A10">
                    <w:rPr>
                      <w:rFonts w:cs="Times New Roman"/>
                      <w:b/>
                      <w:bCs/>
                      <w:sz w:val="22"/>
                      <w:szCs w:val="22"/>
                    </w:rPr>
                    <w:t>2022</w:t>
                  </w:r>
                </w:p>
              </w:tc>
              <w:tc>
                <w:tcPr>
                  <w:tcW w:w="8729" w:type="dxa"/>
                </w:tcPr>
                <w:p w14:paraId="1C18CF7F" w14:textId="77777777" w:rsidR="00C454A1" w:rsidRPr="00F70A10" w:rsidRDefault="00C454A1" w:rsidP="005F4A6F">
                  <w:pPr>
                    <w:pStyle w:val="Prrafodelista"/>
                    <w:numPr>
                      <w:ilvl w:val="0"/>
                      <w:numId w:val="64"/>
                    </w:numPr>
                    <w:ind w:left="321" w:right="272" w:hanging="283"/>
                    <w:textAlignment w:val="baseline"/>
                    <w:rPr>
                      <w:rFonts w:cs="Times New Roman"/>
                      <w:sz w:val="22"/>
                      <w:szCs w:val="22"/>
                    </w:rPr>
                  </w:pPr>
                  <w:r w:rsidRPr="00F70A10">
                    <w:rPr>
                      <w:rFonts w:cs="Times New Roman"/>
                      <w:sz w:val="22"/>
                      <w:szCs w:val="22"/>
                    </w:rPr>
                    <w:t>2 militares heridos en enfrentamientos con el ELN.</w:t>
                  </w:r>
                </w:p>
                <w:p w14:paraId="7EDCE9AA" w14:textId="77777777" w:rsidR="00C454A1" w:rsidRPr="00F70A10" w:rsidRDefault="00C454A1" w:rsidP="005F4A6F">
                  <w:pPr>
                    <w:pStyle w:val="Prrafodelista"/>
                    <w:numPr>
                      <w:ilvl w:val="0"/>
                      <w:numId w:val="64"/>
                    </w:numPr>
                    <w:ind w:left="321" w:right="272" w:hanging="283"/>
                    <w:textAlignment w:val="baseline"/>
                    <w:rPr>
                      <w:rFonts w:cs="Times New Roman"/>
                      <w:sz w:val="22"/>
                      <w:szCs w:val="22"/>
                    </w:rPr>
                  </w:pPr>
                  <w:r w:rsidRPr="00F70A10">
                    <w:rPr>
                      <w:rFonts w:cs="Times New Roman"/>
                      <w:sz w:val="22"/>
                      <w:szCs w:val="22"/>
                    </w:rPr>
                    <w:t>3 militares heridos en ataques adelantados por el GAOR-E33.</w:t>
                  </w:r>
                </w:p>
                <w:p w14:paraId="7BFD173D" w14:textId="77777777" w:rsidR="00C454A1" w:rsidRPr="00F70A10" w:rsidRDefault="00C454A1" w:rsidP="005F4A6F">
                  <w:pPr>
                    <w:pStyle w:val="Prrafodelista"/>
                    <w:numPr>
                      <w:ilvl w:val="0"/>
                      <w:numId w:val="64"/>
                    </w:numPr>
                    <w:ind w:left="321" w:right="272" w:hanging="283"/>
                    <w:textAlignment w:val="baseline"/>
                    <w:rPr>
                      <w:rFonts w:eastAsia="Calibri" w:cs="Times New Roman"/>
                      <w:sz w:val="22"/>
                      <w:szCs w:val="22"/>
                      <w:lang w:eastAsia="es-ES"/>
                    </w:rPr>
                  </w:pPr>
                  <w:r w:rsidRPr="00F70A10">
                    <w:rPr>
                      <w:rFonts w:eastAsia="Calibri" w:cs="Times New Roman"/>
                      <w:sz w:val="22"/>
                      <w:szCs w:val="22"/>
                      <w:lang w:eastAsia="es-ES"/>
                    </w:rPr>
                    <w:t xml:space="preserve">1 </w:t>
                  </w:r>
                  <w:r w:rsidRPr="00F70A10">
                    <w:rPr>
                      <w:rFonts w:cs="Times New Roman"/>
                      <w:sz w:val="22"/>
                      <w:szCs w:val="22"/>
                    </w:rPr>
                    <w:t xml:space="preserve">militar </w:t>
                  </w:r>
                  <w:r w:rsidRPr="00F70A10">
                    <w:rPr>
                      <w:rFonts w:eastAsia="Calibri" w:cs="Times New Roman"/>
                      <w:sz w:val="22"/>
                      <w:szCs w:val="22"/>
                      <w:lang w:eastAsia="es-ES"/>
                    </w:rPr>
                    <w:t>fallecido</w:t>
                  </w:r>
                  <w:r w:rsidRPr="00F70A10">
                    <w:rPr>
                      <w:rFonts w:cs="Times New Roman"/>
                      <w:sz w:val="22"/>
                      <w:szCs w:val="22"/>
                    </w:rPr>
                    <w:t xml:space="preserve"> en ataques adelantados por el GAOR-E33.</w:t>
                  </w:r>
                </w:p>
              </w:tc>
            </w:tr>
            <w:tr w:rsidR="00C454A1" w:rsidRPr="00F8202F" w14:paraId="3597F7FC" w14:textId="77777777" w:rsidTr="001F3006">
              <w:trPr>
                <w:trHeight w:val="1423"/>
              </w:trPr>
              <w:tc>
                <w:tcPr>
                  <w:tcW w:w="729" w:type="dxa"/>
                  <w:shd w:val="clear" w:color="auto" w:fill="D1D1D1" w:themeFill="background2" w:themeFillShade="E6"/>
                </w:tcPr>
                <w:p w14:paraId="18A2DF5D" w14:textId="77777777" w:rsidR="00C454A1" w:rsidRPr="00F70A10" w:rsidRDefault="00C454A1" w:rsidP="00881E6A">
                  <w:pPr>
                    <w:ind w:right="272"/>
                    <w:textAlignment w:val="baseline"/>
                    <w:rPr>
                      <w:rFonts w:cs="Times New Roman"/>
                      <w:b/>
                      <w:bCs/>
                      <w:sz w:val="22"/>
                      <w:szCs w:val="22"/>
                    </w:rPr>
                  </w:pPr>
                  <w:r w:rsidRPr="00F70A10">
                    <w:rPr>
                      <w:rFonts w:cs="Times New Roman"/>
                      <w:b/>
                      <w:bCs/>
                      <w:sz w:val="22"/>
                      <w:szCs w:val="22"/>
                    </w:rPr>
                    <w:lastRenderedPageBreak/>
                    <w:t>2023</w:t>
                  </w:r>
                </w:p>
              </w:tc>
              <w:tc>
                <w:tcPr>
                  <w:tcW w:w="8729" w:type="dxa"/>
                </w:tcPr>
                <w:p w14:paraId="3B5FA164" w14:textId="77777777" w:rsidR="00C454A1" w:rsidRPr="00F70A10" w:rsidRDefault="00C454A1" w:rsidP="005F4A6F">
                  <w:pPr>
                    <w:pStyle w:val="Prrafodelista"/>
                    <w:numPr>
                      <w:ilvl w:val="0"/>
                      <w:numId w:val="64"/>
                    </w:numPr>
                    <w:ind w:left="321" w:right="272" w:hanging="283"/>
                    <w:textAlignment w:val="baseline"/>
                    <w:rPr>
                      <w:rFonts w:cs="Times New Roman"/>
                      <w:sz w:val="22"/>
                      <w:szCs w:val="22"/>
                    </w:rPr>
                  </w:pPr>
                  <w:r w:rsidRPr="00F70A10">
                    <w:rPr>
                      <w:rFonts w:cs="Times New Roman"/>
                      <w:sz w:val="22"/>
                      <w:szCs w:val="22"/>
                    </w:rPr>
                    <w:t>1 homicidio por francotirador en ataques adelantados por el ELN.</w:t>
                  </w:r>
                </w:p>
                <w:p w14:paraId="5EBF526B" w14:textId="77777777" w:rsidR="00C454A1" w:rsidRPr="00F70A10" w:rsidRDefault="00C454A1" w:rsidP="005F4A6F">
                  <w:pPr>
                    <w:pStyle w:val="Prrafodelista"/>
                    <w:numPr>
                      <w:ilvl w:val="0"/>
                      <w:numId w:val="64"/>
                    </w:numPr>
                    <w:ind w:left="321" w:right="272" w:hanging="283"/>
                    <w:textAlignment w:val="baseline"/>
                    <w:rPr>
                      <w:rFonts w:eastAsia="Calibri" w:cs="Times New Roman"/>
                      <w:sz w:val="22"/>
                      <w:szCs w:val="22"/>
                      <w:lang w:eastAsia="es-ES"/>
                    </w:rPr>
                  </w:pPr>
                  <w:r w:rsidRPr="00F70A10">
                    <w:rPr>
                      <w:rFonts w:cs="Times New Roman"/>
                      <w:sz w:val="22"/>
                      <w:szCs w:val="22"/>
                    </w:rPr>
                    <w:t>1 candidato a la alcaldía del municipio amenazado por el ELN.</w:t>
                  </w:r>
                </w:p>
                <w:p w14:paraId="6CC9AB95" w14:textId="77777777" w:rsidR="00C454A1" w:rsidRPr="00F70A10" w:rsidRDefault="00C454A1" w:rsidP="005F4A6F">
                  <w:pPr>
                    <w:pStyle w:val="Prrafodelista"/>
                    <w:numPr>
                      <w:ilvl w:val="0"/>
                      <w:numId w:val="64"/>
                    </w:numPr>
                    <w:ind w:left="321" w:right="272" w:hanging="283"/>
                    <w:textAlignment w:val="baseline"/>
                    <w:rPr>
                      <w:rFonts w:cs="Times New Roman"/>
                      <w:sz w:val="22"/>
                      <w:szCs w:val="22"/>
                    </w:rPr>
                  </w:pPr>
                  <w:r w:rsidRPr="00F70A10">
                    <w:rPr>
                      <w:rFonts w:cs="Times New Roman"/>
                      <w:sz w:val="22"/>
                      <w:szCs w:val="22"/>
                    </w:rPr>
                    <w:t>1 candidato al concejo del municipio amenazado por el ELN.</w:t>
                  </w:r>
                </w:p>
                <w:p w14:paraId="0FC875BB" w14:textId="77777777" w:rsidR="00C454A1" w:rsidRPr="00F70A10" w:rsidRDefault="00C454A1" w:rsidP="005F4A6F">
                  <w:pPr>
                    <w:pStyle w:val="Prrafodelista"/>
                    <w:numPr>
                      <w:ilvl w:val="0"/>
                      <w:numId w:val="64"/>
                    </w:numPr>
                    <w:ind w:left="321" w:right="272" w:hanging="283"/>
                    <w:textAlignment w:val="baseline"/>
                    <w:rPr>
                      <w:rFonts w:cs="Times New Roman"/>
                      <w:sz w:val="22"/>
                      <w:szCs w:val="22"/>
                    </w:rPr>
                  </w:pPr>
                  <w:r w:rsidRPr="00F70A10">
                    <w:rPr>
                      <w:rFonts w:cs="Times New Roman"/>
                      <w:sz w:val="22"/>
                      <w:szCs w:val="22"/>
                    </w:rPr>
                    <w:t>4 líderes de movimientos políticos amenazados por parte de un grupo delincuencial sin identificar.</w:t>
                  </w:r>
                </w:p>
                <w:p w14:paraId="1859517D" w14:textId="77777777" w:rsidR="00C454A1" w:rsidRPr="00F70A10" w:rsidRDefault="00C454A1" w:rsidP="005F4A6F">
                  <w:pPr>
                    <w:pStyle w:val="Prrafodelista"/>
                    <w:numPr>
                      <w:ilvl w:val="0"/>
                      <w:numId w:val="64"/>
                    </w:numPr>
                    <w:ind w:left="321" w:right="272" w:hanging="283"/>
                    <w:jc w:val="left"/>
                    <w:rPr>
                      <w:rFonts w:eastAsia="Calibri" w:cs="Times New Roman"/>
                      <w:sz w:val="22"/>
                      <w:szCs w:val="22"/>
                      <w:lang w:eastAsia="es-ES"/>
                    </w:rPr>
                  </w:pPr>
                  <w:r w:rsidRPr="00F70A10">
                    <w:rPr>
                      <w:rFonts w:eastAsia="Calibri" w:cs="Times New Roman"/>
                      <w:sz w:val="22"/>
                      <w:szCs w:val="22"/>
                      <w:lang w:eastAsia="es-ES"/>
                    </w:rPr>
                    <w:t>1 exfuncionario público</w:t>
                  </w:r>
                  <w:r w:rsidRPr="00F70A10">
                    <w:rPr>
                      <w:rFonts w:cs="Times New Roman"/>
                      <w:sz w:val="22"/>
                      <w:szCs w:val="22"/>
                    </w:rPr>
                    <w:t xml:space="preserve"> </w:t>
                  </w:r>
                  <w:r w:rsidRPr="00F70A10">
                    <w:rPr>
                      <w:rFonts w:eastAsia="Calibri" w:cs="Times New Roman"/>
                      <w:sz w:val="22"/>
                      <w:szCs w:val="22"/>
                      <w:lang w:eastAsia="es-ES"/>
                    </w:rPr>
                    <w:t xml:space="preserve">secuestro </w:t>
                  </w:r>
                  <w:r w:rsidRPr="00F70A10">
                    <w:rPr>
                      <w:rFonts w:cs="Times New Roman"/>
                      <w:sz w:val="22"/>
                      <w:szCs w:val="22"/>
                    </w:rPr>
                    <w:t xml:space="preserve">por </w:t>
                  </w:r>
                  <w:r w:rsidRPr="00F70A10">
                    <w:rPr>
                      <w:rFonts w:eastAsia="Calibri" w:cs="Times New Roman"/>
                      <w:sz w:val="22"/>
                      <w:szCs w:val="22"/>
                      <w:lang w:eastAsia="es-ES"/>
                    </w:rPr>
                    <w:t>el GAOR-E33.</w:t>
                  </w:r>
                </w:p>
              </w:tc>
            </w:tr>
            <w:tr w:rsidR="00C454A1" w:rsidRPr="00F8202F" w14:paraId="3AD05B12" w14:textId="77777777" w:rsidTr="001F3006">
              <w:trPr>
                <w:trHeight w:val="244"/>
              </w:trPr>
              <w:tc>
                <w:tcPr>
                  <w:tcW w:w="729" w:type="dxa"/>
                  <w:shd w:val="clear" w:color="auto" w:fill="D1D1D1" w:themeFill="background2" w:themeFillShade="E6"/>
                </w:tcPr>
                <w:p w14:paraId="221154A4" w14:textId="77777777" w:rsidR="00C454A1" w:rsidRPr="00F70A10" w:rsidRDefault="00C454A1" w:rsidP="00881E6A">
                  <w:pPr>
                    <w:ind w:right="272"/>
                    <w:textAlignment w:val="baseline"/>
                    <w:rPr>
                      <w:rFonts w:cs="Times New Roman"/>
                      <w:b/>
                      <w:bCs/>
                      <w:sz w:val="22"/>
                      <w:szCs w:val="22"/>
                    </w:rPr>
                  </w:pPr>
                  <w:r w:rsidRPr="00F70A10">
                    <w:rPr>
                      <w:rFonts w:cs="Times New Roman"/>
                      <w:b/>
                      <w:bCs/>
                      <w:sz w:val="22"/>
                      <w:szCs w:val="22"/>
                    </w:rPr>
                    <w:t>2024</w:t>
                  </w:r>
                </w:p>
              </w:tc>
              <w:tc>
                <w:tcPr>
                  <w:tcW w:w="8729" w:type="dxa"/>
                </w:tcPr>
                <w:p w14:paraId="0DE8E61B" w14:textId="77777777" w:rsidR="00C454A1" w:rsidRPr="00F70A10" w:rsidRDefault="00C454A1" w:rsidP="005F4A6F">
                  <w:pPr>
                    <w:pStyle w:val="Prrafodelista"/>
                    <w:numPr>
                      <w:ilvl w:val="0"/>
                      <w:numId w:val="64"/>
                    </w:numPr>
                    <w:ind w:left="321" w:right="272" w:hanging="283"/>
                    <w:textAlignment w:val="baseline"/>
                    <w:rPr>
                      <w:rFonts w:eastAsia="Calibri" w:cs="Times New Roman"/>
                      <w:sz w:val="22"/>
                      <w:szCs w:val="22"/>
                      <w:lang w:eastAsia="es-ES"/>
                    </w:rPr>
                  </w:pPr>
                  <w:r w:rsidRPr="00F70A10">
                    <w:rPr>
                      <w:rFonts w:cs="Times New Roman"/>
                      <w:sz w:val="22"/>
                      <w:szCs w:val="22"/>
                    </w:rPr>
                    <w:t>9 amenazas a miembros de la población civil efectuadas por el GAOR-E33.</w:t>
                  </w:r>
                </w:p>
              </w:tc>
            </w:tr>
            <w:tr w:rsidR="00C454A1" w:rsidRPr="00F8202F" w14:paraId="3DA4553F" w14:textId="77777777" w:rsidTr="001F3006">
              <w:trPr>
                <w:trHeight w:val="1164"/>
              </w:trPr>
              <w:tc>
                <w:tcPr>
                  <w:tcW w:w="729" w:type="dxa"/>
                  <w:shd w:val="clear" w:color="auto" w:fill="D1D1D1" w:themeFill="background2" w:themeFillShade="E6"/>
                </w:tcPr>
                <w:p w14:paraId="6642A365" w14:textId="77777777" w:rsidR="00C454A1" w:rsidRPr="00F70A10" w:rsidRDefault="00C454A1" w:rsidP="00881E6A">
                  <w:pPr>
                    <w:ind w:right="272"/>
                    <w:textAlignment w:val="baseline"/>
                    <w:rPr>
                      <w:rFonts w:cs="Times New Roman"/>
                      <w:b/>
                      <w:bCs/>
                      <w:sz w:val="22"/>
                      <w:szCs w:val="22"/>
                    </w:rPr>
                  </w:pPr>
                  <w:r w:rsidRPr="00F70A10">
                    <w:rPr>
                      <w:rFonts w:cs="Times New Roman"/>
                      <w:b/>
                      <w:bCs/>
                      <w:sz w:val="22"/>
                      <w:szCs w:val="22"/>
                    </w:rPr>
                    <w:t>2025</w:t>
                  </w:r>
                </w:p>
              </w:tc>
              <w:tc>
                <w:tcPr>
                  <w:tcW w:w="8729" w:type="dxa"/>
                </w:tcPr>
                <w:p w14:paraId="25833C13" w14:textId="77777777" w:rsidR="00C454A1" w:rsidRPr="00F70A10" w:rsidRDefault="00C454A1" w:rsidP="005F4A6F">
                  <w:pPr>
                    <w:pStyle w:val="Prrafodelista"/>
                    <w:numPr>
                      <w:ilvl w:val="0"/>
                      <w:numId w:val="64"/>
                    </w:numPr>
                    <w:ind w:left="321" w:right="272" w:hanging="283"/>
                    <w:textAlignment w:val="baseline"/>
                    <w:rPr>
                      <w:rFonts w:cs="Times New Roman"/>
                      <w:sz w:val="22"/>
                      <w:szCs w:val="22"/>
                    </w:rPr>
                  </w:pPr>
                  <w:r w:rsidRPr="00F70A10">
                    <w:rPr>
                      <w:rFonts w:cs="Times New Roman"/>
                      <w:sz w:val="22"/>
                      <w:szCs w:val="22"/>
                    </w:rPr>
                    <w:t>1 detonación controlado de artefacto explosivo del ELN.</w:t>
                  </w:r>
                </w:p>
                <w:p w14:paraId="36A46B56" w14:textId="77777777" w:rsidR="00C454A1" w:rsidRPr="00F70A10" w:rsidRDefault="00C454A1" w:rsidP="005F4A6F">
                  <w:pPr>
                    <w:pStyle w:val="Prrafodelista"/>
                    <w:numPr>
                      <w:ilvl w:val="0"/>
                      <w:numId w:val="64"/>
                    </w:numPr>
                    <w:ind w:left="321" w:right="272" w:hanging="283"/>
                    <w:textAlignment w:val="baseline"/>
                    <w:rPr>
                      <w:rFonts w:cs="Times New Roman"/>
                      <w:sz w:val="22"/>
                      <w:szCs w:val="22"/>
                    </w:rPr>
                  </w:pPr>
                  <w:r w:rsidRPr="00F70A10">
                    <w:rPr>
                      <w:rFonts w:cs="Times New Roman"/>
                      <w:sz w:val="22"/>
                      <w:szCs w:val="22"/>
                    </w:rPr>
                    <w:t>41 personas desplazadas establecidas en el casco urbano de su municipio.</w:t>
                  </w:r>
                </w:p>
                <w:p w14:paraId="5CB69230" w14:textId="77777777" w:rsidR="00C454A1" w:rsidRPr="00F70A10" w:rsidRDefault="00C454A1" w:rsidP="005F4A6F">
                  <w:pPr>
                    <w:pStyle w:val="Prrafodelista"/>
                    <w:numPr>
                      <w:ilvl w:val="0"/>
                      <w:numId w:val="64"/>
                    </w:numPr>
                    <w:ind w:left="321" w:right="272" w:hanging="283"/>
                    <w:textAlignment w:val="baseline"/>
                    <w:rPr>
                      <w:rFonts w:cs="Times New Roman"/>
                      <w:sz w:val="22"/>
                      <w:szCs w:val="22"/>
                    </w:rPr>
                  </w:pPr>
                  <w:r w:rsidRPr="00F70A10">
                    <w:rPr>
                      <w:rFonts w:cs="Times New Roman"/>
                      <w:sz w:val="22"/>
                      <w:szCs w:val="22"/>
                    </w:rPr>
                    <w:t>130 personas desplazadas establecidas en el casco urbano del municipio de Ocaña.</w:t>
                  </w:r>
                </w:p>
                <w:p w14:paraId="6313345F" w14:textId="77777777" w:rsidR="00C454A1" w:rsidRPr="00F70A10" w:rsidRDefault="00C454A1" w:rsidP="005F4A6F">
                  <w:pPr>
                    <w:pStyle w:val="Prrafodelista"/>
                    <w:numPr>
                      <w:ilvl w:val="0"/>
                      <w:numId w:val="64"/>
                    </w:numPr>
                    <w:ind w:left="321" w:right="272" w:hanging="283"/>
                    <w:textAlignment w:val="baseline"/>
                    <w:rPr>
                      <w:rFonts w:eastAsia="Calibri" w:cs="Times New Roman"/>
                      <w:sz w:val="22"/>
                      <w:szCs w:val="22"/>
                      <w:lang w:eastAsia="es-ES"/>
                    </w:rPr>
                  </w:pPr>
                  <w:r w:rsidRPr="00F70A10">
                    <w:rPr>
                      <w:rFonts w:cs="Times New Roman"/>
                      <w:sz w:val="22"/>
                      <w:szCs w:val="22"/>
                    </w:rPr>
                    <w:t>2 personas secuestradas por el ELN.</w:t>
                  </w:r>
                </w:p>
                <w:p w14:paraId="72CD00CB" w14:textId="77777777" w:rsidR="00C454A1" w:rsidRPr="00F70A10" w:rsidRDefault="00C454A1" w:rsidP="005F4A6F">
                  <w:pPr>
                    <w:pStyle w:val="Prrafodelista"/>
                    <w:numPr>
                      <w:ilvl w:val="0"/>
                      <w:numId w:val="64"/>
                    </w:numPr>
                    <w:ind w:left="321" w:right="272" w:hanging="283"/>
                    <w:textAlignment w:val="baseline"/>
                    <w:rPr>
                      <w:rFonts w:eastAsia="Calibri" w:cs="Times New Roman"/>
                      <w:sz w:val="22"/>
                      <w:szCs w:val="22"/>
                      <w:lang w:eastAsia="es-ES"/>
                    </w:rPr>
                  </w:pPr>
                  <w:r w:rsidRPr="00F70A10">
                    <w:rPr>
                      <w:rFonts w:cs="Times New Roman"/>
                      <w:sz w:val="22"/>
                      <w:szCs w:val="22"/>
                    </w:rPr>
                    <w:t>1 civil asesinado por el ELN o el GAOR-E33.</w:t>
                  </w:r>
                </w:p>
              </w:tc>
            </w:tr>
          </w:tbl>
          <w:p w14:paraId="64672222" w14:textId="77777777" w:rsidR="00C454A1" w:rsidRDefault="00C454A1" w:rsidP="00881E6A">
            <w:pPr>
              <w:ind w:right="272"/>
              <w:textAlignment w:val="baseline"/>
              <w:rPr>
                <w:rFonts w:cs="Times New Roman"/>
              </w:rPr>
            </w:pPr>
          </w:p>
          <w:p w14:paraId="639560CB" w14:textId="77777777" w:rsidR="00C454A1" w:rsidRPr="00DA6C7F" w:rsidRDefault="00C454A1" w:rsidP="00881E6A">
            <w:pPr>
              <w:ind w:right="272"/>
              <w:textAlignment w:val="baseline"/>
              <w:rPr>
                <w:rFonts w:cs="Times New Roman"/>
              </w:rPr>
            </w:pPr>
            <w:r w:rsidRPr="00DA6C7F">
              <w:rPr>
                <w:rFonts w:cs="Times New Roman"/>
              </w:rPr>
              <w:t xml:space="preserve">Consideró que en el periodo comprendido entre los años 2022 a 2025 </w:t>
            </w:r>
            <w:r w:rsidRPr="00DA6C7F">
              <w:rPr>
                <w:rFonts w:cs="Times New Roman"/>
                <w:i/>
                <w:iCs/>
              </w:rPr>
              <w:t>“</w:t>
            </w:r>
            <w:r w:rsidRPr="00DA6C7F">
              <w:rPr>
                <w:rFonts w:cs="Times New Roman"/>
              </w:rPr>
              <w:t>se encuentra como elemento relevante la disputa entre el ELN y la DISIDENCIAS DE LAS FARC, ambos con presencia histórica generalizada en éste [San Calixto] y otros municipios de la zona”</w:t>
            </w:r>
            <w:r w:rsidRPr="00DA6C7F">
              <w:rPr>
                <w:rStyle w:val="Refdenotaalpie"/>
                <w:rFonts w:cs="Times New Roman"/>
                <w:i/>
                <w:iCs/>
              </w:rPr>
              <w:footnoteReference w:id="805"/>
            </w:r>
            <w:r w:rsidRPr="00DA6C7F">
              <w:rPr>
                <w:rFonts w:cs="Times New Roman"/>
              </w:rPr>
              <w:t xml:space="preserve">. Señaló que ha adoptado, entre otras, las siguientes medidas para enfrentar las alteraciones del orden público: </w:t>
            </w:r>
            <w:r>
              <w:rPr>
                <w:rFonts w:cs="Times New Roman"/>
              </w:rPr>
              <w:t>(</w:t>
            </w:r>
            <w:r w:rsidRPr="00DA6C7F">
              <w:rPr>
                <w:rFonts w:cs="Times New Roman"/>
                <w:i/>
                <w:iCs/>
              </w:rPr>
              <w:t>i)</w:t>
            </w:r>
            <w:r w:rsidRPr="00DA6C7F">
              <w:rPr>
                <w:rFonts w:cs="Times New Roman"/>
              </w:rPr>
              <w:t xml:space="preserve"> implementación de espacios de coordinación intermunicipal para promover y proteger los DDHH; </w:t>
            </w:r>
            <w:r>
              <w:rPr>
                <w:rFonts w:cs="Times New Roman"/>
              </w:rPr>
              <w:t>(</w:t>
            </w:r>
            <w:r w:rsidRPr="00DA6C7F">
              <w:rPr>
                <w:rFonts w:cs="Times New Roman"/>
                <w:i/>
                <w:iCs/>
              </w:rPr>
              <w:t>ii)</w:t>
            </w:r>
            <w:r w:rsidRPr="00DA6C7F">
              <w:rPr>
                <w:rFonts w:cs="Times New Roman"/>
              </w:rPr>
              <w:t xml:space="preserve"> conformación de Equipos de Acción Inmediata para atender casos de reclutamiento de niños, niñas y adolescentes (NNA); y </w:t>
            </w:r>
            <w:r>
              <w:rPr>
                <w:rFonts w:cs="Times New Roman"/>
              </w:rPr>
              <w:t>(</w:t>
            </w:r>
            <w:r w:rsidRPr="00DA6C7F">
              <w:rPr>
                <w:rFonts w:cs="Times New Roman"/>
                <w:i/>
                <w:iCs/>
              </w:rPr>
              <w:t>iii)</w:t>
            </w:r>
            <w:r w:rsidRPr="00DA6C7F">
              <w:rPr>
                <w:rFonts w:cs="Times New Roman"/>
              </w:rPr>
              <w:t xml:space="preserve"> difusión de piezas comunicativas y cápsulas informativas sobre comportamientos seguros, entre otras acciones</w:t>
            </w:r>
            <w:r w:rsidRPr="00DA6C7F">
              <w:rPr>
                <w:rStyle w:val="Refdenotaalpie"/>
                <w:rFonts w:cs="Times New Roman"/>
              </w:rPr>
              <w:footnoteReference w:id="806"/>
            </w:r>
            <w:r w:rsidRPr="00DA6C7F">
              <w:rPr>
                <w:rFonts w:cs="Times New Roman"/>
              </w:rPr>
              <w:t xml:space="preserve">. Indicó que ha advertido al Gobierno </w:t>
            </w:r>
            <w:r>
              <w:rPr>
                <w:rFonts w:cs="Times New Roman"/>
              </w:rPr>
              <w:t>n</w:t>
            </w:r>
            <w:r w:rsidRPr="00DA6C7F">
              <w:rPr>
                <w:rFonts w:cs="Times New Roman"/>
              </w:rPr>
              <w:t>acional sobre la situación de orden público a través de su participación en el Subcomité de Prevención y Garantías de No Repetición, en consejos de seguridad y en comités de seguimiento electoral</w:t>
            </w:r>
            <w:r w:rsidRPr="00DA6C7F">
              <w:rPr>
                <w:rStyle w:val="Refdenotaalpie"/>
                <w:rFonts w:cs="Times New Roman"/>
              </w:rPr>
              <w:footnoteReference w:id="807"/>
            </w:r>
            <w:r w:rsidRPr="00DA6C7F">
              <w:rPr>
                <w:rFonts w:cs="Times New Roman"/>
              </w:rPr>
              <w:t>. Sin embargo, señaló que pesar de ello, ha habido “baja respuesta institucional en materia de prevención”</w:t>
            </w:r>
            <w:r w:rsidRPr="00DA6C7F">
              <w:rPr>
                <w:rStyle w:val="Refdenotaalpie"/>
                <w:rFonts w:cs="Times New Roman"/>
                <w:i/>
                <w:iCs/>
              </w:rPr>
              <w:footnoteReference w:id="808"/>
            </w:r>
            <w:r w:rsidRPr="00DA6C7F">
              <w:rPr>
                <w:rFonts w:cs="Times New Roman"/>
              </w:rPr>
              <w:t xml:space="preserve">. </w:t>
            </w:r>
          </w:p>
          <w:p w14:paraId="74AF41E8" w14:textId="77777777" w:rsidR="00C454A1" w:rsidRPr="00DA6C7F" w:rsidRDefault="00C454A1" w:rsidP="00881E6A">
            <w:pPr>
              <w:ind w:right="272"/>
              <w:textAlignment w:val="baseline"/>
              <w:rPr>
                <w:rFonts w:cs="Times New Roman"/>
              </w:rPr>
            </w:pPr>
          </w:p>
          <w:p w14:paraId="02804C48" w14:textId="77777777" w:rsidR="00C454A1" w:rsidRPr="00DA6C7F" w:rsidRDefault="00C454A1" w:rsidP="00881E6A">
            <w:pPr>
              <w:ind w:right="272"/>
              <w:rPr>
                <w:rFonts w:cs="Times New Roman"/>
              </w:rPr>
            </w:pPr>
            <w:r w:rsidRPr="00DA6C7F">
              <w:rPr>
                <w:rFonts w:cs="Times New Roman"/>
                <w:b/>
                <w:bCs/>
                <w:i/>
                <w:iCs/>
              </w:rPr>
              <w:t>Presupuesto de suficiencia</w:t>
            </w:r>
            <w:r w:rsidRPr="00DA6C7F">
              <w:rPr>
                <w:rFonts w:cs="Times New Roman"/>
                <w:b/>
                <w:bCs/>
              </w:rPr>
              <w:t xml:space="preserve">. </w:t>
            </w:r>
            <w:r w:rsidRPr="00DA6C7F">
              <w:rPr>
                <w:rFonts w:cs="Times New Roman"/>
              </w:rPr>
              <w:t xml:space="preserve">Informó que, durante las últimas tres vigencias fiscales, no se ha presentado ninguna solicitud de incremento presupuestal al Gobierno </w:t>
            </w:r>
            <w:r>
              <w:rPr>
                <w:rFonts w:cs="Times New Roman"/>
              </w:rPr>
              <w:t>n</w:t>
            </w:r>
            <w:r w:rsidRPr="00DA6C7F">
              <w:rPr>
                <w:rFonts w:cs="Times New Roman"/>
              </w:rPr>
              <w:t>acional, a través del Sistema General de Participaciones o el Sistema General de Regalías, para restablecer el orden público y garantizar la atención humanitaria de la población desplazada</w:t>
            </w:r>
            <w:r w:rsidRPr="00DA6C7F">
              <w:rPr>
                <w:rStyle w:val="Refdenotaalpie"/>
                <w:rFonts w:cs="Times New Roman"/>
              </w:rPr>
              <w:footnoteReference w:id="809"/>
            </w:r>
            <w:r w:rsidRPr="00DA6C7F">
              <w:rPr>
                <w:rFonts w:cs="Times New Roman"/>
              </w:rPr>
              <w:t>.</w:t>
            </w:r>
          </w:p>
        </w:tc>
      </w:tr>
      <w:tr w:rsidR="00C454A1" w:rsidRPr="00F8202F" w14:paraId="3E589E3D" w14:textId="77777777" w:rsidTr="005F4A6F">
        <w:trPr>
          <w:trHeight w:val="300"/>
        </w:trPr>
        <w:tc>
          <w:tcPr>
            <w:tcW w:w="642" w:type="pct"/>
          </w:tcPr>
          <w:p w14:paraId="5446942D" w14:textId="77777777" w:rsidR="00C454A1" w:rsidRPr="00DA6C7F" w:rsidRDefault="00C454A1" w:rsidP="00881E6A">
            <w:pPr>
              <w:spacing w:before="360" w:after="360"/>
              <w:ind w:right="272"/>
              <w:jc w:val="center"/>
              <w:rPr>
                <w:rFonts w:cs="Times New Roman"/>
                <w:b/>
              </w:rPr>
            </w:pPr>
            <w:r w:rsidRPr="00DA6C7F">
              <w:rPr>
                <w:rFonts w:cs="Times New Roman"/>
                <w:b/>
                <w:bCs/>
              </w:rPr>
              <w:lastRenderedPageBreak/>
              <w:t xml:space="preserve">Alcalde del </w:t>
            </w:r>
            <w:r>
              <w:rPr>
                <w:rFonts w:cs="Times New Roman"/>
                <w:b/>
                <w:bCs/>
              </w:rPr>
              <w:t>M</w:t>
            </w:r>
            <w:r w:rsidRPr="00DA6C7F">
              <w:rPr>
                <w:rFonts w:cs="Times New Roman"/>
                <w:b/>
                <w:bCs/>
              </w:rPr>
              <w:t>unicipio de Hacarí</w:t>
            </w:r>
            <w:r w:rsidRPr="00DA6C7F">
              <w:rPr>
                <w:rFonts w:cs="Times New Roman"/>
                <w:b/>
                <w:bCs/>
                <w:vertAlign w:val="superscript"/>
              </w:rPr>
              <w:footnoteReference w:id="810"/>
            </w:r>
          </w:p>
        </w:tc>
        <w:tc>
          <w:tcPr>
            <w:tcW w:w="4358" w:type="pct"/>
          </w:tcPr>
          <w:p w14:paraId="32AF70A5" w14:textId="77777777" w:rsidR="00C454A1" w:rsidRPr="00DA6C7F" w:rsidRDefault="00C454A1" w:rsidP="00881E6A">
            <w:pPr>
              <w:ind w:right="272"/>
              <w:textAlignment w:val="baseline"/>
              <w:rPr>
                <w:rFonts w:eastAsia="Calibri" w:cs="Times New Roman"/>
                <w:sz w:val="22"/>
                <w:szCs w:val="22"/>
              </w:rPr>
            </w:pPr>
            <w:r>
              <w:rPr>
                <w:rFonts w:eastAsia="Calibri" w:cs="Times New Roman"/>
                <w:sz w:val="22"/>
                <w:szCs w:val="22"/>
              </w:rPr>
              <w:t xml:space="preserve">Remitió </w:t>
            </w:r>
            <w:r w:rsidRPr="00DA6C7F">
              <w:rPr>
                <w:rFonts w:eastAsia="Calibri" w:cs="Times New Roman"/>
                <w:sz w:val="22"/>
                <w:szCs w:val="22"/>
              </w:rPr>
              <w:t>la siguiente información en relación con las preguntas planteadas en el auto de pruebas respecto de cada uno de los presupuestos:</w:t>
            </w:r>
          </w:p>
          <w:p w14:paraId="0F812BCF" w14:textId="77777777" w:rsidR="00C454A1" w:rsidRPr="00DA6C7F" w:rsidRDefault="00C454A1" w:rsidP="00881E6A">
            <w:pPr>
              <w:ind w:right="272"/>
              <w:textAlignment w:val="baseline"/>
              <w:rPr>
                <w:rFonts w:eastAsia="Calibri" w:cs="Times New Roman"/>
                <w:b/>
                <w:bCs/>
                <w:i/>
                <w:iCs/>
                <w:sz w:val="22"/>
                <w:szCs w:val="22"/>
              </w:rPr>
            </w:pPr>
          </w:p>
          <w:p w14:paraId="697A4AB6" w14:textId="77777777" w:rsidR="00C454A1" w:rsidRPr="00DA6C7F" w:rsidRDefault="00C454A1" w:rsidP="00881E6A">
            <w:pPr>
              <w:ind w:right="272"/>
              <w:textAlignment w:val="baseline"/>
              <w:rPr>
                <w:rFonts w:eastAsia="Calibri" w:cs="Times New Roman"/>
                <w:sz w:val="22"/>
                <w:szCs w:val="22"/>
              </w:rPr>
            </w:pPr>
            <w:r w:rsidRPr="00DA6C7F">
              <w:rPr>
                <w:rFonts w:eastAsia="Calibri" w:cs="Times New Roman"/>
                <w:b/>
                <w:bCs/>
                <w:i/>
                <w:iCs/>
                <w:sz w:val="22"/>
                <w:szCs w:val="22"/>
              </w:rPr>
              <w:t>Presupuesto Fáctico</w:t>
            </w:r>
            <w:r w:rsidRPr="00DA6C7F">
              <w:rPr>
                <w:rFonts w:eastAsia="Calibri" w:cs="Times New Roman"/>
                <w:sz w:val="22"/>
                <w:szCs w:val="22"/>
              </w:rPr>
              <w:t>. Manifestó que durante el periodo comprendido entre el año 2022 a lo corrido de 2025, en su municipio se han presentado homicidios, desplazamientos masivos forzados, confinamientos temporales, restricciones a la movilidad de algunos miembros en las distintas veredas y amenazas a lideres sociales y firmantes de Paz</w:t>
            </w:r>
            <w:r w:rsidRPr="00DA6C7F">
              <w:rPr>
                <w:rFonts w:eastAsia="Calibri" w:cs="Times New Roman"/>
                <w:sz w:val="22"/>
                <w:szCs w:val="22"/>
                <w:vertAlign w:val="superscript"/>
              </w:rPr>
              <w:footnoteReference w:id="811"/>
            </w:r>
            <w:r w:rsidRPr="00DA6C7F">
              <w:rPr>
                <w:rFonts w:eastAsia="Calibri" w:cs="Times New Roman"/>
                <w:sz w:val="22"/>
                <w:szCs w:val="22"/>
              </w:rPr>
              <w:t>. La siguiente gráfica</w:t>
            </w:r>
            <w:r w:rsidRPr="00DA6C7F">
              <w:rPr>
                <w:rFonts w:eastAsia="Calibri" w:cs="Times New Roman"/>
                <w:sz w:val="22"/>
                <w:szCs w:val="22"/>
                <w:vertAlign w:val="superscript"/>
              </w:rPr>
              <w:footnoteReference w:id="812"/>
            </w:r>
            <w:r w:rsidRPr="00DA6C7F">
              <w:rPr>
                <w:rFonts w:eastAsia="Calibri" w:cs="Times New Roman"/>
                <w:sz w:val="22"/>
                <w:szCs w:val="22"/>
              </w:rPr>
              <w:t xml:space="preserve"> expone los datos estadísticos de los “hechos identificados como violaciones a los derechos a la vida, integridad, y seguridad personal”</w:t>
            </w:r>
            <w:r w:rsidRPr="00DA6C7F">
              <w:rPr>
                <w:rFonts w:eastAsia="Calibri" w:cs="Times New Roman"/>
                <w:sz w:val="22"/>
                <w:szCs w:val="22"/>
                <w:vertAlign w:val="superscript"/>
              </w:rPr>
              <w:footnoteReference w:id="813"/>
            </w:r>
            <w:r w:rsidRPr="00DA6C7F">
              <w:rPr>
                <w:rFonts w:eastAsia="Calibri" w:cs="Times New Roman"/>
                <w:sz w:val="22"/>
                <w:szCs w:val="22"/>
              </w:rPr>
              <w:t xml:space="preserve"> acaecidos entre los periodos de 2022 a 2024.</w:t>
            </w:r>
          </w:p>
          <w:p w14:paraId="13910FE5" w14:textId="77777777" w:rsidR="00C454A1" w:rsidRDefault="00C454A1" w:rsidP="00881E6A">
            <w:pPr>
              <w:ind w:right="272"/>
              <w:textAlignment w:val="baseline"/>
              <w:rPr>
                <w:rFonts w:eastAsia="Calibri" w:cs="Times New Roman"/>
                <w:sz w:val="22"/>
                <w:szCs w:val="22"/>
              </w:rPr>
            </w:pPr>
          </w:p>
          <w:p w14:paraId="3F1B8D9F" w14:textId="77777777" w:rsidR="00C454A1" w:rsidRPr="001D0B0E" w:rsidRDefault="00C454A1" w:rsidP="00881E6A">
            <w:pPr>
              <w:ind w:right="272"/>
              <w:jc w:val="center"/>
              <w:textAlignment w:val="baseline"/>
              <w:rPr>
                <w:rFonts w:eastAsia="Calibri" w:cs="Times New Roman"/>
                <w:i/>
                <w:iCs/>
                <w:sz w:val="20"/>
                <w:szCs w:val="20"/>
              </w:rPr>
            </w:pPr>
            <w:r w:rsidRPr="001D0B0E">
              <w:rPr>
                <w:rFonts w:eastAsia="Calibri" w:cs="Times New Roman"/>
                <w:i/>
                <w:iCs/>
                <w:sz w:val="20"/>
                <w:szCs w:val="20"/>
              </w:rPr>
              <w:t>Tabla 42: datos sobre ataques contra la población civil reportados por la alcaldía de Hacarí</w:t>
            </w:r>
          </w:p>
          <w:tbl>
            <w:tblPr>
              <w:tblStyle w:val="Tablaconcuadrcula"/>
              <w:tblW w:w="9364" w:type="dxa"/>
              <w:jc w:val="center"/>
              <w:tblLook w:val="04A0" w:firstRow="1" w:lastRow="0" w:firstColumn="1" w:lastColumn="0" w:noHBand="0" w:noVBand="1"/>
            </w:tblPr>
            <w:tblGrid>
              <w:gridCol w:w="6104"/>
              <w:gridCol w:w="1134"/>
              <w:gridCol w:w="1134"/>
              <w:gridCol w:w="992"/>
            </w:tblGrid>
            <w:tr w:rsidR="00C454A1" w:rsidRPr="001D0B0E" w14:paraId="13F2C5D9" w14:textId="77777777" w:rsidTr="001F3006">
              <w:trPr>
                <w:trHeight w:val="190"/>
                <w:jc w:val="center"/>
              </w:trPr>
              <w:tc>
                <w:tcPr>
                  <w:tcW w:w="6104" w:type="dxa"/>
                  <w:shd w:val="clear" w:color="auto" w:fill="D1D1D1" w:themeFill="background2" w:themeFillShade="E6"/>
                </w:tcPr>
                <w:p w14:paraId="1F14E6E7" w14:textId="77777777" w:rsidR="00C454A1" w:rsidRPr="001926F3" w:rsidRDefault="00C454A1" w:rsidP="00881E6A">
                  <w:pPr>
                    <w:ind w:right="272"/>
                    <w:textAlignment w:val="baseline"/>
                    <w:rPr>
                      <w:rFonts w:cs="Times New Roman"/>
                      <w:sz w:val="22"/>
                      <w:szCs w:val="22"/>
                    </w:rPr>
                  </w:pPr>
                </w:p>
              </w:tc>
              <w:tc>
                <w:tcPr>
                  <w:tcW w:w="1134" w:type="dxa"/>
                  <w:shd w:val="clear" w:color="auto" w:fill="D1D1D1" w:themeFill="background2" w:themeFillShade="E6"/>
                </w:tcPr>
                <w:p w14:paraId="7FEAF319" w14:textId="77777777" w:rsidR="00C454A1" w:rsidRPr="001926F3" w:rsidRDefault="00C454A1" w:rsidP="00881E6A">
                  <w:pPr>
                    <w:ind w:right="272"/>
                    <w:textAlignment w:val="baseline"/>
                    <w:rPr>
                      <w:rFonts w:cs="Times New Roman"/>
                      <w:b/>
                      <w:sz w:val="22"/>
                      <w:szCs w:val="22"/>
                    </w:rPr>
                  </w:pPr>
                  <w:r w:rsidRPr="001926F3">
                    <w:rPr>
                      <w:rFonts w:cs="Times New Roman"/>
                      <w:b/>
                      <w:sz w:val="22"/>
                      <w:szCs w:val="22"/>
                    </w:rPr>
                    <w:t>2022</w:t>
                  </w:r>
                </w:p>
              </w:tc>
              <w:tc>
                <w:tcPr>
                  <w:tcW w:w="1134" w:type="dxa"/>
                  <w:shd w:val="clear" w:color="auto" w:fill="D1D1D1" w:themeFill="background2" w:themeFillShade="E6"/>
                </w:tcPr>
                <w:p w14:paraId="737CF559" w14:textId="77777777" w:rsidR="00C454A1" w:rsidRPr="001926F3" w:rsidRDefault="00C454A1" w:rsidP="00881E6A">
                  <w:pPr>
                    <w:ind w:right="272"/>
                    <w:textAlignment w:val="baseline"/>
                    <w:rPr>
                      <w:rFonts w:cs="Times New Roman"/>
                      <w:b/>
                      <w:sz w:val="22"/>
                      <w:szCs w:val="22"/>
                    </w:rPr>
                  </w:pPr>
                  <w:r w:rsidRPr="001926F3">
                    <w:rPr>
                      <w:rFonts w:cs="Times New Roman"/>
                      <w:b/>
                      <w:sz w:val="22"/>
                      <w:szCs w:val="22"/>
                    </w:rPr>
                    <w:t>2023</w:t>
                  </w:r>
                </w:p>
              </w:tc>
              <w:tc>
                <w:tcPr>
                  <w:tcW w:w="992" w:type="dxa"/>
                  <w:shd w:val="clear" w:color="auto" w:fill="D1D1D1" w:themeFill="background2" w:themeFillShade="E6"/>
                </w:tcPr>
                <w:p w14:paraId="1BDD4D7F" w14:textId="77777777" w:rsidR="00C454A1" w:rsidRPr="001926F3" w:rsidRDefault="00C454A1" w:rsidP="00881E6A">
                  <w:pPr>
                    <w:ind w:right="272"/>
                    <w:textAlignment w:val="baseline"/>
                    <w:rPr>
                      <w:rFonts w:cs="Times New Roman"/>
                      <w:b/>
                      <w:sz w:val="22"/>
                      <w:szCs w:val="22"/>
                    </w:rPr>
                  </w:pPr>
                  <w:r w:rsidRPr="001926F3">
                    <w:rPr>
                      <w:rFonts w:cs="Times New Roman"/>
                      <w:b/>
                      <w:sz w:val="22"/>
                      <w:szCs w:val="22"/>
                    </w:rPr>
                    <w:t>2024</w:t>
                  </w:r>
                </w:p>
              </w:tc>
            </w:tr>
            <w:tr w:rsidR="00C454A1" w:rsidRPr="001926F3" w14:paraId="3D4692D6" w14:textId="77777777" w:rsidTr="001F3006">
              <w:trPr>
                <w:trHeight w:val="260"/>
                <w:jc w:val="center"/>
              </w:trPr>
              <w:tc>
                <w:tcPr>
                  <w:tcW w:w="6104" w:type="dxa"/>
                </w:tcPr>
                <w:p w14:paraId="639CDEF6"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 xml:space="preserve">Actos terroristas/ Atentados/ Combates/ Hostigamientos </w:t>
                  </w:r>
                </w:p>
              </w:tc>
              <w:tc>
                <w:tcPr>
                  <w:tcW w:w="1134" w:type="dxa"/>
                </w:tcPr>
                <w:p w14:paraId="14226800"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18</w:t>
                  </w:r>
                </w:p>
              </w:tc>
              <w:tc>
                <w:tcPr>
                  <w:tcW w:w="1134" w:type="dxa"/>
                </w:tcPr>
                <w:p w14:paraId="06FC794E"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3</w:t>
                  </w:r>
                </w:p>
              </w:tc>
              <w:tc>
                <w:tcPr>
                  <w:tcW w:w="992" w:type="dxa"/>
                </w:tcPr>
                <w:p w14:paraId="1EC66CBF"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0</w:t>
                  </w:r>
                </w:p>
              </w:tc>
            </w:tr>
            <w:tr w:rsidR="00C454A1" w:rsidRPr="00F8202F" w14:paraId="1CFA5DA5" w14:textId="77777777" w:rsidTr="001F3006">
              <w:trPr>
                <w:trHeight w:val="518"/>
                <w:jc w:val="center"/>
              </w:trPr>
              <w:tc>
                <w:tcPr>
                  <w:tcW w:w="6104" w:type="dxa"/>
                </w:tcPr>
                <w:p w14:paraId="577BDF1A"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 xml:space="preserve">Minas antipersonal/ Municiones sin explotar/ Artefacto explosivo improvisado </w:t>
                  </w:r>
                </w:p>
              </w:tc>
              <w:tc>
                <w:tcPr>
                  <w:tcW w:w="1134" w:type="dxa"/>
                </w:tcPr>
                <w:p w14:paraId="462ACD99"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7</w:t>
                  </w:r>
                </w:p>
              </w:tc>
              <w:tc>
                <w:tcPr>
                  <w:tcW w:w="1134" w:type="dxa"/>
                </w:tcPr>
                <w:p w14:paraId="731E48A9"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12</w:t>
                  </w:r>
                </w:p>
              </w:tc>
              <w:tc>
                <w:tcPr>
                  <w:tcW w:w="992" w:type="dxa"/>
                </w:tcPr>
                <w:p w14:paraId="6BD672AE"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7</w:t>
                  </w:r>
                </w:p>
              </w:tc>
            </w:tr>
            <w:tr w:rsidR="00C454A1" w:rsidRPr="00F8202F" w14:paraId="6AA9EF2C" w14:textId="77777777" w:rsidTr="001F3006">
              <w:trPr>
                <w:trHeight w:val="177"/>
                <w:jc w:val="center"/>
              </w:trPr>
              <w:tc>
                <w:tcPr>
                  <w:tcW w:w="6104" w:type="dxa"/>
                </w:tcPr>
                <w:p w14:paraId="4BE75417"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 xml:space="preserve">Homicidios </w:t>
                  </w:r>
                </w:p>
              </w:tc>
              <w:tc>
                <w:tcPr>
                  <w:tcW w:w="1134" w:type="dxa"/>
                </w:tcPr>
                <w:p w14:paraId="0491C555"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2</w:t>
                  </w:r>
                </w:p>
              </w:tc>
              <w:tc>
                <w:tcPr>
                  <w:tcW w:w="1134" w:type="dxa"/>
                </w:tcPr>
                <w:p w14:paraId="674C1296"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1</w:t>
                  </w:r>
                </w:p>
              </w:tc>
              <w:tc>
                <w:tcPr>
                  <w:tcW w:w="992" w:type="dxa"/>
                </w:tcPr>
                <w:p w14:paraId="6C71F3FC"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0</w:t>
                  </w:r>
                </w:p>
              </w:tc>
            </w:tr>
            <w:tr w:rsidR="00C454A1" w:rsidRPr="00F8202F" w14:paraId="7ECD928D" w14:textId="77777777" w:rsidTr="001F3006">
              <w:trPr>
                <w:trHeight w:val="355"/>
                <w:jc w:val="center"/>
              </w:trPr>
              <w:tc>
                <w:tcPr>
                  <w:tcW w:w="6104" w:type="dxa"/>
                </w:tcPr>
                <w:p w14:paraId="14496917"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 xml:space="preserve">Destrucción de cultivos ilícitos </w:t>
                  </w:r>
                </w:p>
              </w:tc>
              <w:tc>
                <w:tcPr>
                  <w:tcW w:w="1134" w:type="dxa"/>
                </w:tcPr>
                <w:p w14:paraId="5F5165BB"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0</w:t>
                  </w:r>
                </w:p>
              </w:tc>
              <w:tc>
                <w:tcPr>
                  <w:tcW w:w="1134" w:type="dxa"/>
                </w:tcPr>
                <w:p w14:paraId="50B8909F"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3</w:t>
                  </w:r>
                </w:p>
              </w:tc>
              <w:tc>
                <w:tcPr>
                  <w:tcW w:w="992" w:type="dxa"/>
                </w:tcPr>
                <w:p w14:paraId="53910DDC" w14:textId="77777777" w:rsidR="00C454A1" w:rsidRPr="001926F3" w:rsidRDefault="00C454A1" w:rsidP="00881E6A">
                  <w:pPr>
                    <w:ind w:right="272"/>
                    <w:textAlignment w:val="baseline"/>
                    <w:rPr>
                      <w:rFonts w:cs="Times New Roman"/>
                      <w:sz w:val="22"/>
                      <w:szCs w:val="22"/>
                    </w:rPr>
                  </w:pPr>
                  <w:r w:rsidRPr="001926F3">
                    <w:rPr>
                      <w:rFonts w:cs="Times New Roman"/>
                      <w:sz w:val="22"/>
                      <w:szCs w:val="22"/>
                    </w:rPr>
                    <w:t>0</w:t>
                  </w:r>
                </w:p>
              </w:tc>
            </w:tr>
          </w:tbl>
          <w:p w14:paraId="2F7C1F10" w14:textId="77777777" w:rsidR="00C454A1" w:rsidRDefault="00C454A1" w:rsidP="00881E6A">
            <w:pPr>
              <w:ind w:right="272"/>
              <w:rPr>
                <w:rFonts w:eastAsia="Calibri" w:cs="Times New Roman"/>
                <w:sz w:val="22"/>
                <w:szCs w:val="22"/>
              </w:rPr>
            </w:pPr>
          </w:p>
          <w:p w14:paraId="47C07BC2" w14:textId="77777777" w:rsidR="00C454A1" w:rsidRPr="00DA6C7F" w:rsidRDefault="00C454A1" w:rsidP="00881E6A">
            <w:pPr>
              <w:ind w:right="272"/>
              <w:rPr>
                <w:rFonts w:cs="Times New Roman"/>
                <w:lang w:val="es-ES"/>
              </w:rPr>
            </w:pPr>
            <w:r w:rsidRPr="00DA6C7F">
              <w:rPr>
                <w:rFonts w:cs="Times New Roman"/>
                <w:lang w:val="es-ES"/>
              </w:rPr>
              <w:t xml:space="preserve">Con respecto a lo corrido del año 2025, expuso que en su municipio no se han presentado hostigamientos ni enfrentamientos entre disidencias de las FARC </w:t>
            </w:r>
            <w:r>
              <w:rPr>
                <w:rFonts w:cs="Times New Roman"/>
                <w:lang w:val="es-ES"/>
              </w:rPr>
              <w:t xml:space="preserve">y el </w:t>
            </w:r>
            <w:r w:rsidRPr="00DA6C7F">
              <w:rPr>
                <w:rFonts w:cs="Times New Roman"/>
                <w:lang w:val="es-ES"/>
              </w:rPr>
              <w:t xml:space="preserve">ELN, pero </w:t>
            </w:r>
            <w:r>
              <w:rPr>
                <w:rFonts w:cs="Times New Roman"/>
                <w:lang w:val="es-ES"/>
              </w:rPr>
              <w:t xml:space="preserve">este último </w:t>
            </w:r>
            <w:r w:rsidRPr="00DA6C7F">
              <w:rPr>
                <w:rFonts w:cs="Times New Roman"/>
                <w:lang w:val="es-ES"/>
              </w:rPr>
              <w:t xml:space="preserve">si </w:t>
            </w:r>
            <w:r>
              <w:rPr>
                <w:rFonts w:cs="Times New Roman"/>
                <w:lang w:val="es-ES"/>
              </w:rPr>
              <w:t>ha cometido</w:t>
            </w:r>
            <w:r w:rsidRPr="00DA6C7F">
              <w:rPr>
                <w:rFonts w:cs="Times New Roman"/>
                <w:lang w:val="es-ES"/>
              </w:rPr>
              <w:t xml:space="preserve"> </w:t>
            </w:r>
            <w:r>
              <w:rPr>
                <w:rFonts w:cs="Times New Roman"/>
                <w:lang w:val="es-ES"/>
              </w:rPr>
              <w:t>“</w:t>
            </w:r>
            <w:r w:rsidRPr="00DA6C7F">
              <w:rPr>
                <w:rFonts w:cs="Times New Roman"/>
                <w:lang w:val="es-ES"/>
              </w:rPr>
              <w:t>atentados selectivos y persecución a la población civil y a los supuesto colaboradores y/o militantes de las disidencias de las FARC”</w:t>
            </w:r>
            <w:r>
              <w:rPr>
                <w:rFonts w:cs="Times New Roman"/>
                <w:lang w:val="es-ES"/>
              </w:rPr>
              <w:t>. S</w:t>
            </w:r>
            <w:r w:rsidRPr="00DA6C7F">
              <w:rPr>
                <w:rFonts w:cs="Times New Roman"/>
                <w:lang w:val="es-ES"/>
              </w:rPr>
              <w:t xml:space="preserve">in embargo, no aportó datos concretos al respecto. Por otro lado, señaló que, en lo corrido del año 2025 hasta la fecha de radicación de la intervención, el municipio recibió 242 personas en condición de desplazamiento provenientes de las </w:t>
            </w:r>
            <w:r w:rsidRPr="00DA6C7F">
              <w:rPr>
                <w:rFonts w:cs="Times New Roman"/>
                <w:lang w:val="es-ES"/>
              </w:rPr>
              <w:lastRenderedPageBreak/>
              <w:t>veredas Castrillón, La Laguna, El Cobre, San José del Tarra, Mesitas y la Esperanza. Señalo que algunas de las personas desplazadas habían retornado a sus hogares y otros se desplazaron hacia otras regiones del país.</w:t>
            </w:r>
          </w:p>
        </w:tc>
      </w:tr>
      <w:tr w:rsidR="00C454A1" w:rsidRPr="00F8202F" w14:paraId="1DA02208" w14:textId="77777777" w:rsidTr="005F4A6F">
        <w:trPr>
          <w:trHeight w:val="300"/>
        </w:trPr>
        <w:tc>
          <w:tcPr>
            <w:tcW w:w="642" w:type="pct"/>
          </w:tcPr>
          <w:p w14:paraId="68BB5F0D" w14:textId="77777777" w:rsidR="00C454A1" w:rsidRPr="00DA6C7F" w:rsidRDefault="00C454A1" w:rsidP="00881E6A">
            <w:pPr>
              <w:spacing w:before="840" w:after="840" w:line="259" w:lineRule="auto"/>
              <w:ind w:right="272"/>
              <w:contextualSpacing/>
              <w:jc w:val="center"/>
              <w:textAlignment w:val="baseline"/>
              <w:rPr>
                <w:rFonts w:eastAsia="Calibri" w:cs="Times New Roman"/>
                <w:b/>
                <w:bCs/>
                <w:iCs/>
              </w:rPr>
            </w:pPr>
          </w:p>
          <w:p w14:paraId="773A6E34" w14:textId="77777777" w:rsidR="00C454A1" w:rsidRPr="00DA6C7F" w:rsidRDefault="00C454A1" w:rsidP="00881E6A">
            <w:pPr>
              <w:spacing w:before="840" w:after="840" w:line="259" w:lineRule="auto"/>
              <w:ind w:right="272"/>
              <w:contextualSpacing/>
              <w:jc w:val="center"/>
              <w:textAlignment w:val="baseline"/>
              <w:rPr>
                <w:rFonts w:eastAsia="Calibri" w:cs="Times New Roman"/>
                <w:b/>
              </w:rPr>
            </w:pPr>
            <w:r w:rsidRPr="00DA6C7F">
              <w:rPr>
                <w:rFonts w:eastAsia="Calibri" w:cs="Times New Roman"/>
                <w:b/>
              </w:rPr>
              <w:t>Alcalde del municipio de</w:t>
            </w:r>
          </w:p>
          <w:p w14:paraId="17A2C418" w14:textId="77777777" w:rsidR="00C454A1" w:rsidRPr="00DA6C7F" w:rsidRDefault="00C454A1" w:rsidP="00881E6A">
            <w:pPr>
              <w:spacing w:before="360" w:after="360"/>
              <w:ind w:right="272"/>
              <w:jc w:val="center"/>
              <w:rPr>
                <w:rFonts w:cs="Times New Roman"/>
                <w:b/>
                <w:bCs/>
                <w:iCs/>
              </w:rPr>
            </w:pPr>
            <w:r w:rsidRPr="00DA6C7F">
              <w:rPr>
                <w:rFonts w:eastAsia="Calibri" w:cs="Times New Roman"/>
                <w:b/>
                <w:bCs/>
              </w:rPr>
              <w:t>Tibú</w:t>
            </w:r>
            <w:r w:rsidRPr="00DA6C7F">
              <w:rPr>
                <w:rFonts w:eastAsia="Calibri" w:cs="Times New Roman"/>
                <w:b/>
                <w:bCs/>
                <w:vertAlign w:val="superscript"/>
              </w:rPr>
              <w:footnoteReference w:id="814"/>
            </w:r>
          </w:p>
        </w:tc>
        <w:tc>
          <w:tcPr>
            <w:tcW w:w="4358" w:type="pct"/>
          </w:tcPr>
          <w:p w14:paraId="5A49824B" w14:textId="77777777" w:rsidR="00C454A1" w:rsidRPr="00DA6C7F" w:rsidRDefault="00C454A1" w:rsidP="00881E6A">
            <w:pPr>
              <w:spacing w:after="160" w:line="259" w:lineRule="auto"/>
              <w:ind w:right="272"/>
              <w:textAlignment w:val="baseline"/>
              <w:rPr>
                <w:rFonts w:eastAsia="Calibri" w:cs="Times New Roman"/>
              </w:rPr>
            </w:pPr>
            <w:r>
              <w:rPr>
                <w:rFonts w:eastAsia="Calibri" w:cs="Times New Roman"/>
              </w:rPr>
              <w:t>R</w:t>
            </w:r>
            <w:r w:rsidRPr="00DA6C7F">
              <w:rPr>
                <w:rFonts w:eastAsia="Calibri" w:cs="Times New Roman"/>
              </w:rPr>
              <w:t>emitió la siguiente información en relación con las preguntas planteadas en el auto de pruebas respecto de cada uno de los presupuestos:</w:t>
            </w:r>
          </w:p>
          <w:p w14:paraId="51184C37" w14:textId="77777777" w:rsidR="00C454A1" w:rsidRDefault="00C454A1" w:rsidP="00881E6A">
            <w:pPr>
              <w:spacing w:after="160" w:line="259" w:lineRule="auto"/>
              <w:ind w:right="272"/>
              <w:textAlignment w:val="baseline"/>
              <w:rPr>
                <w:rFonts w:eastAsia="Calibri" w:cs="Times New Roman"/>
              </w:rPr>
            </w:pPr>
            <w:r w:rsidRPr="00DA6C7F">
              <w:rPr>
                <w:rFonts w:eastAsia="Calibri" w:cs="Times New Roman"/>
                <w:b/>
                <w:i/>
              </w:rPr>
              <w:t>Presupuesto Fáctico</w:t>
            </w:r>
            <w:r w:rsidRPr="00DA6C7F">
              <w:rPr>
                <w:rFonts w:eastAsia="Calibri" w:cs="Times New Roman"/>
              </w:rPr>
              <w:t>. Presentó los siguientes datos sobre la situación de orden público en su municipio en el período entre el 2022-2025.</w:t>
            </w:r>
          </w:p>
          <w:p w14:paraId="2C30B312" w14:textId="77777777" w:rsidR="00C454A1" w:rsidRPr="001D0B0E" w:rsidRDefault="00C454A1" w:rsidP="00881E6A">
            <w:pPr>
              <w:spacing w:after="160" w:line="259" w:lineRule="auto"/>
              <w:ind w:right="272"/>
              <w:jc w:val="center"/>
              <w:textAlignment w:val="baseline"/>
              <w:rPr>
                <w:rFonts w:eastAsia="Calibri" w:cs="Times New Roman"/>
                <w:i/>
                <w:iCs/>
                <w:sz w:val="20"/>
                <w:szCs w:val="20"/>
              </w:rPr>
            </w:pPr>
            <w:r w:rsidRPr="001D0B0E">
              <w:rPr>
                <w:rFonts w:eastAsia="Calibri" w:cs="Times New Roman"/>
                <w:i/>
                <w:iCs/>
                <w:sz w:val="20"/>
                <w:szCs w:val="20"/>
              </w:rPr>
              <w:t>Tabla 43: datos sobre ataques contra la población civil reportados por la alcaldía de Tibú</w:t>
            </w:r>
          </w:p>
          <w:tbl>
            <w:tblPr>
              <w:tblStyle w:val="Tablaconcuadrcula"/>
              <w:tblW w:w="0" w:type="auto"/>
              <w:jc w:val="center"/>
              <w:tblLook w:val="04A0" w:firstRow="1" w:lastRow="0" w:firstColumn="1" w:lastColumn="0" w:noHBand="0" w:noVBand="1"/>
            </w:tblPr>
            <w:tblGrid>
              <w:gridCol w:w="1906"/>
              <w:gridCol w:w="1410"/>
              <w:gridCol w:w="1315"/>
              <w:gridCol w:w="1735"/>
              <w:gridCol w:w="1825"/>
              <w:gridCol w:w="1870"/>
              <w:gridCol w:w="1735"/>
              <w:gridCol w:w="1735"/>
            </w:tblGrid>
            <w:tr w:rsidR="00C454A1" w:rsidRPr="00F8202F" w14:paraId="30675B46" w14:textId="77777777" w:rsidTr="001F3006">
              <w:trPr>
                <w:jc w:val="center"/>
              </w:trPr>
              <w:tc>
                <w:tcPr>
                  <w:tcW w:w="1634" w:type="dxa"/>
                  <w:shd w:val="clear" w:color="auto" w:fill="D1D1D1" w:themeFill="background2" w:themeFillShade="E6"/>
                </w:tcPr>
                <w:p w14:paraId="63529241" w14:textId="77777777" w:rsidR="00C454A1" w:rsidRPr="00130E61" w:rsidRDefault="00C454A1" w:rsidP="00881E6A">
                  <w:pPr>
                    <w:ind w:left="193" w:right="272"/>
                    <w:rPr>
                      <w:rFonts w:cs="Times New Roman"/>
                      <w:b/>
                      <w:sz w:val="22"/>
                      <w:szCs w:val="22"/>
                    </w:rPr>
                  </w:pPr>
                  <w:r w:rsidRPr="00130E61">
                    <w:rPr>
                      <w:rFonts w:cs="Times New Roman"/>
                      <w:b/>
                      <w:sz w:val="22"/>
                      <w:szCs w:val="22"/>
                    </w:rPr>
                    <w:t xml:space="preserve">HECHO </w:t>
                  </w:r>
                </w:p>
              </w:tc>
              <w:tc>
                <w:tcPr>
                  <w:tcW w:w="1431" w:type="dxa"/>
                  <w:shd w:val="clear" w:color="auto" w:fill="D1D1D1" w:themeFill="background2" w:themeFillShade="E6"/>
                </w:tcPr>
                <w:p w14:paraId="71C1A3D9" w14:textId="77777777" w:rsidR="00C454A1" w:rsidRPr="00130E61" w:rsidRDefault="00C454A1" w:rsidP="00881E6A">
                  <w:pPr>
                    <w:ind w:right="272"/>
                    <w:rPr>
                      <w:rFonts w:cs="Times New Roman"/>
                      <w:b/>
                      <w:sz w:val="22"/>
                      <w:szCs w:val="22"/>
                    </w:rPr>
                  </w:pPr>
                  <w:r w:rsidRPr="00130E61">
                    <w:rPr>
                      <w:rFonts w:cs="Times New Roman"/>
                      <w:b/>
                      <w:sz w:val="22"/>
                      <w:szCs w:val="22"/>
                    </w:rPr>
                    <w:t xml:space="preserve">2022 sem. I </w:t>
                  </w:r>
                </w:p>
              </w:tc>
              <w:tc>
                <w:tcPr>
                  <w:tcW w:w="1418" w:type="dxa"/>
                  <w:shd w:val="clear" w:color="auto" w:fill="D1D1D1" w:themeFill="background2" w:themeFillShade="E6"/>
                </w:tcPr>
                <w:p w14:paraId="2CB7ACAD" w14:textId="77777777" w:rsidR="00C454A1" w:rsidRPr="00130E61" w:rsidRDefault="00C454A1" w:rsidP="00881E6A">
                  <w:pPr>
                    <w:ind w:right="272"/>
                    <w:rPr>
                      <w:rFonts w:cs="Times New Roman"/>
                      <w:b/>
                      <w:sz w:val="22"/>
                      <w:szCs w:val="22"/>
                    </w:rPr>
                  </w:pPr>
                  <w:r w:rsidRPr="00130E61">
                    <w:rPr>
                      <w:rFonts w:cs="Times New Roman"/>
                      <w:b/>
                      <w:sz w:val="22"/>
                      <w:szCs w:val="22"/>
                    </w:rPr>
                    <w:t>2022 sem. II</w:t>
                  </w:r>
                </w:p>
              </w:tc>
              <w:tc>
                <w:tcPr>
                  <w:tcW w:w="1842" w:type="dxa"/>
                  <w:shd w:val="clear" w:color="auto" w:fill="D1D1D1" w:themeFill="background2" w:themeFillShade="E6"/>
                </w:tcPr>
                <w:p w14:paraId="1D68319B" w14:textId="77777777" w:rsidR="00C454A1" w:rsidRPr="00130E61" w:rsidRDefault="00C454A1" w:rsidP="00881E6A">
                  <w:pPr>
                    <w:ind w:right="272"/>
                    <w:rPr>
                      <w:rFonts w:cs="Times New Roman"/>
                      <w:b/>
                      <w:sz w:val="22"/>
                      <w:szCs w:val="22"/>
                    </w:rPr>
                  </w:pPr>
                  <w:r w:rsidRPr="00130E61">
                    <w:rPr>
                      <w:rFonts w:cs="Times New Roman"/>
                      <w:b/>
                      <w:sz w:val="22"/>
                      <w:szCs w:val="22"/>
                    </w:rPr>
                    <w:t xml:space="preserve">2023 sem. I </w:t>
                  </w:r>
                </w:p>
              </w:tc>
              <w:tc>
                <w:tcPr>
                  <w:tcW w:w="1956" w:type="dxa"/>
                  <w:shd w:val="clear" w:color="auto" w:fill="D1D1D1" w:themeFill="background2" w:themeFillShade="E6"/>
                </w:tcPr>
                <w:p w14:paraId="4143C919" w14:textId="77777777" w:rsidR="00C454A1" w:rsidRPr="00130E61" w:rsidRDefault="00C454A1" w:rsidP="00881E6A">
                  <w:pPr>
                    <w:ind w:right="272"/>
                    <w:rPr>
                      <w:rFonts w:cs="Times New Roman"/>
                      <w:b/>
                      <w:sz w:val="22"/>
                      <w:szCs w:val="22"/>
                    </w:rPr>
                  </w:pPr>
                  <w:r w:rsidRPr="00130E61">
                    <w:rPr>
                      <w:rFonts w:cs="Times New Roman"/>
                      <w:b/>
                      <w:sz w:val="22"/>
                      <w:szCs w:val="22"/>
                    </w:rPr>
                    <w:t>2023 sem. II</w:t>
                  </w:r>
                </w:p>
              </w:tc>
              <w:tc>
                <w:tcPr>
                  <w:tcW w:w="2013" w:type="dxa"/>
                  <w:shd w:val="clear" w:color="auto" w:fill="D1D1D1" w:themeFill="background2" w:themeFillShade="E6"/>
                </w:tcPr>
                <w:p w14:paraId="608689FD" w14:textId="77777777" w:rsidR="00C454A1" w:rsidRPr="00130E61" w:rsidRDefault="00C454A1" w:rsidP="00881E6A">
                  <w:pPr>
                    <w:ind w:right="272"/>
                    <w:rPr>
                      <w:rFonts w:cs="Times New Roman"/>
                      <w:b/>
                      <w:sz w:val="22"/>
                      <w:szCs w:val="22"/>
                    </w:rPr>
                  </w:pPr>
                  <w:r w:rsidRPr="00130E61">
                    <w:rPr>
                      <w:rFonts w:cs="Times New Roman"/>
                      <w:b/>
                      <w:sz w:val="22"/>
                      <w:szCs w:val="22"/>
                    </w:rPr>
                    <w:t xml:space="preserve">2024 sem. I </w:t>
                  </w:r>
                </w:p>
              </w:tc>
              <w:tc>
                <w:tcPr>
                  <w:tcW w:w="1843" w:type="dxa"/>
                  <w:shd w:val="clear" w:color="auto" w:fill="D1D1D1" w:themeFill="background2" w:themeFillShade="E6"/>
                </w:tcPr>
                <w:p w14:paraId="24689ACF" w14:textId="77777777" w:rsidR="00C454A1" w:rsidRPr="00130E61" w:rsidRDefault="00C454A1" w:rsidP="00881E6A">
                  <w:pPr>
                    <w:ind w:right="272"/>
                    <w:rPr>
                      <w:rFonts w:cs="Times New Roman"/>
                      <w:b/>
                      <w:sz w:val="22"/>
                      <w:szCs w:val="22"/>
                    </w:rPr>
                  </w:pPr>
                  <w:r w:rsidRPr="00130E61">
                    <w:rPr>
                      <w:rFonts w:cs="Times New Roman"/>
                      <w:b/>
                      <w:sz w:val="22"/>
                      <w:szCs w:val="22"/>
                    </w:rPr>
                    <w:t>2024   sem. II</w:t>
                  </w:r>
                </w:p>
              </w:tc>
              <w:tc>
                <w:tcPr>
                  <w:tcW w:w="1843" w:type="dxa"/>
                  <w:shd w:val="clear" w:color="auto" w:fill="D1D1D1" w:themeFill="background2" w:themeFillShade="E6"/>
                </w:tcPr>
                <w:p w14:paraId="5C07C041" w14:textId="77777777" w:rsidR="00C454A1" w:rsidRPr="00130E61" w:rsidRDefault="00C454A1" w:rsidP="00881E6A">
                  <w:pPr>
                    <w:ind w:right="272"/>
                    <w:rPr>
                      <w:rFonts w:cs="Times New Roman"/>
                      <w:b/>
                      <w:sz w:val="22"/>
                      <w:szCs w:val="22"/>
                    </w:rPr>
                  </w:pPr>
                  <w:r w:rsidRPr="00130E61">
                    <w:rPr>
                      <w:rFonts w:cs="Times New Roman"/>
                      <w:b/>
                      <w:sz w:val="22"/>
                      <w:szCs w:val="22"/>
                    </w:rPr>
                    <w:t xml:space="preserve">2025 sem. I </w:t>
                  </w:r>
                </w:p>
              </w:tc>
            </w:tr>
            <w:tr w:rsidR="00C454A1" w:rsidRPr="00F8202F" w14:paraId="7E46A4B5" w14:textId="77777777" w:rsidTr="001F3006">
              <w:trPr>
                <w:jc w:val="center"/>
              </w:trPr>
              <w:tc>
                <w:tcPr>
                  <w:tcW w:w="1634" w:type="dxa"/>
                </w:tcPr>
                <w:p w14:paraId="08256838" w14:textId="77777777" w:rsidR="00C454A1" w:rsidRPr="007E420E" w:rsidRDefault="00C454A1" w:rsidP="00881E6A">
                  <w:pPr>
                    <w:ind w:right="272"/>
                    <w:contextualSpacing/>
                    <w:rPr>
                      <w:rFonts w:cs="Times New Roman"/>
                      <w:sz w:val="22"/>
                      <w:szCs w:val="22"/>
                      <w:lang w:val="es-ES"/>
                    </w:rPr>
                  </w:pPr>
                  <w:r w:rsidRPr="007E420E">
                    <w:rPr>
                      <w:rFonts w:cs="Times New Roman"/>
                      <w:sz w:val="22"/>
                      <w:szCs w:val="22"/>
                      <w:lang w:val="es-ES"/>
                    </w:rPr>
                    <w:t xml:space="preserve">Desplazamiento individual </w:t>
                  </w:r>
                </w:p>
              </w:tc>
              <w:tc>
                <w:tcPr>
                  <w:tcW w:w="1431" w:type="dxa"/>
                </w:tcPr>
                <w:p w14:paraId="1E1BF361" w14:textId="77777777" w:rsidR="00C454A1" w:rsidRPr="007E420E" w:rsidRDefault="00C454A1" w:rsidP="00881E6A">
                  <w:pPr>
                    <w:ind w:right="272"/>
                    <w:contextualSpacing/>
                    <w:rPr>
                      <w:rFonts w:cs="Times New Roman"/>
                      <w:b/>
                      <w:bCs/>
                      <w:sz w:val="22"/>
                      <w:szCs w:val="22"/>
                      <w:lang w:val="es-ES"/>
                    </w:rPr>
                  </w:pPr>
                  <w:r w:rsidRPr="007E420E">
                    <w:rPr>
                      <w:rFonts w:cs="Times New Roman"/>
                      <w:sz w:val="22"/>
                      <w:szCs w:val="22"/>
                      <w:lang w:val="es-ES"/>
                    </w:rPr>
                    <w:t xml:space="preserve">88 personas-31 hogares </w:t>
                  </w:r>
                </w:p>
              </w:tc>
              <w:tc>
                <w:tcPr>
                  <w:tcW w:w="1418" w:type="dxa"/>
                </w:tcPr>
                <w:p w14:paraId="31548B35" w14:textId="77777777" w:rsidR="00C454A1" w:rsidRPr="00130E61" w:rsidRDefault="00C454A1" w:rsidP="00881E6A">
                  <w:pPr>
                    <w:ind w:right="272"/>
                    <w:contextualSpacing/>
                    <w:rPr>
                      <w:rFonts w:cs="Times New Roman"/>
                      <w:b/>
                      <w:sz w:val="22"/>
                      <w:szCs w:val="22"/>
                    </w:rPr>
                  </w:pPr>
                  <w:r w:rsidRPr="00130E61">
                    <w:rPr>
                      <w:rFonts w:cs="Times New Roman"/>
                      <w:sz w:val="22"/>
                      <w:szCs w:val="22"/>
                    </w:rPr>
                    <w:t xml:space="preserve">0 </w:t>
                  </w:r>
                </w:p>
              </w:tc>
              <w:tc>
                <w:tcPr>
                  <w:tcW w:w="1842" w:type="dxa"/>
                </w:tcPr>
                <w:p w14:paraId="136D4839" w14:textId="77777777" w:rsidR="00C454A1" w:rsidRPr="007E420E" w:rsidRDefault="00C454A1" w:rsidP="00881E6A">
                  <w:pPr>
                    <w:ind w:right="272"/>
                    <w:contextualSpacing/>
                    <w:rPr>
                      <w:rFonts w:cs="Times New Roman"/>
                      <w:b/>
                      <w:bCs/>
                      <w:sz w:val="22"/>
                      <w:szCs w:val="22"/>
                      <w:lang w:val="es-ES"/>
                    </w:rPr>
                  </w:pPr>
                  <w:r w:rsidRPr="007E420E">
                    <w:rPr>
                      <w:rFonts w:cs="Times New Roman"/>
                      <w:sz w:val="22"/>
                      <w:szCs w:val="22"/>
                      <w:lang w:val="es-ES"/>
                    </w:rPr>
                    <w:t xml:space="preserve">48 personas-16 hogares </w:t>
                  </w:r>
                </w:p>
              </w:tc>
              <w:tc>
                <w:tcPr>
                  <w:tcW w:w="1956" w:type="dxa"/>
                </w:tcPr>
                <w:p w14:paraId="62786F9F" w14:textId="77777777" w:rsidR="00C454A1" w:rsidRPr="007E420E" w:rsidRDefault="00C454A1" w:rsidP="00881E6A">
                  <w:pPr>
                    <w:ind w:right="272"/>
                    <w:contextualSpacing/>
                    <w:rPr>
                      <w:rFonts w:cs="Times New Roman"/>
                      <w:b/>
                      <w:bCs/>
                      <w:sz w:val="22"/>
                      <w:szCs w:val="22"/>
                      <w:lang w:val="es-ES"/>
                    </w:rPr>
                  </w:pPr>
                  <w:r w:rsidRPr="007E420E">
                    <w:rPr>
                      <w:rFonts w:cs="Times New Roman"/>
                      <w:sz w:val="22"/>
                      <w:szCs w:val="22"/>
                      <w:lang w:val="es-ES"/>
                    </w:rPr>
                    <w:t xml:space="preserve">18 personas-6 hogares </w:t>
                  </w:r>
                </w:p>
              </w:tc>
              <w:tc>
                <w:tcPr>
                  <w:tcW w:w="2013" w:type="dxa"/>
                </w:tcPr>
                <w:p w14:paraId="415F1A74" w14:textId="77777777" w:rsidR="00C454A1" w:rsidRPr="007E420E" w:rsidRDefault="00C454A1" w:rsidP="00881E6A">
                  <w:pPr>
                    <w:ind w:right="272"/>
                    <w:contextualSpacing/>
                    <w:rPr>
                      <w:rFonts w:cs="Times New Roman"/>
                      <w:b/>
                      <w:bCs/>
                      <w:sz w:val="22"/>
                      <w:szCs w:val="22"/>
                      <w:lang w:val="es-ES"/>
                    </w:rPr>
                  </w:pPr>
                  <w:r w:rsidRPr="007E420E">
                    <w:rPr>
                      <w:rFonts w:cs="Times New Roman"/>
                      <w:sz w:val="22"/>
                      <w:szCs w:val="22"/>
                      <w:lang w:val="es-ES"/>
                    </w:rPr>
                    <w:t xml:space="preserve">21 personas-8 hogares </w:t>
                  </w:r>
                </w:p>
              </w:tc>
              <w:tc>
                <w:tcPr>
                  <w:tcW w:w="1843" w:type="dxa"/>
                </w:tcPr>
                <w:p w14:paraId="788698FF" w14:textId="77777777" w:rsidR="00C454A1" w:rsidRPr="007E420E" w:rsidRDefault="00C454A1" w:rsidP="00881E6A">
                  <w:pPr>
                    <w:ind w:right="272"/>
                    <w:contextualSpacing/>
                    <w:rPr>
                      <w:rFonts w:cs="Times New Roman"/>
                      <w:b/>
                      <w:bCs/>
                      <w:sz w:val="22"/>
                      <w:szCs w:val="22"/>
                      <w:lang w:val="es-ES"/>
                    </w:rPr>
                  </w:pPr>
                  <w:r w:rsidRPr="007E420E">
                    <w:rPr>
                      <w:rFonts w:cs="Times New Roman"/>
                      <w:sz w:val="22"/>
                      <w:szCs w:val="22"/>
                      <w:lang w:val="es-ES"/>
                    </w:rPr>
                    <w:t xml:space="preserve">182 personas-43 hogares </w:t>
                  </w:r>
                </w:p>
              </w:tc>
              <w:tc>
                <w:tcPr>
                  <w:tcW w:w="1843" w:type="dxa"/>
                </w:tcPr>
                <w:p w14:paraId="5EA86C11" w14:textId="77777777" w:rsidR="00C454A1" w:rsidRPr="007E420E" w:rsidRDefault="00C454A1" w:rsidP="00881E6A">
                  <w:pPr>
                    <w:ind w:right="272"/>
                    <w:contextualSpacing/>
                    <w:rPr>
                      <w:rFonts w:cs="Times New Roman"/>
                      <w:b/>
                      <w:bCs/>
                      <w:sz w:val="22"/>
                      <w:szCs w:val="22"/>
                      <w:lang w:val="es-ES"/>
                    </w:rPr>
                  </w:pPr>
                  <w:r w:rsidRPr="007E420E">
                    <w:rPr>
                      <w:rFonts w:cs="Times New Roman"/>
                      <w:sz w:val="22"/>
                      <w:szCs w:val="22"/>
                      <w:lang w:val="es-ES"/>
                    </w:rPr>
                    <w:t xml:space="preserve">17 personas-6 hogares </w:t>
                  </w:r>
                </w:p>
              </w:tc>
            </w:tr>
            <w:tr w:rsidR="00C454A1" w:rsidRPr="00F8202F" w14:paraId="4016ABBF" w14:textId="77777777" w:rsidTr="001F3006">
              <w:trPr>
                <w:jc w:val="center"/>
              </w:trPr>
              <w:tc>
                <w:tcPr>
                  <w:tcW w:w="1634" w:type="dxa"/>
                </w:tcPr>
                <w:p w14:paraId="7729C077" w14:textId="77777777" w:rsidR="00C454A1" w:rsidRPr="007E420E" w:rsidRDefault="00C454A1" w:rsidP="00881E6A">
                  <w:pPr>
                    <w:ind w:right="272"/>
                    <w:rPr>
                      <w:rFonts w:cs="Times New Roman"/>
                      <w:sz w:val="22"/>
                      <w:szCs w:val="22"/>
                      <w:lang w:val="es-ES"/>
                    </w:rPr>
                  </w:pPr>
                  <w:r w:rsidRPr="007E420E">
                    <w:rPr>
                      <w:rFonts w:cs="Times New Roman"/>
                      <w:sz w:val="22"/>
                      <w:szCs w:val="22"/>
                      <w:lang w:val="es-ES"/>
                    </w:rPr>
                    <w:t xml:space="preserve">Desplazamiento masivo </w:t>
                  </w:r>
                </w:p>
              </w:tc>
              <w:tc>
                <w:tcPr>
                  <w:tcW w:w="1431" w:type="dxa"/>
                </w:tcPr>
                <w:p w14:paraId="17C99A3B" w14:textId="77777777" w:rsidR="00C454A1" w:rsidRPr="007E420E" w:rsidRDefault="00C454A1" w:rsidP="00881E6A">
                  <w:pPr>
                    <w:ind w:right="272"/>
                    <w:rPr>
                      <w:rFonts w:cs="Times New Roman"/>
                      <w:b/>
                      <w:bCs/>
                      <w:sz w:val="22"/>
                      <w:szCs w:val="22"/>
                      <w:lang w:val="es-ES"/>
                    </w:rPr>
                  </w:pPr>
                  <w:r w:rsidRPr="007E420E">
                    <w:rPr>
                      <w:rFonts w:cs="Times New Roman"/>
                      <w:sz w:val="22"/>
                      <w:szCs w:val="22"/>
                      <w:lang w:val="es-ES"/>
                    </w:rPr>
                    <w:t xml:space="preserve">1919 personas-390 hogares </w:t>
                  </w:r>
                </w:p>
              </w:tc>
              <w:tc>
                <w:tcPr>
                  <w:tcW w:w="1418" w:type="dxa"/>
                </w:tcPr>
                <w:p w14:paraId="2C2E8CCC"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842" w:type="dxa"/>
                </w:tcPr>
                <w:p w14:paraId="10DC2CE7"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956" w:type="dxa"/>
                </w:tcPr>
                <w:p w14:paraId="69B355A2" w14:textId="77777777" w:rsidR="00C454A1" w:rsidRPr="007E420E" w:rsidRDefault="00C454A1" w:rsidP="00881E6A">
                  <w:pPr>
                    <w:ind w:right="272"/>
                    <w:rPr>
                      <w:rFonts w:cs="Times New Roman"/>
                      <w:b/>
                      <w:bCs/>
                      <w:sz w:val="22"/>
                      <w:szCs w:val="22"/>
                      <w:lang w:val="es-ES"/>
                    </w:rPr>
                  </w:pPr>
                  <w:r w:rsidRPr="007E420E">
                    <w:rPr>
                      <w:rFonts w:cs="Times New Roman"/>
                      <w:sz w:val="22"/>
                      <w:szCs w:val="22"/>
                      <w:lang w:val="es-ES"/>
                    </w:rPr>
                    <w:t xml:space="preserve">240 personas-84 hogares </w:t>
                  </w:r>
                </w:p>
              </w:tc>
              <w:tc>
                <w:tcPr>
                  <w:tcW w:w="2013" w:type="dxa"/>
                </w:tcPr>
                <w:p w14:paraId="1FE91F24"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843" w:type="dxa"/>
                </w:tcPr>
                <w:p w14:paraId="4D5C6226"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843" w:type="dxa"/>
                </w:tcPr>
                <w:p w14:paraId="6C2E1CE0" w14:textId="77777777" w:rsidR="00C454A1" w:rsidRPr="00130E61" w:rsidRDefault="00C454A1" w:rsidP="00881E6A">
                  <w:pPr>
                    <w:ind w:right="272"/>
                    <w:rPr>
                      <w:rFonts w:cs="Times New Roman"/>
                      <w:b/>
                      <w:sz w:val="22"/>
                      <w:szCs w:val="22"/>
                    </w:rPr>
                  </w:pPr>
                  <w:r w:rsidRPr="00130E61">
                    <w:rPr>
                      <w:rFonts w:cs="Times New Roman"/>
                      <w:sz w:val="22"/>
                      <w:szCs w:val="22"/>
                    </w:rPr>
                    <w:t xml:space="preserve">14419 personas </w:t>
                  </w:r>
                </w:p>
              </w:tc>
            </w:tr>
            <w:tr w:rsidR="00C454A1" w:rsidRPr="00F8202F" w14:paraId="04299298" w14:textId="77777777" w:rsidTr="001F3006">
              <w:trPr>
                <w:jc w:val="center"/>
              </w:trPr>
              <w:tc>
                <w:tcPr>
                  <w:tcW w:w="1634" w:type="dxa"/>
                </w:tcPr>
                <w:p w14:paraId="40C7874B" w14:textId="77777777" w:rsidR="00C454A1" w:rsidRPr="007E420E" w:rsidRDefault="00C454A1" w:rsidP="00881E6A">
                  <w:pPr>
                    <w:ind w:right="272"/>
                    <w:rPr>
                      <w:rFonts w:cs="Times New Roman"/>
                      <w:sz w:val="22"/>
                      <w:szCs w:val="22"/>
                      <w:lang w:val="es-ES"/>
                    </w:rPr>
                  </w:pPr>
                  <w:r w:rsidRPr="007E420E">
                    <w:rPr>
                      <w:rFonts w:cs="Times New Roman"/>
                      <w:sz w:val="22"/>
                      <w:szCs w:val="22"/>
                      <w:lang w:val="es-ES"/>
                    </w:rPr>
                    <w:t xml:space="preserve">Secuestro </w:t>
                  </w:r>
                </w:p>
              </w:tc>
              <w:tc>
                <w:tcPr>
                  <w:tcW w:w="1431" w:type="dxa"/>
                </w:tcPr>
                <w:p w14:paraId="419E17F8" w14:textId="77777777" w:rsidR="00C454A1" w:rsidRPr="00130E61" w:rsidRDefault="00C454A1" w:rsidP="00881E6A">
                  <w:pPr>
                    <w:ind w:right="272"/>
                    <w:rPr>
                      <w:rFonts w:cs="Times New Roman"/>
                      <w:b/>
                      <w:sz w:val="22"/>
                      <w:szCs w:val="22"/>
                    </w:rPr>
                  </w:pPr>
                  <w:r w:rsidRPr="00130E61">
                    <w:rPr>
                      <w:rFonts w:cs="Times New Roman"/>
                      <w:sz w:val="22"/>
                      <w:szCs w:val="22"/>
                    </w:rPr>
                    <w:t xml:space="preserve">1 </w:t>
                  </w:r>
                </w:p>
              </w:tc>
              <w:tc>
                <w:tcPr>
                  <w:tcW w:w="1418" w:type="dxa"/>
                </w:tcPr>
                <w:p w14:paraId="690A691F"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842" w:type="dxa"/>
                </w:tcPr>
                <w:p w14:paraId="4F6FB6E8" w14:textId="77777777" w:rsidR="00C454A1" w:rsidRPr="00130E61" w:rsidRDefault="00C454A1" w:rsidP="00881E6A">
                  <w:pPr>
                    <w:ind w:right="272"/>
                    <w:rPr>
                      <w:rFonts w:cs="Times New Roman"/>
                      <w:b/>
                      <w:sz w:val="22"/>
                      <w:szCs w:val="22"/>
                    </w:rPr>
                  </w:pPr>
                  <w:r w:rsidRPr="00130E61">
                    <w:rPr>
                      <w:rFonts w:cs="Times New Roman"/>
                      <w:sz w:val="22"/>
                      <w:szCs w:val="22"/>
                    </w:rPr>
                    <w:t xml:space="preserve">1 </w:t>
                  </w:r>
                </w:p>
              </w:tc>
              <w:tc>
                <w:tcPr>
                  <w:tcW w:w="1956" w:type="dxa"/>
                </w:tcPr>
                <w:p w14:paraId="0BC8CAA9" w14:textId="77777777" w:rsidR="00C454A1" w:rsidRPr="00130E61" w:rsidRDefault="00C454A1" w:rsidP="00881E6A">
                  <w:pPr>
                    <w:ind w:right="272"/>
                    <w:rPr>
                      <w:rFonts w:cs="Times New Roman"/>
                      <w:b/>
                      <w:sz w:val="22"/>
                      <w:szCs w:val="22"/>
                    </w:rPr>
                  </w:pPr>
                  <w:r w:rsidRPr="00130E61">
                    <w:rPr>
                      <w:rFonts w:cs="Times New Roman"/>
                      <w:sz w:val="22"/>
                      <w:szCs w:val="22"/>
                    </w:rPr>
                    <w:t xml:space="preserve">1 </w:t>
                  </w:r>
                </w:p>
              </w:tc>
              <w:tc>
                <w:tcPr>
                  <w:tcW w:w="2013" w:type="dxa"/>
                </w:tcPr>
                <w:p w14:paraId="311369D8" w14:textId="77777777" w:rsidR="00C454A1" w:rsidRPr="00130E61" w:rsidRDefault="00C454A1" w:rsidP="00881E6A">
                  <w:pPr>
                    <w:ind w:right="272"/>
                    <w:rPr>
                      <w:rFonts w:cs="Times New Roman"/>
                      <w:b/>
                      <w:sz w:val="22"/>
                      <w:szCs w:val="22"/>
                    </w:rPr>
                  </w:pPr>
                  <w:r w:rsidRPr="00130E61">
                    <w:rPr>
                      <w:rFonts w:cs="Times New Roman"/>
                      <w:sz w:val="22"/>
                      <w:szCs w:val="22"/>
                    </w:rPr>
                    <w:t xml:space="preserve">8 </w:t>
                  </w:r>
                </w:p>
              </w:tc>
              <w:tc>
                <w:tcPr>
                  <w:tcW w:w="1843" w:type="dxa"/>
                </w:tcPr>
                <w:p w14:paraId="50D06300"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843" w:type="dxa"/>
                </w:tcPr>
                <w:p w14:paraId="6572E78A"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r>
            <w:tr w:rsidR="00C454A1" w:rsidRPr="00F8202F" w14:paraId="0B6560E2" w14:textId="77777777" w:rsidTr="001F3006">
              <w:trPr>
                <w:jc w:val="center"/>
              </w:trPr>
              <w:tc>
                <w:tcPr>
                  <w:tcW w:w="1634" w:type="dxa"/>
                </w:tcPr>
                <w:p w14:paraId="49E9958E" w14:textId="77777777" w:rsidR="00C454A1" w:rsidRPr="007E420E" w:rsidRDefault="00C454A1" w:rsidP="00881E6A">
                  <w:pPr>
                    <w:ind w:right="272"/>
                    <w:rPr>
                      <w:rFonts w:cs="Times New Roman"/>
                      <w:sz w:val="22"/>
                      <w:szCs w:val="22"/>
                      <w:lang w:val="es-ES"/>
                    </w:rPr>
                  </w:pPr>
                  <w:r w:rsidRPr="007E420E">
                    <w:rPr>
                      <w:rFonts w:cs="Times New Roman"/>
                      <w:sz w:val="22"/>
                      <w:szCs w:val="22"/>
                      <w:lang w:val="es-ES"/>
                    </w:rPr>
                    <w:t xml:space="preserve">Amenazas </w:t>
                  </w:r>
                </w:p>
              </w:tc>
              <w:tc>
                <w:tcPr>
                  <w:tcW w:w="1431" w:type="dxa"/>
                </w:tcPr>
                <w:p w14:paraId="211B353D" w14:textId="77777777" w:rsidR="00C454A1" w:rsidRPr="00130E61" w:rsidRDefault="00C454A1" w:rsidP="00881E6A">
                  <w:pPr>
                    <w:ind w:right="272"/>
                    <w:rPr>
                      <w:rFonts w:cs="Times New Roman"/>
                      <w:b/>
                      <w:sz w:val="22"/>
                      <w:szCs w:val="22"/>
                    </w:rPr>
                  </w:pPr>
                  <w:r w:rsidRPr="00130E61">
                    <w:rPr>
                      <w:rFonts w:cs="Times New Roman"/>
                      <w:sz w:val="22"/>
                      <w:szCs w:val="22"/>
                    </w:rPr>
                    <w:t xml:space="preserve">18 </w:t>
                  </w:r>
                </w:p>
              </w:tc>
              <w:tc>
                <w:tcPr>
                  <w:tcW w:w="1418" w:type="dxa"/>
                </w:tcPr>
                <w:p w14:paraId="2BD63808" w14:textId="77777777" w:rsidR="00C454A1" w:rsidRPr="00130E61" w:rsidRDefault="00C454A1" w:rsidP="00881E6A">
                  <w:pPr>
                    <w:ind w:right="272"/>
                    <w:rPr>
                      <w:rFonts w:cs="Times New Roman"/>
                      <w:b/>
                      <w:sz w:val="22"/>
                      <w:szCs w:val="22"/>
                    </w:rPr>
                  </w:pPr>
                  <w:r w:rsidRPr="00130E61">
                    <w:rPr>
                      <w:rFonts w:cs="Times New Roman"/>
                      <w:sz w:val="22"/>
                      <w:szCs w:val="22"/>
                    </w:rPr>
                    <w:t xml:space="preserve">18 </w:t>
                  </w:r>
                </w:p>
              </w:tc>
              <w:tc>
                <w:tcPr>
                  <w:tcW w:w="1842" w:type="dxa"/>
                </w:tcPr>
                <w:p w14:paraId="543060B3" w14:textId="77777777" w:rsidR="00C454A1" w:rsidRPr="00130E61" w:rsidRDefault="00C454A1" w:rsidP="00881E6A">
                  <w:pPr>
                    <w:ind w:right="272"/>
                    <w:rPr>
                      <w:rFonts w:cs="Times New Roman"/>
                      <w:b/>
                      <w:sz w:val="22"/>
                      <w:szCs w:val="22"/>
                    </w:rPr>
                  </w:pPr>
                  <w:r w:rsidRPr="00130E61">
                    <w:rPr>
                      <w:rFonts w:cs="Times New Roman"/>
                      <w:sz w:val="22"/>
                      <w:szCs w:val="22"/>
                    </w:rPr>
                    <w:t xml:space="preserve">14 </w:t>
                  </w:r>
                </w:p>
              </w:tc>
              <w:tc>
                <w:tcPr>
                  <w:tcW w:w="1956" w:type="dxa"/>
                </w:tcPr>
                <w:p w14:paraId="5EFA8C0A" w14:textId="77777777" w:rsidR="00C454A1" w:rsidRPr="00130E61" w:rsidRDefault="00C454A1" w:rsidP="00881E6A">
                  <w:pPr>
                    <w:ind w:right="272"/>
                    <w:rPr>
                      <w:rFonts w:cs="Times New Roman"/>
                      <w:b/>
                      <w:sz w:val="22"/>
                      <w:szCs w:val="22"/>
                    </w:rPr>
                  </w:pPr>
                  <w:r w:rsidRPr="00130E61">
                    <w:rPr>
                      <w:rFonts w:cs="Times New Roman"/>
                      <w:sz w:val="22"/>
                      <w:szCs w:val="22"/>
                    </w:rPr>
                    <w:t xml:space="preserve">8 </w:t>
                  </w:r>
                </w:p>
              </w:tc>
              <w:tc>
                <w:tcPr>
                  <w:tcW w:w="2013" w:type="dxa"/>
                </w:tcPr>
                <w:p w14:paraId="4CDB53BE" w14:textId="77777777" w:rsidR="00C454A1" w:rsidRPr="00130E61" w:rsidRDefault="00C454A1" w:rsidP="00881E6A">
                  <w:pPr>
                    <w:ind w:right="272"/>
                    <w:rPr>
                      <w:rFonts w:cs="Times New Roman"/>
                      <w:b/>
                      <w:sz w:val="22"/>
                      <w:szCs w:val="22"/>
                    </w:rPr>
                  </w:pPr>
                  <w:r w:rsidRPr="00130E61">
                    <w:rPr>
                      <w:rFonts w:cs="Times New Roman"/>
                      <w:sz w:val="22"/>
                      <w:szCs w:val="22"/>
                    </w:rPr>
                    <w:t xml:space="preserve">5 </w:t>
                  </w:r>
                </w:p>
              </w:tc>
              <w:tc>
                <w:tcPr>
                  <w:tcW w:w="1843" w:type="dxa"/>
                </w:tcPr>
                <w:p w14:paraId="15288062" w14:textId="77777777" w:rsidR="00C454A1" w:rsidRPr="00130E61" w:rsidRDefault="00C454A1" w:rsidP="00881E6A">
                  <w:pPr>
                    <w:ind w:right="272"/>
                    <w:rPr>
                      <w:rFonts w:cs="Times New Roman"/>
                      <w:b/>
                      <w:sz w:val="22"/>
                      <w:szCs w:val="22"/>
                    </w:rPr>
                  </w:pPr>
                  <w:r w:rsidRPr="00130E61">
                    <w:rPr>
                      <w:rFonts w:cs="Times New Roman"/>
                      <w:sz w:val="22"/>
                      <w:szCs w:val="22"/>
                    </w:rPr>
                    <w:t xml:space="preserve">6 </w:t>
                  </w:r>
                </w:p>
              </w:tc>
              <w:tc>
                <w:tcPr>
                  <w:tcW w:w="1843" w:type="dxa"/>
                </w:tcPr>
                <w:p w14:paraId="4DD1F9B5" w14:textId="77777777" w:rsidR="00C454A1" w:rsidRPr="00130E61" w:rsidRDefault="00C454A1" w:rsidP="00881E6A">
                  <w:pPr>
                    <w:ind w:right="272"/>
                    <w:rPr>
                      <w:rFonts w:cs="Times New Roman"/>
                      <w:b/>
                      <w:sz w:val="22"/>
                      <w:szCs w:val="22"/>
                    </w:rPr>
                  </w:pPr>
                  <w:r w:rsidRPr="00130E61">
                    <w:rPr>
                      <w:rFonts w:cs="Times New Roman"/>
                      <w:sz w:val="22"/>
                      <w:szCs w:val="22"/>
                    </w:rPr>
                    <w:t xml:space="preserve">4 </w:t>
                  </w:r>
                </w:p>
              </w:tc>
            </w:tr>
            <w:tr w:rsidR="00C454A1" w:rsidRPr="00F8202F" w14:paraId="60B869E5" w14:textId="77777777" w:rsidTr="001F3006">
              <w:trPr>
                <w:jc w:val="center"/>
              </w:trPr>
              <w:tc>
                <w:tcPr>
                  <w:tcW w:w="1634" w:type="dxa"/>
                </w:tcPr>
                <w:p w14:paraId="4B42868F" w14:textId="77777777" w:rsidR="00C454A1" w:rsidRPr="007E420E" w:rsidRDefault="00C454A1" w:rsidP="00881E6A">
                  <w:pPr>
                    <w:ind w:right="272"/>
                    <w:rPr>
                      <w:rFonts w:cs="Times New Roman"/>
                      <w:sz w:val="22"/>
                      <w:szCs w:val="22"/>
                      <w:lang w:val="es-ES"/>
                    </w:rPr>
                  </w:pPr>
                  <w:r w:rsidRPr="007E420E">
                    <w:rPr>
                      <w:rFonts w:cs="Times New Roman"/>
                      <w:sz w:val="22"/>
                      <w:szCs w:val="22"/>
                      <w:lang w:val="es-ES"/>
                    </w:rPr>
                    <w:t xml:space="preserve">Homicidios </w:t>
                  </w:r>
                </w:p>
              </w:tc>
              <w:tc>
                <w:tcPr>
                  <w:tcW w:w="1431" w:type="dxa"/>
                </w:tcPr>
                <w:p w14:paraId="5230E83A" w14:textId="77777777" w:rsidR="00C454A1" w:rsidRPr="00130E61" w:rsidRDefault="00C454A1" w:rsidP="00881E6A">
                  <w:pPr>
                    <w:ind w:right="272"/>
                    <w:rPr>
                      <w:rFonts w:cs="Times New Roman"/>
                      <w:b/>
                      <w:sz w:val="22"/>
                      <w:szCs w:val="22"/>
                    </w:rPr>
                  </w:pPr>
                  <w:r w:rsidRPr="00130E61">
                    <w:rPr>
                      <w:rFonts w:cs="Times New Roman"/>
                      <w:sz w:val="22"/>
                      <w:szCs w:val="22"/>
                    </w:rPr>
                    <w:t xml:space="preserve">21 </w:t>
                  </w:r>
                </w:p>
              </w:tc>
              <w:tc>
                <w:tcPr>
                  <w:tcW w:w="1418" w:type="dxa"/>
                </w:tcPr>
                <w:p w14:paraId="3949CF77" w14:textId="77777777" w:rsidR="00C454A1" w:rsidRPr="00130E61" w:rsidRDefault="00C454A1" w:rsidP="00881E6A">
                  <w:pPr>
                    <w:ind w:right="272"/>
                    <w:rPr>
                      <w:rFonts w:cs="Times New Roman"/>
                      <w:b/>
                      <w:sz w:val="22"/>
                      <w:szCs w:val="22"/>
                    </w:rPr>
                  </w:pPr>
                  <w:r w:rsidRPr="00130E61">
                    <w:rPr>
                      <w:rFonts w:cs="Times New Roman"/>
                      <w:sz w:val="22"/>
                      <w:szCs w:val="22"/>
                    </w:rPr>
                    <w:t xml:space="preserve">19 </w:t>
                  </w:r>
                </w:p>
              </w:tc>
              <w:tc>
                <w:tcPr>
                  <w:tcW w:w="1842" w:type="dxa"/>
                </w:tcPr>
                <w:p w14:paraId="5FA8CC44" w14:textId="77777777" w:rsidR="00C454A1" w:rsidRPr="00130E61" w:rsidRDefault="00C454A1" w:rsidP="00881E6A">
                  <w:pPr>
                    <w:ind w:right="272"/>
                    <w:rPr>
                      <w:rFonts w:cs="Times New Roman"/>
                      <w:b/>
                      <w:sz w:val="22"/>
                      <w:szCs w:val="22"/>
                    </w:rPr>
                  </w:pPr>
                  <w:r w:rsidRPr="00130E61">
                    <w:rPr>
                      <w:rFonts w:cs="Times New Roman"/>
                      <w:sz w:val="22"/>
                      <w:szCs w:val="22"/>
                    </w:rPr>
                    <w:t xml:space="preserve">20 </w:t>
                  </w:r>
                </w:p>
              </w:tc>
              <w:tc>
                <w:tcPr>
                  <w:tcW w:w="1956" w:type="dxa"/>
                </w:tcPr>
                <w:p w14:paraId="69B123D8" w14:textId="77777777" w:rsidR="00C454A1" w:rsidRPr="00130E61" w:rsidRDefault="00C454A1" w:rsidP="00881E6A">
                  <w:pPr>
                    <w:ind w:right="272"/>
                    <w:rPr>
                      <w:rFonts w:cs="Times New Roman"/>
                      <w:b/>
                      <w:sz w:val="22"/>
                      <w:szCs w:val="22"/>
                    </w:rPr>
                  </w:pPr>
                  <w:r w:rsidRPr="00130E61">
                    <w:rPr>
                      <w:rFonts w:cs="Times New Roman"/>
                      <w:sz w:val="22"/>
                      <w:szCs w:val="22"/>
                    </w:rPr>
                    <w:t xml:space="preserve">10 </w:t>
                  </w:r>
                </w:p>
              </w:tc>
              <w:tc>
                <w:tcPr>
                  <w:tcW w:w="2013" w:type="dxa"/>
                </w:tcPr>
                <w:p w14:paraId="4BB8F8D3" w14:textId="77777777" w:rsidR="00C454A1" w:rsidRPr="00130E61" w:rsidRDefault="00C454A1" w:rsidP="00881E6A">
                  <w:pPr>
                    <w:ind w:right="272"/>
                    <w:rPr>
                      <w:rFonts w:cs="Times New Roman"/>
                      <w:b/>
                      <w:sz w:val="22"/>
                      <w:szCs w:val="22"/>
                    </w:rPr>
                  </w:pPr>
                  <w:r w:rsidRPr="00130E61">
                    <w:rPr>
                      <w:rFonts w:cs="Times New Roman"/>
                      <w:sz w:val="22"/>
                      <w:szCs w:val="22"/>
                    </w:rPr>
                    <w:t xml:space="preserve">4 </w:t>
                  </w:r>
                </w:p>
              </w:tc>
              <w:tc>
                <w:tcPr>
                  <w:tcW w:w="1843" w:type="dxa"/>
                </w:tcPr>
                <w:p w14:paraId="122E8AF3" w14:textId="77777777" w:rsidR="00C454A1" w:rsidRPr="00130E61" w:rsidRDefault="00C454A1" w:rsidP="00881E6A">
                  <w:pPr>
                    <w:ind w:right="272"/>
                    <w:rPr>
                      <w:rFonts w:cs="Times New Roman"/>
                      <w:b/>
                      <w:sz w:val="22"/>
                      <w:szCs w:val="22"/>
                    </w:rPr>
                  </w:pPr>
                  <w:r w:rsidRPr="00130E61">
                    <w:rPr>
                      <w:rFonts w:cs="Times New Roman"/>
                      <w:sz w:val="22"/>
                      <w:szCs w:val="22"/>
                    </w:rPr>
                    <w:t xml:space="preserve">1 </w:t>
                  </w:r>
                </w:p>
              </w:tc>
              <w:tc>
                <w:tcPr>
                  <w:tcW w:w="1843" w:type="dxa"/>
                </w:tcPr>
                <w:p w14:paraId="1E954D05" w14:textId="77777777" w:rsidR="00C454A1" w:rsidRPr="00130E61" w:rsidRDefault="00C454A1" w:rsidP="00881E6A">
                  <w:pPr>
                    <w:ind w:right="272"/>
                    <w:rPr>
                      <w:rFonts w:cs="Times New Roman"/>
                      <w:b/>
                      <w:sz w:val="22"/>
                      <w:szCs w:val="22"/>
                    </w:rPr>
                  </w:pPr>
                  <w:r w:rsidRPr="00130E61">
                    <w:rPr>
                      <w:rFonts w:cs="Times New Roman"/>
                      <w:sz w:val="22"/>
                      <w:szCs w:val="22"/>
                    </w:rPr>
                    <w:t xml:space="preserve">30 </w:t>
                  </w:r>
                </w:p>
              </w:tc>
            </w:tr>
            <w:tr w:rsidR="00C454A1" w:rsidRPr="00F8202F" w14:paraId="6DBD97F9" w14:textId="77777777" w:rsidTr="001F3006">
              <w:trPr>
                <w:jc w:val="center"/>
              </w:trPr>
              <w:tc>
                <w:tcPr>
                  <w:tcW w:w="1634" w:type="dxa"/>
                </w:tcPr>
                <w:p w14:paraId="1DC34F0F" w14:textId="77777777" w:rsidR="00C454A1" w:rsidRPr="007E420E" w:rsidRDefault="00C454A1" w:rsidP="00881E6A">
                  <w:pPr>
                    <w:ind w:right="272"/>
                    <w:rPr>
                      <w:rFonts w:cs="Times New Roman"/>
                      <w:sz w:val="22"/>
                      <w:szCs w:val="22"/>
                      <w:lang w:val="es-ES"/>
                    </w:rPr>
                  </w:pPr>
                  <w:r w:rsidRPr="007E420E">
                    <w:rPr>
                      <w:rFonts w:cs="Times New Roman"/>
                      <w:sz w:val="22"/>
                      <w:szCs w:val="22"/>
                      <w:lang w:val="es-ES"/>
                    </w:rPr>
                    <w:t xml:space="preserve">Trata de personas </w:t>
                  </w:r>
                </w:p>
              </w:tc>
              <w:tc>
                <w:tcPr>
                  <w:tcW w:w="1431" w:type="dxa"/>
                </w:tcPr>
                <w:p w14:paraId="68BCB642"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418" w:type="dxa"/>
                </w:tcPr>
                <w:p w14:paraId="2AA8EA94"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842" w:type="dxa"/>
                </w:tcPr>
                <w:p w14:paraId="2D3BF91F"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956" w:type="dxa"/>
                </w:tcPr>
                <w:p w14:paraId="70D0ED6E"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2013" w:type="dxa"/>
                </w:tcPr>
                <w:p w14:paraId="1A3186A1" w14:textId="77777777" w:rsidR="00C454A1" w:rsidRPr="00130E61" w:rsidRDefault="00C454A1" w:rsidP="00881E6A">
                  <w:pPr>
                    <w:ind w:right="272"/>
                    <w:rPr>
                      <w:rFonts w:cs="Times New Roman"/>
                      <w:b/>
                      <w:sz w:val="22"/>
                      <w:szCs w:val="22"/>
                    </w:rPr>
                  </w:pPr>
                  <w:r w:rsidRPr="00130E61">
                    <w:rPr>
                      <w:rFonts w:cs="Times New Roman"/>
                      <w:sz w:val="22"/>
                      <w:szCs w:val="22"/>
                    </w:rPr>
                    <w:t xml:space="preserve">1 </w:t>
                  </w:r>
                </w:p>
              </w:tc>
              <w:tc>
                <w:tcPr>
                  <w:tcW w:w="1843" w:type="dxa"/>
                </w:tcPr>
                <w:p w14:paraId="79069717"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843" w:type="dxa"/>
                </w:tcPr>
                <w:p w14:paraId="0CDF4DF0"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r>
            <w:tr w:rsidR="00C454A1" w:rsidRPr="00F8202F" w14:paraId="4181C5BC" w14:textId="77777777" w:rsidTr="001F3006">
              <w:trPr>
                <w:jc w:val="center"/>
              </w:trPr>
              <w:tc>
                <w:tcPr>
                  <w:tcW w:w="1634" w:type="dxa"/>
                </w:tcPr>
                <w:p w14:paraId="1D7C169B" w14:textId="77777777" w:rsidR="00C454A1" w:rsidRPr="007E420E" w:rsidRDefault="00C454A1" w:rsidP="00881E6A">
                  <w:pPr>
                    <w:ind w:right="272"/>
                    <w:rPr>
                      <w:rFonts w:cs="Times New Roman"/>
                      <w:sz w:val="22"/>
                      <w:szCs w:val="22"/>
                      <w:lang w:val="es-ES"/>
                    </w:rPr>
                  </w:pPr>
                  <w:r w:rsidRPr="007E420E">
                    <w:rPr>
                      <w:rFonts w:cs="Times New Roman"/>
                      <w:sz w:val="22"/>
                      <w:szCs w:val="22"/>
                      <w:lang w:val="es-ES"/>
                    </w:rPr>
                    <w:t xml:space="preserve">Reclutamiento </w:t>
                  </w:r>
                </w:p>
              </w:tc>
              <w:tc>
                <w:tcPr>
                  <w:tcW w:w="1431" w:type="dxa"/>
                </w:tcPr>
                <w:p w14:paraId="3C7C088F"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418" w:type="dxa"/>
                </w:tcPr>
                <w:p w14:paraId="7D611E07"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842" w:type="dxa"/>
                </w:tcPr>
                <w:p w14:paraId="11C9E8B5"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1956" w:type="dxa"/>
                </w:tcPr>
                <w:p w14:paraId="09F12C77"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c>
                <w:tcPr>
                  <w:tcW w:w="2013" w:type="dxa"/>
                </w:tcPr>
                <w:p w14:paraId="04439A5D" w14:textId="77777777" w:rsidR="00C454A1" w:rsidRPr="00130E61" w:rsidRDefault="00C454A1" w:rsidP="00881E6A">
                  <w:pPr>
                    <w:ind w:right="272"/>
                    <w:rPr>
                      <w:rFonts w:cs="Times New Roman"/>
                      <w:b/>
                      <w:sz w:val="22"/>
                      <w:szCs w:val="22"/>
                    </w:rPr>
                  </w:pPr>
                  <w:r w:rsidRPr="00130E61">
                    <w:rPr>
                      <w:rFonts w:cs="Times New Roman"/>
                      <w:sz w:val="22"/>
                      <w:szCs w:val="22"/>
                    </w:rPr>
                    <w:t xml:space="preserve">1 </w:t>
                  </w:r>
                </w:p>
              </w:tc>
              <w:tc>
                <w:tcPr>
                  <w:tcW w:w="1843" w:type="dxa"/>
                </w:tcPr>
                <w:p w14:paraId="3085A00D" w14:textId="77777777" w:rsidR="00C454A1" w:rsidRPr="00130E61" w:rsidRDefault="00C454A1" w:rsidP="00881E6A">
                  <w:pPr>
                    <w:ind w:right="272"/>
                    <w:rPr>
                      <w:rFonts w:cs="Times New Roman"/>
                      <w:b/>
                      <w:sz w:val="22"/>
                      <w:szCs w:val="22"/>
                    </w:rPr>
                  </w:pPr>
                  <w:r w:rsidRPr="00130E61">
                    <w:rPr>
                      <w:rFonts w:cs="Times New Roman"/>
                      <w:sz w:val="22"/>
                      <w:szCs w:val="22"/>
                    </w:rPr>
                    <w:t xml:space="preserve">2 </w:t>
                  </w:r>
                </w:p>
              </w:tc>
              <w:tc>
                <w:tcPr>
                  <w:tcW w:w="1843" w:type="dxa"/>
                </w:tcPr>
                <w:p w14:paraId="1159EA64" w14:textId="77777777" w:rsidR="00C454A1" w:rsidRPr="00130E61" w:rsidRDefault="00C454A1" w:rsidP="00881E6A">
                  <w:pPr>
                    <w:ind w:right="272"/>
                    <w:rPr>
                      <w:rFonts w:cs="Times New Roman"/>
                      <w:b/>
                      <w:sz w:val="22"/>
                      <w:szCs w:val="22"/>
                    </w:rPr>
                  </w:pPr>
                  <w:r w:rsidRPr="00130E61">
                    <w:rPr>
                      <w:rFonts w:cs="Times New Roman"/>
                      <w:sz w:val="22"/>
                      <w:szCs w:val="22"/>
                    </w:rPr>
                    <w:t xml:space="preserve">0 </w:t>
                  </w:r>
                </w:p>
              </w:tc>
            </w:tr>
          </w:tbl>
          <w:p w14:paraId="2A8B9B1C" w14:textId="77777777" w:rsidR="00C454A1" w:rsidRDefault="00C454A1" w:rsidP="00881E6A">
            <w:pPr>
              <w:spacing w:after="160"/>
              <w:ind w:right="272"/>
              <w:textAlignment w:val="baseline"/>
              <w:rPr>
                <w:rFonts w:eastAsia="Calibri" w:cs="Times New Roman"/>
                <w:sz w:val="22"/>
                <w:szCs w:val="22"/>
              </w:rPr>
            </w:pPr>
          </w:p>
          <w:p w14:paraId="48CA4488" w14:textId="77777777" w:rsidR="00C454A1" w:rsidRPr="00DA6C7F" w:rsidRDefault="00C454A1" w:rsidP="00881E6A">
            <w:pPr>
              <w:spacing w:after="160"/>
              <w:ind w:right="272"/>
              <w:textAlignment w:val="baseline"/>
              <w:rPr>
                <w:rFonts w:eastAsia="Calibri" w:cs="Times New Roman"/>
              </w:rPr>
            </w:pPr>
            <w:r w:rsidRPr="00DA6C7F">
              <w:rPr>
                <w:rFonts w:eastAsia="Calibri" w:cs="Times New Roman"/>
              </w:rPr>
              <w:lastRenderedPageBreak/>
              <w:t>Indicó que los victimarios o presuntos victimarios son los siguientes grupos al margen de la ley que hacen presencia en su territorio: “frente de guerra Nor-oriental GAO ELN, Frente Camilo Torres Restrepo FGN ELN, Frente Luis Enrique León Guerra, Frente Juan Fernando Porras Martínez, compañía Caribe, compañía Cínera, GAO residual estructura 33 EMC”</w:t>
            </w:r>
            <w:r w:rsidRPr="00DA6C7F">
              <w:rPr>
                <w:rFonts w:eastAsia="Calibri" w:cs="Times New Roman"/>
                <w:vertAlign w:val="superscript"/>
              </w:rPr>
              <w:footnoteReference w:id="815"/>
            </w:r>
            <w:r w:rsidRPr="00DA6C7F">
              <w:rPr>
                <w:rFonts w:eastAsia="Calibri" w:cs="Times New Roman"/>
              </w:rPr>
              <w:t>. Consideró que “se ha presentado desbordamiento de la capacidad administrativa en el histórico del año 2022 a la fecha” como consecuencia de “la baja asignación de recursos” a su municipio. Señaló que, “para contrarrestar dichas actividades ilícitas”, activó el Comité Territoriales de Justicia Transicional</w:t>
            </w:r>
            <w:r w:rsidRPr="00DA6C7F">
              <w:rPr>
                <w:rFonts w:eastAsia="Calibri" w:cs="Times New Roman"/>
                <w:vertAlign w:val="superscript"/>
              </w:rPr>
              <w:footnoteReference w:id="816"/>
            </w:r>
            <w:r w:rsidRPr="00DA6C7F">
              <w:rPr>
                <w:rFonts w:eastAsia="Calibri" w:cs="Times New Roman"/>
              </w:rPr>
              <w:t xml:space="preserve"> y el Subcomité de Prevención, Protección y Garantías de No Repetición</w:t>
            </w:r>
            <w:r w:rsidRPr="00DA6C7F">
              <w:rPr>
                <w:rFonts w:eastAsia="Calibri" w:cs="Times New Roman"/>
                <w:vertAlign w:val="superscript"/>
              </w:rPr>
              <w:footnoteReference w:id="817"/>
            </w:r>
            <w:r w:rsidRPr="00DA6C7F">
              <w:rPr>
                <w:rFonts w:eastAsia="Calibri" w:cs="Times New Roman"/>
              </w:rPr>
              <w:t>.</w:t>
            </w:r>
          </w:p>
          <w:p w14:paraId="12B3FA90" w14:textId="77777777" w:rsidR="00C454A1" w:rsidRPr="00DA6C7F" w:rsidRDefault="00C454A1" w:rsidP="00881E6A">
            <w:pPr>
              <w:spacing w:after="160"/>
              <w:ind w:right="272"/>
              <w:textAlignment w:val="baseline"/>
              <w:rPr>
                <w:rFonts w:eastAsia="Calibri" w:cs="Times New Roman"/>
              </w:rPr>
            </w:pPr>
            <w:r w:rsidRPr="00DA6C7F">
              <w:rPr>
                <w:rFonts w:eastAsia="Calibri" w:cs="Times New Roman"/>
                <w:b/>
                <w:bCs/>
                <w:i/>
                <w:iCs/>
              </w:rPr>
              <w:t>Presupuesto de suficiencia</w:t>
            </w:r>
            <w:r w:rsidRPr="00DA6C7F">
              <w:rPr>
                <w:rFonts w:eastAsia="Calibri" w:cs="Times New Roman"/>
                <w:b/>
                <w:bCs/>
              </w:rPr>
              <w:t xml:space="preserve">. </w:t>
            </w:r>
            <w:r w:rsidRPr="00DA6C7F">
              <w:rPr>
                <w:rFonts w:eastAsia="Calibri" w:cs="Times New Roman"/>
              </w:rPr>
              <w:t xml:space="preserve">Informó que, en las 3 </w:t>
            </w:r>
            <w:r>
              <w:rPr>
                <w:rFonts w:eastAsia="Calibri" w:cs="Times New Roman"/>
              </w:rPr>
              <w:t>ú</w:t>
            </w:r>
            <w:r w:rsidRPr="00DA6C7F">
              <w:rPr>
                <w:rFonts w:eastAsia="Calibri" w:cs="Times New Roman"/>
              </w:rPr>
              <w:t>ltimas vigencias fiscales “no realizo</w:t>
            </w:r>
            <w:r>
              <w:rPr>
                <w:rFonts w:eastAsia="Calibri" w:cs="Times New Roman"/>
              </w:rPr>
              <w:t xml:space="preserve"> [sic]</w:t>
            </w:r>
            <w:r w:rsidRPr="00DA6C7F">
              <w:rPr>
                <w:rFonts w:eastAsia="Calibri" w:cs="Times New Roman"/>
              </w:rPr>
              <w:t xml:space="preserve"> solicitud presupuestal al gobierno Nacional para que por vía del sistema general de participaciones y el sistema general de regalías, se incrementara las partidas asignadas, con el objeto de restablecer el orden público en sus territorios o garantizar atención humanitaria a la población desplazada”</w:t>
            </w:r>
            <w:r w:rsidRPr="00DA6C7F">
              <w:rPr>
                <w:rFonts w:eastAsia="Calibri" w:cs="Times New Roman"/>
                <w:vertAlign w:val="superscript"/>
              </w:rPr>
              <w:footnoteReference w:id="818"/>
            </w:r>
            <w:r w:rsidRPr="00DA6C7F">
              <w:rPr>
                <w:rFonts w:eastAsia="Calibri" w:cs="Times New Roman"/>
              </w:rPr>
              <w:t>.</w:t>
            </w:r>
          </w:p>
        </w:tc>
      </w:tr>
      <w:tr w:rsidR="00C454A1" w:rsidRPr="00F8202F" w14:paraId="61555AFC" w14:textId="77777777" w:rsidTr="005F4A6F">
        <w:trPr>
          <w:trHeight w:val="300"/>
        </w:trPr>
        <w:tc>
          <w:tcPr>
            <w:tcW w:w="642" w:type="pct"/>
          </w:tcPr>
          <w:p w14:paraId="23465DD5" w14:textId="77777777" w:rsidR="00C454A1" w:rsidRPr="00DA6C7F" w:rsidRDefault="00C454A1" w:rsidP="00881E6A">
            <w:pPr>
              <w:spacing w:before="840" w:after="840" w:line="259" w:lineRule="auto"/>
              <w:ind w:right="272"/>
              <w:contextualSpacing/>
              <w:jc w:val="center"/>
              <w:textAlignment w:val="baseline"/>
              <w:rPr>
                <w:rFonts w:eastAsia="Calibri" w:cs="Times New Roman"/>
                <w:b/>
                <w:bCs/>
                <w:iCs/>
              </w:rPr>
            </w:pPr>
          </w:p>
          <w:p w14:paraId="5D8A6E72" w14:textId="77777777" w:rsidR="00C454A1" w:rsidRPr="00DA6C7F" w:rsidRDefault="00C454A1" w:rsidP="00881E6A">
            <w:pPr>
              <w:spacing w:before="840" w:after="840" w:line="259" w:lineRule="auto"/>
              <w:ind w:right="272"/>
              <w:contextualSpacing/>
              <w:jc w:val="center"/>
              <w:textAlignment w:val="baseline"/>
              <w:rPr>
                <w:rFonts w:eastAsia="Calibri" w:cs="Times New Roman"/>
                <w:b/>
                <w:bCs/>
                <w:iCs/>
              </w:rPr>
            </w:pPr>
            <w:r w:rsidRPr="00DA6C7F">
              <w:rPr>
                <w:rFonts w:eastAsia="Calibri" w:cs="Times New Roman"/>
                <w:b/>
                <w:bCs/>
                <w:iCs/>
              </w:rPr>
              <w:t>Agencia para la Reincorporación y la Normalización</w:t>
            </w:r>
          </w:p>
        </w:tc>
        <w:tc>
          <w:tcPr>
            <w:tcW w:w="4358" w:type="pct"/>
          </w:tcPr>
          <w:p w14:paraId="22BC02DA" w14:textId="77777777" w:rsidR="00C454A1" w:rsidRPr="00130E61" w:rsidRDefault="00C454A1" w:rsidP="00881E6A">
            <w:pPr>
              <w:ind w:right="272"/>
              <w:textAlignment w:val="baseline"/>
              <w:rPr>
                <w:rFonts w:eastAsia="Calibri" w:cs="Times New Roman"/>
                <w:lang w:val="es-ES"/>
              </w:rPr>
            </w:pPr>
            <w:r w:rsidRPr="00130E61">
              <w:rPr>
                <w:rFonts w:eastAsia="Calibri" w:cs="Times New Roman"/>
                <w:lang w:val="es-ES"/>
              </w:rPr>
              <w:t>La Agencia para la Reincorporación y la Normalización remitió la siguiente información en relación con las preguntas planteadas en el auto de pruebas respecto de cada uno de los presupuestos:</w:t>
            </w:r>
          </w:p>
          <w:p w14:paraId="21C62D34" w14:textId="77777777" w:rsidR="00C454A1" w:rsidRPr="00130E61" w:rsidRDefault="00C454A1" w:rsidP="00881E6A">
            <w:pPr>
              <w:ind w:right="272"/>
              <w:textAlignment w:val="baseline"/>
              <w:rPr>
                <w:rFonts w:eastAsia="Calibri" w:cs="Times New Roman"/>
                <w:lang w:val="es-ES"/>
              </w:rPr>
            </w:pPr>
          </w:p>
          <w:p w14:paraId="4AC0ECB8" w14:textId="77777777" w:rsidR="00C454A1" w:rsidRPr="00130E61" w:rsidRDefault="00C454A1" w:rsidP="00881E6A">
            <w:pPr>
              <w:spacing w:line="259" w:lineRule="auto"/>
              <w:ind w:right="272"/>
              <w:textAlignment w:val="baseline"/>
              <w:rPr>
                <w:rFonts w:eastAsia="Calibri" w:cs="Times New Roman"/>
                <w:lang w:val="es-ES"/>
              </w:rPr>
            </w:pPr>
            <w:r w:rsidRPr="00130E61">
              <w:rPr>
                <w:rFonts w:eastAsia="Calibri" w:cs="Times New Roman"/>
                <w:b/>
                <w:bCs/>
                <w:i/>
                <w:iCs/>
                <w:lang w:val="es-ES"/>
              </w:rPr>
              <w:t>Presupuesto Fáctico</w:t>
            </w:r>
            <w:r w:rsidRPr="00130E61">
              <w:rPr>
                <w:rFonts w:eastAsia="Calibri" w:cs="Times New Roman"/>
                <w:lang w:val="es-ES"/>
              </w:rPr>
              <w:t xml:space="preserve">. Precisó que los líderes sociales “no son objeto de atención por parte de la ARN” y, </w:t>
            </w:r>
            <w:r>
              <w:rPr>
                <w:rFonts w:eastAsia="Calibri" w:cs="Times New Roman"/>
                <w:lang w:val="es-ES"/>
              </w:rPr>
              <w:t>e</w:t>
            </w:r>
            <w:r w:rsidRPr="00130E61">
              <w:rPr>
                <w:rFonts w:eastAsia="Calibri" w:cs="Times New Roman"/>
                <w:lang w:val="es-ES"/>
              </w:rPr>
              <w:t>n consecuencia, la información que suministró “solo se refiere a personas en Proceso de Reincorporación firmantes del Acuerdo de Paz”. Presentó la siguiente tabla en la que relacionó “los casos de riesgo reportados por las personas en Proceso de Reincorporación en la región del Catatumbo” y el lugar en el que ocurrieron los hechos.</w:t>
            </w:r>
          </w:p>
          <w:p w14:paraId="66463DF6" w14:textId="77777777" w:rsidR="00C454A1" w:rsidRDefault="00C454A1" w:rsidP="00881E6A">
            <w:pPr>
              <w:spacing w:line="259" w:lineRule="auto"/>
              <w:ind w:right="272"/>
              <w:textAlignment w:val="baseline"/>
              <w:rPr>
                <w:rFonts w:eastAsia="Calibri" w:cs="Times New Roman"/>
                <w:lang w:val="es-ES"/>
              </w:rPr>
            </w:pPr>
          </w:p>
          <w:p w14:paraId="2FC3EE85" w14:textId="77777777" w:rsidR="00C454A1" w:rsidRPr="002A7CC3" w:rsidRDefault="00C454A1" w:rsidP="00881E6A">
            <w:pPr>
              <w:spacing w:line="259" w:lineRule="auto"/>
              <w:ind w:left="5035" w:right="272"/>
              <w:jc w:val="center"/>
              <w:textAlignment w:val="baseline"/>
              <w:rPr>
                <w:rFonts w:eastAsia="Calibri" w:cs="Times New Roman"/>
                <w:i/>
                <w:iCs/>
                <w:sz w:val="20"/>
                <w:szCs w:val="20"/>
                <w:lang w:val="es-ES"/>
              </w:rPr>
            </w:pPr>
            <w:r w:rsidRPr="002A7CC3">
              <w:rPr>
                <w:rFonts w:eastAsia="Calibri" w:cs="Times New Roman"/>
                <w:i/>
                <w:iCs/>
                <w:sz w:val="20"/>
                <w:szCs w:val="20"/>
                <w:lang w:val="es-ES"/>
              </w:rPr>
              <w:t>Tabla 44: casos de riesgo reportados por las personas en Proceso de Reincorporación en la región del Catatumbo, datos suministrados por la ARN</w:t>
            </w:r>
          </w:p>
          <w:tbl>
            <w:tblPr>
              <w:tblStyle w:val="Tablaconcuadrcula"/>
              <w:tblW w:w="0" w:type="auto"/>
              <w:jc w:val="center"/>
              <w:tblLook w:val="04A0" w:firstRow="1" w:lastRow="0" w:firstColumn="1" w:lastColumn="0" w:noHBand="0" w:noVBand="1"/>
            </w:tblPr>
            <w:tblGrid>
              <w:gridCol w:w="2215"/>
              <w:gridCol w:w="929"/>
              <w:gridCol w:w="929"/>
              <w:gridCol w:w="929"/>
              <w:gridCol w:w="990"/>
            </w:tblGrid>
            <w:tr w:rsidR="00C454A1" w:rsidRPr="00F8202F" w14:paraId="08235B00" w14:textId="77777777" w:rsidTr="001F3006">
              <w:trPr>
                <w:jc w:val="center"/>
              </w:trPr>
              <w:tc>
                <w:tcPr>
                  <w:tcW w:w="2215" w:type="dxa"/>
                  <w:shd w:val="clear" w:color="auto" w:fill="D1D1D1" w:themeFill="background2" w:themeFillShade="E6"/>
                </w:tcPr>
                <w:p w14:paraId="0AA22A3A"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lastRenderedPageBreak/>
                    <w:t>Municipio</w:t>
                  </w:r>
                </w:p>
              </w:tc>
              <w:tc>
                <w:tcPr>
                  <w:tcW w:w="656" w:type="dxa"/>
                  <w:shd w:val="clear" w:color="auto" w:fill="D1D1D1" w:themeFill="background2" w:themeFillShade="E6"/>
                </w:tcPr>
                <w:p w14:paraId="0A3AB89B"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t>2022</w:t>
                  </w:r>
                </w:p>
              </w:tc>
              <w:tc>
                <w:tcPr>
                  <w:tcW w:w="709" w:type="dxa"/>
                  <w:shd w:val="clear" w:color="auto" w:fill="D1D1D1" w:themeFill="background2" w:themeFillShade="E6"/>
                </w:tcPr>
                <w:p w14:paraId="09C8DB5E"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t>2023</w:t>
                  </w:r>
                </w:p>
              </w:tc>
              <w:tc>
                <w:tcPr>
                  <w:tcW w:w="709" w:type="dxa"/>
                  <w:shd w:val="clear" w:color="auto" w:fill="D1D1D1" w:themeFill="background2" w:themeFillShade="E6"/>
                </w:tcPr>
                <w:p w14:paraId="79945C71"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t>2024</w:t>
                  </w:r>
                </w:p>
              </w:tc>
              <w:tc>
                <w:tcPr>
                  <w:tcW w:w="708" w:type="dxa"/>
                  <w:shd w:val="clear" w:color="auto" w:fill="D1D1D1" w:themeFill="background2" w:themeFillShade="E6"/>
                </w:tcPr>
                <w:p w14:paraId="4BAB5D33"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t>Total</w:t>
                  </w:r>
                </w:p>
              </w:tc>
            </w:tr>
            <w:tr w:rsidR="00C454A1" w:rsidRPr="00F8202F" w14:paraId="145408E5" w14:textId="77777777" w:rsidTr="001F3006">
              <w:trPr>
                <w:jc w:val="center"/>
              </w:trPr>
              <w:tc>
                <w:tcPr>
                  <w:tcW w:w="2215" w:type="dxa"/>
                </w:tcPr>
                <w:p w14:paraId="4F66D0F0"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Abrego</w:t>
                  </w:r>
                </w:p>
              </w:tc>
              <w:tc>
                <w:tcPr>
                  <w:tcW w:w="656" w:type="dxa"/>
                </w:tcPr>
                <w:p w14:paraId="366A5B08"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c>
                <w:tcPr>
                  <w:tcW w:w="709" w:type="dxa"/>
                </w:tcPr>
                <w:p w14:paraId="29332590"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2A34CF1E"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46FA8884"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r>
            <w:tr w:rsidR="00C454A1" w:rsidRPr="00F8202F" w14:paraId="770DA54F" w14:textId="77777777" w:rsidTr="001F3006">
              <w:trPr>
                <w:jc w:val="center"/>
              </w:trPr>
              <w:tc>
                <w:tcPr>
                  <w:tcW w:w="2215" w:type="dxa"/>
                </w:tcPr>
                <w:p w14:paraId="76E603F8"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Convención</w:t>
                  </w:r>
                </w:p>
              </w:tc>
              <w:tc>
                <w:tcPr>
                  <w:tcW w:w="656" w:type="dxa"/>
                </w:tcPr>
                <w:p w14:paraId="7133259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9" w:type="dxa"/>
                </w:tcPr>
                <w:p w14:paraId="52354235"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c>
                <w:tcPr>
                  <w:tcW w:w="709" w:type="dxa"/>
                </w:tcPr>
                <w:p w14:paraId="6039C1F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22D240D3"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3</w:t>
                  </w:r>
                </w:p>
              </w:tc>
            </w:tr>
            <w:tr w:rsidR="00C454A1" w:rsidRPr="00F8202F" w14:paraId="2C07F3C0" w14:textId="77777777" w:rsidTr="001F3006">
              <w:trPr>
                <w:jc w:val="center"/>
              </w:trPr>
              <w:tc>
                <w:tcPr>
                  <w:tcW w:w="2215" w:type="dxa"/>
                </w:tcPr>
                <w:p w14:paraId="618BAC8D"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Cúcuta</w:t>
                  </w:r>
                </w:p>
              </w:tc>
              <w:tc>
                <w:tcPr>
                  <w:tcW w:w="656" w:type="dxa"/>
                </w:tcPr>
                <w:p w14:paraId="466789F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3</w:t>
                  </w:r>
                </w:p>
              </w:tc>
              <w:tc>
                <w:tcPr>
                  <w:tcW w:w="709" w:type="dxa"/>
                </w:tcPr>
                <w:p w14:paraId="0D23D1E6"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c>
                <w:tcPr>
                  <w:tcW w:w="709" w:type="dxa"/>
                </w:tcPr>
                <w:p w14:paraId="323814E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3</w:t>
                  </w:r>
                </w:p>
              </w:tc>
              <w:tc>
                <w:tcPr>
                  <w:tcW w:w="708" w:type="dxa"/>
                </w:tcPr>
                <w:p w14:paraId="2C860203"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8</w:t>
                  </w:r>
                </w:p>
              </w:tc>
            </w:tr>
            <w:tr w:rsidR="00C454A1" w:rsidRPr="00F8202F" w14:paraId="2B22EDF3" w14:textId="77777777" w:rsidTr="001F3006">
              <w:trPr>
                <w:jc w:val="center"/>
              </w:trPr>
              <w:tc>
                <w:tcPr>
                  <w:tcW w:w="2215" w:type="dxa"/>
                </w:tcPr>
                <w:p w14:paraId="481ECB3D"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Durania</w:t>
                  </w:r>
                </w:p>
              </w:tc>
              <w:tc>
                <w:tcPr>
                  <w:tcW w:w="656" w:type="dxa"/>
                </w:tcPr>
                <w:p w14:paraId="6067CFBB"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9" w:type="dxa"/>
                </w:tcPr>
                <w:p w14:paraId="09991A58"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51945A8A"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8" w:type="dxa"/>
                </w:tcPr>
                <w:p w14:paraId="43623F4B"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r>
            <w:tr w:rsidR="00C454A1" w:rsidRPr="00F8202F" w14:paraId="63080B93" w14:textId="77777777" w:rsidTr="001F3006">
              <w:trPr>
                <w:jc w:val="center"/>
              </w:trPr>
              <w:tc>
                <w:tcPr>
                  <w:tcW w:w="2215" w:type="dxa"/>
                </w:tcPr>
                <w:p w14:paraId="760F449D"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El Carmen</w:t>
                  </w:r>
                </w:p>
              </w:tc>
              <w:tc>
                <w:tcPr>
                  <w:tcW w:w="656" w:type="dxa"/>
                </w:tcPr>
                <w:p w14:paraId="42C823DC"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13148D4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9" w:type="dxa"/>
                </w:tcPr>
                <w:p w14:paraId="167BEAC1"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8" w:type="dxa"/>
                </w:tcPr>
                <w:p w14:paraId="2AE9B66C"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r>
            <w:tr w:rsidR="00C454A1" w:rsidRPr="00F8202F" w14:paraId="757DE76A" w14:textId="77777777" w:rsidTr="001F3006">
              <w:trPr>
                <w:jc w:val="center"/>
              </w:trPr>
              <w:tc>
                <w:tcPr>
                  <w:tcW w:w="2215" w:type="dxa"/>
                </w:tcPr>
                <w:p w14:paraId="46B0E509"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El Tarra</w:t>
                  </w:r>
                </w:p>
              </w:tc>
              <w:tc>
                <w:tcPr>
                  <w:tcW w:w="656" w:type="dxa"/>
                </w:tcPr>
                <w:p w14:paraId="0B4F73EC"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5</w:t>
                  </w:r>
                </w:p>
              </w:tc>
              <w:tc>
                <w:tcPr>
                  <w:tcW w:w="709" w:type="dxa"/>
                </w:tcPr>
                <w:p w14:paraId="021EDC8F"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9" w:type="dxa"/>
                </w:tcPr>
                <w:p w14:paraId="750019C9"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1FEA2AEF"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6</w:t>
                  </w:r>
                </w:p>
              </w:tc>
            </w:tr>
            <w:tr w:rsidR="00C454A1" w:rsidRPr="00F8202F" w14:paraId="3D5B0A3D" w14:textId="77777777" w:rsidTr="001F3006">
              <w:trPr>
                <w:jc w:val="center"/>
              </w:trPr>
              <w:tc>
                <w:tcPr>
                  <w:tcW w:w="2215" w:type="dxa"/>
                </w:tcPr>
                <w:p w14:paraId="7A23D07B"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El Zulia</w:t>
                  </w:r>
                </w:p>
              </w:tc>
              <w:tc>
                <w:tcPr>
                  <w:tcW w:w="656" w:type="dxa"/>
                </w:tcPr>
                <w:p w14:paraId="4B01EC01"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23C7BCCE"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9" w:type="dxa"/>
                </w:tcPr>
                <w:p w14:paraId="40A2E787"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449904D4"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r>
            <w:tr w:rsidR="00C454A1" w:rsidRPr="00F8202F" w14:paraId="2E7E94E0" w14:textId="77777777" w:rsidTr="001F3006">
              <w:trPr>
                <w:jc w:val="center"/>
              </w:trPr>
              <w:tc>
                <w:tcPr>
                  <w:tcW w:w="2215" w:type="dxa"/>
                </w:tcPr>
                <w:p w14:paraId="68A49C1A"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Hacarí</w:t>
                  </w:r>
                </w:p>
              </w:tc>
              <w:tc>
                <w:tcPr>
                  <w:tcW w:w="656" w:type="dxa"/>
                </w:tcPr>
                <w:p w14:paraId="0E057866"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02E8AA90"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32E4110F"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8" w:type="dxa"/>
                </w:tcPr>
                <w:p w14:paraId="726F2F8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r>
            <w:tr w:rsidR="00C454A1" w:rsidRPr="00F8202F" w14:paraId="526D212D" w14:textId="77777777" w:rsidTr="001F3006">
              <w:trPr>
                <w:jc w:val="center"/>
              </w:trPr>
              <w:tc>
                <w:tcPr>
                  <w:tcW w:w="2215" w:type="dxa"/>
                </w:tcPr>
                <w:p w14:paraId="49221896"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Los Patios</w:t>
                  </w:r>
                </w:p>
              </w:tc>
              <w:tc>
                <w:tcPr>
                  <w:tcW w:w="656" w:type="dxa"/>
                </w:tcPr>
                <w:p w14:paraId="3C1609B6"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9" w:type="dxa"/>
                </w:tcPr>
                <w:p w14:paraId="347F4F14"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13098271"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6EDDEA29"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r>
            <w:tr w:rsidR="00C454A1" w:rsidRPr="00F8202F" w14:paraId="28D5DD7D" w14:textId="77777777" w:rsidTr="001F3006">
              <w:trPr>
                <w:jc w:val="center"/>
              </w:trPr>
              <w:tc>
                <w:tcPr>
                  <w:tcW w:w="2215" w:type="dxa"/>
                </w:tcPr>
                <w:p w14:paraId="3F9EA5F9"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Ocaña</w:t>
                  </w:r>
                </w:p>
              </w:tc>
              <w:tc>
                <w:tcPr>
                  <w:tcW w:w="656" w:type="dxa"/>
                </w:tcPr>
                <w:p w14:paraId="44520724"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19E8C713"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c>
                <w:tcPr>
                  <w:tcW w:w="709" w:type="dxa"/>
                </w:tcPr>
                <w:p w14:paraId="1229D2F6"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698EDD8A"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r>
            <w:tr w:rsidR="00C454A1" w:rsidRPr="00F8202F" w14:paraId="18AB8440" w14:textId="77777777" w:rsidTr="001F3006">
              <w:trPr>
                <w:jc w:val="center"/>
              </w:trPr>
              <w:tc>
                <w:tcPr>
                  <w:tcW w:w="2215" w:type="dxa"/>
                </w:tcPr>
                <w:p w14:paraId="2F9EBC88"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San Calixto</w:t>
                  </w:r>
                </w:p>
              </w:tc>
              <w:tc>
                <w:tcPr>
                  <w:tcW w:w="656" w:type="dxa"/>
                </w:tcPr>
                <w:p w14:paraId="77B3891E"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3DA02A53"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9" w:type="dxa"/>
                </w:tcPr>
                <w:p w14:paraId="448497AE"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2DBBCCC6"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r>
            <w:tr w:rsidR="00C454A1" w:rsidRPr="00F8202F" w14:paraId="216F27A1" w14:textId="77777777" w:rsidTr="001F3006">
              <w:trPr>
                <w:jc w:val="center"/>
              </w:trPr>
              <w:tc>
                <w:tcPr>
                  <w:tcW w:w="2215" w:type="dxa"/>
                </w:tcPr>
                <w:p w14:paraId="06FD473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Sardinata</w:t>
                  </w:r>
                </w:p>
              </w:tc>
              <w:tc>
                <w:tcPr>
                  <w:tcW w:w="656" w:type="dxa"/>
                </w:tcPr>
                <w:p w14:paraId="3DA108A1"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c>
                <w:tcPr>
                  <w:tcW w:w="709" w:type="dxa"/>
                </w:tcPr>
                <w:p w14:paraId="65D4DC8E"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321E2C26"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4A906B3F"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r>
            <w:tr w:rsidR="00C454A1" w:rsidRPr="00F8202F" w14:paraId="30F2373C" w14:textId="77777777" w:rsidTr="001F3006">
              <w:trPr>
                <w:jc w:val="center"/>
              </w:trPr>
              <w:tc>
                <w:tcPr>
                  <w:tcW w:w="2215" w:type="dxa"/>
                </w:tcPr>
                <w:p w14:paraId="405019DD"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Teorama</w:t>
                  </w:r>
                </w:p>
              </w:tc>
              <w:tc>
                <w:tcPr>
                  <w:tcW w:w="656" w:type="dxa"/>
                </w:tcPr>
                <w:p w14:paraId="5BFD0CF9"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15E7968F"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2</w:t>
                  </w:r>
                </w:p>
              </w:tc>
              <w:tc>
                <w:tcPr>
                  <w:tcW w:w="709" w:type="dxa"/>
                </w:tcPr>
                <w:p w14:paraId="7087A737"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8" w:type="dxa"/>
                </w:tcPr>
                <w:p w14:paraId="1F26DCD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3</w:t>
                  </w:r>
                </w:p>
              </w:tc>
            </w:tr>
            <w:tr w:rsidR="00C454A1" w:rsidRPr="00F8202F" w14:paraId="1DA5DB43" w14:textId="77777777" w:rsidTr="001F3006">
              <w:trPr>
                <w:jc w:val="center"/>
              </w:trPr>
              <w:tc>
                <w:tcPr>
                  <w:tcW w:w="2215" w:type="dxa"/>
                </w:tcPr>
                <w:p w14:paraId="573DD58F"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Tibú</w:t>
                  </w:r>
                </w:p>
              </w:tc>
              <w:tc>
                <w:tcPr>
                  <w:tcW w:w="656" w:type="dxa"/>
                </w:tcPr>
                <w:p w14:paraId="7A36A3D7"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4</w:t>
                  </w:r>
                </w:p>
              </w:tc>
              <w:tc>
                <w:tcPr>
                  <w:tcW w:w="709" w:type="dxa"/>
                </w:tcPr>
                <w:p w14:paraId="1D386798"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4</w:t>
                  </w:r>
                </w:p>
              </w:tc>
              <w:tc>
                <w:tcPr>
                  <w:tcW w:w="709" w:type="dxa"/>
                </w:tcPr>
                <w:p w14:paraId="17EAE8B2"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5</w:t>
                  </w:r>
                </w:p>
              </w:tc>
              <w:tc>
                <w:tcPr>
                  <w:tcW w:w="708" w:type="dxa"/>
                </w:tcPr>
                <w:p w14:paraId="29EDAA2A"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13</w:t>
                  </w:r>
                </w:p>
              </w:tc>
            </w:tr>
            <w:tr w:rsidR="00C454A1" w:rsidRPr="00F8202F" w14:paraId="538C0B60" w14:textId="77777777" w:rsidTr="001F3006">
              <w:trPr>
                <w:jc w:val="center"/>
              </w:trPr>
              <w:tc>
                <w:tcPr>
                  <w:tcW w:w="2215" w:type="dxa"/>
                </w:tcPr>
                <w:p w14:paraId="7ED9502F"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 xml:space="preserve">Villa del Rosario </w:t>
                  </w:r>
                </w:p>
              </w:tc>
              <w:tc>
                <w:tcPr>
                  <w:tcW w:w="656" w:type="dxa"/>
                </w:tcPr>
                <w:p w14:paraId="71E619C6"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c>
                <w:tcPr>
                  <w:tcW w:w="709" w:type="dxa"/>
                </w:tcPr>
                <w:p w14:paraId="2377C721"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9" w:type="dxa"/>
                </w:tcPr>
                <w:p w14:paraId="451EFCC1"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w:t>
                  </w:r>
                </w:p>
              </w:tc>
              <w:tc>
                <w:tcPr>
                  <w:tcW w:w="708" w:type="dxa"/>
                </w:tcPr>
                <w:p w14:paraId="50D341B1"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1</w:t>
                  </w:r>
                </w:p>
              </w:tc>
            </w:tr>
            <w:tr w:rsidR="00C454A1" w:rsidRPr="00F8202F" w14:paraId="1F469E1C" w14:textId="77777777" w:rsidTr="001F3006">
              <w:trPr>
                <w:jc w:val="center"/>
              </w:trPr>
              <w:tc>
                <w:tcPr>
                  <w:tcW w:w="2215" w:type="dxa"/>
                </w:tcPr>
                <w:p w14:paraId="3E9D472E" w14:textId="77777777" w:rsidR="00C454A1" w:rsidRPr="00130E61" w:rsidRDefault="00C454A1" w:rsidP="00881E6A">
                  <w:pPr>
                    <w:ind w:right="272"/>
                    <w:textAlignment w:val="baseline"/>
                    <w:rPr>
                      <w:rFonts w:cs="Times New Roman"/>
                      <w:sz w:val="22"/>
                      <w:szCs w:val="22"/>
                      <w:lang w:val="es-ES"/>
                    </w:rPr>
                  </w:pPr>
                  <w:r w:rsidRPr="00130E61">
                    <w:rPr>
                      <w:rFonts w:cs="Times New Roman"/>
                      <w:sz w:val="22"/>
                      <w:szCs w:val="22"/>
                      <w:lang w:val="es-ES"/>
                    </w:rPr>
                    <w:t xml:space="preserve">Total </w:t>
                  </w:r>
                </w:p>
              </w:tc>
              <w:tc>
                <w:tcPr>
                  <w:tcW w:w="656" w:type="dxa"/>
                </w:tcPr>
                <w:p w14:paraId="32C0795E"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t>20</w:t>
                  </w:r>
                </w:p>
              </w:tc>
              <w:tc>
                <w:tcPr>
                  <w:tcW w:w="709" w:type="dxa"/>
                </w:tcPr>
                <w:p w14:paraId="1CFCD3D5"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t>16</w:t>
                  </w:r>
                </w:p>
              </w:tc>
              <w:tc>
                <w:tcPr>
                  <w:tcW w:w="709" w:type="dxa"/>
                </w:tcPr>
                <w:p w14:paraId="2A574D33"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t>12</w:t>
                  </w:r>
                </w:p>
              </w:tc>
              <w:tc>
                <w:tcPr>
                  <w:tcW w:w="708" w:type="dxa"/>
                </w:tcPr>
                <w:p w14:paraId="7239678E" w14:textId="77777777" w:rsidR="00C454A1" w:rsidRPr="00130E61" w:rsidRDefault="00C454A1" w:rsidP="00881E6A">
                  <w:pPr>
                    <w:ind w:right="272"/>
                    <w:textAlignment w:val="baseline"/>
                    <w:rPr>
                      <w:rFonts w:cs="Times New Roman"/>
                      <w:b/>
                      <w:sz w:val="22"/>
                      <w:szCs w:val="22"/>
                      <w:lang w:val="es-ES"/>
                    </w:rPr>
                  </w:pPr>
                  <w:r w:rsidRPr="00130E61">
                    <w:rPr>
                      <w:rFonts w:cs="Times New Roman"/>
                      <w:b/>
                      <w:sz w:val="22"/>
                      <w:szCs w:val="22"/>
                      <w:lang w:val="es-ES"/>
                    </w:rPr>
                    <w:t>48</w:t>
                  </w:r>
                </w:p>
              </w:tc>
            </w:tr>
          </w:tbl>
          <w:p w14:paraId="732C64D2" w14:textId="77777777" w:rsidR="00C454A1" w:rsidRDefault="00C454A1" w:rsidP="00881E6A">
            <w:pPr>
              <w:ind w:right="272"/>
              <w:textAlignment w:val="baseline"/>
              <w:rPr>
                <w:rFonts w:eastAsia="Calibri" w:cs="Times New Roman"/>
                <w:lang w:val="es-ES"/>
              </w:rPr>
            </w:pPr>
          </w:p>
          <w:p w14:paraId="0924C587" w14:textId="77777777" w:rsidR="00C454A1" w:rsidRPr="00130E61" w:rsidRDefault="00C454A1" w:rsidP="00881E6A">
            <w:pPr>
              <w:ind w:right="272"/>
              <w:textAlignment w:val="baseline"/>
              <w:rPr>
                <w:rFonts w:cs="Times New Roman"/>
                <w:lang w:val="es-ES"/>
              </w:rPr>
            </w:pPr>
            <w:r w:rsidRPr="00130E61">
              <w:rPr>
                <w:rFonts w:cs="Times New Roman"/>
                <w:lang w:val="es-ES"/>
              </w:rPr>
              <w:t xml:space="preserve">Indicó que, de acuerdo con la información que reposa en el Sistema para la Reintegración y la Reincorporación (SIRR) de la ARN, “se pudo establecer que de los 48 casos reportados entre 2022 y 2024; 45 casos fueron atribuidos a grupos guerrilleros, uno (1) a bandas criminales y dos (2) se encuentran sin presunto responsable”. </w:t>
            </w:r>
          </w:p>
          <w:p w14:paraId="62BA7B9F" w14:textId="77777777" w:rsidR="00C454A1" w:rsidRPr="00130E61" w:rsidRDefault="00C454A1" w:rsidP="00881E6A">
            <w:pPr>
              <w:ind w:right="272"/>
              <w:textAlignment w:val="baseline"/>
              <w:rPr>
                <w:rFonts w:eastAsia="Calibri" w:cs="Times New Roman"/>
                <w:lang w:val="es-ES"/>
              </w:rPr>
            </w:pPr>
          </w:p>
          <w:p w14:paraId="272569B7" w14:textId="77777777" w:rsidR="00C454A1" w:rsidRPr="00130E61" w:rsidRDefault="00C454A1" w:rsidP="00881E6A">
            <w:pPr>
              <w:ind w:right="272"/>
              <w:textAlignment w:val="baseline"/>
              <w:rPr>
                <w:rFonts w:eastAsia="Calibri" w:cs="Times New Roman"/>
                <w:lang w:val="es-ES"/>
              </w:rPr>
            </w:pPr>
            <w:r w:rsidRPr="00130E61">
              <w:rPr>
                <w:rFonts w:cs="Times New Roman"/>
                <w:b/>
                <w:bCs/>
                <w:i/>
                <w:iCs/>
                <w:lang w:val="es-ES"/>
              </w:rPr>
              <w:t>Presupuesto de suficiencia</w:t>
            </w:r>
            <w:r w:rsidRPr="00130E61">
              <w:rPr>
                <w:rFonts w:cs="Times New Roman"/>
                <w:b/>
                <w:bCs/>
                <w:lang w:val="es-ES"/>
              </w:rPr>
              <w:t xml:space="preserve">. </w:t>
            </w:r>
            <w:r w:rsidRPr="00130E61">
              <w:rPr>
                <w:rFonts w:cs="Times New Roman"/>
                <w:lang w:val="es-ES"/>
              </w:rPr>
              <w:t xml:space="preserve">Señaló que, en cumplimiento de su función de gestionar, coordinar y articular esfuerzos con las entidades competentes para mitigar “los riesgos a la vida y la integridad personal” de la población en proceso de reincorporación, emitió el “Instructivo para la orientación y apoyo por riesgo de seguridad contra la vida e integridad física de la población objeto de la ARN. Indicó que dicho documento “establece el procedimiento para gestionar las solicitudes de protección ante la UNP”. Asimismo, explicó que desde el año 2020 “ha venido implementando la prevención de los riesgos a toda la población firmante del Acuerdo de Paz”, a partir de 3 ejes de acciones: </w:t>
            </w:r>
            <w:r w:rsidRPr="00130E61">
              <w:rPr>
                <w:rFonts w:cs="Times New Roman"/>
                <w:i/>
                <w:iCs/>
                <w:lang w:val="es-ES"/>
              </w:rPr>
              <w:t xml:space="preserve">(i) </w:t>
            </w:r>
            <w:r w:rsidRPr="00130E61">
              <w:rPr>
                <w:rFonts w:cs="Times New Roman"/>
                <w:lang w:val="es-ES"/>
              </w:rPr>
              <w:lastRenderedPageBreak/>
              <w:t>“Articulación Interinstitucional de las instancias creadas para la seguridad y protección”</w:t>
            </w:r>
            <w:r w:rsidRPr="00130E61">
              <w:rPr>
                <w:rStyle w:val="Refdenotaalpie"/>
                <w:rFonts w:cs="Times New Roman"/>
                <w:lang w:val="es-ES"/>
              </w:rPr>
              <w:footnoteReference w:id="819"/>
            </w:r>
            <w:r w:rsidRPr="00130E61">
              <w:rPr>
                <w:rFonts w:cs="Times New Roman"/>
                <w:lang w:val="es-ES"/>
              </w:rPr>
              <w:t xml:space="preserve">; </w:t>
            </w:r>
            <w:r w:rsidRPr="00130E61">
              <w:rPr>
                <w:rFonts w:cs="Times New Roman"/>
                <w:i/>
                <w:iCs/>
                <w:lang w:val="es-ES"/>
              </w:rPr>
              <w:t>(ii)</w:t>
            </w:r>
            <w:r w:rsidRPr="00130E61">
              <w:rPr>
                <w:rFonts w:cs="Times New Roman"/>
                <w:lang w:val="es-ES"/>
              </w:rPr>
              <w:t xml:space="preserve"> “[l]a gestión de los riesgos ante autoridades competentes”</w:t>
            </w:r>
            <w:r w:rsidRPr="00130E61">
              <w:rPr>
                <w:rStyle w:val="Refdenotaalpie"/>
                <w:rFonts w:cs="Times New Roman"/>
                <w:lang w:val="es-ES"/>
              </w:rPr>
              <w:footnoteReference w:id="820"/>
            </w:r>
            <w:r w:rsidRPr="00130E61">
              <w:rPr>
                <w:rFonts w:cs="Times New Roman"/>
                <w:lang w:val="es-ES"/>
              </w:rPr>
              <w:t xml:space="preserve">; y </w:t>
            </w:r>
            <w:r w:rsidRPr="00130E61">
              <w:rPr>
                <w:rFonts w:cs="Times New Roman"/>
                <w:i/>
                <w:iCs/>
                <w:lang w:val="es-ES"/>
              </w:rPr>
              <w:t>(iii)</w:t>
            </w:r>
            <w:r w:rsidRPr="00130E61">
              <w:rPr>
                <w:rFonts w:cs="Times New Roman"/>
                <w:lang w:val="es-ES"/>
              </w:rPr>
              <w:t xml:space="preserve"> “[f]ortalecimiento de capacidades”</w:t>
            </w:r>
            <w:r w:rsidRPr="00130E61">
              <w:rPr>
                <w:rStyle w:val="Refdenotaalpie"/>
                <w:rFonts w:cs="Times New Roman"/>
                <w:lang w:val="es-ES"/>
              </w:rPr>
              <w:footnoteReference w:id="821"/>
            </w:r>
            <w:r w:rsidRPr="00130E61">
              <w:rPr>
                <w:rFonts w:cs="Times New Roman"/>
                <w:lang w:val="es-ES"/>
              </w:rPr>
              <w:t>.</w:t>
            </w:r>
          </w:p>
        </w:tc>
      </w:tr>
      <w:tr w:rsidR="00C454A1" w:rsidRPr="00F8202F" w14:paraId="63BFD2DF" w14:textId="77777777" w:rsidTr="005F4A6F">
        <w:trPr>
          <w:trHeight w:val="300"/>
        </w:trPr>
        <w:tc>
          <w:tcPr>
            <w:tcW w:w="642" w:type="pct"/>
          </w:tcPr>
          <w:p w14:paraId="229056A8" w14:textId="77777777" w:rsidR="00C454A1" w:rsidRPr="00DA6C7F" w:rsidRDefault="00C454A1" w:rsidP="00881E6A">
            <w:pPr>
              <w:spacing w:before="840" w:after="840" w:line="259" w:lineRule="auto"/>
              <w:ind w:right="272"/>
              <w:jc w:val="center"/>
              <w:textAlignment w:val="baseline"/>
              <w:rPr>
                <w:rFonts w:eastAsia="Calibri" w:cs="Times New Roman"/>
                <w:b/>
                <w:bCs/>
                <w:iCs/>
              </w:rPr>
            </w:pPr>
            <w:r w:rsidRPr="00DA6C7F">
              <w:rPr>
                <w:rFonts w:eastAsia="Calibri" w:cs="Times New Roman"/>
                <w:b/>
                <w:bCs/>
              </w:rPr>
              <w:lastRenderedPageBreak/>
              <w:t>Agencia de Renovación del Territorio</w:t>
            </w:r>
            <w:r w:rsidRPr="00DA6C7F">
              <w:rPr>
                <w:rStyle w:val="Refdenotaalpie"/>
                <w:rFonts w:eastAsia="Calibri" w:cs="Times New Roman"/>
                <w:b/>
                <w:bCs/>
              </w:rPr>
              <w:footnoteReference w:id="822"/>
            </w:r>
          </w:p>
        </w:tc>
        <w:tc>
          <w:tcPr>
            <w:tcW w:w="4358" w:type="pct"/>
          </w:tcPr>
          <w:p w14:paraId="16592E18" w14:textId="77777777" w:rsidR="00C454A1" w:rsidRPr="00DA6C7F" w:rsidRDefault="00C454A1" w:rsidP="00881E6A">
            <w:pPr>
              <w:ind w:right="272"/>
              <w:contextualSpacing/>
              <w:textAlignment w:val="baseline"/>
              <w:rPr>
                <w:rFonts w:cs="Times New Roman"/>
              </w:rPr>
            </w:pPr>
            <w:r>
              <w:rPr>
                <w:rFonts w:cs="Times New Roman"/>
              </w:rPr>
              <w:t>R</w:t>
            </w:r>
            <w:r w:rsidRPr="00DA6C7F">
              <w:rPr>
                <w:rFonts w:cs="Times New Roman"/>
              </w:rPr>
              <w:t xml:space="preserve">emitió la siguiente información en relación con las preguntas planteadas en el auto de pruebas relacionadas al </w:t>
            </w:r>
            <w:r w:rsidRPr="00434265">
              <w:rPr>
                <w:rFonts w:cs="Times New Roman"/>
                <w:i/>
                <w:iCs/>
              </w:rPr>
              <w:t>presupuesto de suficiencia</w:t>
            </w:r>
            <w:r w:rsidRPr="00434265">
              <w:rPr>
                <w:rFonts w:cs="Times New Roman"/>
              </w:rPr>
              <w:t>.</w:t>
            </w:r>
          </w:p>
          <w:p w14:paraId="764A17FF" w14:textId="77777777" w:rsidR="00C454A1" w:rsidRPr="00DA6C7F" w:rsidRDefault="00C454A1" w:rsidP="00881E6A">
            <w:pPr>
              <w:ind w:right="272"/>
              <w:contextualSpacing/>
              <w:textAlignment w:val="baseline"/>
              <w:rPr>
                <w:rFonts w:cs="Times New Roman"/>
              </w:rPr>
            </w:pPr>
          </w:p>
          <w:p w14:paraId="13878435" w14:textId="77777777" w:rsidR="00C454A1" w:rsidRPr="00DA6C7F" w:rsidRDefault="00C454A1" w:rsidP="00881E6A">
            <w:pPr>
              <w:pStyle w:val="NormalWeb"/>
              <w:ind w:right="272"/>
              <w:contextualSpacing/>
            </w:pPr>
            <w:r w:rsidRPr="00DA6C7F">
              <w:t>Describió los siguientes mecanismos jurídicos con los que cuenta para cumplir con los compromisos del PNIS:</w:t>
            </w:r>
          </w:p>
          <w:p w14:paraId="50E78E64" w14:textId="77777777" w:rsidR="00C454A1" w:rsidRPr="00DA6C7F" w:rsidRDefault="00C454A1" w:rsidP="00881E6A">
            <w:pPr>
              <w:pStyle w:val="NormalWeb"/>
              <w:ind w:right="272"/>
              <w:contextualSpacing/>
            </w:pPr>
          </w:p>
          <w:p w14:paraId="5E4E6173" w14:textId="77777777" w:rsidR="00C454A1" w:rsidRPr="00DA6C7F" w:rsidRDefault="00C454A1" w:rsidP="005F4A6F">
            <w:pPr>
              <w:pStyle w:val="NormalWeb"/>
              <w:numPr>
                <w:ilvl w:val="0"/>
                <w:numId w:val="69"/>
              </w:numPr>
              <w:spacing w:line="259" w:lineRule="auto"/>
              <w:ind w:left="813" w:right="272" w:hanging="567"/>
              <w:contextualSpacing/>
            </w:pPr>
            <w:r w:rsidRPr="00DA6C7F">
              <w:rPr>
                <w:i/>
                <w:iCs/>
              </w:rPr>
              <w:t>El Acuerdo Final para la Terminación del Conflicto y la Construcción de una Paz Estable y Duradera (Acuerdo Final de Paz — AFP)</w:t>
            </w:r>
            <w:r w:rsidRPr="00DA6C7F">
              <w:t>. Señaló que el numeral 4.1 del acuerdo “el Gobierno Nacional se comprometió a la creación y puesta en marcha del Programa Nacional Integral de Sustitución de Cultivos de Uso Ilícito”. Asimismo, destacó que “el numeral 4.1.3.2. estableció como elemento estructural del PNIS, el carácter voluntario en la sustitución de cultivos de uso ilícito”</w:t>
            </w:r>
            <w:r w:rsidRPr="00DA6C7F">
              <w:rPr>
                <w:rStyle w:val="Refdenotaalpie"/>
              </w:rPr>
              <w:footnoteReference w:id="823"/>
            </w:r>
            <w:r w:rsidRPr="00DA6C7F">
              <w:t xml:space="preserve">. </w:t>
            </w:r>
          </w:p>
          <w:p w14:paraId="7FFD71C8" w14:textId="77777777" w:rsidR="00C454A1" w:rsidRPr="00DA6C7F" w:rsidRDefault="00C454A1" w:rsidP="005F4A6F">
            <w:pPr>
              <w:pStyle w:val="NormalWeb"/>
              <w:numPr>
                <w:ilvl w:val="0"/>
                <w:numId w:val="69"/>
              </w:numPr>
              <w:ind w:left="813" w:right="272" w:hanging="567"/>
              <w:contextualSpacing/>
              <w:rPr>
                <w:color w:val="000000" w:themeColor="text1"/>
              </w:rPr>
            </w:pPr>
            <w:r w:rsidRPr="00DA6C7F">
              <w:rPr>
                <w:i/>
                <w:iCs/>
                <w:color w:val="000000" w:themeColor="text1"/>
              </w:rPr>
              <w:t>El Acto Legislativo Número 1 del 7 de julio de 2016</w:t>
            </w:r>
            <w:r w:rsidRPr="00DA6C7F">
              <w:rPr>
                <w:color w:val="000000" w:themeColor="text1"/>
              </w:rPr>
              <w:t xml:space="preserve">. Indicó que el Artículo 2º de este acto legislativo adicionó un artículo transitorio a la Constitución Política que facultó al presidente de la República para expedir decretos con fuerza de ley para “facilitar y asegurar la implementación y desarrollo normativo del </w:t>
            </w:r>
            <w:bookmarkStart w:id="232" w:name="_Hlk191975367"/>
            <w:r w:rsidRPr="00DA6C7F">
              <w:rPr>
                <w:color w:val="000000" w:themeColor="text1"/>
              </w:rPr>
              <w:t>Acuerdo Final para la Terminación del Conflicto y la Construcción de una Paz Estable y Duradera”</w:t>
            </w:r>
            <w:bookmarkEnd w:id="232"/>
            <w:r w:rsidRPr="00DA6C7F">
              <w:rPr>
                <w:rStyle w:val="Refdenotaalpie"/>
                <w:color w:val="000000" w:themeColor="text1"/>
              </w:rPr>
              <w:footnoteReference w:id="824"/>
            </w:r>
            <w:r w:rsidRPr="00DA6C7F">
              <w:rPr>
                <w:color w:val="000000" w:themeColor="text1"/>
              </w:rPr>
              <w:t>.</w:t>
            </w:r>
          </w:p>
          <w:p w14:paraId="39031345" w14:textId="77777777" w:rsidR="00C454A1" w:rsidRPr="00DA6C7F" w:rsidRDefault="00C454A1" w:rsidP="005F4A6F">
            <w:pPr>
              <w:pStyle w:val="NormalWeb"/>
              <w:numPr>
                <w:ilvl w:val="0"/>
                <w:numId w:val="69"/>
              </w:numPr>
              <w:ind w:left="813" w:right="272" w:hanging="567"/>
              <w:contextualSpacing/>
              <w:rPr>
                <w:color w:val="000000" w:themeColor="text1"/>
              </w:rPr>
            </w:pPr>
            <w:r w:rsidRPr="00DA6C7F">
              <w:rPr>
                <w:i/>
                <w:iCs/>
                <w:w w:val="105"/>
              </w:rPr>
              <w:lastRenderedPageBreak/>
              <w:t>El</w:t>
            </w:r>
            <w:r w:rsidRPr="00DA6C7F">
              <w:rPr>
                <w:i/>
                <w:iCs/>
                <w:spacing w:val="-6"/>
                <w:w w:val="105"/>
              </w:rPr>
              <w:t xml:space="preserve"> </w:t>
            </w:r>
            <w:r w:rsidRPr="00DA6C7F">
              <w:rPr>
                <w:i/>
                <w:iCs/>
                <w:w w:val="105"/>
              </w:rPr>
              <w:t>Acto</w:t>
            </w:r>
            <w:r w:rsidRPr="00DA6C7F">
              <w:rPr>
                <w:i/>
                <w:iCs/>
                <w:spacing w:val="1"/>
                <w:w w:val="105"/>
              </w:rPr>
              <w:t xml:space="preserve"> </w:t>
            </w:r>
            <w:r w:rsidRPr="00DA6C7F">
              <w:rPr>
                <w:i/>
                <w:iCs/>
                <w:w w:val="105"/>
              </w:rPr>
              <w:t>Legislativo</w:t>
            </w:r>
            <w:r w:rsidRPr="00DA6C7F">
              <w:rPr>
                <w:i/>
                <w:iCs/>
                <w:spacing w:val="10"/>
                <w:w w:val="105"/>
              </w:rPr>
              <w:t xml:space="preserve"> </w:t>
            </w:r>
            <w:r w:rsidRPr="00DA6C7F">
              <w:rPr>
                <w:i/>
                <w:iCs/>
                <w:w w:val="105"/>
              </w:rPr>
              <w:t>Número</w:t>
            </w:r>
            <w:r w:rsidRPr="00DA6C7F">
              <w:rPr>
                <w:i/>
                <w:iCs/>
                <w:spacing w:val="8"/>
                <w:w w:val="105"/>
              </w:rPr>
              <w:t xml:space="preserve"> </w:t>
            </w:r>
            <w:r w:rsidRPr="00DA6C7F">
              <w:rPr>
                <w:i/>
                <w:iCs/>
                <w:w w:val="105"/>
              </w:rPr>
              <w:t>2</w:t>
            </w:r>
            <w:r w:rsidRPr="00DA6C7F">
              <w:rPr>
                <w:i/>
                <w:iCs/>
                <w:spacing w:val="-5"/>
                <w:w w:val="105"/>
              </w:rPr>
              <w:t xml:space="preserve"> </w:t>
            </w:r>
            <w:r w:rsidRPr="00DA6C7F">
              <w:rPr>
                <w:i/>
                <w:iCs/>
                <w:w w:val="105"/>
              </w:rPr>
              <w:t>del</w:t>
            </w:r>
            <w:r w:rsidRPr="00DA6C7F">
              <w:rPr>
                <w:i/>
                <w:iCs/>
                <w:spacing w:val="-2"/>
                <w:w w:val="105"/>
              </w:rPr>
              <w:t xml:space="preserve"> </w:t>
            </w:r>
            <w:r w:rsidRPr="00DA6C7F">
              <w:rPr>
                <w:i/>
                <w:iCs/>
                <w:w w:val="105"/>
              </w:rPr>
              <w:t>11</w:t>
            </w:r>
            <w:r w:rsidRPr="00DA6C7F">
              <w:rPr>
                <w:i/>
                <w:iCs/>
                <w:spacing w:val="1"/>
                <w:w w:val="105"/>
              </w:rPr>
              <w:t xml:space="preserve"> </w:t>
            </w:r>
            <w:r w:rsidRPr="00DA6C7F">
              <w:rPr>
                <w:i/>
                <w:iCs/>
                <w:w w:val="105"/>
              </w:rPr>
              <w:t>de</w:t>
            </w:r>
            <w:r w:rsidRPr="00DA6C7F">
              <w:rPr>
                <w:i/>
                <w:iCs/>
                <w:spacing w:val="-2"/>
                <w:w w:val="105"/>
              </w:rPr>
              <w:t xml:space="preserve"> </w:t>
            </w:r>
            <w:r w:rsidRPr="00DA6C7F">
              <w:rPr>
                <w:i/>
                <w:iCs/>
                <w:w w:val="105"/>
              </w:rPr>
              <w:t>mayo</w:t>
            </w:r>
            <w:r w:rsidRPr="00DA6C7F">
              <w:rPr>
                <w:i/>
                <w:iCs/>
                <w:spacing w:val="7"/>
                <w:w w:val="105"/>
              </w:rPr>
              <w:t xml:space="preserve"> </w:t>
            </w:r>
            <w:r w:rsidRPr="00DA6C7F">
              <w:rPr>
                <w:i/>
                <w:iCs/>
                <w:w w:val="105"/>
              </w:rPr>
              <w:t>de 2017</w:t>
            </w:r>
            <w:r w:rsidRPr="00DA6C7F">
              <w:rPr>
                <w:spacing w:val="-6"/>
                <w:w w:val="105"/>
              </w:rPr>
              <w:t>.</w:t>
            </w:r>
            <w:r w:rsidRPr="00DA6C7F">
              <w:rPr>
                <w:color w:val="000000" w:themeColor="text1"/>
              </w:rPr>
              <w:t xml:space="preserve"> </w:t>
            </w:r>
            <w:r w:rsidRPr="00DA6C7F">
              <w:rPr>
                <w:spacing w:val="-6"/>
                <w:w w:val="105"/>
              </w:rPr>
              <w:t xml:space="preserve">Resaltó que este acto legislativo </w:t>
            </w:r>
            <w:r w:rsidRPr="00DA6C7F">
              <w:rPr>
                <w:w w:val="105"/>
              </w:rPr>
              <w:t>incluyó un</w:t>
            </w:r>
            <w:r w:rsidRPr="00DA6C7F">
              <w:rPr>
                <w:spacing w:val="-1"/>
                <w:w w:val="105"/>
              </w:rPr>
              <w:t xml:space="preserve"> </w:t>
            </w:r>
            <w:r w:rsidRPr="00DA6C7F">
              <w:rPr>
                <w:w w:val="105"/>
              </w:rPr>
              <w:t>artículo</w:t>
            </w:r>
            <w:r w:rsidRPr="00DA6C7F">
              <w:rPr>
                <w:spacing w:val="1"/>
                <w:w w:val="105"/>
              </w:rPr>
              <w:t xml:space="preserve"> </w:t>
            </w:r>
            <w:r w:rsidRPr="00DA6C7F">
              <w:rPr>
                <w:w w:val="105"/>
              </w:rPr>
              <w:t>transitorio</w:t>
            </w:r>
            <w:r w:rsidRPr="00DA6C7F">
              <w:rPr>
                <w:spacing w:val="12"/>
                <w:w w:val="105"/>
              </w:rPr>
              <w:t xml:space="preserve"> </w:t>
            </w:r>
            <w:r w:rsidRPr="00DA6C7F">
              <w:rPr>
                <w:w w:val="105"/>
              </w:rPr>
              <w:t>en</w:t>
            </w:r>
            <w:r w:rsidRPr="00DA6C7F">
              <w:rPr>
                <w:spacing w:val="-5"/>
                <w:w w:val="105"/>
              </w:rPr>
              <w:t xml:space="preserve"> la </w:t>
            </w:r>
            <w:r w:rsidRPr="00DA6C7F">
              <w:rPr>
                <w:spacing w:val="-6"/>
              </w:rPr>
              <w:t>Constitución</w:t>
            </w:r>
            <w:r w:rsidRPr="00DA6C7F">
              <w:t xml:space="preserve"> </w:t>
            </w:r>
            <w:r w:rsidRPr="00DA6C7F">
              <w:rPr>
                <w:spacing w:val="-6"/>
              </w:rPr>
              <w:t>Política</w:t>
            </w:r>
            <w:r w:rsidRPr="00DA6C7F">
              <w:rPr>
                <w:spacing w:val="4"/>
              </w:rPr>
              <w:t xml:space="preserve"> </w:t>
            </w:r>
            <w:r w:rsidRPr="00DA6C7F">
              <w:rPr>
                <w:spacing w:val="-6"/>
              </w:rPr>
              <w:t>de</w:t>
            </w:r>
            <w:r w:rsidRPr="00DA6C7F">
              <w:rPr>
                <w:spacing w:val="-5"/>
              </w:rPr>
              <w:t xml:space="preserve"> </w:t>
            </w:r>
            <w:r w:rsidRPr="00DA6C7F">
              <w:rPr>
                <w:spacing w:val="-6"/>
              </w:rPr>
              <w:t>Colombia,</w:t>
            </w:r>
            <w:r w:rsidRPr="00DA6C7F">
              <w:rPr>
                <w:spacing w:val="13"/>
              </w:rPr>
              <w:t xml:space="preserve"> </w:t>
            </w:r>
            <w:r w:rsidRPr="00DA6C7F">
              <w:rPr>
                <w:spacing w:val="-6"/>
              </w:rPr>
              <w:t xml:space="preserve">según el cual, los contenidos del “Acuerdo Final para la Terminación del Conflicto y la Construcción de una Paz Estable y Duradera”, </w:t>
            </w:r>
            <w:r w:rsidRPr="00DA6C7F">
              <w:rPr>
                <w:w w:val="105"/>
              </w:rPr>
              <w:t>que correspondan a normas de derecho internacional humanitario o derechos fundamentales definidos en la Constitución Política,</w:t>
            </w:r>
            <w:r w:rsidRPr="00DA6C7F">
              <w:rPr>
                <w:spacing w:val="-6"/>
              </w:rPr>
              <w:t xml:space="preserve"> “</w:t>
            </w:r>
            <w:r w:rsidRPr="00DA6C7F">
              <w:rPr>
                <w:color w:val="000000" w:themeColor="text1"/>
              </w:rPr>
              <w:t>serían parámetros obligatorios de interpretación y referente de desarrollo y validez de las normas y las leyes de implementación y desarrollo del Acuerdo Final, con sujeción a las disposiciones constitucionales”</w:t>
            </w:r>
            <w:r w:rsidRPr="00DA6C7F">
              <w:rPr>
                <w:rStyle w:val="Refdenotaalpie"/>
                <w:color w:val="000000" w:themeColor="text1"/>
              </w:rPr>
              <w:footnoteReference w:id="825"/>
            </w:r>
            <w:r w:rsidRPr="00DA6C7F">
              <w:rPr>
                <w:color w:val="000000" w:themeColor="text1"/>
              </w:rPr>
              <w:t>.</w:t>
            </w:r>
          </w:p>
          <w:p w14:paraId="46072398" w14:textId="77777777" w:rsidR="00C454A1" w:rsidRPr="00DA6C7F" w:rsidRDefault="00C454A1" w:rsidP="005F4A6F">
            <w:pPr>
              <w:pStyle w:val="NormalWeb"/>
              <w:numPr>
                <w:ilvl w:val="0"/>
                <w:numId w:val="69"/>
              </w:numPr>
              <w:ind w:left="813" w:right="272" w:hanging="567"/>
              <w:contextualSpacing/>
              <w:rPr>
                <w:color w:val="000000" w:themeColor="text1"/>
              </w:rPr>
            </w:pPr>
            <w:r w:rsidRPr="00DA6C7F">
              <w:rPr>
                <w:i/>
                <w:iCs/>
                <w:color w:val="000000" w:themeColor="text1"/>
              </w:rPr>
              <w:t>El Decreto Ley 896 del 29 de mayo de 2017</w:t>
            </w:r>
            <w:r w:rsidRPr="00DA6C7F">
              <w:rPr>
                <w:color w:val="000000" w:themeColor="text1"/>
              </w:rPr>
              <w:t>. Señaló que a los artículos 2º y 7º (Parágrafo 3º) de esta norma establen el objeto del PNIS y su componente volitivo, el cual fue considerado por la Corte Constitucional en la sentencia C-493 de 2017 como “la suscripción voluntaria de tres compromisos: sustituir los cultivos de uso ilícito, no volverlos a sombrar y no estar involucrados en labores asociadas a esos cultivos ilícitos”</w:t>
            </w:r>
            <w:r w:rsidRPr="00DA6C7F">
              <w:rPr>
                <w:rStyle w:val="Refdenotaalpie"/>
                <w:color w:val="000000" w:themeColor="text1"/>
              </w:rPr>
              <w:footnoteReference w:id="826"/>
            </w:r>
            <w:r w:rsidRPr="00DA6C7F">
              <w:rPr>
                <w:color w:val="000000" w:themeColor="text1"/>
              </w:rPr>
              <w:t>. Además, resaltó que el artículo 7 de la norma establece los elementos del programa, incluidos los criterios de priorización para su implementación: zonas priorizadas en el marco de los PDET, densidad de cultivos de uso ilícito y de población, parques Nacionales Naturales según la normatividad vigente y comunidades que se hayan acogido al tratamiento penal diferencial.</w:t>
            </w:r>
          </w:p>
          <w:p w14:paraId="1AED5CC8" w14:textId="77777777" w:rsidR="00C454A1" w:rsidRPr="00DA6C7F" w:rsidRDefault="00C454A1" w:rsidP="005F4A6F">
            <w:pPr>
              <w:pStyle w:val="NormalWeb"/>
              <w:numPr>
                <w:ilvl w:val="0"/>
                <w:numId w:val="69"/>
              </w:numPr>
              <w:ind w:left="813" w:right="272" w:hanging="567"/>
              <w:contextualSpacing/>
              <w:rPr>
                <w:color w:val="000000" w:themeColor="text1"/>
              </w:rPr>
            </w:pPr>
            <w:r w:rsidRPr="00DA6C7F">
              <w:rPr>
                <w:i/>
                <w:iCs/>
                <w:color w:val="000000" w:themeColor="text1"/>
              </w:rPr>
              <w:t>Decreto Ley 691 de 2017</w:t>
            </w:r>
            <w:r w:rsidRPr="00DA6C7F">
              <w:rPr>
                <w:color w:val="000000" w:themeColor="text1"/>
              </w:rPr>
              <w:t>. Indicó que esta norma “estableció el instrumento para la ejecución de las acciones derivadas” del precitado acuerdo. Expuso que la norma fijó el objeto del Fondo Colombia en Paz (FCP) como el “principal instrumento para la administración, coordinación, articulación, focalización y ejecución de las diferentes fuentes de recursos para realizar las acciones necesarias para la implementación del Acuerdo Final para la Terminación del Conflicto y la Construcción de una Paz Estable y Duradera, conforme al Plan Marco de Implementación del mismo y al componente específico para la paz del Plan Plurianual de Inversiones de los Planes Nacionales de Desarrollo previsto en el Acto Legislativo 1 de 2016, así como el proceso de reincorporación de las Farc-EP a la vida civil, y otras acciones de posconflicto”</w:t>
            </w:r>
            <w:r w:rsidRPr="00DA6C7F">
              <w:rPr>
                <w:rStyle w:val="Refdenotaalpie"/>
                <w:color w:val="000000" w:themeColor="text1"/>
              </w:rPr>
              <w:footnoteReference w:id="827"/>
            </w:r>
            <w:r w:rsidRPr="00DA6C7F">
              <w:rPr>
                <w:color w:val="000000" w:themeColor="text1"/>
              </w:rPr>
              <w:t xml:space="preserve">. </w:t>
            </w:r>
          </w:p>
          <w:p w14:paraId="1F0D20FA" w14:textId="77777777" w:rsidR="00C454A1" w:rsidRPr="00DA6C7F" w:rsidRDefault="00C454A1" w:rsidP="005F4A6F">
            <w:pPr>
              <w:pStyle w:val="NormalWeb"/>
              <w:numPr>
                <w:ilvl w:val="0"/>
                <w:numId w:val="69"/>
              </w:numPr>
              <w:ind w:left="813" w:right="272" w:hanging="567"/>
              <w:contextualSpacing/>
              <w:rPr>
                <w:i/>
                <w:color w:val="000000" w:themeColor="text1"/>
              </w:rPr>
            </w:pPr>
            <w:r w:rsidRPr="00DA6C7F">
              <w:rPr>
                <w:i/>
                <w:color w:val="000000" w:themeColor="text1"/>
              </w:rPr>
              <w:t xml:space="preserve">Decreto 362 de 2018. </w:t>
            </w:r>
            <w:r w:rsidRPr="00DA6C7F">
              <w:rPr>
                <w:color w:val="000000" w:themeColor="text1"/>
              </w:rPr>
              <w:t xml:space="preserve">Señaló que la norma “reglamentó el funcionamiento de las instancias de ejecución, coordinación y gestión del PNIS”. Expuso que estas instancias son </w:t>
            </w:r>
            <w:r>
              <w:rPr>
                <w:color w:val="000000" w:themeColor="text1"/>
              </w:rPr>
              <w:t>(</w:t>
            </w:r>
            <w:r w:rsidRPr="008D40E9">
              <w:rPr>
                <w:i/>
                <w:iCs/>
                <w:color w:val="000000" w:themeColor="text1"/>
              </w:rPr>
              <w:t>i</w:t>
            </w:r>
            <w:r w:rsidRPr="00DA6C7F">
              <w:rPr>
                <w:color w:val="000000" w:themeColor="text1"/>
              </w:rPr>
              <w:t xml:space="preserve">) los Consejos Asesores Territoriales, </w:t>
            </w:r>
            <w:r>
              <w:rPr>
                <w:color w:val="000000" w:themeColor="text1"/>
              </w:rPr>
              <w:t>(</w:t>
            </w:r>
            <w:r w:rsidRPr="008D40E9">
              <w:rPr>
                <w:i/>
                <w:iCs/>
                <w:color w:val="000000" w:themeColor="text1"/>
              </w:rPr>
              <w:t>ii</w:t>
            </w:r>
            <w:r w:rsidRPr="00DA6C7F">
              <w:rPr>
                <w:color w:val="000000" w:themeColor="text1"/>
              </w:rPr>
              <w:t xml:space="preserve">) </w:t>
            </w:r>
            <w:r w:rsidRPr="00DA6C7F">
              <w:rPr>
                <w:color w:val="000000" w:themeColor="text1"/>
              </w:rPr>
              <w:lastRenderedPageBreak/>
              <w:t xml:space="preserve">las Comisiones Municipales de Planeación Participativa y </w:t>
            </w:r>
            <w:r>
              <w:rPr>
                <w:color w:val="000000" w:themeColor="text1"/>
              </w:rPr>
              <w:t>(</w:t>
            </w:r>
            <w:r w:rsidRPr="008D40E9">
              <w:rPr>
                <w:i/>
                <w:iCs/>
                <w:color w:val="000000" w:themeColor="text1"/>
              </w:rPr>
              <w:t>iii</w:t>
            </w:r>
            <w:r w:rsidRPr="00DA6C7F">
              <w:rPr>
                <w:color w:val="000000" w:themeColor="text1"/>
              </w:rPr>
              <w:t xml:space="preserve">) los Consejos Municipales de Evaluación y Seguimiento. Precisó que estos organismos están orientados a someter la implementación del programa a la veeduría de las partes contratantes del Acuerdo Final de Paz. </w:t>
            </w:r>
          </w:p>
          <w:p w14:paraId="55B6D2C3" w14:textId="77777777" w:rsidR="00C454A1" w:rsidRPr="00DA6C7F" w:rsidRDefault="00C454A1" w:rsidP="005F4A6F">
            <w:pPr>
              <w:pStyle w:val="NormalWeb"/>
              <w:numPr>
                <w:ilvl w:val="0"/>
                <w:numId w:val="69"/>
              </w:numPr>
              <w:ind w:left="813" w:right="272" w:hanging="567"/>
              <w:contextualSpacing/>
              <w:rPr>
                <w:i/>
                <w:color w:val="000000" w:themeColor="text1"/>
              </w:rPr>
            </w:pPr>
            <w:r w:rsidRPr="00DA6C7F">
              <w:rPr>
                <w:i/>
                <w:color w:val="000000" w:themeColor="text1"/>
              </w:rPr>
              <w:t xml:space="preserve">Decreto 1223 de 2020. </w:t>
            </w:r>
            <w:r w:rsidRPr="00DA6C7F">
              <w:rPr>
                <w:color w:val="000000" w:themeColor="text1"/>
              </w:rPr>
              <w:t xml:space="preserve">Resaltó que el artículo 23º de esta norma dispuso que “la Dirección de Sustitución de Cultivos de Uso Ilícito es una dependencia de la Agencia de Renovación del Territorio con autonomía administrativa y financiera” y que algunas de sus funciones están relacionadas al diseño, coordinación, seguimiento, implementación y ejecución del PNIS. </w:t>
            </w:r>
          </w:p>
          <w:p w14:paraId="61C068AA" w14:textId="77777777" w:rsidR="00C454A1" w:rsidRPr="00DA6C7F" w:rsidRDefault="00C454A1" w:rsidP="005F4A6F">
            <w:pPr>
              <w:pStyle w:val="NormalWeb"/>
              <w:numPr>
                <w:ilvl w:val="0"/>
                <w:numId w:val="69"/>
              </w:numPr>
              <w:ind w:left="813" w:right="272" w:hanging="567"/>
              <w:contextualSpacing/>
              <w:rPr>
                <w:i/>
                <w:color w:val="000000" w:themeColor="text1"/>
              </w:rPr>
            </w:pPr>
            <w:r w:rsidRPr="00DA6C7F">
              <w:rPr>
                <w:i/>
                <w:iCs/>
                <w:color w:val="000000" w:themeColor="text1"/>
              </w:rPr>
              <w:t xml:space="preserve">Ley 2294 de 2023. </w:t>
            </w:r>
            <w:r w:rsidRPr="00DA6C7F">
              <w:rPr>
                <w:color w:val="000000" w:themeColor="text1"/>
              </w:rPr>
              <w:t>Indicó que esta norma ordenó “un proceso de renegociación con los beneficiarios previamente vinculados, respecto de los componentes correspondientes a Proyectos Productivos de Corto Plazo (PPCC) y Proyectos Productivos de Ciclo Largo (PPCL)”</w:t>
            </w:r>
            <w:r w:rsidRPr="00DA6C7F">
              <w:rPr>
                <w:rStyle w:val="Refdenotaalpie"/>
                <w:color w:val="000000" w:themeColor="text1"/>
              </w:rPr>
              <w:footnoteReference w:id="828"/>
            </w:r>
            <w:r w:rsidRPr="00DA6C7F">
              <w:rPr>
                <w:color w:val="000000" w:themeColor="text1"/>
              </w:rPr>
              <w:t xml:space="preserve">. Por su parte, señaló que los artículos 7º y 11º de esta norma establecieron los elementos para el desarrollo del PNIS y los compromisos con pueblos y comunidades étnicas y campesinas que se vincularon al Programa. </w:t>
            </w:r>
          </w:p>
          <w:p w14:paraId="2D7C3C31" w14:textId="77777777" w:rsidR="00C454A1" w:rsidRPr="00DA6C7F" w:rsidRDefault="00C454A1" w:rsidP="005F4A6F">
            <w:pPr>
              <w:pStyle w:val="NormalWeb"/>
              <w:numPr>
                <w:ilvl w:val="0"/>
                <w:numId w:val="69"/>
              </w:numPr>
              <w:ind w:left="813" w:right="272" w:hanging="567"/>
              <w:contextualSpacing/>
              <w:rPr>
                <w:i/>
                <w:color w:val="000000" w:themeColor="text1"/>
              </w:rPr>
            </w:pPr>
            <w:r w:rsidRPr="00DA6C7F">
              <w:rPr>
                <w:i/>
                <w:iCs/>
                <w:color w:val="000000" w:themeColor="text1"/>
              </w:rPr>
              <w:t>Resoluciones 0029</w:t>
            </w:r>
            <w:r w:rsidRPr="00DA6C7F">
              <w:rPr>
                <w:i/>
                <w:iCs/>
              </w:rPr>
              <w:t xml:space="preserve"> </w:t>
            </w:r>
            <w:r w:rsidRPr="00DA6C7F">
              <w:rPr>
                <w:i/>
                <w:iCs/>
                <w:color w:val="000000" w:themeColor="text1"/>
              </w:rPr>
              <w:t>de 2023 y 0021 de 2024</w:t>
            </w:r>
            <w:r w:rsidRPr="00DA6C7F">
              <w:rPr>
                <w:color w:val="000000" w:themeColor="text1"/>
              </w:rPr>
              <w:t>. Señaló que con estas resoluciones inició un procedimiento de renegociación del PNIS, específicamente, de “la operación de los Proyectos Productivos de Ciclo Corto y Ciclo Largo para 63.505 personas, con una población total del Programa de 99.097 núcleos familiares vinculados”</w:t>
            </w:r>
            <w:r w:rsidRPr="00DA6C7F">
              <w:rPr>
                <w:rStyle w:val="Refdenotaalpie"/>
                <w:color w:val="000000" w:themeColor="text1"/>
              </w:rPr>
              <w:footnoteReference w:id="829"/>
            </w:r>
            <w:r w:rsidRPr="00DA6C7F">
              <w:rPr>
                <w:color w:val="000000" w:themeColor="text1"/>
              </w:rPr>
              <w:t xml:space="preserve">. </w:t>
            </w:r>
          </w:p>
          <w:p w14:paraId="121DF600" w14:textId="77777777" w:rsidR="00C454A1" w:rsidRPr="00DA6C7F" w:rsidRDefault="00C454A1" w:rsidP="00881E6A">
            <w:pPr>
              <w:pStyle w:val="NormalWeb"/>
              <w:ind w:right="272"/>
              <w:contextualSpacing/>
              <w:rPr>
                <w:i/>
                <w:color w:val="000000" w:themeColor="text1"/>
              </w:rPr>
            </w:pPr>
          </w:p>
          <w:p w14:paraId="22731B71" w14:textId="77777777" w:rsidR="00C454A1" w:rsidRPr="00DA6C7F" w:rsidRDefault="00C454A1" w:rsidP="00881E6A">
            <w:pPr>
              <w:pStyle w:val="NormalWeb"/>
              <w:ind w:right="272"/>
              <w:contextualSpacing/>
              <w:rPr>
                <w:color w:val="000000" w:themeColor="text1"/>
              </w:rPr>
            </w:pPr>
            <w:r w:rsidRPr="00DA6C7F">
              <w:rPr>
                <w:color w:val="000000" w:themeColor="text1"/>
              </w:rPr>
              <w:t xml:space="preserve">Indicó que, para el caso específico de la región en la que se declaró el Estado de Excepción, “el PNIS fue priorizado para su implementación únicamente en los municipios de Tibú y Sardinata en el departamento de Norte de Santander”. Presentó los siguientes datos con el número de familias inscritas voluntariamente en los municipios de la región que fueron priorizados: </w:t>
            </w:r>
          </w:p>
          <w:p w14:paraId="34F095CB" w14:textId="77777777" w:rsidR="00C454A1" w:rsidRDefault="00C454A1" w:rsidP="00881E6A">
            <w:pPr>
              <w:pStyle w:val="NormalWeb"/>
              <w:ind w:right="272"/>
              <w:contextualSpacing/>
              <w:rPr>
                <w:color w:val="000000" w:themeColor="text1"/>
              </w:rPr>
            </w:pPr>
          </w:p>
          <w:p w14:paraId="0CAF5B20" w14:textId="77777777" w:rsidR="00C454A1" w:rsidRDefault="00C454A1" w:rsidP="00881E6A">
            <w:pPr>
              <w:pStyle w:val="NormalWeb"/>
              <w:ind w:right="272"/>
              <w:contextualSpacing/>
              <w:rPr>
                <w:color w:val="000000" w:themeColor="text1"/>
              </w:rPr>
            </w:pPr>
          </w:p>
          <w:p w14:paraId="3E478DF4" w14:textId="77777777" w:rsidR="00C454A1" w:rsidRPr="00E65EF5" w:rsidRDefault="00C454A1" w:rsidP="00881E6A">
            <w:pPr>
              <w:pStyle w:val="NormalWeb"/>
              <w:ind w:right="272"/>
              <w:contextualSpacing/>
              <w:jc w:val="center"/>
              <w:rPr>
                <w:i/>
                <w:iCs/>
                <w:color w:val="000000" w:themeColor="text1"/>
                <w:sz w:val="20"/>
                <w:szCs w:val="20"/>
              </w:rPr>
            </w:pPr>
            <w:r w:rsidRPr="00E65EF5">
              <w:rPr>
                <w:i/>
                <w:iCs/>
                <w:color w:val="000000" w:themeColor="text1"/>
                <w:sz w:val="20"/>
                <w:szCs w:val="20"/>
              </w:rPr>
              <w:t>Tabla 45: número de familias priorizadas</w:t>
            </w:r>
            <w:r>
              <w:rPr>
                <w:i/>
                <w:iCs/>
                <w:color w:val="000000" w:themeColor="text1"/>
                <w:sz w:val="20"/>
                <w:szCs w:val="20"/>
              </w:rPr>
              <w:t xml:space="preserve"> por el PNIS </w:t>
            </w:r>
            <w:r w:rsidRPr="00E65EF5">
              <w:rPr>
                <w:i/>
                <w:iCs/>
                <w:color w:val="000000" w:themeColor="text1"/>
                <w:sz w:val="20"/>
                <w:szCs w:val="20"/>
              </w:rPr>
              <w:t xml:space="preserve"> en los municipios de </w:t>
            </w:r>
            <w:r>
              <w:rPr>
                <w:i/>
                <w:iCs/>
                <w:color w:val="000000" w:themeColor="text1"/>
                <w:sz w:val="20"/>
                <w:szCs w:val="20"/>
              </w:rPr>
              <w:t>Sardinata y Tibú</w:t>
            </w:r>
          </w:p>
          <w:tbl>
            <w:tblPr>
              <w:tblStyle w:val="Tablaconcuadrcula"/>
              <w:tblpPr w:leftFromText="180" w:rightFromText="180" w:vertAnchor="text" w:horzAnchor="margin" w:tblpXSpec="center" w:tblpYSpec="outside"/>
              <w:tblOverlap w:val="never"/>
              <w:tblW w:w="0" w:type="auto"/>
              <w:tblLook w:val="04A0" w:firstRow="1" w:lastRow="0" w:firstColumn="1" w:lastColumn="0" w:noHBand="0" w:noVBand="1"/>
            </w:tblPr>
            <w:tblGrid>
              <w:gridCol w:w="1980"/>
              <w:gridCol w:w="1454"/>
              <w:gridCol w:w="1099"/>
              <w:gridCol w:w="1319"/>
              <w:gridCol w:w="1601"/>
            </w:tblGrid>
            <w:tr w:rsidR="00C454A1" w:rsidRPr="00F8202F" w14:paraId="799D8879" w14:textId="77777777" w:rsidTr="001F3006">
              <w:trPr>
                <w:trHeight w:val="239"/>
              </w:trPr>
              <w:tc>
                <w:tcPr>
                  <w:tcW w:w="1980" w:type="dxa"/>
                  <w:shd w:val="clear" w:color="auto" w:fill="D9D9D9" w:themeFill="background1" w:themeFillShade="D9"/>
                </w:tcPr>
                <w:p w14:paraId="5A1D8D60" w14:textId="77777777" w:rsidR="00C454A1" w:rsidRPr="008D40E9" w:rsidRDefault="00C454A1" w:rsidP="00881E6A">
                  <w:pPr>
                    <w:ind w:right="272"/>
                    <w:contextualSpacing/>
                    <w:jc w:val="center"/>
                    <w:rPr>
                      <w:rFonts w:cs="Times New Roman"/>
                      <w:b/>
                      <w:sz w:val="22"/>
                      <w:szCs w:val="22"/>
                      <w:lang w:eastAsia="es-CO"/>
                    </w:rPr>
                  </w:pPr>
                  <w:r w:rsidRPr="008D40E9">
                    <w:rPr>
                      <w:rFonts w:cs="Times New Roman"/>
                      <w:b/>
                      <w:sz w:val="22"/>
                      <w:szCs w:val="22"/>
                      <w:lang w:eastAsia="es-CO"/>
                    </w:rPr>
                    <w:t>Departamento</w:t>
                  </w:r>
                </w:p>
              </w:tc>
              <w:tc>
                <w:tcPr>
                  <w:tcW w:w="1094" w:type="dxa"/>
                  <w:shd w:val="clear" w:color="auto" w:fill="D9D9D9" w:themeFill="background1" w:themeFillShade="D9"/>
                </w:tcPr>
                <w:p w14:paraId="3AC57D82" w14:textId="77777777" w:rsidR="00C454A1" w:rsidRPr="008D40E9" w:rsidRDefault="00C454A1" w:rsidP="00881E6A">
                  <w:pPr>
                    <w:ind w:right="272"/>
                    <w:contextualSpacing/>
                    <w:jc w:val="center"/>
                    <w:rPr>
                      <w:rFonts w:cs="Times New Roman"/>
                      <w:b/>
                      <w:sz w:val="22"/>
                      <w:szCs w:val="22"/>
                      <w:lang w:eastAsia="es-CO"/>
                    </w:rPr>
                  </w:pPr>
                  <w:r w:rsidRPr="008D40E9">
                    <w:rPr>
                      <w:rFonts w:cs="Times New Roman"/>
                      <w:b/>
                      <w:sz w:val="22"/>
                      <w:szCs w:val="22"/>
                      <w:lang w:eastAsia="es-CO"/>
                    </w:rPr>
                    <w:t>Municipio</w:t>
                  </w:r>
                </w:p>
              </w:tc>
              <w:tc>
                <w:tcPr>
                  <w:tcW w:w="1054" w:type="dxa"/>
                  <w:shd w:val="clear" w:color="auto" w:fill="D9D9D9" w:themeFill="background1" w:themeFillShade="D9"/>
                </w:tcPr>
                <w:p w14:paraId="456CB1B4" w14:textId="77777777" w:rsidR="00C454A1" w:rsidRPr="008D40E9" w:rsidRDefault="00C454A1" w:rsidP="00881E6A">
                  <w:pPr>
                    <w:ind w:right="272"/>
                    <w:contextualSpacing/>
                    <w:jc w:val="center"/>
                    <w:rPr>
                      <w:rFonts w:cs="Times New Roman"/>
                      <w:b/>
                      <w:sz w:val="22"/>
                      <w:szCs w:val="22"/>
                      <w:lang w:eastAsia="es-CO"/>
                    </w:rPr>
                  </w:pPr>
                  <w:r w:rsidRPr="008D40E9">
                    <w:rPr>
                      <w:rFonts w:cs="Times New Roman"/>
                      <w:b/>
                      <w:sz w:val="22"/>
                      <w:szCs w:val="22"/>
                      <w:lang w:eastAsia="es-CO"/>
                    </w:rPr>
                    <w:t>Activo</w:t>
                  </w:r>
                </w:p>
              </w:tc>
              <w:tc>
                <w:tcPr>
                  <w:tcW w:w="1254" w:type="dxa"/>
                  <w:shd w:val="clear" w:color="auto" w:fill="D9D9D9" w:themeFill="background1" w:themeFillShade="D9"/>
                </w:tcPr>
                <w:p w14:paraId="75EA192F" w14:textId="77777777" w:rsidR="00C454A1" w:rsidRPr="008D40E9" w:rsidRDefault="00C454A1" w:rsidP="00881E6A">
                  <w:pPr>
                    <w:ind w:right="272"/>
                    <w:contextualSpacing/>
                    <w:jc w:val="center"/>
                    <w:rPr>
                      <w:rFonts w:cs="Times New Roman"/>
                      <w:b/>
                      <w:sz w:val="22"/>
                      <w:szCs w:val="22"/>
                      <w:lang w:eastAsia="es-CO"/>
                    </w:rPr>
                  </w:pPr>
                  <w:r w:rsidRPr="008D40E9">
                    <w:rPr>
                      <w:rFonts w:cs="Times New Roman"/>
                      <w:b/>
                      <w:sz w:val="22"/>
                      <w:szCs w:val="22"/>
                      <w:lang w:eastAsia="es-CO"/>
                    </w:rPr>
                    <w:t>Retirado</w:t>
                  </w:r>
                </w:p>
              </w:tc>
              <w:tc>
                <w:tcPr>
                  <w:tcW w:w="1417" w:type="dxa"/>
                  <w:shd w:val="clear" w:color="auto" w:fill="D9D9D9" w:themeFill="background1" w:themeFillShade="D9"/>
                </w:tcPr>
                <w:p w14:paraId="30D51543" w14:textId="77777777" w:rsidR="00C454A1" w:rsidRPr="008D40E9" w:rsidRDefault="00C454A1" w:rsidP="00881E6A">
                  <w:pPr>
                    <w:ind w:right="272"/>
                    <w:contextualSpacing/>
                    <w:jc w:val="center"/>
                    <w:rPr>
                      <w:rFonts w:cs="Times New Roman"/>
                      <w:b/>
                      <w:sz w:val="22"/>
                      <w:szCs w:val="22"/>
                      <w:lang w:eastAsia="es-CO"/>
                    </w:rPr>
                  </w:pPr>
                  <w:r w:rsidRPr="008D40E9">
                    <w:rPr>
                      <w:rFonts w:cs="Times New Roman"/>
                      <w:b/>
                      <w:sz w:val="22"/>
                      <w:szCs w:val="22"/>
                      <w:lang w:eastAsia="es-CO"/>
                    </w:rPr>
                    <w:t>Registrados</w:t>
                  </w:r>
                </w:p>
              </w:tc>
            </w:tr>
            <w:tr w:rsidR="00C454A1" w:rsidRPr="00F8202F" w14:paraId="16231F46" w14:textId="77777777" w:rsidTr="001F3006">
              <w:trPr>
                <w:trHeight w:val="342"/>
              </w:trPr>
              <w:tc>
                <w:tcPr>
                  <w:tcW w:w="1980" w:type="dxa"/>
                </w:tcPr>
                <w:p w14:paraId="2B8981B2" w14:textId="77777777" w:rsidR="00C454A1" w:rsidRPr="008D40E9" w:rsidRDefault="00C454A1" w:rsidP="00881E6A">
                  <w:pPr>
                    <w:ind w:right="272"/>
                    <w:contextualSpacing/>
                    <w:rPr>
                      <w:rFonts w:cs="Times New Roman"/>
                      <w:b/>
                      <w:sz w:val="22"/>
                      <w:szCs w:val="22"/>
                      <w:lang w:eastAsia="es-CO"/>
                    </w:rPr>
                  </w:pPr>
                  <w:r w:rsidRPr="008D40E9">
                    <w:rPr>
                      <w:rFonts w:cs="Times New Roman"/>
                      <w:b/>
                      <w:sz w:val="22"/>
                      <w:szCs w:val="22"/>
                      <w:lang w:eastAsia="es-CO"/>
                    </w:rPr>
                    <w:lastRenderedPageBreak/>
                    <w:t>Norte de Santander</w:t>
                  </w:r>
                </w:p>
              </w:tc>
              <w:tc>
                <w:tcPr>
                  <w:tcW w:w="1094" w:type="dxa"/>
                </w:tcPr>
                <w:p w14:paraId="55414754" w14:textId="77777777" w:rsidR="00C454A1" w:rsidRPr="008D40E9" w:rsidRDefault="00C454A1" w:rsidP="00881E6A">
                  <w:pPr>
                    <w:ind w:right="272"/>
                    <w:contextualSpacing/>
                    <w:rPr>
                      <w:rFonts w:cs="Times New Roman"/>
                      <w:sz w:val="22"/>
                      <w:szCs w:val="22"/>
                      <w:lang w:eastAsia="es-CO"/>
                    </w:rPr>
                  </w:pPr>
                  <w:r w:rsidRPr="008D40E9">
                    <w:rPr>
                      <w:rFonts w:cs="Times New Roman"/>
                      <w:sz w:val="22"/>
                      <w:szCs w:val="22"/>
                      <w:lang w:eastAsia="es-CO"/>
                    </w:rPr>
                    <w:t>Sardinata</w:t>
                  </w:r>
                </w:p>
              </w:tc>
              <w:tc>
                <w:tcPr>
                  <w:tcW w:w="1054" w:type="dxa"/>
                </w:tcPr>
                <w:p w14:paraId="445A4E29" w14:textId="77777777" w:rsidR="00C454A1" w:rsidRPr="008D40E9" w:rsidRDefault="00C454A1" w:rsidP="00881E6A">
                  <w:pPr>
                    <w:ind w:right="272"/>
                    <w:contextualSpacing/>
                    <w:jc w:val="right"/>
                    <w:rPr>
                      <w:rFonts w:cs="Times New Roman"/>
                      <w:sz w:val="22"/>
                      <w:szCs w:val="22"/>
                      <w:lang w:eastAsia="es-CO"/>
                    </w:rPr>
                  </w:pPr>
                  <w:r w:rsidRPr="008D40E9">
                    <w:rPr>
                      <w:rFonts w:cs="Times New Roman"/>
                      <w:sz w:val="22"/>
                      <w:szCs w:val="22"/>
                      <w:lang w:eastAsia="es-CO"/>
                    </w:rPr>
                    <w:t>248</w:t>
                  </w:r>
                </w:p>
              </w:tc>
              <w:tc>
                <w:tcPr>
                  <w:tcW w:w="1254" w:type="dxa"/>
                </w:tcPr>
                <w:p w14:paraId="57756345" w14:textId="77777777" w:rsidR="00C454A1" w:rsidRPr="008D40E9" w:rsidRDefault="00C454A1" w:rsidP="00881E6A">
                  <w:pPr>
                    <w:ind w:right="272"/>
                    <w:contextualSpacing/>
                    <w:jc w:val="right"/>
                    <w:rPr>
                      <w:rFonts w:cs="Times New Roman"/>
                      <w:sz w:val="22"/>
                      <w:szCs w:val="22"/>
                      <w:lang w:eastAsia="es-CO"/>
                    </w:rPr>
                  </w:pPr>
                  <w:r w:rsidRPr="008D40E9">
                    <w:rPr>
                      <w:rFonts w:cs="Times New Roman"/>
                      <w:sz w:val="22"/>
                      <w:szCs w:val="22"/>
                      <w:lang w:eastAsia="es-CO"/>
                    </w:rPr>
                    <w:t>55</w:t>
                  </w:r>
                </w:p>
              </w:tc>
              <w:tc>
                <w:tcPr>
                  <w:tcW w:w="1417" w:type="dxa"/>
                </w:tcPr>
                <w:p w14:paraId="4D6E28E1" w14:textId="77777777" w:rsidR="00C454A1" w:rsidRPr="008D40E9" w:rsidRDefault="00C454A1" w:rsidP="00881E6A">
                  <w:pPr>
                    <w:ind w:right="272"/>
                    <w:contextualSpacing/>
                    <w:jc w:val="right"/>
                    <w:rPr>
                      <w:rFonts w:cs="Times New Roman"/>
                      <w:b/>
                      <w:sz w:val="22"/>
                      <w:szCs w:val="22"/>
                      <w:lang w:eastAsia="es-CO"/>
                    </w:rPr>
                  </w:pPr>
                  <w:r w:rsidRPr="008D40E9">
                    <w:rPr>
                      <w:rFonts w:cs="Times New Roman"/>
                      <w:b/>
                      <w:sz w:val="22"/>
                      <w:szCs w:val="22"/>
                      <w:lang w:eastAsia="es-CO"/>
                    </w:rPr>
                    <w:t>303</w:t>
                  </w:r>
                </w:p>
              </w:tc>
            </w:tr>
            <w:tr w:rsidR="00C454A1" w:rsidRPr="00F8202F" w14:paraId="1E15D371" w14:textId="77777777" w:rsidTr="001F3006">
              <w:trPr>
                <w:trHeight w:val="286"/>
              </w:trPr>
              <w:tc>
                <w:tcPr>
                  <w:tcW w:w="1980" w:type="dxa"/>
                </w:tcPr>
                <w:p w14:paraId="5C738A9B" w14:textId="77777777" w:rsidR="00C454A1" w:rsidRPr="008D40E9" w:rsidRDefault="00C454A1" w:rsidP="00881E6A">
                  <w:pPr>
                    <w:ind w:right="272"/>
                    <w:contextualSpacing/>
                    <w:rPr>
                      <w:rFonts w:cs="Times New Roman"/>
                      <w:b/>
                      <w:sz w:val="22"/>
                      <w:szCs w:val="22"/>
                      <w:lang w:eastAsia="es-CO"/>
                    </w:rPr>
                  </w:pPr>
                  <w:r w:rsidRPr="008D40E9">
                    <w:rPr>
                      <w:rFonts w:cs="Times New Roman"/>
                      <w:b/>
                      <w:sz w:val="22"/>
                      <w:szCs w:val="22"/>
                      <w:lang w:eastAsia="es-CO"/>
                    </w:rPr>
                    <w:t xml:space="preserve">Norte de Santander </w:t>
                  </w:r>
                </w:p>
              </w:tc>
              <w:tc>
                <w:tcPr>
                  <w:tcW w:w="1094" w:type="dxa"/>
                </w:tcPr>
                <w:p w14:paraId="579955C4" w14:textId="77777777" w:rsidR="00C454A1" w:rsidRPr="008D40E9" w:rsidRDefault="00C454A1" w:rsidP="00881E6A">
                  <w:pPr>
                    <w:ind w:right="272"/>
                    <w:contextualSpacing/>
                    <w:rPr>
                      <w:rFonts w:cs="Times New Roman"/>
                      <w:sz w:val="22"/>
                      <w:szCs w:val="22"/>
                      <w:lang w:eastAsia="es-CO"/>
                    </w:rPr>
                  </w:pPr>
                  <w:r w:rsidRPr="008D40E9">
                    <w:rPr>
                      <w:rFonts w:cs="Times New Roman"/>
                      <w:sz w:val="22"/>
                      <w:szCs w:val="22"/>
                      <w:lang w:eastAsia="es-CO"/>
                    </w:rPr>
                    <w:t>Tibú</w:t>
                  </w:r>
                </w:p>
              </w:tc>
              <w:tc>
                <w:tcPr>
                  <w:tcW w:w="1054" w:type="dxa"/>
                </w:tcPr>
                <w:p w14:paraId="307C2AE7" w14:textId="77777777" w:rsidR="00C454A1" w:rsidRPr="008D40E9" w:rsidRDefault="00C454A1" w:rsidP="00881E6A">
                  <w:pPr>
                    <w:ind w:right="272"/>
                    <w:contextualSpacing/>
                    <w:jc w:val="right"/>
                    <w:rPr>
                      <w:rFonts w:cs="Times New Roman"/>
                      <w:sz w:val="22"/>
                      <w:szCs w:val="22"/>
                      <w:lang w:eastAsia="es-CO"/>
                    </w:rPr>
                  </w:pPr>
                  <w:r w:rsidRPr="008D40E9">
                    <w:rPr>
                      <w:rFonts w:cs="Times New Roman"/>
                      <w:sz w:val="22"/>
                      <w:szCs w:val="22"/>
                      <w:lang w:eastAsia="es-CO"/>
                    </w:rPr>
                    <w:t>2.080</w:t>
                  </w:r>
                </w:p>
              </w:tc>
              <w:tc>
                <w:tcPr>
                  <w:tcW w:w="1254" w:type="dxa"/>
                </w:tcPr>
                <w:p w14:paraId="2686AC92" w14:textId="77777777" w:rsidR="00C454A1" w:rsidRPr="008D40E9" w:rsidRDefault="00C454A1" w:rsidP="00881E6A">
                  <w:pPr>
                    <w:ind w:right="272"/>
                    <w:contextualSpacing/>
                    <w:jc w:val="right"/>
                    <w:rPr>
                      <w:rFonts w:cs="Times New Roman"/>
                      <w:sz w:val="22"/>
                      <w:szCs w:val="22"/>
                      <w:lang w:eastAsia="es-CO"/>
                    </w:rPr>
                  </w:pPr>
                  <w:r w:rsidRPr="008D40E9">
                    <w:rPr>
                      <w:rFonts w:cs="Times New Roman"/>
                      <w:sz w:val="22"/>
                      <w:szCs w:val="22"/>
                      <w:lang w:eastAsia="es-CO"/>
                    </w:rPr>
                    <w:t>615</w:t>
                  </w:r>
                </w:p>
              </w:tc>
              <w:tc>
                <w:tcPr>
                  <w:tcW w:w="1417" w:type="dxa"/>
                </w:tcPr>
                <w:p w14:paraId="17972FEA" w14:textId="77777777" w:rsidR="00C454A1" w:rsidRPr="008D40E9" w:rsidRDefault="00C454A1" w:rsidP="00881E6A">
                  <w:pPr>
                    <w:ind w:right="272"/>
                    <w:contextualSpacing/>
                    <w:jc w:val="right"/>
                    <w:rPr>
                      <w:rFonts w:cs="Times New Roman"/>
                      <w:b/>
                      <w:sz w:val="22"/>
                      <w:szCs w:val="22"/>
                      <w:lang w:eastAsia="es-CO"/>
                    </w:rPr>
                  </w:pPr>
                  <w:r w:rsidRPr="008D40E9">
                    <w:rPr>
                      <w:rFonts w:cs="Times New Roman"/>
                      <w:b/>
                      <w:sz w:val="22"/>
                      <w:szCs w:val="22"/>
                      <w:lang w:eastAsia="es-CO"/>
                    </w:rPr>
                    <w:t>2.695</w:t>
                  </w:r>
                </w:p>
              </w:tc>
            </w:tr>
            <w:tr w:rsidR="00C454A1" w:rsidRPr="00F8202F" w14:paraId="28154B04" w14:textId="77777777" w:rsidTr="001F3006">
              <w:trPr>
                <w:trHeight w:val="239"/>
              </w:trPr>
              <w:tc>
                <w:tcPr>
                  <w:tcW w:w="1980" w:type="dxa"/>
                </w:tcPr>
                <w:p w14:paraId="465D48B4" w14:textId="77777777" w:rsidR="00C454A1" w:rsidRPr="008D40E9" w:rsidRDefault="00C454A1" w:rsidP="00881E6A">
                  <w:pPr>
                    <w:ind w:right="272"/>
                    <w:contextualSpacing/>
                    <w:rPr>
                      <w:rFonts w:cs="Times New Roman"/>
                      <w:b/>
                      <w:sz w:val="22"/>
                      <w:szCs w:val="22"/>
                      <w:lang w:eastAsia="es-CO"/>
                    </w:rPr>
                  </w:pPr>
                  <w:r w:rsidRPr="008D40E9">
                    <w:rPr>
                      <w:rFonts w:cs="Times New Roman"/>
                      <w:b/>
                      <w:sz w:val="22"/>
                      <w:szCs w:val="22"/>
                      <w:lang w:eastAsia="es-CO"/>
                    </w:rPr>
                    <w:t xml:space="preserve">Total </w:t>
                  </w:r>
                </w:p>
              </w:tc>
              <w:tc>
                <w:tcPr>
                  <w:tcW w:w="1094" w:type="dxa"/>
                </w:tcPr>
                <w:p w14:paraId="03BAF324" w14:textId="77777777" w:rsidR="00C454A1" w:rsidRPr="008D40E9" w:rsidRDefault="00C454A1" w:rsidP="00881E6A">
                  <w:pPr>
                    <w:ind w:right="272"/>
                    <w:contextualSpacing/>
                    <w:rPr>
                      <w:rFonts w:cs="Times New Roman"/>
                      <w:sz w:val="22"/>
                      <w:szCs w:val="22"/>
                      <w:lang w:eastAsia="es-CO"/>
                    </w:rPr>
                  </w:pPr>
                </w:p>
              </w:tc>
              <w:tc>
                <w:tcPr>
                  <w:tcW w:w="1054" w:type="dxa"/>
                </w:tcPr>
                <w:p w14:paraId="360E6613" w14:textId="77777777" w:rsidR="00C454A1" w:rsidRPr="008D40E9" w:rsidRDefault="00C454A1" w:rsidP="00881E6A">
                  <w:pPr>
                    <w:ind w:right="272"/>
                    <w:contextualSpacing/>
                    <w:jc w:val="right"/>
                    <w:rPr>
                      <w:rFonts w:cs="Times New Roman"/>
                      <w:b/>
                      <w:sz w:val="22"/>
                      <w:szCs w:val="22"/>
                      <w:lang w:eastAsia="es-CO"/>
                    </w:rPr>
                  </w:pPr>
                  <w:r w:rsidRPr="008D40E9">
                    <w:rPr>
                      <w:rFonts w:cs="Times New Roman"/>
                      <w:b/>
                      <w:sz w:val="22"/>
                      <w:szCs w:val="22"/>
                      <w:lang w:eastAsia="es-CO"/>
                    </w:rPr>
                    <w:t>2.328</w:t>
                  </w:r>
                </w:p>
              </w:tc>
              <w:tc>
                <w:tcPr>
                  <w:tcW w:w="1254" w:type="dxa"/>
                </w:tcPr>
                <w:p w14:paraId="616EB101" w14:textId="77777777" w:rsidR="00C454A1" w:rsidRPr="008D40E9" w:rsidRDefault="00C454A1" w:rsidP="00881E6A">
                  <w:pPr>
                    <w:ind w:right="272"/>
                    <w:contextualSpacing/>
                    <w:jc w:val="right"/>
                    <w:rPr>
                      <w:rFonts w:cs="Times New Roman"/>
                      <w:b/>
                      <w:sz w:val="22"/>
                      <w:szCs w:val="22"/>
                      <w:lang w:eastAsia="es-CO"/>
                    </w:rPr>
                  </w:pPr>
                  <w:r w:rsidRPr="008D40E9">
                    <w:rPr>
                      <w:rFonts w:cs="Times New Roman"/>
                      <w:b/>
                      <w:sz w:val="22"/>
                      <w:szCs w:val="22"/>
                      <w:lang w:eastAsia="es-CO"/>
                    </w:rPr>
                    <w:t>670</w:t>
                  </w:r>
                </w:p>
              </w:tc>
              <w:tc>
                <w:tcPr>
                  <w:tcW w:w="1417" w:type="dxa"/>
                </w:tcPr>
                <w:p w14:paraId="6E8965DA" w14:textId="77777777" w:rsidR="00C454A1" w:rsidRPr="008D40E9" w:rsidRDefault="00C454A1" w:rsidP="00881E6A">
                  <w:pPr>
                    <w:ind w:right="272"/>
                    <w:contextualSpacing/>
                    <w:jc w:val="right"/>
                    <w:rPr>
                      <w:rFonts w:cs="Times New Roman"/>
                      <w:b/>
                      <w:sz w:val="22"/>
                      <w:szCs w:val="22"/>
                      <w:lang w:eastAsia="es-CO"/>
                    </w:rPr>
                  </w:pPr>
                  <w:r w:rsidRPr="008D40E9">
                    <w:rPr>
                      <w:rFonts w:cs="Times New Roman"/>
                      <w:b/>
                      <w:sz w:val="22"/>
                      <w:szCs w:val="22"/>
                      <w:lang w:eastAsia="es-CO"/>
                    </w:rPr>
                    <w:t>2.998</w:t>
                  </w:r>
                </w:p>
              </w:tc>
            </w:tr>
          </w:tbl>
          <w:p w14:paraId="53EBA4CE" w14:textId="77777777" w:rsidR="00C454A1" w:rsidRDefault="00C454A1" w:rsidP="00881E6A">
            <w:pPr>
              <w:pStyle w:val="NormalWeb"/>
              <w:ind w:right="272"/>
              <w:contextualSpacing/>
              <w:rPr>
                <w:color w:val="000000" w:themeColor="text1"/>
              </w:rPr>
            </w:pPr>
          </w:p>
          <w:p w14:paraId="121E5033" w14:textId="77777777" w:rsidR="00C454A1" w:rsidRDefault="00C454A1" w:rsidP="00881E6A">
            <w:pPr>
              <w:pStyle w:val="NormalWeb"/>
              <w:ind w:right="272"/>
              <w:contextualSpacing/>
              <w:rPr>
                <w:color w:val="000000" w:themeColor="text1"/>
              </w:rPr>
            </w:pPr>
          </w:p>
          <w:p w14:paraId="2FF77471" w14:textId="77777777" w:rsidR="00C454A1" w:rsidRDefault="00C454A1" w:rsidP="00881E6A">
            <w:pPr>
              <w:pStyle w:val="NormalWeb"/>
              <w:ind w:right="272"/>
              <w:contextualSpacing/>
              <w:rPr>
                <w:color w:val="000000" w:themeColor="text1"/>
              </w:rPr>
            </w:pPr>
          </w:p>
          <w:p w14:paraId="433AEA91" w14:textId="77777777" w:rsidR="00C454A1" w:rsidRDefault="00C454A1" w:rsidP="00881E6A">
            <w:pPr>
              <w:pStyle w:val="NormalWeb"/>
              <w:ind w:right="272"/>
              <w:contextualSpacing/>
              <w:rPr>
                <w:color w:val="000000" w:themeColor="text1"/>
              </w:rPr>
            </w:pPr>
          </w:p>
          <w:p w14:paraId="46459C82" w14:textId="77777777" w:rsidR="00C454A1" w:rsidRDefault="00C454A1" w:rsidP="00881E6A">
            <w:pPr>
              <w:pStyle w:val="NormalWeb"/>
              <w:ind w:right="272"/>
              <w:contextualSpacing/>
              <w:rPr>
                <w:color w:val="000000" w:themeColor="text1"/>
              </w:rPr>
            </w:pPr>
          </w:p>
          <w:p w14:paraId="77920D47" w14:textId="77777777" w:rsidR="00C454A1" w:rsidRDefault="00C454A1" w:rsidP="00881E6A">
            <w:pPr>
              <w:pStyle w:val="NormalWeb"/>
              <w:ind w:right="272"/>
              <w:contextualSpacing/>
              <w:jc w:val="center"/>
              <w:rPr>
                <w:color w:val="000000" w:themeColor="text1"/>
              </w:rPr>
            </w:pPr>
          </w:p>
          <w:p w14:paraId="391445C5" w14:textId="77777777" w:rsidR="00C454A1" w:rsidRDefault="00C454A1" w:rsidP="00881E6A">
            <w:pPr>
              <w:pStyle w:val="NormalWeb"/>
              <w:ind w:right="272"/>
              <w:contextualSpacing/>
              <w:rPr>
                <w:color w:val="000000" w:themeColor="text1"/>
              </w:rPr>
            </w:pPr>
          </w:p>
          <w:p w14:paraId="59C55C79" w14:textId="77777777" w:rsidR="00C454A1" w:rsidRPr="00DA6C7F" w:rsidRDefault="00C454A1" w:rsidP="00881E6A">
            <w:pPr>
              <w:pStyle w:val="NormalWeb"/>
              <w:ind w:right="272"/>
              <w:contextualSpacing/>
              <w:rPr>
                <w:color w:val="000000" w:themeColor="text1"/>
              </w:rPr>
            </w:pPr>
            <w:r w:rsidRPr="00DA6C7F">
              <w:rPr>
                <w:color w:val="000000" w:themeColor="text1"/>
              </w:rPr>
              <w:t xml:space="preserve">Resaltó que “los compromisos con los núcleos familiares beneficiarios del Programa en lo relativo al aseguramiento de la Asistencia Alimentaria, hoy se encuentran cumplidos”. Como instrumento de gestión del programa, se estableció el Plan de Atención Inmediata (PAI) por medio del cual se identificaron los predios con cultivo de uso ilícito, se caracterizaron las familias vinculadas al PNIS y se verificó el cumplimiento de los compromisos. Asimismo, señaló la implementación de los componentes de </w:t>
            </w:r>
            <w:r w:rsidRPr="00DA6C7F">
              <w:rPr>
                <w:i/>
                <w:iCs/>
                <w:color w:val="000000" w:themeColor="text1"/>
              </w:rPr>
              <w:t>Asistencia Alimentaria Inmediata</w:t>
            </w:r>
            <w:r w:rsidRPr="00DA6C7F">
              <w:rPr>
                <w:color w:val="000000" w:themeColor="text1"/>
              </w:rPr>
              <w:t xml:space="preserve">, </w:t>
            </w:r>
            <w:r w:rsidRPr="00DA6C7F">
              <w:rPr>
                <w:i/>
                <w:iCs/>
                <w:color w:val="000000" w:themeColor="text1"/>
              </w:rPr>
              <w:t>Asistencia Técnica Integral</w:t>
            </w:r>
            <w:r w:rsidRPr="00DA6C7F">
              <w:rPr>
                <w:color w:val="000000" w:themeColor="text1"/>
              </w:rPr>
              <w:t xml:space="preserve">, </w:t>
            </w:r>
            <w:r w:rsidRPr="00DA6C7F">
              <w:rPr>
                <w:i/>
                <w:iCs/>
                <w:color w:val="000000" w:themeColor="text1"/>
              </w:rPr>
              <w:t>Auto sostenimiento</w:t>
            </w:r>
            <w:r w:rsidRPr="00DA6C7F">
              <w:rPr>
                <w:color w:val="000000" w:themeColor="text1"/>
              </w:rPr>
              <w:t xml:space="preserve"> </w:t>
            </w:r>
            <w:r w:rsidRPr="00DA6C7F">
              <w:rPr>
                <w:i/>
                <w:iCs/>
                <w:color w:val="000000" w:themeColor="text1"/>
              </w:rPr>
              <w:t>y Seguridad alimentaria</w:t>
            </w:r>
            <w:r w:rsidRPr="00DA6C7F">
              <w:rPr>
                <w:color w:val="000000" w:themeColor="text1"/>
              </w:rPr>
              <w:t xml:space="preserve">, </w:t>
            </w:r>
            <w:r w:rsidRPr="00DA6C7F">
              <w:rPr>
                <w:i/>
                <w:iCs/>
                <w:color w:val="000000" w:themeColor="text1"/>
              </w:rPr>
              <w:t>Proyectos Productivos</w:t>
            </w:r>
            <w:r w:rsidRPr="00DA6C7F">
              <w:rPr>
                <w:color w:val="000000" w:themeColor="text1"/>
              </w:rPr>
              <w:t xml:space="preserve"> y un </w:t>
            </w:r>
            <w:r w:rsidRPr="00DA6C7F">
              <w:rPr>
                <w:i/>
                <w:iCs/>
                <w:color w:val="000000" w:themeColor="text1"/>
              </w:rPr>
              <w:t>Plan de Atención Inmediata a Recolectores</w:t>
            </w:r>
            <w:r w:rsidRPr="00DA6C7F">
              <w:rPr>
                <w:color w:val="000000" w:themeColor="text1"/>
              </w:rPr>
              <w:t xml:space="preserve"> para acompañar a las familias en el proceso de sustitución de cultivos ilícitos. Destacó que la seguridad alimentaria de los beneficiarios actuales del PNIS, “en clave de los componentes antes descritos, de ninguna manera resuelve esa problemática para los habitantes de la zona comprendida en el ámbito de aplicación territorial del Decreto 0062 de 2025”</w:t>
            </w:r>
            <w:r w:rsidRPr="00DA6C7F">
              <w:rPr>
                <w:rStyle w:val="Refdenotaalpie"/>
                <w:color w:val="000000" w:themeColor="text1"/>
              </w:rPr>
              <w:footnoteReference w:id="830"/>
            </w:r>
            <w:r w:rsidRPr="00DA6C7F">
              <w:rPr>
                <w:color w:val="000000" w:themeColor="text1"/>
              </w:rPr>
              <w:t>. En tal sentido, aclaró que, en lo que respecta a los municipios de Sardinata y Tibú, “la declaración del estado de conmoción interior no tiene como objetivo establecer acciones o medidas orientadas a la materialización del componente de seguridad alimentaria de los núcleos familiares beneficiarios del Programa”. Sin embargo, precisó que, en el resto de municipios en los que se declaró el estado de emergencia “los componentes anteriormente descritos no han sido implementados” y, en consecuencia, la población de dichas regiones que se encuentran en “condiciones de vulnerabilidad y dependen de los cultivos de uso ilícito para su subsistencia (…) requieren de una atención urgente y ágil del Estado para transitar a economías lícitas”</w:t>
            </w:r>
            <w:r w:rsidRPr="00DA6C7F">
              <w:rPr>
                <w:rStyle w:val="Refdenotaalpie"/>
                <w:color w:val="000000" w:themeColor="text1"/>
              </w:rPr>
              <w:footnoteReference w:id="831"/>
            </w:r>
            <w:r w:rsidRPr="00DA6C7F">
              <w:rPr>
                <w:color w:val="000000" w:themeColor="text1"/>
              </w:rPr>
              <w:t xml:space="preserve">. Por lo tanto, concluyó que la cobertura y el diseño del PNIS es </w:t>
            </w:r>
            <w:r w:rsidRPr="00DA6C7F">
              <w:rPr>
                <w:color w:val="000000" w:themeColor="text1"/>
              </w:rPr>
              <w:lastRenderedPageBreak/>
              <w:t>insuficiente para atender la totalidad de las familias que sea</w:t>
            </w:r>
            <w:r>
              <w:rPr>
                <w:color w:val="000000" w:themeColor="text1"/>
              </w:rPr>
              <w:t>n</w:t>
            </w:r>
            <w:r w:rsidRPr="00DA6C7F">
              <w:rPr>
                <w:color w:val="000000" w:themeColor="text1"/>
              </w:rPr>
              <w:t xml:space="preserve"> potenciales beneficiari</w:t>
            </w:r>
            <w:r>
              <w:rPr>
                <w:color w:val="000000" w:themeColor="text1"/>
              </w:rPr>
              <w:t>a</w:t>
            </w:r>
            <w:r w:rsidRPr="00DA6C7F">
              <w:rPr>
                <w:color w:val="000000" w:themeColor="text1"/>
              </w:rPr>
              <w:t xml:space="preserve">s de un programa de sustitución voluntaria. </w:t>
            </w:r>
          </w:p>
          <w:p w14:paraId="037979DC" w14:textId="77777777" w:rsidR="00C454A1" w:rsidRPr="00DA6C7F" w:rsidRDefault="00C454A1" w:rsidP="00881E6A">
            <w:pPr>
              <w:pStyle w:val="NormalWeb"/>
              <w:ind w:right="272"/>
              <w:contextualSpacing/>
              <w:rPr>
                <w:color w:val="000000" w:themeColor="text1"/>
              </w:rPr>
            </w:pPr>
          </w:p>
          <w:p w14:paraId="66448F9D" w14:textId="77777777" w:rsidR="00C454A1" w:rsidRPr="00DA6C7F" w:rsidRDefault="00C454A1" w:rsidP="00881E6A">
            <w:pPr>
              <w:pStyle w:val="NormalWeb"/>
              <w:ind w:right="272"/>
              <w:contextualSpacing/>
            </w:pPr>
            <w:r w:rsidRPr="00DA6C7F">
              <w:t xml:space="preserve">Señaló que se requieren medidas administrativas extraordinarias para cumplir los compromisos de seguridad alimentaria del PNIS </w:t>
            </w:r>
            <w:r w:rsidRPr="00DA6C7F">
              <w:rPr>
                <w:rFonts w:eastAsia="Calibri"/>
                <w:lang w:eastAsia="es-ES"/>
              </w:rPr>
              <w:t xml:space="preserve">en el área metropolitana de Cúcuta, así como en </w:t>
            </w:r>
            <w:r w:rsidRPr="00DA6C7F">
              <w:t>los municipios de Río de Oro y González. Planteó la necesidad de medidas administrativas para agilizar trámites, asegurar financiamiento y generar incentivos para la transición hacia economías lícitas. En concreto planteó las siguientes medidas:</w:t>
            </w:r>
          </w:p>
          <w:p w14:paraId="6F4657B1" w14:textId="77777777" w:rsidR="00C454A1" w:rsidRPr="00DA6C7F" w:rsidRDefault="00C454A1" w:rsidP="00881E6A">
            <w:pPr>
              <w:pStyle w:val="NormalWeb"/>
              <w:ind w:right="272"/>
              <w:contextualSpacing/>
              <w:rPr>
                <w:b/>
                <w:bCs/>
              </w:rPr>
            </w:pPr>
          </w:p>
          <w:p w14:paraId="789F2373" w14:textId="77777777" w:rsidR="00C454A1" w:rsidRPr="00DA6C7F" w:rsidRDefault="00C454A1" w:rsidP="005F4A6F">
            <w:pPr>
              <w:pStyle w:val="NormalWeb"/>
              <w:numPr>
                <w:ilvl w:val="0"/>
                <w:numId w:val="70"/>
              </w:numPr>
              <w:ind w:right="272"/>
              <w:contextualSpacing/>
              <w:rPr>
                <w:color w:val="000000" w:themeColor="text1"/>
              </w:rPr>
            </w:pPr>
            <w:r w:rsidRPr="00DA6C7F">
              <w:t>Recursos financieros.</w:t>
            </w:r>
          </w:p>
          <w:p w14:paraId="0C1FE040" w14:textId="77777777" w:rsidR="00C454A1" w:rsidRPr="00DA6C7F" w:rsidRDefault="00C454A1" w:rsidP="00881E6A">
            <w:pPr>
              <w:pStyle w:val="NormalWeb"/>
              <w:ind w:right="272"/>
              <w:contextualSpacing/>
              <w:rPr>
                <w:color w:val="000000" w:themeColor="text1"/>
              </w:rPr>
            </w:pPr>
          </w:p>
          <w:p w14:paraId="3DEAB943" w14:textId="77777777" w:rsidR="00C454A1" w:rsidRPr="00DA6C7F" w:rsidRDefault="00C454A1" w:rsidP="005F4A6F">
            <w:pPr>
              <w:pStyle w:val="Prrafodelista"/>
              <w:numPr>
                <w:ilvl w:val="0"/>
                <w:numId w:val="64"/>
              </w:numPr>
              <w:ind w:left="438" w:right="272" w:hanging="50"/>
              <w:rPr>
                <w:rFonts w:eastAsia="Times New Roman" w:cs="Times New Roman"/>
                <w:lang w:eastAsia="es-CO"/>
              </w:rPr>
            </w:pPr>
            <w:r w:rsidRPr="00DA6C7F">
              <w:rPr>
                <w:rFonts w:eastAsia="Times New Roman" w:cs="Times New Roman"/>
                <w:lang w:eastAsia="es-CO"/>
              </w:rPr>
              <w:t>Se estima una inversión de $362.000 millones para la sustitución voluntaria, con posibilidad de incremento según la demanda.</w:t>
            </w:r>
          </w:p>
          <w:p w14:paraId="70D21A26" w14:textId="77777777" w:rsidR="00C454A1" w:rsidRPr="00DA6C7F" w:rsidRDefault="00C454A1" w:rsidP="005F4A6F">
            <w:pPr>
              <w:pStyle w:val="Prrafodelista"/>
              <w:numPr>
                <w:ilvl w:val="0"/>
                <w:numId w:val="64"/>
              </w:numPr>
              <w:ind w:left="438" w:right="272" w:hanging="50"/>
              <w:rPr>
                <w:rFonts w:eastAsia="Times New Roman" w:cs="Times New Roman"/>
                <w:lang w:eastAsia="es-CO"/>
              </w:rPr>
            </w:pPr>
            <w:r w:rsidRPr="00DA6C7F">
              <w:rPr>
                <w:rFonts w:eastAsia="Times New Roman" w:cs="Times New Roman"/>
                <w:lang w:eastAsia="es-CO"/>
              </w:rPr>
              <w:t xml:space="preserve">Ampliación de la facultad del </w:t>
            </w:r>
            <w:r w:rsidRPr="00DA6C7F">
              <w:rPr>
                <w:rFonts w:eastAsia="Times New Roman" w:cs="Times New Roman"/>
                <w:i/>
                <w:iCs/>
                <w:lang w:eastAsia="es-CO"/>
              </w:rPr>
              <w:t>Fondo Colombia en Paz</w:t>
            </w:r>
            <w:r w:rsidRPr="00DA6C7F">
              <w:rPr>
                <w:rFonts w:eastAsia="Times New Roman" w:cs="Times New Roman"/>
                <w:lang w:eastAsia="es-CO"/>
              </w:rPr>
              <w:t xml:space="preserve"> para administrar y ejecutar recursos de distintas fuentes de financiamiento.</w:t>
            </w:r>
          </w:p>
          <w:p w14:paraId="474229B4" w14:textId="77777777" w:rsidR="00C454A1" w:rsidRPr="00DA6C7F" w:rsidRDefault="00C454A1" w:rsidP="00881E6A">
            <w:pPr>
              <w:ind w:right="272"/>
              <w:contextualSpacing/>
              <w:rPr>
                <w:rFonts w:eastAsia="Times New Roman" w:cs="Times New Roman"/>
                <w:lang w:eastAsia="es-CO"/>
              </w:rPr>
            </w:pPr>
          </w:p>
          <w:p w14:paraId="5046A8A5" w14:textId="77777777" w:rsidR="00C454A1" w:rsidRPr="00DA6C7F" w:rsidRDefault="00C454A1" w:rsidP="005F4A6F">
            <w:pPr>
              <w:pStyle w:val="Prrafodelista"/>
              <w:numPr>
                <w:ilvl w:val="0"/>
                <w:numId w:val="70"/>
              </w:numPr>
              <w:ind w:right="272"/>
              <w:rPr>
                <w:rFonts w:eastAsia="Times New Roman" w:cs="Times New Roman"/>
                <w:lang w:eastAsia="es-CO"/>
              </w:rPr>
            </w:pPr>
            <w:r w:rsidRPr="00DA6C7F">
              <w:rPr>
                <w:rFonts w:eastAsia="Times New Roman" w:cs="Times New Roman"/>
                <w:lang w:eastAsia="es-CO"/>
              </w:rPr>
              <w:t>Facilitación de trámites y regulaciones.</w:t>
            </w:r>
          </w:p>
          <w:p w14:paraId="41C09C01" w14:textId="77777777" w:rsidR="00C454A1" w:rsidRPr="00DA6C7F" w:rsidRDefault="00C454A1" w:rsidP="00881E6A">
            <w:pPr>
              <w:ind w:right="272"/>
              <w:contextualSpacing/>
              <w:rPr>
                <w:rFonts w:eastAsia="Times New Roman" w:cs="Times New Roman"/>
                <w:lang w:eastAsia="es-CO"/>
              </w:rPr>
            </w:pPr>
          </w:p>
          <w:p w14:paraId="152DB8F1" w14:textId="77777777" w:rsidR="00C454A1" w:rsidRPr="00DA6C7F" w:rsidRDefault="00C454A1" w:rsidP="005F4A6F">
            <w:pPr>
              <w:pStyle w:val="Prrafodelista"/>
              <w:numPr>
                <w:ilvl w:val="0"/>
                <w:numId w:val="64"/>
              </w:numPr>
              <w:ind w:left="813" w:right="272" w:hanging="425"/>
              <w:rPr>
                <w:rFonts w:eastAsia="Times New Roman" w:cs="Times New Roman"/>
                <w:lang w:eastAsia="es-CO"/>
              </w:rPr>
            </w:pPr>
            <w:r w:rsidRPr="00DA6C7F">
              <w:rPr>
                <w:rFonts w:eastAsia="Times New Roman" w:cs="Times New Roman"/>
                <w:lang w:eastAsia="es-CO"/>
              </w:rPr>
              <w:t>Simplificación de permisos sanitarios y prioridad en la tramitación para productos de la región del Catatumbo.</w:t>
            </w:r>
          </w:p>
          <w:p w14:paraId="161CC294" w14:textId="77777777" w:rsidR="00C454A1" w:rsidRPr="00DA6C7F" w:rsidRDefault="00C454A1" w:rsidP="005F4A6F">
            <w:pPr>
              <w:pStyle w:val="Prrafodelista"/>
              <w:numPr>
                <w:ilvl w:val="0"/>
                <w:numId w:val="64"/>
              </w:numPr>
              <w:ind w:left="813" w:right="272" w:hanging="425"/>
              <w:rPr>
                <w:rFonts w:eastAsia="Times New Roman" w:cs="Times New Roman"/>
                <w:lang w:eastAsia="es-CO"/>
              </w:rPr>
            </w:pPr>
            <w:r w:rsidRPr="00DA6C7F">
              <w:rPr>
                <w:rFonts w:eastAsia="Times New Roman" w:cs="Times New Roman"/>
                <w:lang w:eastAsia="es-CO"/>
              </w:rPr>
              <w:t>Agilización de procesos de ordenamiento de propiedad rural y acceso a tierras para campesinos y comunidades étnicas.</w:t>
            </w:r>
          </w:p>
          <w:p w14:paraId="6861771D" w14:textId="77777777" w:rsidR="00C454A1" w:rsidRPr="00DA6C7F" w:rsidRDefault="00C454A1" w:rsidP="00881E6A">
            <w:pPr>
              <w:ind w:left="78" w:right="272"/>
              <w:contextualSpacing/>
              <w:rPr>
                <w:rFonts w:eastAsia="Times New Roman" w:cs="Times New Roman"/>
                <w:lang w:eastAsia="es-CO"/>
              </w:rPr>
            </w:pPr>
          </w:p>
          <w:p w14:paraId="7E237B15" w14:textId="77777777" w:rsidR="00C454A1" w:rsidRPr="00DA6C7F" w:rsidRDefault="00C454A1" w:rsidP="005F4A6F">
            <w:pPr>
              <w:numPr>
                <w:ilvl w:val="0"/>
                <w:numId w:val="70"/>
              </w:numPr>
              <w:ind w:right="272"/>
              <w:contextualSpacing/>
              <w:jc w:val="left"/>
              <w:rPr>
                <w:rFonts w:eastAsia="Times New Roman" w:cs="Times New Roman"/>
                <w:lang w:eastAsia="es-CO"/>
              </w:rPr>
            </w:pPr>
            <w:r w:rsidRPr="00DA6C7F">
              <w:rPr>
                <w:rFonts w:eastAsia="Times New Roman" w:cs="Times New Roman"/>
                <w:lang w:eastAsia="es-CO"/>
              </w:rPr>
              <w:t>Acceso a financiamiento.</w:t>
            </w:r>
          </w:p>
          <w:p w14:paraId="3235D5E2" w14:textId="77777777" w:rsidR="00C454A1" w:rsidRPr="00DA6C7F" w:rsidRDefault="00C454A1" w:rsidP="00881E6A">
            <w:pPr>
              <w:ind w:right="272"/>
              <w:contextualSpacing/>
              <w:rPr>
                <w:rFonts w:eastAsia="Times New Roman" w:cs="Times New Roman"/>
                <w:lang w:eastAsia="es-CO"/>
              </w:rPr>
            </w:pPr>
          </w:p>
          <w:p w14:paraId="565AFF50" w14:textId="77777777" w:rsidR="00C454A1" w:rsidRPr="00DA6C7F" w:rsidRDefault="00C454A1" w:rsidP="005F4A6F">
            <w:pPr>
              <w:pStyle w:val="Prrafodelista"/>
              <w:numPr>
                <w:ilvl w:val="0"/>
                <w:numId w:val="64"/>
              </w:numPr>
              <w:ind w:left="813" w:right="272" w:hanging="425"/>
              <w:jc w:val="left"/>
              <w:rPr>
                <w:rFonts w:eastAsia="Times New Roman" w:cs="Times New Roman"/>
                <w:lang w:eastAsia="es-CO"/>
              </w:rPr>
            </w:pPr>
            <w:r w:rsidRPr="00DA6C7F">
              <w:rPr>
                <w:rFonts w:eastAsia="Times New Roman" w:cs="Times New Roman"/>
                <w:lang w:eastAsia="es-CO"/>
              </w:rPr>
              <w:t>Flexibilización de requisitos financieros para pequeños productores, con garantías estatales y sin restricciones por reportes en centrales de riesgo.</w:t>
            </w:r>
          </w:p>
          <w:p w14:paraId="7C019373" w14:textId="77777777" w:rsidR="00C454A1" w:rsidRPr="00DA6C7F" w:rsidRDefault="00C454A1" w:rsidP="005F4A6F">
            <w:pPr>
              <w:pStyle w:val="Prrafodelista"/>
              <w:numPr>
                <w:ilvl w:val="0"/>
                <w:numId w:val="64"/>
              </w:numPr>
              <w:ind w:left="813" w:right="272" w:hanging="425"/>
              <w:jc w:val="left"/>
              <w:rPr>
                <w:rFonts w:eastAsia="Times New Roman" w:cs="Times New Roman"/>
                <w:lang w:eastAsia="es-CO"/>
              </w:rPr>
            </w:pPr>
            <w:r w:rsidRPr="00DA6C7F">
              <w:rPr>
                <w:rFonts w:eastAsia="Times New Roman" w:cs="Times New Roman"/>
                <w:lang w:eastAsia="es-CO"/>
              </w:rPr>
              <w:t>Exención del impuesto al valor agregado (IVA) en insumos necesarios para la sustitución.</w:t>
            </w:r>
          </w:p>
          <w:p w14:paraId="6382987D" w14:textId="77777777" w:rsidR="00C454A1" w:rsidRPr="00DA6C7F" w:rsidRDefault="00C454A1" w:rsidP="005F4A6F">
            <w:pPr>
              <w:pStyle w:val="Prrafodelista"/>
              <w:numPr>
                <w:ilvl w:val="0"/>
                <w:numId w:val="64"/>
              </w:numPr>
              <w:ind w:left="813" w:right="272" w:hanging="425"/>
              <w:jc w:val="left"/>
              <w:rPr>
                <w:rFonts w:eastAsia="Times New Roman" w:cs="Times New Roman"/>
                <w:lang w:eastAsia="es-CO"/>
              </w:rPr>
            </w:pPr>
            <w:r w:rsidRPr="00DA6C7F">
              <w:rPr>
                <w:rFonts w:eastAsia="Times New Roman" w:cs="Times New Roman"/>
                <w:lang w:eastAsia="es-CO"/>
              </w:rPr>
              <w:t>Aplicación de alivios financieros a deudas de pequeños productores vinculados a estos procesos.</w:t>
            </w:r>
          </w:p>
          <w:p w14:paraId="2420DB0A" w14:textId="77777777" w:rsidR="00C454A1" w:rsidRPr="00DA6C7F" w:rsidRDefault="00C454A1" w:rsidP="00881E6A">
            <w:pPr>
              <w:pStyle w:val="Prrafodelista"/>
              <w:ind w:left="438" w:right="272"/>
              <w:rPr>
                <w:rFonts w:eastAsia="Times New Roman" w:cs="Times New Roman"/>
                <w:lang w:eastAsia="es-CO"/>
              </w:rPr>
            </w:pPr>
          </w:p>
          <w:p w14:paraId="1B7FCA21" w14:textId="77777777" w:rsidR="00C454A1" w:rsidRPr="00DA6C7F" w:rsidRDefault="00C454A1" w:rsidP="005F4A6F">
            <w:pPr>
              <w:numPr>
                <w:ilvl w:val="0"/>
                <w:numId w:val="70"/>
              </w:numPr>
              <w:ind w:right="272"/>
              <w:contextualSpacing/>
              <w:jc w:val="left"/>
              <w:rPr>
                <w:rFonts w:eastAsia="Times New Roman" w:cs="Times New Roman"/>
                <w:lang w:eastAsia="es-CO"/>
              </w:rPr>
            </w:pPr>
            <w:r w:rsidRPr="00DA6C7F">
              <w:rPr>
                <w:rFonts w:eastAsia="Times New Roman" w:cs="Times New Roman"/>
                <w:lang w:eastAsia="es-CO"/>
              </w:rPr>
              <w:t>Incentivos económicos.</w:t>
            </w:r>
          </w:p>
          <w:p w14:paraId="107A1002" w14:textId="77777777" w:rsidR="00C454A1" w:rsidRPr="00DA6C7F" w:rsidRDefault="00C454A1" w:rsidP="00881E6A">
            <w:pPr>
              <w:ind w:left="720" w:right="272"/>
              <w:contextualSpacing/>
              <w:rPr>
                <w:rFonts w:eastAsia="Times New Roman" w:cs="Times New Roman"/>
                <w:lang w:eastAsia="es-CO"/>
              </w:rPr>
            </w:pPr>
          </w:p>
          <w:p w14:paraId="35C4E329" w14:textId="77777777" w:rsidR="00C454A1" w:rsidRPr="00DA6C7F" w:rsidRDefault="00C454A1" w:rsidP="005F4A6F">
            <w:pPr>
              <w:pStyle w:val="Prrafodelista"/>
              <w:numPr>
                <w:ilvl w:val="0"/>
                <w:numId w:val="64"/>
              </w:numPr>
              <w:ind w:left="813" w:right="272" w:hanging="425"/>
              <w:jc w:val="left"/>
              <w:rPr>
                <w:rFonts w:eastAsia="Times New Roman" w:cs="Times New Roman"/>
                <w:lang w:eastAsia="es-CO"/>
              </w:rPr>
            </w:pPr>
            <w:r w:rsidRPr="00DA6C7F">
              <w:rPr>
                <w:rFonts w:eastAsia="Times New Roman" w:cs="Times New Roman"/>
                <w:lang w:eastAsia="es-CO"/>
              </w:rPr>
              <w:t>Entrega de subsidios especiales para la adquisición de insumos y materiales destinados a proyectos productivos de sustitución.</w:t>
            </w:r>
          </w:p>
          <w:p w14:paraId="5D4B6BD7" w14:textId="77777777" w:rsidR="00C454A1" w:rsidRPr="00DA6C7F" w:rsidRDefault="00C454A1" w:rsidP="00881E6A">
            <w:pPr>
              <w:ind w:right="272"/>
              <w:contextualSpacing/>
              <w:rPr>
                <w:rFonts w:eastAsia="Times New Roman" w:cs="Times New Roman"/>
                <w:lang w:eastAsia="es-CO"/>
              </w:rPr>
            </w:pPr>
          </w:p>
          <w:p w14:paraId="3175100A" w14:textId="77777777" w:rsidR="00C454A1" w:rsidRPr="00DA6C7F" w:rsidRDefault="00C454A1" w:rsidP="00881E6A">
            <w:pPr>
              <w:ind w:right="272"/>
              <w:contextualSpacing/>
              <w:rPr>
                <w:rFonts w:eastAsia="Times New Roman" w:cs="Times New Roman"/>
                <w:lang w:eastAsia="es-CO"/>
              </w:rPr>
            </w:pPr>
            <w:r w:rsidRPr="00DA6C7F">
              <w:rPr>
                <w:rFonts w:eastAsia="Times New Roman" w:cs="Times New Roman"/>
                <w:lang w:eastAsia="es-CO"/>
              </w:rPr>
              <w:t>Explicó que estas medidas buscan garantizar la viabilidad y éxito de la sustitución voluntaria, promoviendo alternativas sostenibles y mejorando las condiciones económicas y sociales en las comunidades afectadas.</w:t>
            </w:r>
          </w:p>
          <w:p w14:paraId="72F52FEA" w14:textId="77777777" w:rsidR="00C454A1" w:rsidRPr="00DA6C7F" w:rsidRDefault="00C454A1" w:rsidP="00881E6A">
            <w:pPr>
              <w:ind w:right="272"/>
              <w:contextualSpacing/>
              <w:rPr>
                <w:rFonts w:eastAsia="Times New Roman" w:cs="Times New Roman"/>
                <w:lang w:eastAsia="es-CO"/>
              </w:rPr>
            </w:pPr>
          </w:p>
          <w:p w14:paraId="433C0D82" w14:textId="77777777" w:rsidR="00C454A1" w:rsidRPr="00DA6C7F" w:rsidRDefault="00C454A1" w:rsidP="00881E6A">
            <w:pPr>
              <w:ind w:right="272"/>
              <w:contextualSpacing/>
              <w:rPr>
                <w:rFonts w:eastAsia="Times New Roman" w:cs="Times New Roman"/>
                <w:lang w:eastAsia="es-CO"/>
              </w:rPr>
            </w:pPr>
            <w:r w:rsidRPr="00DA6C7F">
              <w:rPr>
                <w:rFonts w:cs="Times New Roman"/>
              </w:rPr>
              <w:t>En cuanto al nivel de ejecución efectiva de la entrega de transferencias condicionadas, implementación de planes de inversión y conformación de Bancos de Proveedores Locales, previstos en las Resoluciones 0012, 0030, 0032 y 0049 de 2024 la Dirección de Sustitución de Cultivos Ilícitos (DSCI), en desarrollo del PNIS, presentó las siguientes cifras para medir la materialización de dichos actos administrativos.</w:t>
            </w:r>
          </w:p>
          <w:p w14:paraId="71DF0479" w14:textId="77777777" w:rsidR="00C454A1" w:rsidRPr="00DA6C7F" w:rsidRDefault="00C454A1" w:rsidP="00881E6A">
            <w:pPr>
              <w:ind w:right="272"/>
              <w:contextualSpacing/>
              <w:textAlignment w:val="baseline"/>
              <w:rPr>
                <w:rFonts w:cs="Times New Roman"/>
              </w:rPr>
            </w:pPr>
          </w:p>
          <w:p w14:paraId="13BB8468" w14:textId="77777777" w:rsidR="00C454A1" w:rsidRPr="00DA6C7F" w:rsidRDefault="00C454A1" w:rsidP="005F4A6F">
            <w:pPr>
              <w:pStyle w:val="Prrafodelista"/>
              <w:numPr>
                <w:ilvl w:val="0"/>
                <w:numId w:val="71"/>
              </w:numPr>
              <w:ind w:left="813" w:right="272" w:hanging="567"/>
              <w:textAlignment w:val="baseline"/>
              <w:rPr>
                <w:rFonts w:cs="Times New Roman"/>
              </w:rPr>
            </w:pPr>
            <w:r w:rsidRPr="00DA6C7F">
              <w:rPr>
                <w:rFonts w:eastAsia="Calibri" w:cs="Times New Roman"/>
                <w:i/>
                <w:iCs/>
                <w:lang w:eastAsia="es-ES"/>
              </w:rPr>
              <w:t>Componente Asistencia Alimentaria inmediata (AAI) Fase I:</w:t>
            </w:r>
            <w:r w:rsidRPr="00DA6C7F">
              <w:rPr>
                <w:rFonts w:eastAsia="Calibri" w:cs="Times New Roman"/>
                <w:lang w:eastAsia="es-ES"/>
              </w:rPr>
              <w:t xml:space="preserve"> consiste en la entrega de hasta </w:t>
            </w:r>
            <w:r>
              <w:rPr>
                <w:rFonts w:eastAsia="Calibri" w:cs="Times New Roman"/>
                <w:lang w:eastAsia="es-ES"/>
              </w:rPr>
              <w:t>$</w:t>
            </w:r>
            <w:r w:rsidRPr="00DA6C7F">
              <w:rPr>
                <w:rFonts w:eastAsia="Calibri" w:cs="Times New Roman"/>
                <w:lang w:eastAsia="es-ES"/>
              </w:rPr>
              <w:t>12.000.000 por familia por vincularse al programa y realizar actividades de apoyo a la sustitución voluntaria, preparación de tierras y trabajos de interés comunitario</w:t>
            </w:r>
            <w:r w:rsidRPr="00DA6C7F">
              <w:rPr>
                <w:rFonts w:cs="Times New Roman"/>
              </w:rPr>
              <w:t xml:space="preserve">. Expuso que </w:t>
            </w:r>
            <w:r w:rsidRPr="00DA6C7F">
              <w:rPr>
                <w:rFonts w:eastAsia="Calibri" w:cs="Times New Roman"/>
                <w:lang w:eastAsia="es-ES"/>
              </w:rPr>
              <w:t xml:space="preserve">el cumplimiento general de este componente es del 99%, con </w:t>
            </w:r>
            <w:r>
              <w:rPr>
                <w:rFonts w:eastAsia="Calibri" w:cs="Times New Roman"/>
                <w:lang w:eastAsia="es-ES"/>
              </w:rPr>
              <w:t>$</w:t>
            </w:r>
            <w:r w:rsidRPr="00DA6C7F">
              <w:rPr>
                <w:rFonts w:eastAsia="Calibri" w:cs="Times New Roman"/>
                <w:lang w:eastAsia="es-ES"/>
              </w:rPr>
              <w:t xml:space="preserve">2.196.000.000 entregados a 183 familias en Sardinata y </w:t>
            </w:r>
            <w:r>
              <w:rPr>
                <w:rFonts w:eastAsia="Calibri" w:cs="Times New Roman"/>
                <w:lang w:eastAsia="es-ES"/>
              </w:rPr>
              <w:t>$</w:t>
            </w:r>
            <w:r w:rsidRPr="00DA6C7F">
              <w:rPr>
                <w:rFonts w:eastAsia="Calibri" w:cs="Times New Roman"/>
                <w:lang w:eastAsia="es-ES"/>
              </w:rPr>
              <w:t>18.695.500.000</w:t>
            </w:r>
            <w:r>
              <w:rPr>
                <w:rFonts w:eastAsia="Calibri" w:cs="Times New Roman"/>
                <w:lang w:eastAsia="es-ES"/>
              </w:rPr>
              <w:t xml:space="preserve"> </w:t>
            </w:r>
            <w:r w:rsidRPr="00DA6C7F">
              <w:rPr>
                <w:rFonts w:eastAsia="Calibri" w:cs="Times New Roman"/>
                <w:lang w:eastAsia="es-ES"/>
              </w:rPr>
              <w:t xml:space="preserve">entregados a 1.511 familias en Tibú. </w:t>
            </w:r>
          </w:p>
          <w:p w14:paraId="1BD3335E" w14:textId="77777777" w:rsidR="00C454A1" w:rsidRPr="00DA6C7F" w:rsidRDefault="00C454A1" w:rsidP="005F4A6F">
            <w:pPr>
              <w:pStyle w:val="Prrafodelista"/>
              <w:numPr>
                <w:ilvl w:val="0"/>
                <w:numId w:val="71"/>
              </w:numPr>
              <w:ind w:left="813" w:right="272" w:hanging="567"/>
              <w:textAlignment w:val="baseline"/>
              <w:rPr>
                <w:rFonts w:cs="Times New Roman"/>
              </w:rPr>
            </w:pPr>
            <w:r w:rsidRPr="00DA6C7F">
              <w:rPr>
                <w:rFonts w:eastAsia="Calibri" w:cs="Times New Roman"/>
                <w:i/>
                <w:iCs/>
                <w:lang w:eastAsia="es-ES"/>
              </w:rPr>
              <w:t>AAI Fase II</w:t>
            </w:r>
            <w:r w:rsidRPr="00DA6C7F">
              <w:rPr>
                <w:rFonts w:eastAsia="Calibri" w:cs="Times New Roman"/>
                <w:lang w:eastAsia="es-ES"/>
              </w:rPr>
              <w:t xml:space="preserve">: debido a los retrasos en el programa y la consecuente vulnerabilidad alimentaria, se expidió la Resolución 0014 de 2023, que consistió en una única transferencia de </w:t>
            </w:r>
            <w:r>
              <w:rPr>
                <w:rFonts w:eastAsia="Calibri" w:cs="Times New Roman"/>
                <w:lang w:eastAsia="es-ES"/>
              </w:rPr>
              <w:t>$</w:t>
            </w:r>
            <w:r w:rsidRPr="00DA6C7F">
              <w:rPr>
                <w:rFonts w:eastAsia="Calibri" w:cs="Times New Roman"/>
                <w:lang w:eastAsia="es-ES"/>
              </w:rPr>
              <w:t>2.000.000 por núcleo familiar</w:t>
            </w:r>
            <w:r w:rsidRPr="00DA6C7F">
              <w:rPr>
                <w:rFonts w:cs="Times New Roman"/>
              </w:rPr>
              <w:t xml:space="preserve">. Señaló que </w:t>
            </w:r>
            <w:r w:rsidRPr="00DA6C7F">
              <w:rPr>
                <w:rFonts w:eastAsia="Calibri" w:cs="Times New Roman"/>
                <w:lang w:eastAsia="es-ES"/>
              </w:rPr>
              <w:t xml:space="preserve">el cumplimiento general de esta fase es de 95%, con </w:t>
            </w:r>
            <w:r>
              <w:rPr>
                <w:rFonts w:eastAsia="Calibri" w:cs="Times New Roman"/>
                <w:lang w:eastAsia="es-ES"/>
              </w:rPr>
              <w:t>$</w:t>
            </w:r>
            <w:r w:rsidRPr="00DA6C7F">
              <w:rPr>
                <w:rFonts w:eastAsia="Calibri" w:cs="Times New Roman"/>
                <w:lang w:eastAsia="es-ES"/>
              </w:rPr>
              <w:t>478.000.000 entregados a 248 familias en Sardinata y $3.748.000.000 entregados a 2.080 familias en Tibú.</w:t>
            </w:r>
          </w:p>
          <w:p w14:paraId="10666FB9" w14:textId="77777777" w:rsidR="00C454A1" w:rsidRPr="00DA6C7F" w:rsidRDefault="00C454A1" w:rsidP="005F4A6F">
            <w:pPr>
              <w:pStyle w:val="Prrafodelista"/>
              <w:numPr>
                <w:ilvl w:val="0"/>
                <w:numId w:val="71"/>
              </w:numPr>
              <w:ind w:left="813" w:right="272" w:hanging="567"/>
              <w:textAlignment w:val="baseline"/>
              <w:rPr>
                <w:rFonts w:cs="Times New Roman"/>
              </w:rPr>
            </w:pPr>
            <w:r w:rsidRPr="00DA6C7F">
              <w:rPr>
                <w:rFonts w:eastAsia="Calibri" w:cs="Times New Roman"/>
                <w:i/>
                <w:iCs/>
                <w:lang w:eastAsia="es-ES"/>
              </w:rPr>
              <w:t>Alistamiento al Proyecto Productivo</w:t>
            </w:r>
            <w:r w:rsidRPr="00DA6C7F">
              <w:rPr>
                <w:rFonts w:eastAsia="Calibri" w:cs="Times New Roman"/>
                <w:lang w:eastAsia="es-ES"/>
              </w:rPr>
              <w:t xml:space="preserve">: tras la negociación del componente de proyectos productivos, las Resoluciones 0012 y 0030 de 2024 aprobaron planes de inversión y se realizaron pagos de $3.000.000 a cada núcleo familiar para labores de alistamiento de proyectos productivos, que aplicó para familias cultivadoras y </w:t>
            </w:r>
            <w:r w:rsidRPr="00DA6C7F">
              <w:rPr>
                <w:rFonts w:eastAsia="Calibri" w:cs="Times New Roman"/>
                <w:lang w:eastAsia="es-ES"/>
              </w:rPr>
              <w:lastRenderedPageBreak/>
              <w:t>no cultivadoras</w:t>
            </w:r>
            <w:r w:rsidRPr="00DA6C7F">
              <w:rPr>
                <w:rFonts w:cs="Times New Roman"/>
              </w:rPr>
              <w:t>. Explicó que</w:t>
            </w:r>
            <w:r w:rsidRPr="00DA6C7F">
              <w:rPr>
                <w:rFonts w:eastAsia="Calibri" w:cs="Times New Roman"/>
                <w:lang w:eastAsia="es-ES"/>
              </w:rPr>
              <w:t xml:space="preserve"> el avance de este programa es del 92%, con $510.000.000 entregados a 183 familias en Sardinata y $4.149.000.000 entregados a 1.511.000 familias en Tibú.</w:t>
            </w:r>
          </w:p>
          <w:p w14:paraId="44D8C620" w14:textId="77777777" w:rsidR="00C454A1" w:rsidRPr="00DA6C7F" w:rsidRDefault="00C454A1" w:rsidP="005F4A6F">
            <w:pPr>
              <w:pStyle w:val="Prrafodelista"/>
              <w:numPr>
                <w:ilvl w:val="0"/>
                <w:numId w:val="71"/>
              </w:numPr>
              <w:ind w:left="813" w:right="272" w:hanging="567"/>
              <w:textAlignment w:val="baseline"/>
              <w:rPr>
                <w:rFonts w:cs="Times New Roman"/>
              </w:rPr>
            </w:pPr>
            <w:r w:rsidRPr="00DA6C7F">
              <w:rPr>
                <w:rFonts w:eastAsia="Calibri" w:cs="Times New Roman"/>
                <w:i/>
                <w:iCs/>
                <w:lang w:eastAsia="es-ES"/>
              </w:rPr>
              <w:t>Seguridad Alimentaria y Auto sostenimiento</w:t>
            </w:r>
            <w:r w:rsidRPr="00DA6C7F">
              <w:rPr>
                <w:rFonts w:eastAsia="Calibri" w:cs="Times New Roman"/>
                <w:lang w:eastAsia="es-ES"/>
              </w:rPr>
              <w:t xml:space="preserve">: en el marco del Plan de Atención Familiar del PNIS, este programa se enfoca en asegurar la disponibilidad, acceso y consumo oportuno de alimentos mediante la entrega de insumos y materiales para proyectos de siembra, sin transferencias condicionadas, promoviendo la producción diversificada; para esto se destinaron </w:t>
            </w:r>
            <w:r>
              <w:rPr>
                <w:rFonts w:eastAsia="Calibri" w:cs="Times New Roman"/>
                <w:lang w:eastAsia="es-ES"/>
              </w:rPr>
              <w:t>$</w:t>
            </w:r>
            <w:r w:rsidRPr="00DA6C7F">
              <w:rPr>
                <w:rFonts w:eastAsia="Calibri" w:cs="Times New Roman"/>
                <w:lang w:eastAsia="es-ES"/>
              </w:rPr>
              <w:t>1.800.000 por núcleo familiar beneficiario</w:t>
            </w:r>
            <w:r w:rsidRPr="00DA6C7F">
              <w:rPr>
                <w:rFonts w:cs="Times New Roman"/>
              </w:rPr>
              <w:t>. S</w:t>
            </w:r>
            <w:r w:rsidRPr="00DA6C7F">
              <w:rPr>
                <w:rFonts w:eastAsia="Calibri" w:cs="Times New Roman"/>
                <w:lang w:eastAsia="es-ES"/>
              </w:rPr>
              <w:t>eñaló que se han entregado $168.336.012 a 26 familias en Sardinata y $1.916.609.277</w:t>
            </w:r>
            <w:r>
              <w:rPr>
                <w:rFonts w:eastAsia="Calibri" w:cs="Times New Roman"/>
                <w:lang w:eastAsia="es-ES"/>
              </w:rPr>
              <w:t xml:space="preserve"> </w:t>
            </w:r>
            <w:r w:rsidRPr="00DA6C7F">
              <w:rPr>
                <w:rFonts w:eastAsia="Calibri" w:cs="Times New Roman"/>
                <w:lang w:eastAsia="es-ES"/>
              </w:rPr>
              <w:t>a 91 familias en Tibú</w:t>
            </w:r>
            <w:r w:rsidRPr="00DA6C7F">
              <w:rPr>
                <w:rFonts w:cs="Times New Roman"/>
              </w:rPr>
              <w:t>.</w:t>
            </w:r>
          </w:p>
          <w:p w14:paraId="4B35A320" w14:textId="77777777" w:rsidR="00C454A1" w:rsidRPr="00DA6C7F" w:rsidRDefault="00C454A1" w:rsidP="005F4A6F">
            <w:pPr>
              <w:pStyle w:val="Prrafodelista"/>
              <w:numPr>
                <w:ilvl w:val="0"/>
                <w:numId w:val="71"/>
              </w:numPr>
              <w:ind w:left="813" w:right="272" w:hanging="567"/>
              <w:textAlignment w:val="baseline"/>
              <w:rPr>
                <w:rFonts w:cs="Times New Roman"/>
              </w:rPr>
            </w:pPr>
            <w:r w:rsidRPr="00DA6C7F">
              <w:rPr>
                <w:rFonts w:eastAsia="Calibri" w:cs="Times New Roman"/>
                <w:i/>
                <w:iCs/>
                <w:lang w:eastAsia="es-ES"/>
              </w:rPr>
              <w:t>Proyectos productivos</w:t>
            </w:r>
            <w:r w:rsidRPr="00DA6C7F">
              <w:rPr>
                <w:rFonts w:eastAsia="Calibri" w:cs="Times New Roman"/>
                <w:lang w:eastAsia="es-ES"/>
              </w:rPr>
              <w:t xml:space="preserve">: </w:t>
            </w:r>
            <w:r w:rsidRPr="00DA6C7F">
              <w:rPr>
                <w:rFonts w:cs="Times New Roman"/>
              </w:rPr>
              <w:t>explicó que definió una ruta para</w:t>
            </w:r>
            <w:r w:rsidRPr="00DA6C7F">
              <w:rPr>
                <w:rFonts w:eastAsia="Calibri" w:cs="Times New Roman"/>
                <w:lang w:eastAsia="es-ES"/>
              </w:rPr>
              <w:t xml:space="preserve"> la adquisición de insumos y materiales </w:t>
            </w:r>
            <w:r w:rsidRPr="00DA6C7F">
              <w:rPr>
                <w:rFonts w:cs="Times New Roman"/>
              </w:rPr>
              <w:t xml:space="preserve">que </w:t>
            </w:r>
            <w:r w:rsidRPr="00DA6C7F">
              <w:rPr>
                <w:rFonts w:eastAsia="Calibri" w:cs="Times New Roman"/>
                <w:lang w:eastAsia="es-ES"/>
              </w:rPr>
              <w:t>se basó en la estructuración de bancos proveedores locales con el fin garantizar la participación de la comunidad y eliminar la intermediación de operadores</w:t>
            </w:r>
            <w:r w:rsidRPr="00DA6C7F">
              <w:rPr>
                <w:rFonts w:cs="Times New Roman"/>
              </w:rPr>
              <w:t>. Con este objetivo</w:t>
            </w:r>
            <w:r w:rsidRPr="00DA6C7F">
              <w:rPr>
                <w:rFonts w:eastAsia="Calibri" w:cs="Times New Roman"/>
                <w:lang w:eastAsia="es-ES"/>
              </w:rPr>
              <w:t xml:space="preserve"> abrió la Convocatoria No. 003 de 2024 dirigida a productores agropecuarios, que </w:t>
            </w:r>
            <w:r w:rsidRPr="00DA6C7F">
              <w:rPr>
                <w:rFonts w:cs="Times New Roman"/>
              </w:rPr>
              <w:t>finalizó con la escogencia de once proveedores habilitados. Indicó que luego de la</w:t>
            </w:r>
            <w:r w:rsidRPr="00DA6C7F">
              <w:rPr>
                <w:rFonts w:eastAsia="Calibri" w:cs="Times New Roman"/>
                <w:lang w:eastAsia="es-ES"/>
              </w:rPr>
              <w:t xml:space="preserve"> conforma</w:t>
            </w:r>
            <w:r w:rsidRPr="00DA6C7F">
              <w:rPr>
                <w:rFonts w:cs="Times New Roman"/>
              </w:rPr>
              <w:t>ción</w:t>
            </w:r>
            <w:r w:rsidRPr="00DA6C7F">
              <w:rPr>
                <w:rFonts w:eastAsia="Calibri" w:cs="Times New Roman"/>
                <w:lang w:eastAsia="es-ES"/>
              </w:rPr>
              <w:t xml:space="preserve"> </w:t>
            </w:r>
            <w:r w:rsidRPr="00DA6C7F">
              <w:rPr>
                <w:rFonts w:cs="Times New Roman"/>
              </w:rPr>
              <w:t>d</w:t>
            </w:r>
            <w:r w:rsidRPr="00DA6C7F">
              <w:rPr>
                <w:rFonts w:eastAsia="Calibri" w:cs="Times New Roman"/>
                <w:lang w:eastAsia="es-ES"/>
              </w:rPr>
              <w:t xml:space="preserve">el Banco de Proveedores Locales, se realizaron las ferias de negocios de insumos que tuvieron lugar en Norte de Santander, los días 18 y 19 de diciembre de 2024, para que los beneficiarios adquieran los insumos y materiales requeridos para su proyecto productivo. Sin embargo, resaltó que: “debido a la presente situación de orden público presentado en la zona </w:t>
            </w:r>
            <w:r w:rsidRPr="00DA6C7F">
              <w:rPr>
                <w:rFonts w:cs="Times New Roman"/>
              </w:rPr>
              <w:t>(…)</w:t>
            </w:r>
            <w:r w:rsidRPr="00DA6C7F">
              <w:rPr>
                <w:rFonts w:eastAsia="Calibri" w:cs="Times New Roman"/>
                <w:lang w:eastAsia="es-ES"/>
              </w:rPr>
              <w:t xml:space="preserve"> la declaración del estado de conmoción interior fue necesario aplazar el siguiente paso en la implementación del Programa, hasta tanto los riesgos de seguridad para los proveedores, como para las familias y el equipo técnico de la DSCI se minimicen”</w:t>
            </w:r>
            <w:r w:rsidRPr="00DA6C7F">
              <w:rPr>
                <w:rStyle w:val="Refdenotaalpie"/>
                <w:rFonts w:cs="Times New Roman"/>
              </w:rPr>
              <w:footnoteReference w:id="832"/>
            </w:r>
            <w:r w:rsidRPr="00DA6C7F">
              <w:rPr>
                <w:rFonts w:cs="Times New Roman"/>
              </w:rPr>
              <w:t>.</w:t>
            </w:r>
            <w:r w:rsidRPr="00DA6C7F">
              <w:rPr>
                <w:rFonts w:eastAsia="Calibri" w:cs="Times New Roman"/>
                <w:lang w:eastAsia="es-ES"/>
              </w:rPr>
              <w:t xml:space="preserve"> Sobre los mecanismos de cumplimiento para la ejecución de los planes de inversión aprobados en los actos administrativos mencionados, indicó que “se desarrolló una plataforma para la gestión de la información y la ruta de adquisición de insumos y materiales</w:t>
            </w:r>
            <w:r w:rsidRPr="00DA6C7F">
              <w:rPr>
                <w:rFonts w:cs="Times New Roman"/>
              </w:rPr>
              <w:t>”</w:t>
            </w:r>
            <w:r w:rsidRPr="00DA6C7F">
              <w:rPr>
                <w:rFonts w:eastAsia="Calibri" w:cs="Times New Roman"/>
                <w:lang w:eastAsia="es-ES"/>
              </w:rPr>
              <w:t xml:space="preserve">. </w:t>
            </w:r>
            <w:r w:rsidRPr="00DA6C7F">
              <w:rPr>
                <w:rFonts w:cs="Times New Roman"/>
              </w:rPr>
              <w:t>Precisó que d</w:t>
            </w:r>
            <w:r w:rsidRPr="00DA6C7F">
              <w:rPr>
                <w:rFonts w:eastAsia="Calibri" w:cs="Times New Roman"/>
                <w:lang w:eastAsia="es-ES"/>
              </w:rPr>
              <w:t>icha plataforma abarca desde la convocatoria a proveedores hasta el soporte de órdenes de compra, la entrega de insumos y los pagos</w:t>
            </w:r>
            <w:r w:rsidRPr="00DA6C7F">
              <w:rPr>
                <w:rFonts w:cs="Times New Roman"/>
              </w:rPr>
              <w:t>.</w:t>
            </w:r>
          </w:p>
        </w:tc>
      </w:tr>
      <w:tr w:rsidR="00C454A1" w:rsidRPr="00F8202F" w14:paraId="4BD4C893" w14:textId="77777777" w:rsidTr="005F4A6F">
        <w:trPr>
          <w:trHeight w:val="300"/>
        </w:trPr>
        <w:tc>
          <w:tcPr>
            <w:tcW w:w="642" w:type="pct"/>
          </w:tcPr>
          <w:p w14:paraId="5109A375" w14:textId="77777777" w:rsidR="00C454A1" w:rsidRPr="00DA6C7F" w:rsidRDefault="00C454A1" w:rsidP="00881E6A">
            <w:pPr>
              <w:spacing w:line="259" w:lineRule="auto"/>
              <w:ind w:right="272"/>
              <w:jc w:val="center"/>
              <w:rPr>
                <w:rFonts w:eastAsia="Calibri" w:cs="Times New Roman"/>
                <w:b/>
                <w:bCs/>
              </w:rPr>
            </w:pPr>
            <w:r w:rsidRPr="00DA6C7F">
              <w:rPr>
                <w:rFonts w:eastAsia="Calibri" w:cs="Times New Roman"/>
                <w:b/>
                <w:bCs/>
              </w:rPr>
              <w:lastRenderedPageBreak/>
              <w:t>Sesiones técnicas Sala de Seguimient</w:t>
            </w:r>
            <w:r w:rsidRPr="00DA6C7F">
              <w:rPr>
                <w:rFonts w:eastAsia="Calibri" w:cs="Times New Roman"/>
                <w:b/>
                <w:bCs/>
              </w:rPr>
              <w:lastRenderedPageBreak/>
              <w:t>o SU-020 de 2022</w:t>
            </w:r>
          </w:p>
        </w:tc>
        <w:tc>
          <w:tcPr>
            <w:tcW w:w="4358" w:type="pct"/>
          </w:tcPr>
          <w:p w14:paraId="79D08F4D" w14:textId="77777777" w:rsidR="00C454A1" w:rsidRPr="00DA6C7F" w:rsidRDefault="00C454A1" w:rsidP="005F4A6F">
            <w:pPr>
              <w:pStyle w:val="Prrafodelista"/>
              <w:numPr>
                <w:ilvl w:val="0"/>
                <w:numId w:val="40"/>
              </w:numPr>
              <w:ind w:right="272"/>
              <w:rPr>
                <w:rFonts w:eastAsia="Times New Roman" w:cs="Times New Roman"/>
                <w:b/>
                <w:bCs/>
                <w:sz w:val="22"/>
                <w:szCs w:val="22"/>
                <w:u w:val="single"/>
              </w:rPr>
            </w:pPr>
            <w:r w:rsidRPr="00DA6C7F">
              <w:rPr>
                <w:rFonts w:eastAsia="Times New Roman" w:cs="Times New Roman"/>
                <w:b/>
                <w:bCs/>
                <w:sz w:val="22"/>
                <w:szCs w:val="22"/>
                <w:u w:val="single"/>
              </w:rPr>
              <w:lastRenderedPageBreak/>
              <w:t>Presupuesto fáctico:</w:t>
            </w:r>
          </w:p>
          <w:p w14:paraId="511667F8" w14:textId="77777777" w:rsidR="00C454A1" w:rsidRPr="00DA6C7F" w:rsidRDefault="00C454A1" w:rsidP="00881E6A">
            <w:pPr>
              <w:ind w:right="272"/>
              <w:rPr>
                <w:rFonts w:cs="Times New Roman"/>
              </w:rPr>
            </w:pPr>
            <w:r w:rsidRPr="00DA6C7F">
              <w:rPr>
                <w:rFonts w:eastAsia="Times New Roman" w:cs="Times New Roman"/>
                <w:b/>
                <w:bCs/>
                <w:i/>
                <w:iCs/>
                <w:color w:val="000000" w:themeColor="text1"/>
                <w:sz w:val="22"/>
                <w:szCs w:val="22"/>
              </w:rPr>
              <w:t xml:space="preserve"> </w:t>
            </w:r>
          </w:p>
          <w:p w14:paraId="639F7D9E" w14:textId="77777777" w:rsidR="00C454A1" w:rsidRPr="00DA6C7F" w:rsidRDefault="00C454A1" w:rsidP="005F4A6F">
            <w:pPr>
              <w:pStyle w:val="Prrafodelista"/>
              <w:numPr>
                <w:ilvl w:val="0"/>
                <w:numId w:val="39"/>
              </w:numPr>
              <w:ind w:left="1080" w:right="272"/>
              <w:rPr>
                <w:rFonts w:eastAsia="Times New Roman" w:cs="Times New Roman"/>
                <w:b/>
                <w:bCs/>
                <w:sz w:val="22"/>
                <w:szCs w:val="22"/>
                <w:u w:val="single"/>
              </w:rPr>
            </w:pPr>
            <w:r w:rsidRPr="00DA6C7F">
              <w:rPr>
                <w:rFonts w:eastAsia="Times New Roman" w:cs="Times New Roman"/>
                <w:b/>
                <w:bCs/>
                <w:sz w:val="22"/>
                <w:szCs w:val="22"/>
                <w:u w:val="single"/>
              </w:rPr>
              <w:t xml:space="preserve">Defensoría del Pueblo: (Sesión 1 [S1]-Min.39-58- 47:39). </w:t>
            </w:r>
          </w:p>
          <w:p w14:paraId="78A2FF25" w14:textId="77777777" w:rsidR="00C454A1" w:rsidRPr="00DA6C7F" w:rsidRDefault="00C454A1" w:rsidP="00881E6A">
            <w:pPr>
              <w:ind w:right="272"/>
              <w:rPr>
                <w:rFonts w:cs="Times New Roman"/>
              </w:rPr>
            </w:pPr>
            <w:r w:rsidRPr="00DA6C7F">
              <w:rPr>
                <w:rFonts w:eastAsia="Times New Roman" w:cs="Times New Roman"/>
                <w:b/>
                <w:bCs/>
                <w:color w:val="000000" w:themeColor="text1"/>
                <w:sz w:val="22"/>
                <w:szCs w:val="22"/>
              </w:rPr>
              <w:t xml:space="preserve"> </w:t>
            </w:r>
          </w:p>
          <w:p w14:paraId="20232C19"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lastRenderedPageBreak/>
              <w:t xml:space="preserve">La </w:t>
            </w:r>
            <w:r>
              <w:rPr>
                <w:rFonts w:eastAsia="Times New Roman" w:cs="Times New Roman"/>
                <w:color w:val="000000" w:themeColor="text1"/>
                <w:sz w:val="22"/>
                <w:szCs w:val="22"/>
              </w:rPr>
              <w:t>D</w:t>
            </w:r>
            <w:r w:rsidRPr="00DA6C7F">
              <w:rPr>
                <w:rFonts w:eastAsia="Times New Roman" w:cs="Times New Roman"/>
                <w:color w:val="000000" w:themeColor="text1"/>
                <w:sz w:val="22"/>
                <w:szCs w:val="22"/>
              </w:rPr>
              <w:t xml:space="preserve">efensoría del </w:t>
            </w:r>
            <w:r>
              <w:rPr>
                <w:rFonts w:eastAsia="Times New Roman" w:cs="Times New Roman"/>
                <w:color w:val="000000" w:themeColor="text1"/>
                <w:sz w:val="22"/>
                <w:szCs w:val="22"/>
              </w:rPr>
              <w:t>P</w:t>
            </w:r>
            <w:r w:rsidRPr="00DA6C7F">
              <w:rPr>
                <w:rFonts w:eastAsia="Times New Roman" w:cs="Times New Roman"/>
                <w:color w:val="000000" w:themeColor="text1"/>
                <w:sz w:val="22"/>
                <w:szCs w:val="22"/>
              </w:rPr>
              <w:t xml:space="preserve">ueblo informó que realiza actualmente seguimiento a 77 alertas tempranas que están relacionadas con riesgos para los firmantes y las firmantes de paz. La mayor cantidad de (…) riesgo para firmantes de paz se puede encontrar en los departamentos de </w:t>
            </w:r>
            <w:r>
              <w:rPr>
                <w:rFonts w:eastAsia="Times New Roman" w:cs="Times New Roman"/>
                <w:color w:val="000000" w:themeColor="text1"/>
                <w:sz w:val="22"/>
                <w:szCs w:val="22"/>
              </w:rPr>
              <w:t>C</w:t>
            </w:r>
            <w:r w:rsidRPr="00DA6C7F">
              <w:rPr>
                <w:rFonts w:eastAsia="Times New Roman" w:cs="Times New Roman"/>
                <w:color w:val="000000" w:themeColor="text1"/>
                <w:sz w:val="22"/>
                <w:szCs w:val="22"/>
              </w:rPr>
              <w:t>auca</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 xml:space="preserve"> Antioquia, Caquetá, Chocó, Norte de Santander, Huila, Valle, Putumayo, Meta</w:t>
            </w:r>
            <w:r>
              <w:rPr>
                <w:rFonts w:eastAsia="Times New Roman" w:cs="Times New Roman"/>
                <w:color w:val="000000" w:themeColor="text1"/>
                <w:sz w:val="22"/>
                <w:szCs w:val="22"/>
              </w:rPr>
              <w:t xml:space="preserve">, </w:t>
            </w:r>
            <w:r w:rsidRPr="00DA6C7F">
              <w:rPr>
                <w:rFonts w:eastAsia="Times New Roman" w:cs="Times New Roman"/>
                <w:color w:val="000000" w:themeColor="text1"/>
                <w:sz w:val="22"/>
                <w:szCs w:val="22"/>
              </w:rPr>
              <w:t>Nariño</w:t>
            </w:r>
            <w:r>
              <w:rPr>
                <w:rFonts w:eastAsia="Times New Roman" w:cs="Times New Roman"/>
                <w:color w:val="000000" w:themeColor="text1"/>
                <w:sz w:val="22"/>
                <w:szCs w:val="22"/>
              </w:rPr>
              <w:t xml:space="preserve"> y en Bogotá</w:t>
            </w:r>
            <w:r w:rsidRPr="00DA6C7F">
              <w:rPr>
                <w:rFonts w:eastAsia="Times New Roman" w:cs="Times New Roman"/>
                <w:color w:val="000000" w:themeColor="text1"/>
                <w:sz w:val="22"/>
                <w:szCs w:val="22"/>
              </w:rPr>
              <w:t xml:space="preserve">. Allí hemos encontrado al menos actualmente tres situaciones que es importante tener en cuenta en la situación de riesgo que enfrentan las y los firmantes. </w:t>
            </w:r>
          </w:p>
          <w:p w14:paraId="005F8617" w14:textId="77777777" w:rsidR="00C454A1" w:rsidRPr="00DA6C7F" w:rsidRDefault="00C454A1" w:rsidP="00881E6A">
            <w:pPr>
              <w:ind w:right="272"/>
              <w:rPr>
                <w:rFonts w:cs="Times New Roman"/>
              </w:rPr>
            </w:pPr>
            <w:r w:rsidRPr="00DA6C7F">
              <w:rPr>
                <w:rFonts w:eastAsia="Times New Roman" w:cs="Times New Roman"/>
                <w:b/>
                <w:bCs/>
                <w:color w:val="000000" w:themeColor="text1"/>
                <w:sz w:val="22"/>
                <w:szCs w:val="22"/>
              </w:rPr>
              <w:t xml:space="preserve"> </w:t>
            </w:r>
          </w:p>
          <w:p w14:paraId="6BA7CD03"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Respecto del Catatumbo, señaló que el ELN en esta zona acusó a los firmantes presentes en la zona de ser miembros activos o colaboradores del Estado o (…) del </w:t>
            </w:r>
            <w:r>
              <w:rPr>
                <w:rFonts w:eastAsia="Times New Roman" w:cs="Times New Roman"/>
                <w:color w:val="000000" w:themeColor="text1"/>
                <w:sz w:val="22"/>
                <w:szCs w:val="22"/>
              </w:rPr>
              <w:t>F</w:t>
            </w:r>
            <w:r w:rsidRPr="00DA6C7F">
              <w:rPr>
                <w:rFonts w:eastAsia="Times New Roman" w:cs="Times New Roman"/>
                <w:color w:val="000000" w:themeColor="text1"/>
                <w:sz w:val="22"/>
                <w:szCs w:val="22"/>
              </w:rPr>
              <w:t xml:space="preserve">rente 33 de las disidencias de las FARC y con base en eso emprendió una persecución contra ellos. </w:t>
            </w:r>
          </w:p>
          <w:p w14:paraId="1F70CFD3"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45E18A86"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Afirmó que los efectos en el reacomodo de los grupos ilegales </w:t>
            </w:r>
            <w:r>
              <w:rPr>
                <w:rFonts w:eastAsia="Times New Roman" w:cs="Times New Roman"/>
                <w:color w:val="000000" w:themeColor="text1"/>
                <w:sz w:val="22"/>
                <w:szCs w:val="22"/>
              </w:rPr>
              <w:t>y</w:t>
            </w:r>
            <w:r w:rsidRPr="00DA6C7F">
              <w:rPr>
                <w:rFonts w:eastAsia="Times New Roman" w:cs="Times New Roman"/>
                <w:color w:val="000000" w:themeColor="text1"/>
                <w:sz w:val="22"/>
                <w:szCs w:val="22"/>
              </w:rPr>
              <w:t xml:space="preserve"> la alerta de inminencia fueron indicados en la alerta 026 del 2024 de 15 de noviembre,  sobre al menos dos escenarios de riesgo</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 xml:space="preserve"> </w:t>
            </w:r>
            <w:r>
              <w:rPr>
                <w:rFonts w:eastAsia="Times New Roman" w:cs="Times New Roman"/>
                <w:color w:val="000000" w:themeColor="text1"/>
                <w:sz w:val="22"/>
                <w:szCs w:val="22"/>
              </w:rPr>
              <w:t>E</w:t>
            </w:r>
            <w:r w:rsidRPr="00DA6C7F">
              <w:rPr>
                <w:rFonts w:eastAsia="Times New Roman" w:cs="Times New Roman"/>
                <w:color w:val="000000" w:themeColor="text1"/>
                <w:sz w:val="22"/>
                <w:szCs w:val="22"/>
              </w:rPr>
              <w:t>l primero</w:t>
            </w:r>
            <w:r>
              <w:rPr>
                <w:rFonts w:eastAsia="Times New Roman" w:cs="Times New Roman"/>
                <w:color w:val="000000" w:themeColor="text1"/>
                <w:sz w:val="22"/>
                <w:szCs w:val="22"/>
              </w:rPr>
              <w:t xml:space="preserve"> fue</w:t>
            </w:r>
            <w:r w:rsidRPr="00DA6C7F">
              <w:rPr>
                <w:rFonts w:eastAsia="Times New Roman" w:cs="Times New Roman"/>
                <w:color w:val="000000" w:themeColor="text1"/>
                <w:sz w:val="22"/>
                <w:szCs w:val="22"/>
              </w:rPr>
              <w:t xml:space="preserve"> la suspensión del cese de hostilidades con el ELN, que si bien es una decisión del marco del ámbito de la decisión del presidente de la República en el manejo del orden público, podía permitir advertir que habría un escalamiento de la violencia por parte del ELN por la ruptura del cese de hostilidades, es era el primer escenario de riesgo. </w:t>
            </w:r>
          </w:p>
          <w:p w14:paraId="788C0B58"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2F9C38EA"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El segundo escenario de riesgo que se advertía era que existía un pacto de convivencia entre el Frente 33 y el ELN que, por el monitoreo en el territorio, se conocía que podía romperse, por unas tensiones crecientes y por el cambio en el contexto inclusive geopolítico. En esa en esa situación ELN efectivamente y el Frente 33 rompieron ese pacto de coexistencia en el Catatumbo lo que dio lugar a los hechos recientes de este mes de enero. </w:t>
            </w:r>
          </w:p>
          <w:p w14:paraId="17402BEC"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13E1B815"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Esto ha generado violencia directa contra familias de los firmantes y contra los firmantes mismos y sus procesos organizativos</w:t>
            </w:r>
            <w:r>
              <w:rPr>
                <w:rFonts w:eastAsia="Times New Roman" w:cs="Times New Roman"/>
                <w:color w:val="000000" w:themeColor="text1"/>
                <w:sz w:val="22"/>
                <w:szCs w:val="22"/>
              </w:rPr>
              <w:t>, a</w:t>
            </w:r>
            <w:r w:rsidRPr="00DA6C7F">
              <w:rPr>
                <w:rFonts w:eastAsia="Times New Roman" w:cs="Times New Roman"/>
                <w:color w:val="000000" w:themeColor="text1"/>
                <w:sz w:val="22"/>
                <w:szCs w:val="22"/>
              </w:rPr>
              <w:t xml:space="preserve">menazas, intimidaciones, desplazamientos forzados. Estos son el grupo de las alertas estructurales y de inminencia que hacían referencia desde el año 2020 y sus seguimientos a la situación del Catatumbo. </w:t>
            </w:r>
          </w:p>
          <w:p w14:paraId="555FABB5"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524B33CB"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Indicó que entre el primero de enero a la fecha se han dado muerte al menos a seis personas firmantes por causas violentas, 12 firmantes han sido evacuadas, 166 firmantes y sus familias han sido desplazados y se tiene reporte de la desaparición forzada de al menos 14 firmantes de paz.</w:t>
            </w:r>
          </w:p>
          <w:p w14:paraId="2A0EC1F2"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Esto</w:t>
            </w:r>
            <w:r>
              <w:rPr>
                <w:rFonts w:eastAsia="Times New Roman" w:cs="Times New Roman"/>
                <w:color w:val="000000" w:themeColor="text1"/>
                <w:sz w:val="22"/>
                <w:szCs w:val="22"/>
              </w:rPr>
              <w:t xml:space="preserve">, </w:t>
            </w:r>
            <w:r w:rsidRPr="00DA6C7F">
              <w:rPr>
                <w:rFonts w:eastAsia="Times New Roman" w:cs="Times New Roman"/>
                <w:color w:val="000000" w:themeColor="text1"/>
                <w:sz w:val="22"/>
                <w:szCs w:val="22"/>
              </w:rPr>
              <w:t>en un contexto en el que se reporta el desplazamiento masivo</w:t>
            </w:r>
            <w:r>
              <w:rPr>
                <w:rFonts w:eastAsia="Times New Roman" w:cs="Times New Roman"/>
                <w:color w:val="000000" w:themeColor="text1"/>
                <w:sz w:val="22"/>
                <w:szCs w:val="22"/>
              </w:rPr>
              <w:t xml:space="preserve">, </w:t>
            </w:r>
            <w:r w:rsidRPr="00DA6C7F">
              <w:rPr>
                <w:rFonts w:eastAsia="Times New Roman" w:cs="Times New Roman"/>
                <w:color w:val="000000" w:themeColor="text1"/>
                <w:sz w:val="22"/>
                <w:szCs w:val="22"/>
              </w:rPr>
              <w:t>en un solo evento</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 xml:space="preserve"> más grande desde que se tiene registro en la institucionalidad desde el año 1997 a día de hoy. Según la Gobernación de Norte de Santander, contamos con más de 52,000 personas desplazadas en el Catatumbo y el siguiente registro masivo más grande contaba 11,000 personas en un solo evento.</w:t>
            </w:r>
          </w:p>
          <w:p w14:paraId="13333A88"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2F59302D" w14:textId="77777777" w:rsidR="00C454A1" w:rsidRPr="0098349B" w:rsidRDefault="00C454A1" w:rsidP="005F4A6F">
            <w:pPr>
              <w:pStyle w:val="Prrafodelista"/>
              <w:numPr>
                <w:ilvl w:val="0"/>
                <w:numId w:val="39"/>
              </w:numPr>
              <w:ind w:left="1080" w:right="272"/>
              <w:rPr>
                <w:rFonts w:eastAsia="Times New Roman" w:cs="Times New Roman"/>
                <w:b/>
                <w:bCs/>
                <w:sz w:val="22"/>
                <w:szCs w:val="22"/>
                <w:u w:val="single"/>
              </w:rPr>
            </w:pPr>
            <w:r w:rsidRPr="0098349B">
              <w:rPr>
                <w:rFonts w:eastAsia="Times New Roman" w:cs="Times New Roman"/>
                <w:b/>
                <w:bCs/>
                <w:sz w:val="22"/>
                <w:szCs w:val="22"/>
                <w:u w:val="single"/>
              </w:rPr>
              <w:t>Ministerio de defensa: (S1-Min. 1:20:05-1:21:09)</w:t>
            </w:r>
          </w:p>
          <w:p w14:paraId="0B99EDBE" w14:textId="77777777" w:rsidR="00C454A1" w:rsidRPr="0098349B" w:rsidRDefault="00C454A1" w:rsidP="00881E6A">
            <w:pPr>
              <w:ind w:right="272"/>
              <w:rPr>
                <w:rFonts w:cs="Times New Roman"/>
              </w:rPr>
            </w:pPr>
            <w:r w:rsidRPr="0098349B">
              <w:rPr>
                <w:rFonts w:eastAsia="Times New Roman" w:cs="Times New Roman"/>
                <w:color w:val="000000" w:themeColor="text1"/>
                <w:sz w:val="22"/>
                <w:szCs w:val="22"/>
              </w:rPr>
              <w:t xml:space="preserve"> </w:t>
            </w:r>
          </w:p>
          <w:p w14:paraId="2B4238C3" w14:textId="77777777" w:rsidR="00C454A1" w:rsidRPr="00DA6C7F" w:rsidRDefault="00C454A1" w:rsidP="00881E6A">
            <w:pPr>
              <w:ind w:right="272"/>
              <w:rPr>
                <w:rFonts w:cs="Times New Roman"/>
              </w:rPr>
            </w:pPr>
            <w:r w:rsidRPr="0098349B">
              <w:rPr>
                <w:rFonts w:eastAsia="Times New Roman" w:cs="Times New Roman"/>
                <w:color w:val="000000" w:themeColor="text1"/>
                <w:sz w:val="22"/>
                <w:szCs w:val="22"/>
              </w:rPr>
              <w:t>Señaló que las fuerzas militares y la Policía Nacional en la actual emergencia que se encuentra en la región del Catatumbo, han evacuado a 32 personas en proceso de reincorporación [vía Helicóptero], de un total de 588 personas evacuadas, y en el total del año 2024, evacuaron 21 personas en proceso de reincorporación en el plan digamos siguiendo el protocolo establecido para ello.</w:t>
            </w:r>
          </w:p>
          <w:p w14:paraId="26886729"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lastRenderedPageBreak/>
              <w:t xml:space="preserve"> </w:t>
            </w:r>
          </w:p>
          <w:p w14:paraId="59EA4CF6" w14:textId="77777777" w:rsidR="00C454A1" w:rsidRPr="00DA6C7F" w:rsidRDefault="00C454A1" w:rsidP="005F4A6F">
            <w:pPr>
              <w:pStyle w:val="Prrafodelista"/>
              <w:numPr>
                <w:ilvl w:val="0"/>
                <w:numId w:val="39"/>
              </w:numPr>
              <w:ind w:left="1080" w:right="272"/>
              <w:rPr>
                <w:rFonts w:eastAsia="Times New Roman" w:cs="Times New Roman"/>
                <w:b/>
                <w:bCs/>
                <w:sz w:val="22"/>
                <w:szCs w:val="22"/>
                <w:u w:val="single"/>
              </w:rPr>
            </w:pPr>
            <w:r w:rsidRPr="00DA6C7F">
              <w:rPr>
                <w:rFonts w:eastAsia="Times New Roman" w:cs="Times New Roman"/>
                <w:b/>
                <w:bCs/>
                <w:sz w:val="22"/>
                <w:szCs w:val="22"/>
                <w:u w:val="single"/>
              </w:rPr>
              <w:t>Unidad de Investigación y Acusación de la JEP (S1-)</w:t>
            </w:r>
          </w:p>
          <w:p w14:paraId="0C9754A2" w14:textId="77777777" w:rsidR="00C454A1" w:rsidRPr="00DA6C7F" w:rsidRDefault="00C454A1" w:rsidP="00881E6A">
            <w:pPr>
              <w:ind w:left="720" w:right="272"/>
              <w:rPr>
                <w:rFonts w:cs="Times New Roman"/>
              </w:rPr>
            </w:pPr>
            <w:r w:rsidRPr="00DA6C7F">
              <w:rPr>
                <w:rFonts w:eastAsia="Times New Roman" w:cs="Times New Roman"/>
                <w:b/>
                <w:bCs/>
                <w:sz w:val="22"/>
                <w:szCs w:val="22"/>
              </w:rPr>
              <w:t xml:space="preserve"> </w:t>
            </w:r>
          </w:p>
          <w:p w14:paraId="24968778"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Afirmó que este año, consecuencia de lo que ha ocurrido en enero, se exacerbó la muerte de los firmantes del acuerdo de paz. Tenemos un registro de 10 firmantes del acuerdo de paz que han muerto en el mes de enero, siete en el Catatumbo y tres en otros lugares del país.</w:t>
            </w:r>
          </w:p>
          <w:p w14:paraId="3DD7DE69"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1D7C377E"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Señaló que la estadística indica que la actuación de la fuerza pública en materia de combates contra los grupos armados al margen de la ley se ha incrementado en el Catatumbo hubo 11 combates.  Afirmó que fue en las zonas donde ha habido más presencia militar y donde se han venido desarrollando los ceses al fuego una vez que el cese termina y terminan las intervenciones militares aumenta la crisis humanitaria en esos lugares como por ejemplo el Catatumbo.</w:t>
            </w:r>
          </w:p>
          <w:p w14:paraId="41698BFA"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092BE04C" w14:textId="77777777" w:rsidR="00C454A1" w:rsidRPr="00DA6C7F" w:rsidRDefault="00C454A1" w:rsidP="005F4A6F">
            <w:pPr>
              <w:pStyle w:val="Prrafodelista"/>
              <w:numPr>
                <w:ilvl w:val="0"/>
                <w:numId w:val="39"/>
              </w:numPr>
              <w:ind w:left="1080" w:right="272"/>
              <w:rPr>
                <w:rFonts w:eastAsia="Times New Roman" w:cs="Times New Roman"/>
                <w:b/>
                <w:bCs/>
                <w:sz w:val="22"/>
                <w:szCs w:val="22"/>
                <w:u w:val="single"/>
              </w:rPr>
            </w:pPr>
            <w:r w:rsidRPr="00DA6C7F">
              <w:rPr>
                <w:rFonts w:eastAsia="Times New Roman" w:cs="Times New Roman"/>
                <w:b/>
                <w:bCs/>
                <w:sz w:val="22"/>
                <w:szCs w:val="22"/>
                <w:u w:val="single"/>
              </w:rPr>
              <w:t>Comandante General FFMM (S2- Min:2:10:20- 2:15:45 y 2:43:13-2:46:17)</w:t>
            </w:r>
          </w:p>
          <w:p w14:paraId="73487B5A"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3EB1314B"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Indicó que en la región del Catatumbo el territorio es complicado y demanda de mucho esfuerzo personal, de tal manera que se concentran las los esfuerzos en las áreas que están definidas donde conocemos la presencia l</w:t>
            </w:r>
            <w:r>
              <w:rPr>
                <w:rFonts w:eastAsia="Times New Roman" w:cs="Times New Roman"/>
                <w:color w:val="000000" w:themeColor="text1"/>
                <w:sz w:val="22"/>
                <w:szCs w:val="22"/>
              </w:rPr>
              <w:t>í</w:t>
            </w:r>
            <w:r w:rsidRPr="00DA6C7F">
              <w:rPr>
                <w:rFonts w:eastAsia="Times New Roman" w:cs="Times New Roman"/>
                <w:color w:val="000000" w:themeColor="text1"/>
                <w:sz w:val="22"/>
                <w:szCs w:val="22"/>
              </w:rPr>
              <w:t>deres sociales para darle su seguridad.</w:t>
            </w:r>
          </w:p>
          <w:p w14:paraId="2EBCDEFE"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1EC37A76"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Afirmó que los culpables de la crisis son el grupo armado organizado ELN, que arremetió de una forma indiscriminada contra los firmantes de paz, contra los líderes sociales y la población civil.  </w:t>
            </w:r>
            <w:r>
              <w:rPr>
                <w:rFonts w:eastAsia="Times New Roman" w:cs="Times New Roman"/>
                <w:color w:val="000000" w:themeColor="text1"/>
                <w:sz w:val="22"/>
                <w:szCs w:val="22"/>
              </w:rPr>
              <w:t>E</w:t>
            </w:r>
            <w:r w:rsidRPr="00DA6C7F">
              <w:rPr>
                <w:rFonts w:eastAsia="Times New Roman" w:cs="Times New Roman"/>
                <w:color w:val="000000" w:themeColor="text1"/>
                <w:sz w:val="22"/>
                <w:szCs w:val="22"/>
              </w:rPr>
              <w:t>so es algo demandable en el marco del DIH ante los diferentes organismos internacionales. Consideró que las medidas que se tomen en favor de la seguridad nunca van a ser suficientes. No obstante, están trabajando para mejorarla</w:t>
            </w:r>
            <w:r>
              <w:rPr>
                <w:rFonts w:eastAsia="Times New Roman" w:cs="Times New Roman"/>
                <w:color w:val="000000" w:themeColor="text1"/>
                <w:sz w:val="22"/>
                <w:szCs w:val="22"/>
              </w:rPr>
              <w:t xml:space="preserve"> </w:t>
            </w:r>
            <w:r w:rsidRPr="00DA6C7F">
              <w:rPr>
                <w:rFonts w:eastAsia="Times New Roman" w:cs="Times New Roman"/>
                <w:color w:val="000000" w:themeColor="text1"/>
                <w:sz w:val="22"/>
                <w:szCs w:val="22"/>
              </w:rPr>
              <w:t>pero la situación es sobreviniente y, como mencionó en el decreto de conmoción interior, desbordó las capacidades que el Estado tenía como tal en el sector de Catatumbo.</w:t>
            </w:r>
          </w:p>
          <w:p w14:paraId="4C3DBF95"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77EB923D"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Por otra parte, indicó que los miembros del ELN están actuando de una manera distinta a la que estaban acostumbrados. Señaló que están enraizados en el territorio y actúan usualmente vestidos civil. Hoy en día no </w:t>
            </w:r>
            <w:r>
              <w:rPr>
                <w:rFonts w:eastAsia="Times New Roman" w:cs="Times New Roman"/>
                <w:color w:val="000000" w:themeColor="text1"/>
                <w:sz w:val="22"/>
                <w:szCs w:val="22"/>
              </w:rPr>
              <w:t>observan</w:t>
            </w:r>
            <w:r w:rsidRPr="00DA6C7F">
              <w:rPr>
                <w:rFonts w:eastAsia="Times New Roman" w:cs="Times New Roman"/>
                <w:color w:val="000000" w:themeColor="text1"/>
                <w:sz w:val="22"/>
                <w:szCs w:val="22"/>
              </w:rPr>
              <w:t xml:space="preserve"> esas columnas Guerrilleras moviéndose por las montañas sino que actúan es de una forma casi que a mansalva. Viven en la población, actúan de forma delictiva, y se cambian y esconden los fusiles, para actuar como civiles. Esto dificulta la labor de la fuerza pública y, además, la presencia de las disidencias de la Farc también han sido vistas de esa forma. Este último grupo ha venido ganando espacio entre las comunidades porque han venido haciendo actividades en beneficio de la comunidad. Este es un espacio que el ELN ha perdido e intenta recuperar. </w:t>
            </w:r>
          </w:p>
          <w:p w14:paraId="23562992"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3B857FCF" w14:textId="77777777" w:rsidR="00C454A1" w:rsidRPr="00DA6C7F" w:rsidRDefault="00C454A1" w:rsidP="005F4A6F">
            <w:pPr>
              <w:pStyle w:val="Prrafodelista"/>
              <w:numPr>
                <w:ilvl w:val="0"/>
                <w:numId w:val="40"/>
              </w:numPr>
              <w:ind w:right="272"/>
              <w:rPr>
                <w:rFonts w:eastAsia="Times New Roman" w:cs="Times New Roman"/>
                <w:b/>
                <w:bCs/>
                <w:sz w:val="22"/>
                <w:szCs w:val="22"/>
                <w:u w:val="single"/>
              </w:rPr>
            </w:pPr>
            <w:r w:rsidRPr="00DA6C7F">
              <w:rPr>
                <w:rFonts w:eastAsia="Times New Roman" w:cs="Times New Roman"/>
                <w:b/>
                <w:bCs/>
                <w:sz w:val="22"/>
                <w:szCs w:val="22"/>
                <w:u w:val="single"/>
              </w:rPr>
              <w:t>Presupuesto valorativo:</w:t>
            </w:r>
          </w:p>
          <w:p w14:paraId="0B8503C4" w14:textId="77777777" w:rsidR="00C454A1" w:rsidRPr="00DA6C7F" w:rsidRDefault="00C454A1" w:rsidP="00881E6A">
            <w:pPr>
              <w:ind w:right="272"/>
              <w:rPr>
                <w:rFonts w:cs="Times New Roman"/>
              </w:rPr>
            </w:pPr>
            <w:r w:rsidRPr="00DA6C7F">
              <w:rPr>
                <w:rFonts w:eastAsia="Times New Roman" w:cs="Times New Roman"/>
                <w:b/>
                <w:bCs/>
                <w:i/>
                <w:iCs/>
                <w:color w:val="000000" w:themeColor="text1"/>
                <w:sz w:val="22"/>
                <w:szCs w:val="22"/>
              </w:rPr>
              <w:t xml:space="preserve"> </w:t>
            </w:r>
          </w:p>
          <w:p w14:paraId="08EE2855"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Delegación de firmantes (CSIVI) (S1-Min. 1:52:40-1:54:39)</w:t>
            </w:r>
          </w:p>
          <w:p w14:paraId="338E0C36"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lastRenderedPageBreak/>
              <w:t xml:space="preserve"> </w:t>
            </w:r>
          </w:p>
          <w:p w14:paraId="6B774A75" w14:textId="77777777" w:rsidR="00C454A1" w:rsidRPr="00B20C91" w:rsidRDefault="00C454A1" w:rsidP="00881E6A">
            <w:pPr>
              <w:ind w:right="272"/>
              <w:rPr>
                <w:rFonts w:eastAsia="Times New Roman" w:cs="Times New Roman"/>
                <w:color w:val="000000" w:themeColor="text1"/>
                <w:sz w:val="22"/>
                <w:szCs w:val="22"/>
              </w:rPr>
            </w:pPr>
            <w:r w:rsidRPr="00DA6C7F">
              <w:rPr>
                <w:rFonts w:eastAsia="Times New Roman" w:cs="Times New Roman"/>
                <w:color w:val="000000" w:themeColor="text1"/>
                <w:sz w:val="22"/>
                <w:szCs w:val="22"/>
              </w:rPr>
              <w:t xml:space="preserve">Indicó que hoy </w:t>
            </w:r>
            <w:r>
              <w:rPr>
                <w:rFonts w:eastAsia="Times New Roman" w:cs="Times New Roman"/>
                <w:color w:val="000000" w:themeColor="text1"/>
                <w:sz w:val="22"/>
                <w:szCs w:val="22"/>
              </w:rPr>
              <w:t>se cuenta con</w:t>
            </w:r>
            <w:r w:rsidRPr="00DA6C7F">
              <w:rPr>
                <w:rFonts w:eastAsia="Times New Roman" w:cs="Times New Roman"/>
                <w:color w:val="000000" w:themeColor="text1"/>
                <w:sz w:val="22"/>
                <w:szCs w:val="22"/>
              </w:rPr>
              <w:t xml:space="preserve"> 454 firmantes de paz a quienes se les ha acerado su vida precisamente por la falta de garantías. Ejemplo de ello es la ola de violencia que enluta la región del Catatumbo en el noreste del país, tal y como lo afirmó el representante especial del secretario general de las Naciones Unidas en Colombia</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 xml:space="preserve"> Carlos Ruiz </w:t>
            </w:r>
            <w:r>
              <w:rPr>
                <w:rFonts w:eastAsia="Times New Roman" w:cs="Times New Roman"/>
                <w:color w:val="000000" w:themeColor="text1"/>
                <w:sz w:val="22"/>
                <w:szCs w:val="22"/>
              </w:rPr>
              <w:t>Massieu,</w:t>
            </w:r>
            <w:r w:rsidRPr="00DA6C7F">
              <w:rPr>
                <w:rFonts w:eastAsia="Times New Roman" w:cs="Times New Roman"/>
                <w:color w:val="000000" w:themeColor="text1"/>
                <w:sz w:val="22"/>
                <w:szCs w:val="22"/>
              </w:rPr>
              <w:t xml:space="preserve"> el pasado 22 de enero del 2025 ante el </w:t>
            </w:r>
            <w:r>
              <w:rPr>
                <w:rFonts w:eastAsia="Times New Roman" w:cs="Times New Roman"/>
                <w:color w:val="000000" w:themeColor="text1"/>
                <w:sz w:val="22"/>
                <w:szCs w:val="22"/>
              </w:rPr>
              <w:t>C</w:t>
            </w:r>
            <w:r w:rsidRPr="00DA6C7F">
              <w:rPr>
                <w:rFonts w:eastAsia="Times New Roman" w:cs="Times New Roman"/>
                <w:color w:val="000000" w:themeColor="text1"/>
                <w:sz w:val="22"/>
                <w:szCs w:val="22"/>
              </w:rPr>
              <w:t xml:space="preserve">onsejo de </w:t>
            </w:r>
            <w:r>
              <w:rPr>
                <w:rFonts w:eastAsia="Times New Roman" w:cs="Times New Roman"/>
                <w:color w:val="000000" w:themeColor="text1"/>
                <w:sz w:val="22"/>
                <w:szCs w:val="22"/>
              </w:rPr>
              <w:t>S</w:t>
            </w:r>
            <w:r w:rsidRPr="00DA6C7F">
              <w:rPr>
                <w:rFonts w:eastAsia="Times New Roman" w:cs="Times New Roman"/>
                <w:color w:val="000000" w:themeColor="text1"/>
                <w:sz w:val="22"/>
                <w:szCs w:val="22"/>
              </w:rPr>
              <w:t xml:space="preserve">eguridad de Naciones Unidas se requiere con suma urgencia superar las barreras de coordinación y de articulación al interior del </w:t>
            </w:r>
            <w:r>
              <w:rPr>
                <w:rFonts w:eastAsia="Times New Roman" w:cs="Times New Roman"/>
                <w:color w:val="000000" w:themeColor="text1"/>
                <w:sz w:val="22"/>
                <w:szCs w:val="22"/>
              </w:rPr>
              <w:t>G</w:t>
            </w:r>
            <w:r w:rsidRPr="00DA6C7F">
              <w:rPr>
                <w:rFonts w:eastAsia="Times New Roman" w:cs="Times New Roman"/>
                <w:color w:val="000000" w:themeColor="text1"/>
                <w:sz w:val="22"/>
                <w:szCs w:val="22"/>
              </w:rPr>
              <w:t xml:space="preserve">obierno, para implementar el </w:t>
            </w:r>
            <w:r>
              <w:rPr>
                <w:rFonts w:eastAsia="Times New Roman" w:cs="Times New Roman"/>
                <w:color w:val="000000" w:themeColor="text1"/>
                <w:sz w:val="22"/>
                <w:szCs w:val="22"/>
              </w:rPr>
              <w:t>A</w:t>
            </w:r>
            <w:r w:rsidRPr="00DA6C7F">
              <w:rPr>
                <w:rFonts w:eastAsia="Times New Roman" w:cs="Times New Roman"/>
                <w:color w:val="000000" w:themeColor="text1"/>
                <w:sz w:val="22"/>
                <w:szCs w:val="22"/>
              </w:rPr>
              <w:t xml:space="preserve">cuerdo </w:t>
            </w:r>
            <w:r>
              <w:rPr>
                <w:rFonts w:eastAsia="Times New Roman" w:cs="Times New Roman"/>
                <w:color w:val="000000" w:themeColor="text1"/>
                <w:sz w:val="22"/>
                <w:szCs w:val="22"/>
              </w:rPr>
              <w:t>F</w:t>
            </w:r>
            <w:r w:rsidRPr="00DA6C7F">
              <w:rPr>
                <w:rFonts w:eastAsia="Times New Roman" w:cs="Times New Roman"/>
                <w:color w:val="000000" w:themeColor="text1"/>
                <w:sz w:val="22"/>
                <w:szCs w:val="22"/>
              </w:rPr>
              <w:t xml:space="preserve">inal de </w:t>
            </w:r>
            <w:r>
              <w:rPr>
                <w:rFonts w:eastAsia="Times New Roman" w:cs="Times New Roman"/>
                <w:color w:val="000000" w:themeColor="text1"/>
                <w:sz w:val="22"/>
                <w:szCs w:val="22"/>
              </w:rPr>
              <w:t>P</w:t>
            </w:r>
            <w:r w:rsidRPr="00DA6C7F">
              <w:rPr>
                <w:rFonts w:eastAsia="Times New Roman" w:cs="Times New Roman"/>
                <w:color w:val="000000" w:themeColor="text1"/>
                <w:sz w:val="22"/>
                <w:szCs w:val="22"/>
              </w:rPr>
              <w:t>az, pues territorios como el Catatumbo merecen el cumplimiento de lo acordado con miras a evitar un derramamiento de sangre, más ahora la implementación de mecanismos como el sistema de prevención y alerta reacción rápida y el sistema integral para de seguridad para el ejercicio de la política han demostrado ser insuficientes debido a sus múltiples problemas de desarticulación institucional respuestas tardías e ineficaces.</w:t>
            </w:r>
          </w:p>
          <w:p w14:paraId="5A705859"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22FA3343"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Asociación Nacional de Firmantes del Acuerdo de Paz (S1-Min. 3:39:40-3:41:20)</w:t>
            </w:r>
          </w:p>
          <w:p w14:paraId="738D5E83"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116FCB3E"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Consideran que para afrontar la situación del Catatumbo se requiere una reestructuración normativa porque solamente se reconocen derechos dentro del acuerdo político, pero no a las organizaciones diferenciales.</w:t>
            </w:r>
          </w:p>
          <w:p w14:paraId="08D4C28C"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6538311A"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Ministerio del interior: (S1-Min. 3:48:38-3:51:30)</w:t>
            </w:r>
          </w:p>
          <w:p w14:paraId="37C08DC9"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710C1B9A"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Señaló que estamos ante una situación estructural</w:t>
            </w:r>
            <w:r>
              <w:rPr>
                <w:rFonts w:eastAsia="Times New Roman" w:cs="Times New Roman"/>
                <w:color w:val="000000" w:themeColor="text1"/>
                <w:sz w:val="22"/>
                <w:szCs w:val="22"/>
              </w:rPr>
              <w:t>. T</w:t>
            </w:r>
            <w:r w:rsidRPr="00DA6C7F">
              <w:rPr>
                <w:rFonts w:eastAsia="Times New Roman" w:cs="Times New Roman"/>
                <w:color w:val="000000" w:themeColor="text1"/>
                <w:sz w:val="22"/>
                <w:szCs w:val="22"/>
              </w:rPr>
              <w:t>ambién hay que reconocer que hay temas que terminan superando cuando nacen las capacidades que tiene el Estado para brindar respuesta. Lo que estamos viviendo hoy en Catatumbo es claramente un ejemplo de ello.  Ha vivido la región una situación estructural ya reconocida cuando menos en ocho alertas tempranas, algunas que se han cerrado, pero lo que termina concretando va más allá incluso de lo advertido va más allá de lo imaginado no lo habíamos visto antes en Colombia y termina ocasionando una situación que por supuesto nos supera.</w:t>
            </w:r>
          </w:p>
          <w:p w14:paraId="788BDD00"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28AA4528"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Agencia Nacional para la Normalización y Reincorporación (S1-min. 4:39:53-4:42:43)</w:t>
            </w:r>
          </w:p>
          <w:p w14:paraId="272BE89F"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5A87F47A"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Consideró que en el Catatumbo se combinan factores estructurales que tienen que ver con la construcción misma de la paz, pero también se suman aspectos relacionados con la profunda estigmatización que viven los y las firmantes en sus territorios por parte de múltiples actores. </w:t>
            </w:r>
          </w:p>
          <w:p w14:paraId="2CBAC88F"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14ACE06E"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Señaló que, a corte de 29 de enero la ARN reportaba seis firmantes asesinados y 10 desaparecidos.</w:t>
            </w:r>
          </w:p>
          <w:p w14:paraId="472AA491"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Hay también 153 firmantes y sus familias desplazados en distintos lugares, el punto de mayor recepciones es Cúcuta, 36 de ellos están en unos albergues específicos para firmantes que estamos trabajando también en Cúcuta, 35 personas confinadas y 20 que han se han movido a otros departamentos. La ARN actualmente está concernida en 57 alertas tempranas, dentro de las cuales tiene a su cargo 117 recomendaciones de esas 117 recomendaciones 70 son recomendaciones de carácter misional y 47 son recomendaciones en términos de seguridad y protección. </w:t>
            </w:r>
          </w:p>
          <w:p w14:paraId="49F828E4"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lastRenderedPageBreak/>
              <w:t xml:space="preserve"> </w:t>
            </w:r>
          </w:p>
          <w:p w14:paraId="504580FA"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Ministerio de interior (S2- Min. 3:48:38-3:51:30-1:01:05 y 7:59:54-8:01:45)</w:t>
            </w:r>
          </w:p>
          <w:p w14:paraId="1571E1F8"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4CF6B731"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Indicó que el accionar del ELN en el Catatumbo no tiene justificación y ha violado todas las normas del </w:t>
            </w:r>
            <w:r>
              <w:rPr>
                <w:rFonts w:eastAsia="Times New Roman" w:cs="Times New Roman"/>
                <w:color w:val="000000" w:themeColor="text1"/>
                <w:sz w:val="22"/>
                <w:szCs w:val="22"/>
              </w:rPr>
              <w:t>DIH</w:t>
            </w:r>
            <w:r w:rsidRPr="00DA6C7F">
              <w:rPr>
                <w:rFonts w:eastAsia="Times New Roman" w:cs="Times New Roman"/>
                <w:color w:val="000000" w:themeColor="text1"/>
                <w:sz w:val="22"/>
                <w:szCs w:val="22"/>
              </w:rPr>
              <w:t xml:space="preserve"> y de los Derechos Humanos. Informó que, conforme a las alertas de la defensoría del pueblo, entre el ELN y las disidencias de las FARC existía una tregua, que estaba pendiendo de un hilo. El Gobierno hizo todos los esfuerzos en las mesas de negociación para mantener esa tregua, pero la dimensión y la magnitud de los hechos era imprevisible</w:t>
            </w:r>
            <w:r>
              <w:rPr>
                <w:rFonts w:eastAsia="Times New Roman" w:cs="Times New Roman"/>
                <w:color w:val="000000" w:themeColor="text1"/>
                <w:sz w:val="22"/>
                <w:szCs w:val="22"/>
              </w:rPr>
              <w:t xml:space="preserve">, </w:t>
            </w:r>
            <w:r w:rsidRPr="00DA6C7F">
              <w:rPr>
                <w:rFonts w:eastAsia="Times New Roman" w:cs="Times New Roman"/>
                <w:color w:val="000000" w:themeColor="text1"/>
                <w:sz w:val="22"/>
                <w:szCs w:val="22"/>
              </w:rPr>
              <w:t>superó y desbordó las facultades ordinarias del Estado para enfrentar la situación de violencia generada por el ELN. Afirmó que hay que entender que enfrentar al ELN con toda la capacidad del Estado.</w:t>
            </w:r>
          </w:p>
          <w:p w14:paraId="2FDEB34F"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0D91B5BE"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Señaló que es importante transformar los territorios de esa región de una vez por todas, que no hemos sido capaces de hacerlo en las últimas tres o cuatro décadas gobierno, para dejar de lamentar las muertes que hoy estamos lamentando, no solo de los firmantes de paz sino de los habitantes y los líderes sociales de esos territorios.</w:t>
            </w:r>
          </w:p>
          <w:p w14:paraId="29F5FDE9"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5D1A9CD9"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Por otra parte, indicó que el Gobierno </w:t>
            </w:r>
            <w:r>
              <w:rPr>
                <w:rFonts w:eastAsia="Times New Roman" w:cs="Times New Roman"/>
                <w:color w:val="000000" w:themeColor="text1"/>
                <w:sz w:val="22"/>
                <w:szCs w:val="22"/>
              </w:rPr>
              <w:t>n</w:t>
            </w:r>
            <w:r w:rsidRPr="00DA6C7F">
              <w:rPr>
                <w:rFonts w:eastAsia="Times New Roman" w:cs="Times New Roman"/>
                <w:color w:val="000000" w:themeColor="text1"/>
                <w:sz w:val="22"/>
                <w:szCs w:val="22"/>
              </w:rPr>
              <w:t xml:space="preserve">acional está adelantando pactos territoriales, dentro de los cuales el más grande es el Pacto por el Catatumbo. La inversión para este proyecto es cercano a 4.2 billones de pesos, que aspiran comprometer con vigencias futuras para poder garantizar la inversión entre 2025 y 2028. Estas obras incluyen proyectos de conectividad </w:t>
            </w:r>
            <w:r>
              <w:rPr>
                <w:rFonts w:eastAsia="Times New Roman" w:cs="Times New Roman"/>
                <w:color w:val="000000" w:themeColor="text1"/>
                <w:sz w:val="22"/>
                <w:szCs w:val="22"/>
              </w:rPr>
              <w:t>v</w:t>
            </w:r>
            <w:r w:rsidRPr="00DA6C7F">
              <w:rPr>
                <w:rFonts w:eastAsia="Times New Roman" w:cs="Times New Roman"/>
                <w:color w:val="000000" w:themeColor="text1"/>
                <w:sz w:val="22"/>
                <w:szCs w:val="22"/>
              </w:rPr>
              <w:t>ial, son obras que recogen temas de reforma rural integral donde articulamos con el programa de sustitución de cultivos de uso ilícito, temas de acceso a agua, acceso a electrificación y conectividad, entre otros.</w:t>
            </w:r>
          </w:p>
          <w:p w14:paraId="61001C6D"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5C4F7B81"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Ministerio de defensa (S-2)</w:t>
            </w:r>
          </w:p>
          <w:p w14:paraId="7041F201"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2CEE1104"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Señaló que existe un problema estructural en el Catatumbo, y que la fuerza pública requiere intensificar y consolidar el control de esos territorios. Precisó que no es suficiente con la presencia de fuerza pública, porque lo que se requiere  son profundas transformaciones en situación excepcional del Catatumbo.</w:t>
            </w:r>
          </w:p>
          <w:p w14:paraId="440F9BA6"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25D2F6F0"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Resaltó que la causa general que está en medio de estas confrontaciones de los grupos armados ilegales por el control del territorio, está directamente vinculada con la las finanzas criminales y, particularmente en la región del Catatumbo con cerca de 44,000 hectáreas de Coca sembradas, la necesidad absoluta de afectar esa economía criminal en un proceso de sustitución voluntaria de cultivos. </w:t>
            </w:r>
          </w:p>
          <w:p w14:paraId="2958218B"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350B887F"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Comisionado de Paz (S2-2:55:40-3:04:08)</w:t>
            </w:r>
          </w:p>
          <w:p w14:paraId="1680300E"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4EC03A3D"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Afirmó que lo que fue inesperado en la región del Catatumbo, es que una organización como el ELN, quien según también las estadísticas era la que menos había producido asesinatos de firmantes, produjera esas masacres que produjeron contra la población civil en particular, contra firmantes de paz. </w:t>
            </w:r>
            <w:r w:rsidRPr="00DA6C7F">
              <w:rPr>
                <w:rFonts w:eastAsia="Times New Roman" w:cs="Times New Roman"/>
                <w:color w:val="000000" w:themeColor="text1"/>
                <w:sz w:val="22"/>
                <w:szCs w:val="22"/>
              </w:rPr>
              <w:lastRenderedPageBreak/>
              <w:t>Hubo alertas sobre la exacerbación del conflicto, y no hubo un análisis de fondo de por qué se estaba presentando. En concreto, del pacto entre el bloque Gentil Duarte, frente 33, y el ELN. En esa región, esos grupos eran familiares entre sí, se repartían los territorios y las economías ilegales. De pronto, comenzó a haber una mayor confrontación, y las autoridades no se percataron del interés del ELN en aumentar su hegemonía en el Catatumbo.</w:t>
            </w:r>
          </w:p>
          <w:p w14:paraId="3F8715FE"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3C639754"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Era probable prever lo que ocurrió. Esto, si se hubiera hecho un análisis de lo que estaba ocurriendo en los territorios. El ELN tenía una estrategia que fue hacer la guerra y fortalecer su presencia en la frontera colombo venezolana, la cual no fue advertida por el Estado. Hubo signos y expresiones de que al ELN no le interesaba la paz, sino la profundización de la guerra. No obstante, el ELN se mantuvo en las mesas de negociación y mantuvieron el cese al fuego, para después consolidar su hegemonía en el territorio. Señaló que esto pudo preverse, pero se requiere un equipo de análisis sobre esos fenómenos que están ocurriendo y que pueden precipitar una situación de violencia como esta.</w:t>
            </w:r>
          </w:p>
          <w:p w14:paraId="53B13420"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50299BD2" w14:textId="77777777" w:rsidR="00C454A1" w:rsidRPr="00DA6C7F" w:rsidRDefault="00C454A1" w:rsidP="005F4A6F">
            <w:pPr>
              <w:pStyle w:val="Prrafodelista"/>
              <w:numPr>
                <w:ilvl w:val="0"/>
                <w:numId w:val="40"/>
              </w:numPr>
              <w:ind w:right="272"/>
              <w:rPr>
                <w:rFonts w:eastAsia="Times New Roman" w:cs="Times New Roman"/>
                <w:b/>
                <w:bCs/>
                <w:sz w:val="22"/>
                <w:szCs w:val="22"/>
                <w:u w:val="single"/>
              </w:rPr>
            </w:pPr>
            <w:r w:rsidRPr="00DA6C7F">
              <w:rPr>
                <w:rFonts w:eastAsia="Times New Roman" w:cs="Times New Roman"/>
                <w:b/>
                <w:bCs/>
                <w:sz w:val="22"/>
                <w:szCs w:val="22"/>
                <w:u w:val="single"/>
              </w:rPr>
              <w:t>Presupuesto de suficientica:</w:t>
            </w:r>
          </w:p>
          <w:p w14:paraId="674BAC37" w14:textId="77777777" w:rsidR="00C454A1" w:rsidRPr="00DA6C7F" w:rsidRDefault="00C454A1" w:rsidP="00881E6A">
            <w:pPr>
              <w:ind w:right="272"/>
              <w:rPr>
                <w:rFonts w:cs="Times New Roman"/>
              </w:rPr>
            </w:pPr>
            <w:r w:rsidRPr="00DA6C7F">
              <w:rPr>
                <w:rFonts w:eastAsia="Times New Roman" w:cs="Times New Roman"/>
                <w:b/>
                <w:bCs/>
                <w:color w:val="000000" w:themeColor="text1"/>
                <w:sz w:val="22"/>
                <w:szCs w:val="22"/>
              </w:rPr>
              <w:t xml:space="preserve"> </w:t>
            </w:r>
          </w:p>
          <w:p w14:paraId="5D1AAD85"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Ministerio del interior: (S1-Min. 3:48:38-3:51:30)</w:t>
            </w:r>
          </w:p>
          <w:p w14:paraId="637FA49A" w14:textId="77777777" w:rsidR="00C454A1" w:rsidRPr="00DA6C7F" w:rsidRDefault="00C454A1" w:rsidP="00881E6A">
            <w:pPr>
              <w:ind w:right="272"/>
              <w:rPr>
                <w:rFonts w:cs="Times New Roman"/>
              </w:rPr>
            </w:pPr>
            <w:r w:rsidRPr="00DA6C7F">
              <w:rPr>
                <w:rFonts w:eastAsia="Times New Roman" w:cs="Times New Roman"/>
                <w:b/>
                <w:bCs/>
                <w:color w:val="000000" w:themeColor="text1"/>
                <w:sz w:val="22"/>
                <w:szCs w:val="22"/>
              </w:rPr>
              <w:t xml:space="preserve"> </w:t>
            </w:r>
          </w:p>
          <w:p w14:paraId="32DA8741"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Consideró que se necesitan elementos normativos para superar esta situación por una razón muy concreta: tenemos 22 instrumentos más o menos similares en 10 marcos de política pública hoy que existen y que compiten con el marco de la CIPRAC. Entonces no necesitamos instrumentos normativos para crear algo nuevo, necesitamos instrumentos normativos para racionalizar derogar otros instrumentos</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 xml:space="preserve"> derogar medidas</w:t>
            </w:r>
            <w:r>
              <w:rPr>
                <w:rFonts w:eastAsia="Times New Roman" w:cs="Times New Roman"/>
                <w:color w:val="000000" w:themeColor="text1"/>
                <w:sz w:val="22"/>
                <w:szCs w:val="22"/>
              </w:rPr>
              <w:t xml:space="preserve">, </w:t>
            </w:r>
            <w:r w:rsidRPr="00DA6C7F">
              <w:rPr>
                <w:rFonts w:eastAsia="Times New Roman" w:cs="Times New Roman"/>
                <w:color w:val="000000" w:themeColor="text1"/>
                <w:sz w:val="22"/>
                <w:szCs w:val="22"/>
              </w:rPr>
              <w:t xml:space="preserve">derogar buena parte de las 174 funciones que tienen entidades y que terminan repitiéndose y que terminan desgastando el </w:t>
            </w:r>
            <w:r>
              <w:rPr>
                <w:rFonts w:eastAsia="Times New Roman" w:cs="Times New Roman"/>
                <w:color w:val="000000" w:themeColor="text1"/>
                <w:sz w:val="22"/>
                <w:szCs w:val="22"/>
              </w:rPr>
              <w:t>E</w:t>
            </w:r>
            <w:r w:rsidRPr="00DA6C7F">
              <w:rPr>
                <w:rFonts w:eastAsia="Times New Roman" w:cs="Times New Roman"/>
                <w:color w:val="000000" w:themeColor="text1"/>
                <w:sz w:val="22"/>
                <w:szCs w:val="22"/>
              </w:rPr>
              <w:t>stado</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 xml:space="preserve"> desgastando presupuestalmente las entidades. </w:t>
            </w:r>
          </w:p>
          <w:p w14:paraId="0483A441"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49410AB5"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Indicó que necesitamos un marco normativo que ayude a fijar las responsabilidades de los alcaldes y los gobernadores frente estos temas. El Decreto 2124 no es un decreto legislativo. En consecuencia, se necesita poder imponer funciones los alcaldes y a los gobernadores que son primeros respondientes entonces la capacidad de articulación que tiene el Ministerio del interior, que muchas veces se ve limitada se ve se encuentra con algunas barreras muchas veces no depende siquiera de la voluntad sino de uno la ausencia de determinada función en un mandatario territorial y dos la ausencia de capacidad de respuesta en un país donde más de 1000 alcaldías son de categoría cinco y se en un país donde reconocemos que los municipios </w:t>
            </w:r>
            <w:r>
              <w:rPr>
                <w:rFonts w:eastAsia="Times New Roman" w:cs="Times New Roman"/>
                <w:color w:val="000000" w:themeColor="text1"/>
                <w:sz w:val="22"/>
                <w:szCs w:val="22"/>
              </w:rPr>
              <w:t>PDET</w:t>
            </w:r>
            <w:r w:rsidRPr="00DA6C7F">
              <w:rPr>
                <w:rFonts w:eastAsia="Times New Roman" w:cs="Times New Roman"/>
                <w:color w:val="000000" w:themeColor="text1"/>
                <w:sz w:val="22"/>
                <w:szCs w:val="22"/>
              </w:rPr>
              <w:t xml:space="preserve"> entre otras son </w:t>
            </w:r>
            <w:r>
              <w:rPr>
                <w:rFonts w:eastAsia="Times New Roman" w:cs="Times New Roman"/>
                <w:color w:val="000000" w:themeColor="text1"/>
                <w:sz w:val="22"/>
                <w:szCs w:val="22"/>
              </w:rPr>
              <w:t>PDET</w:t>
            </w:r>
            <w:r w:rsidRPr="00DA6C7F">
              <w:rPr>
                <w:rFonts w:eastAsia="Times New Roman" w:cs="Times New Roman"/>
                <w:color w:val="000000" w:themeColor="text1"/>
                <w:sz w:val="22"/>
                <w:szCs w:val="22"/>
              </w:rPr>
              <w:t>, porque tienen baja capacidad administrativo y baja capacidad de gobernabilidad y unas altas consecuencias que lastimosamente se mantienen de forma estructural en cuanto al conflicto armado. Las afectaciones esos municipios requieren hoy un fortalecimiento no solamente a partir de proyectos y transformaciones económicas sino quizás también a partir de sus capacidades de gobernanza y para ello es quizás importante que revisemos elementos normativos que nos ayuden a priorizar una respuesta.</w:t>
            </w:r>
          </w:p>
          <w:p w14:paraId="5F44AB54" w14:textId="77777777" w:rsidR="00C454A1" w:rsidRPr="00DA6C7F" w:rsidRDefault="00C454A1" w:rsidP="00881E6A">
            <w:pPr>
              <w:ind w:right="272"/>
              <w:rPr>
                <w:rFonts w:cs="Times New Roman"/>
              </w:rPr>
            </w:pPr>
            <w:r w:rsidRPr="00DA6C7F">
              <w:rPr>
                <w:rFonts w:eastAsia="Times New Roman" w:cs="Times New Roman"/>
                <w:b/>
                <w:bCs/>
                <w:color w:val="000000" w:themeColor="text1"/>
                <w:sz w:val="22"/>
                <w:szCs w:val="22"/>
              </w:rPr>
              <w:t xml:space="preserve"> </w:t>
            </w:r>
          </w:p>
          <w:p w14:paraId="686D8CBB"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Defensoría del pueblo (Min. 3:51:40-3:57:10)</w:t>
            </w:r>
          </w:p>
          <w:p w14:paraId="4DBCCC42"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5EF4D026"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lastRenderedPageBreak/>
              <w:t>Afirmó que si bien podrían haber mejoras en la normatividad para atender la situación, lo cierto es que las entidades no deben ser autocond</w:t>
            </w:r>
            <w:r>
              <w:rPr>
                <w:rFonts w:eastAsia="Times New Roman" w:cs="Times New Roman"/>
                <w:color w:val="000000" w:themeColor="text1"/>
                <w:sz w:val="22"/>
                <w:szCs w:val="22"/>
              </w:rPr>
              <w:t>e</w:t>
            </w:r>
            <w:r w:rsidRPr="00DA6C7F">
              <w:rPr>
                <w:rFonts w:eastAsia="Times New Roman" w:cs="Times New Roman"/>
                <w:color w:val="000000" w:themeColor="text1"/>
                <w:sz w:val="22"/>
                <w:szCs w:val="22"/>
              </w:rPr>
              <w:t xml:space="preserve">scendientes. Decir que hace falta una norma para hacer algo que es evidente que tienen que hacer y tienen los elementos factitos y los elementos de competencia para actuar y reaccionar de acuerdo con la gravedad, podría ser auto condescendiente, especialmente si hay una sentencia de la corte constitucional de estado de cosas constitucional, sobre las personas firmantes. Indicó que, en principio, cree que existen suficientes elementos normativos para que las entidades puedan caracterizar y advertir la situación de riesgo, así como para mejorar las alertas.  </w:t>
            </w:r>
          </w:p>
          <w:p w14:paraId="70E22947"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2F568314"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No obstante, señaló que existen muchas entidades territoriales no tienen los recursos económicos suficientes y apropiados para responder a la situación, y esto se podría evaluar caso a caso, y en ese sentido también las entidades nacionales debe priorizar las alertas tempranas y sus proyectos de inversión.</w:t>
            </w:r>
          </w:p>
          <w:p w14:paraId="24EF5A87"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0D70B2BB"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Ministerio de interior (S2- Min. 3:48:38-3:51:30-1:01:05)</w:t>
            </w:r>
          </w:p>
          <w:p w14:paraId="37856090"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12D649BC"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Señaló que hay un problema de fondo mientras no recuperemos la seguridad en el territorio del Catatumbo. Para recuperar la seguridad en el territorio es absolutamente indispensable la transformación de esos territorios y la transformación de esas economías ilícitas que hoy dominan en los territorios y lo han dominado durante varias décadas. Es evidente que las economías lícitas generan hechos de violencia y es difícil combatirla, porque no tienen una causa política, sino que buscan apropiarse de territorios específicos para ejercer un control territorial para a su vez derivar de ello ganancias inmensas de rentas criminales como el narcotráfico como el microtráfico como la extorsión como la minería ilegal. </w:t>
            </w:r>
          </w:p>
          <w:p w14:paraId="41D76778"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7FA94CF1"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Es difícil sin la transformación de ese territorio. Todas la medidas que tomemos, como por ejemplo el presupuesto de la </w:t>
            </w:r>
            <w:r>
              <w:rPr>
                <w:rFonts w:eastAsia="Times New Roman" w:cs="Times New Roman"/>
                <w:color w:val="000000" w:themeColor="text1"/>
                <w:sz w:val="22"/>
                <w:szCs w:val="22"/>
              </w:rPr>
              <w:t>U</w:t>
            </w:r>
            <w:r w:rsidRPr="00DA6C7F">
              <w:rPr>
                <w:rFonts w:eastAsia="Times New Roman" w:cs="Times New Roman"/>
                <w:color w:val="000000" w:themeColor="text1"/>
                <w:sz w:val="22"/>
                <w:szCs w:val="22"/>
              </w:rPr>
              <w:t xml:space="preserve">nidad </w:t>
            </w:r>
            <w:r>
              <w:rPr>
                <w:rFonts w:eastAsia="Times New Roman" w:cs="Times New Roman"/>
                <w:color w:val="000000" w:themeColor="text1"/>
                <w:sz w:val="22"/>
                <w:szCs w:val="22"/>
              </w:rPr>
              <w:t>N</w:t>
            </w:r>
            <w:r w:rsidRPr="00DA6C7F">
              <w:rPr>
                <w:rFonts w:eastAsia="Times New Roman" w:cs="Times New Roman"/>
                <w:color w:val="000000" w:themeColor="text1"/>
                <w:sz w:val="22"/>
                <w:szCs w:val="22"/>
              </w:rPr>
              <w:t xml:space="preserve">acional de </w:t>
            </w:r>
            <w:r>
              <w:rPr>
                <w:rFonts w:eastAsia="Times New Roman" w:cs="Times New Roman"/>
                <w:color w:val="000000" w:themeColor="text1"/>
                <w:sz w:val="22"/>
                <w:szCs w:val="22"/>
              </w:rPr>
              <w:t>P</w:t>
            </w:r>
            <w:r w:rsidRPr="00DA6C7F">
              <w:rPr>
                <w:rFonts w:eastAsia="Times New Roman" w:cs="Times New Roman"/>
                <w:color w:val="000000" w:themeColor="text1"/>
                <w:sz w:val="22"/>
                <w:szCs w:val="22"/>
              </w:rPr>
              <w:t xml:space="preserve">rotección se ha cuatriplicado en los últimos 8 años pasó de </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 xml:space="preserve">700.000 millones de pesos a </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2</w:t>
            </w:r>
            <w:r>
              <w:rPr>
                <w:rFonts w:eastAsia="Times New Roman" w:cs="Times New Roman"/>
                <w:color w:val="000000" w:themeColor="text1"/>
                <w:sz w:val="22"/>
                <w:szCs w:val="22"/>
              </w:rPr>
              <w:t>.</w:t>
            </w:r>
            <w:r w:rsidRPr="00DA6C7F">
              <w:rPr>
                <w:rFonts w:eastAsia="Times New Roman" w:cs="Times New Roman"/>
                <w:color w:val="000000" w:themeColor="text1"/>
                <w:sz w:val="22"/>
                <w:szCs w:val="22"/>
              </w:rPr>
              <w:t xml:space="preserve">800.000, el número de protegidos de la </w:t>
            </w:r>
            <w:r>
              <w:rPr>
                <w:rFonts w:eastAsia="Times New Roman" w:cs="Times New Roman"/>
                <w:color w:val="000000" w:themeColor="text1"/>
                <w:sz w:val="22"/>
                <w:szCs w:val="22"/>
              </w:rPr>
              <w:t>U</w:t>
            </w:r>
            <w:r w:rsidRPr="00DA6C7F">
              <w:rPr>
                <w:rFonts w:eastAsia="Times New Roman" w:cs="Times New Roman"/>
                <w:color w:val="000000" w:themeColor="text1"/>
                <w:sz w:val="22"/>
                <w:szCs w:val="22"/>
              </w:rPr>
              <w:t xml:space="preserve">nidad </w:t>
            </w:r>
            <w:r>
              <w:rPr>
                <w:rFonts w:eastAsia="Times New Roman" w:cs="Times New Roman"/>
                <w:color w:val="000000" w:themeColor="text1"/>
                <w:sz w:val="22"/>
                <w:szCs w:val="22"/>
              </w:rPr>
              <w:t>N</w:t>
            </w:r>
            <w:r w:rsidRPr="00DA6C7F">
              <w:rPr>
                <w:rFonts w:eastAsia="Times New Roman" w:cs="Times New Roman"/>
                <w:color w:val="000000" w:themeColor="text1"/>
                <w:sz w:val="22"/>
                <w:szCs w:val="22"/>
              </w:rPr>
              <w:t xml:space="preserve">acional de </w:t>
            </w:r>
            <w:r>
              <w:rPr>
                <w:rFonts w:eastAsia="Times New Roman" w:cs="Times New Roman"/>
                <w:color w:val="000000" w:themeColor="text1"/>
                <w:sz w:val="22"/>
                <w:szCs w:val="22"/>
              </w:rPr>
              <w:t>P</w:t>
            </w:r>
            <w:r w:rsidRPr="00DA6C7F">
              <w:rPr>
                <w:rFonts w:eastAsia="Times New Roman" w:cs="Times New Roman"/>
                <w:color w:val="000000" w:themeColor="text1"/>
                <w:sz w:val="22"/>
                <w:szCs w:val="22"/>
              </w:rPr>
              <w:t>rotección se dobló en los últimos años, se hacen esfuerzos todos los días, pero en ese escenario de violencia indiscriminada si no recuperamos y transformamos el territorio.</w:t>
            </w:r>
          </w:p>
          <w:p w14:paraId="1CF9BE67"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340A2AD8" w14:textId="77777777" w:rsidR="00C454A1" w:rsidRPr="00DA6C7F" w:rsidRDefault="00C454A1" w:rsidP="005F4A6F">
            <w:pPr>
              <w:pStyle w:val="Prrafodelista"/>
              <w:numPr>
                <w:ilvl w:val="0"/>
                <w:numId w:val="38"/>
              </w:numPr>
              <w:ind w:left="1080" w:right="272"/>
              <w:rPr>
                <w:rFonts w:eastAsia="Times New Roman" w:cs="Times New Roman"/>
                <w:b/>
                <w:bCs/>
                <w:sz w:val="22"/>
                <w:szCs w:val="22"/>
                <w:u w:val="single"/>
              </w:rPr>
            </w:pPr>
            <w:r w:rsidRPr="00DA6C7F">
              <w:rPr>
                <w:rFonts w:eastAsia="Times New Roman" w:cs="Times New Roman"/>
                <w:b/>
                <w:bCs/>
                <w:sz w:val="22"/>
                <w:szCs w:val="22"/>
                <w:u w:val="single"/>
              </w:rPr>
              <w:t>Comandante General FFMM (S2-2:38:04-2:41:04)</w:t>
            </w:r>
          </w:p>
          <w:p w14:paraId="051A6781"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61017AD5"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Informó que, para el caso del Catatumbo, se han tomado medidas de seguridad para medir lasa afectación en la sociedad civil, detener ataques indiscriminados a centros poblados y aumentar la presencia de las fuerzas militares. En particular, 1200 hombres fueron desplegados en el Catatumbo, para adelantar la estabilización del territorio y reducir las condiciones de violencia.</w:t>
            </w:r>
          </w:p>
          <w:p w14:paraId="10D21559"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6689B43F" w14:textId="77777777" w:rsidR="00C454A1" w:rsidRPr="00DA6C7F" w:rsidRDefault="00C454A1" w:rsidP="00881E6A">
            <w:pPr>
              <w:ind w:right="272"/>
              <w:rPr>
                <w:rFonts w:eastAsia="Times New Roman" w:cs="Times New Roman"/>
              </w:rPr>
            </w:pPr>
            <w:r w:rsidRPr="00DA6C7F">
              <w:rPr>
                <w:rFonts w:eastAsia="Times New Roman" w:cs="Times New Roman"/>
                <w:color w:val="000000" w:themeColor="text1"/>
                <w:sz w:val="22"/>
                <w:szCs w:val="22"/>
              </w:rPr>
              <w:t>Aseguró que han tomado las medidas con todas las capacidades con las que cuentan en este momento, y la intención es mantener el esfuerzo del personal, para hacer seguimiento a las alertas de la Defensoría del Pueblo desde el año 2022.</w:t>
            </w:r>
          </w:p>
        </w:tc>
      </w:tr>
      <w:tr w:rsidR="00C454A1" w:rsidRPr="00F8202F" w14:paraId="7CD1E4B6" w14:textId="77777777" w:rsidTr="005F4A6F">
        <w:trPr>
          <w:trHeight w:val="300"/>
        </w:trPr>
        <w:tc>
          <w:tcPr>
            <w:tcW w:w="642" w:type="pct"/>
          </w:tcPr>
          <w:p w14:paraId="3D1F9AA0" w14:textId="77777777" w:rsidR="00C454A1" w:rsidRPr="00DA6C7F" w:rsidRDefault="00C454A1" w:rsidP="00881E6A">
            <w:pPr>
              <w:spacing w:line="259" w:lineRule="auto"/>
              <w:ind w:right="272"/>
              <w:jc w:val="center"/>
              <w:rPr>
                <w:rFonts w:eastAsia="Calibri" w:cs="Times New Roman"/>
                <w:b/>
                <w:bCs/>
              </w:rPr>
            </w:pPr>
            <w:r w:rsidRPr="00DA6C7F">
              <w:rPr>
                <w:rFonts w:eastAsia="Calibri" w:cs="Times New Roman"/>
                <w:b/>
                <w:bCs/>
              </w:rPr>
              <w:lastRenderedPageBreak/>
              <w:t>Alcalde del municipio de El Tarra</w:t>
            </w:r>
          </w:p>
        </w:tc>
        <w:tc>
          <w:tcPr>
            <w:tcW w:w="4358" w:type="pct"/>
          </w:tcPr>
          <w:p w14:paraId="007BC332" w14:textId="77777777" w:rsidR="00C454A1" w:rsidRPr="00DA6C7F" w:rsidRDefault="00C454A1" w:rsidP="00881E6A">
            <w:pPr>
              <w:ind w:right="272"/>
              <w:rPr>
                <w:rFonts w:eastAsia="Times New Roman" w:cs="Times New Roman"/>
                <w:sz w:val="22"/>
                <w:szCs w:val="22"/>
              </w:rPr>
            </w:pPr>
            <w:r w:rsidRPr="00DA6C7F">
              <w:rPr>
                <w:rFonts w:eastAsia="Times New Roman" w:cs="Times New Roman"/>
                <w:i/>
                <w:iCs/>
                <w:sz w:val="22"/>
                <w:szCs w:val="22"/>
              </w:rPr>
              <w:t xml:space="preserve">Presupuesto fáctico. </w:t>
            </w:r>
            <w:r w:rsidRPr="00DA6C7F">
              <w:rPr>
                <w:rFonts w:eastAsia="Times New Roman" w:cs="Times New Roman"/>
                <w:sz w:val="22"/>
                <w:szCs w:val="22"/>
              </w:rPr>
              <w:t>El alcalde informó que desde el año 2022 hasta la fecha (20 de febrero de 2025) se ha registrado la siguiente información: (i) 1718 personas han sido desplazadas, (ii) dos firmantes de paz han sido asesinados y hay más de 75 núcleos familiares amenazados y confinados, (iii) 264 personas han sido víctimas de amenazas y (iv) dos personas han sido víctimas de secuestro. Asimismo, precisó que entre los años 2022 y 2024 se han registrado diez homicidios en el municipio. Respecto del año 2025, indicó que no tiene registro sobre la comisión de dicho delito. Agregó que no hay registros de denuncias sobre desaparición forzada entre los años 2022 y 2025. Manifestó que los hechos victimizantes registrados han sido atribuidos a grupos armados al margen de la ley, entre ellos, el ELN, las FARC y el EPL. Informó que en el año 2025 hay registro de 1718 víctimas, distribuidas en 647 núcleos familiares y “declaraciones individuales”. Al respecto, precisó que el proceso de caracterización de las victimas está en actualización.</w:t>
            </w:r>
          </w:p>
          <w:p w14:paraId="26FC0B30" w14:textId="77777777" w:rsidR="00C454A1" w:rsidRPr="00DA6C7F" w:rsidRDefault="00C454A1" w:rsidP="00881E6A">
            <w:pPr>
              <w:ind w:right="272"/>
              <w:rPr>
                <w:rFonts w:eastAsia="Times New Roman" w:cs="Times New Roman"/>
                <w:sz w:val="22"/>
                <w:szCs w:val="22"/>
              </w:rPr>
            </w:pPr>
          </w:p>
          <w:p w14:paraId="2E4608DB" w14:textId="77777777" w:rsidR="00C454A1" w:rsidRPr="00DA6C7F" w:rsidRDefault="00C454A1" w:rsidP="00881E6A">
            <w:pPr>
              <w:ind w:right="272"/>
              <w:rPr>
                <w:rFonts w:eastAsia="Times New Roman" w:cs="Times New Roman"/>
                <w:sz w:val="22"/>
                <w:szCs w:val="22"/>
              </w:rPr>
            </w:pPr>
            <w:r w:rsidRPr="00DA6C7F">
              <w:rPr>
                <w:rFonts w:eastAsia="Times New Roman" w:cs="Times New Roman"/>
                <w:sz w:val="22"/>
                <w:szCs w:val="22"/>
              </w:rPr>
              <w:t>Respecto de las zonas afectadas por el desplazamiento forzado manifestó que estos hechos han ocurrido tanto en el caso urbano del municipio como en la zona rural, como en el corregimiento La Motilandia y las veredas km 77, El Salado, Filo de la Virgen, Martillo Bajo y Buena Vista, entre otros. Informó que la mayoría de la población desplazada se ha trasladado al municipio de Ocaña (Norte de Santander). Sobre este punto, precisó que la administración municipal ha brindado atención dentro de su capacidad institucional por medio de la búsqueda de asistencia humanitaria inmediata a la gobernación y a la Unidad para las Victimas.</w:t>
            </w:r>
          </w:p>
          <w:p w14:paraId="4FCE856C" w14:textId="77777777" w:rsidR="00C454A1" w:rsidRPr="00DA6C7F" w:rsidRDefault="00C454A1" w:rsidP="00881E6A">
            <w:pPr>
              <w:ind w:right="272"/>
              <w:rPr>
                <w:rFonts w:eastAsia="Times New Roman" w:cs="Times New Roman"/>
                <w:sz w:val="22"/>
                <w:szCs w:val="22"/>
              </w:rPr>
            </w:pPr>
          </w:p>
          <w:p w14:paraId="40E169D9" w14:textId="77777777" w:rsidR="00C454A1" w:rsidRPr="00DA6C7F" w:rsidRDefault="00C454A1" w:rsidP="00881E6A">
            <w:pPr>
              <w:ind w:right="272"/>
              <w:rPr>
                <w:rFonts w:eastAsia="Times New Roman" w:cs="Times New Roman"/>
                <w:sz w:val="22"/>
                <w:szCs w:val="22"/>
              </w:rPr>
            </w:pPr>
            <w:r w:rsidRPr="00DA6C7F">
              <w:rPr>
                <w:rFonts w:eastAsia="Times New Roman" w:cs="Times New Roman"/>
                <w:sz w:val="22"/>
                <w:szCs w:val="22"/>
              </w:rPr>
              <w:t>En relación con las medidas adoptadas por la administración municipal manifestó que (i) se han activado las rutas de atención para la población afectada, (ii) se ha convocado a los Comités de Justicia Transicional y a los Consejos de Seguridad para coordinar respuestas institucionales y (iii) se ha hecho seguimiento mediante puestos de mando unificado para evaluar la evolución de la crisis y fortalecer las estrategias de protección.</w:t>
            </w:r>
          </w:p>
          <w:p w14:paraId="22A67151" w14:textId="77777777" w:rsidR="00C454A1" w:rsidRPr="00DA6C7F" w:rsidRDefault="00C454A1" w:rsidP="00881E6A">
            <w:pPr>
              <w:ind w:right="272"/>
              <w:rPr>
                <w:rFonts w:eastAsia="Times New Roman" w:cs="Times New Roman"/>
                <w:sz w:val="22"/>
                <w:szCs w:val="22"/>
              </w:rPr>
            </w:pPr>
          </w:p>
          <w:p w14:paraId="6655EED7" w14:textId="77777777" w:rsidR="00C454A1" w:rsidRPr="00DA6C7F" w:rsidRDefault="00C454A1" w:rsidP="00881E6A">
            <w:pPr>
              <w:ind w:right="272"/>
              <w:rPr>
                <w:rFonts w:eastAsia="Times New Roman" w:cs="Times New Roman"/>
                <w:sz w:val="22"/>
                <w:szCs w:val="22"/>
              </w:rPr>
            </w:pPr>
            <w:r w:rsidRPr="00DA6C7F">
              <w:rPr>
                <w:rFonts w:eastAsia="Times New Roman" w:cs="Times New Roman"/>
                <w:sz w:val="22"/>
                <w:szCs w:val="22"/>
              </w:rPr>
              <w:t xml:space="preserve">Respecto de los mecanismos de advertencia al Gobierno nacional, el alcalde sostuvo que ha participado en diversos encuentros con entidades de control, en los que ha manifestado su preocupación por la situación de seguridad y la vulneración de derechos humanos. Precisó que, como consecuencia de ello, se emitió la Alerta Temprana 026 de 2024. Sostuvo que, desde el 16 de enero de 2025, con motivo de los enfrentamientos, las amenazas y los desplazamientos masivos, ha solicitado la intervención del Gobierno. Al respecto, precisó que las medidas que tomó el gobierno fueron (i) la declaración de conmoción interior, (ii) el pacto por la transformación del Catatumbo, (iii) la protección de lideres y firmantes de paz, (iv) los programas de reincorporación para excombatientes en coordinación con la ARN, (v) la sustitución de cultivos ilícitos y (vi) las mejoras en la caracterización de desplazados para atender a más de 40.000 personas afectadas. Además, agregó que el Gobierno nacional realizó un consejo de seguridad presidido por el presidente Gustavo Petro, con el objetivo de fortalecer la respuesta institucional. </w:t>
            </w:r>
          </w:p>
          <w:p w14:paraId="09B893B6" w14:textId="77777777" w:rsidR="00C454A1" w:rsidRPr="00DA6C7F" w:rsidRDefault="00C454A1" w:rsidP="00881E6A">
            <w:pPr>
              <w:ind w:right="272"/>
              <w:rPr>
                <w:rFonts w:eastAsia="Times New Roman" w:cs="Times New Roman"/>
                <w:sz w:val="22"/>
                <w:szCs w:val="22"/>
              </w:rPr>
            </w:pPr>
          </w:p>
          <w:p w14:paraId="09076C49" w14:textId="77777777" w:rsidR="00C454A1" w:rsidRPr="00DA6C7F" w:rsidRDefault="00C454A1" w:rsidP="00881E6A">
            <w:pPr>
              <w:ind w:right="272"/>
              <w:rPr>
                <w:rFonts w:eastAsia="Times New Roman" w:cs="Times New Roman"/>
                <w:sz w:val="22"/>
                <w:szCs w:val="22"/>
              </w:rPr>
            </w:pPr>
            <w:r w:rsidRPr="00DA6C7F">
              <w:rPr>
                <w:rFonts w:eastAsia="Times New Roman" w:cs="Times New Roman"/>
                <w:sz w:val="22"/>
                <w:szCs w:val="22"/>
              </w:rPr>
              <w:t>Finalmente, el acalde indicó que no se han reportado daños materiales significativos en bienes protegidos.</w:t>
            </w:r>
          </w:p>
        </w:tc>
      </w:tr>
      <w:tr w:rsidR="00C454A1" w:rsidRPr="00F8202F" w14:paraId="5C234305" w14:textId="77777777" w:rsidTr="005F4A6F">
        <w:trPr>
          <w:trHeight w:val="300"/>
        </w:trPr>
        <w:tc>
          <w:tcPr>
            <w:tcW w:w="642" w:type="pct"/>
          </w:tcPr>
          <w:p w14:paraId="1B40232A" w14:textId="77777777" w:rsidR="00C454A1" w:rsidRPr="00DA6C7F" w:rsidRDefault="00C454A1" w:rsidP="00881E6A">
            <w:pPr>
              <w:spacing w:line="259" w:lineRule="auto"/>
              <w:ind w:right="272"/>
              <w:jc w:val="center"/>
              <w:rPr>
                <w:rFonts w:eastAsia="Calibri" w:cs="Times New Roman"/>
                <w:b/>
                <w:bCs/>
              </w:rPr>
            </w:pPr>
            <w:r w:rsidRPr="00DA6C7F">
              <w:rPr>
                <w:rFonts w:eastAsia="Calibri" w:cs="Times New Roman"/>
                <w:b/>
                <w:bCs/>
              </w:rPr>
              <w:t>Alcaldía Río de Oro</w:t>
            </w:r>
          </w:p>
        </w:tc>
        <w:tc>
          <w:tcPr>
            <w:tcW w:w="4358" w:type="pct"/>
          </w:tcPr>
          <w:p w14:paraId="0691BE47"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La Alcaldía Río de Oro remitió la siguiente información en relación con las preguntas planteadas en el auto de pruebas respecto de cada uno de los presupuestos: </w:t>
            </w:r>
          </w:p>
          <w:p w14:paraId="203D703A"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70073104" w14:textId="77777777" w:rsidR="00C454A1" w:rsidRPr="00DA6C7F" w:rsidRDefault="00C454A1" w:rsidP="00881E6A">
            <w:pPr>
              <w:ind w:right="272"/>
              <w:rPr>
                <w:rFonts w:cs="Times New Roman"/>
              </w:rPr>
            </w:pPr>
            <w:r w:rsidRPr="00DA6C7F">
              <w:rPr>
                <w:rFonts w:eastAsia="Times New Roman" w:cs="Times New Roman"/>
                <w:i/>
                <w:iCs/>
                <w:color w:val="000000" w:themeColor="text1"/>
                <w:sz w:val="22"/>
                <w:szCs w:val="22"/>
              </w:rPr>
              <w:t>Presupuesto fáctico</w:t>
            </w:r>
            <w:r w:rsidRPr="00DA6C7F">
              <w:rPr>
                <w:rFonts w:eastAsia="Times New Roman" w:cs="Times New Roman"/>
                <w:color w:val="000000" w:themeColor="text1"/>
                <w:sz w:val="22"/>
                <w:szCs w:val="22"/>
              </w:rPr>
              <w:t>. La Alcaldía Río de Oro precisó que, de acuerdo con la información proporcionada por el enlace municipal de víctimas del municipio de Río de Oro, entre 2022 y 2025 se han registrado los siguientes casos de desplazamiento forzado provenientes de la región del Catatumbo:</w:t>
            </w:r>
          </w:p>
          <w:p w14:paraId="5EF05F63" w14:textId="77777777" w:rsidR="00C454A1" w:rsidRDefault="00C454A1" w:rsidP="00881E6A">
            <w:pPr>
              <w:ind w:right="272"/>
              <w:rPr>
                <w:rFonts w:eastAsia="Times New Roman" w:cs="Times New Roman"/>
                <w:color w:val="000000" w:themeColor="text1"/>
                <w:sz w:val="22"/>
                <w:szCs w:val="22"/>
              </w:rPr>
            </w:pPr>
            <w:r w:rsidRPr="00DA6C7F">
              <w:rPr>
                <w:rFonts w:eastAsia="Times New Roman" w:cs="Times New Roman"/>
                <w:color w:val="000000" w:themeColor="text1"/>
                <w:sz w:val="22"/>
                <w:szCs w:val="22"/>
              </w:rPr>
              <w:t xml:space="preserve"> </w:t>
            </w:r>
          </w:p>
          <w:p w14:paraId="46883966" w14:textId="77777777" w:rsidR="00C454A1" w:rsidRDefault="00C454A1" w:rsidP="00881E6A">
            <w:pPr>
              <w:ind w:right="272"/>
              <w:rPr>
                <w:rFonts w:cs="Times New Roman"/>
                <w:sz w:val="22"/>
                <w:szCs w:val="22"/>
              </w:rPr>
            </w:pPr>
          </w:p>
          <w:p w14:paraId="730ECF20" w14:textId="77777777" w:rsidR="00C454A1" w:rsidRDefault="00C454A1" w:rsidP="00881E6A">
            <w:pPr>
              <w:ind w:right="272"/>
              <w:rPr>
                <w:rFonts w:cs="Times New Roman"/>
                <w:sz w:val="22"/>
                <w:szCs w:val="22"/>
              </w:rPr>
            </w:pPr>
          </w:p>
          <w:p w14:paraId="1A2CECFF" w14:textId="77777777" w:rsidR="00C454A1" w:rsidRDefault="00C454A1" w:rsidP="00881E6A">
            <w:pPr>
              <w:ind w:right="272"/>
              <w:rPr>
                <w:rFonts w:cs="Times New Roman"/>
              </w:rPr>
            </w:pPr>
          </w:p>
          <w:p w14:paraId="488CBB8B" w14:textId="77777777" w:rsidR="00C454A1" w:rsidRPr="004D55EB" w:rsidRDefault="00C454A1" w:rsidP="00881E6A">
            <w:pPr>
              <w:ind w:right="272"/>
              <w:jc w:val="center"/>
              <w:rPr>
                <w:rFonts w:eastAsia="Times New Roman" w:cs="Times New Roman"/>
                <w:i/>
                <w:iCs/>
                <w:color w:val="000000" w:themeColor="text1"/>
                <w:sz w:val="20"/>
                <w:szCs w:val="20"/>
              </w:rPr>
            </w:pPr>
            <w:r w:rsidRPr="004D55EB">
              <w:rPr>
                <w:rFonts w:cs="Times New Roman"/>
                <w:i/>
                <w:iCs/>
                <w:sz w:val="20"/>
                <w:szCs w:val="20"/>
              </w:rPr>
              <w:t xml:space="preserve">Tabla 46: </w:t>
            </w:r>
            <w:r w:rsidRPr="004D55EB">
              <w:rPr>
                <w:rFonts w:eastAsia="Times New Roman" w:cs="Times New Roman"/>
                <w:i/>
                <w:iCs/>
                <w:color w:val="000000" w:themeColor="text1"/>
                <w:sz w:val="20"/>
                <w:szCs w:val="20"/>
              </w:rPr>
              <w:t>Resumen de declaraciones presentadas a causa del desplazamiento forzado</w:t>
            </w:r>
            <w:r w:rsidRPr="004D55EB">
              <w:rPr>
                <w:rStyle w:val="Refdenotaalpie"/>
                <w:rFonts w:eastAsiaTheme="minorEastAsia" w:cs="Times New Roman"/>
                <w:i/>
                <w:iCs/>
                <w:color w:val="000000" w:themeColor="text1"/>
                <w:sz w:val="20"/>
                <w:szCs w:val="20"/>
                <w:lang w:eastAsia="es-CO"/>
              </w:rPr>
              <w:footnoteReference w:id="833"/>
            </w:r>
            <w:r w:rsidRPr="004D55EB">
              <w:rPr>
                <w:rFonts w:eastAsia="Times New Roman" w:cs="Times New Roman"/>
                <w:i/>
                <w:iCs/>
                <w:color w:val="000000" w:themeColor="text1"/>
                <w:sz w:val="20"/>
                <w:szCs w:val="20"/>
              </w:rPr>
              <w:t>.</w:t>
            </w:r>
          </w:p>
          <w:tbl>
            <w:tblPr>
              <w:tblStyle w:val="Tablaconcuadrcula"/>
              <w:tblW w:w="0" w:type="auto"/>
              <w:tblInd w:w="4032" w:type="dxa"/>
              <w:tblLook w:val="06A0" w:firstRow="1" w:lastRow="0" w:firstColumn="1" w:lastColumn="0" w:noHBand="1" w:noVBand="1"/>
            </w:tblPr>
            <w:tblGrid>
              <w:gridCol w:w="2852"/>
              <w:gridCol w:w="4093"/>
            </w:tblGrid>
            <w:tr w:rsidR="00C454A1" w:rsidRPr="00F8202F" w14:paraId="17DBBC29" w14:textId="77777777" w:rsidTr="001F3006">
              <w:trPr>
                <w:trHeight w:val="300"/>
              </w:trPr>
              <w:tc>
                <w:tcPr>
                  <w:tcW w:w="285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A039338" w14:textId="77777777" w:rsidR="00C454A1" w:rsidRPr="00DE7302" w:rsidRDefault="00C454A1" w:rsidP="00881E6A">
                  <w:pPr>
                    <w:ind w:right="272"/>
                    <w:jc w:val="center"/>
                    <w:rPr>
                      <w:rFonts w:cs="Times New Roman"/>
                      <w:sz w:val="22"/>
                      <w:szCs w:val="22"/>
                    </w:rPr>
                  </w:pPr>
                  <w:r>
                    <w:rPr>
                      <w:rFonts w:eastAsia="Times New Roman" w:cs="Times New Roman"/>
                      <w:color w:val="000000" w:themeColor="text1"/>
                      <w:sz w:val="22"/>
                      <w:szCs w:val="22"/>
                    </w:rPr>
                    <w:t>A</w:t>
                  </w:r>
                  <w:r w:rsidRPr="00DE7302">
                    <w:rPr>
                      <w:rFonts w:eastAsia="Times New Roman" w:cs="Times New Roman"/>
                      <w:color w:val="000000" w:themeColor="text1"/>
                      <w:sz w:val="22"/>
                      <w:szCs w:val="22"/>
                    </w:rPr>
                    <w:t>ño del desplazamiento</w:t>
                  </w:r>
                </w:p>
              </w:tc>
              <w:tc>
                <w:tcPr>
                  <w:tcW w:w="409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633AF5F" w14:textId="77777777" w:rsidR="00C454A1" w:rsidRPr="00DE7302" w:rsidRDefault="00C454A1" w:rsidP="00881E6A">
                  <w:pPr>
                    <w:ind w:right="272"/>
                    <w:jc w:val="center"/>
                    <w:rPr>
                      <w:rFonts w:eastAsia="Times New Roman" w:cs="Times New Roman"/>
                      <w:color w:val="000000" w:themeColor="text1"/>
                      <w:sz w:val="22"/>
                      <w:szCs w:val="22"/>
                    </w:rPr>
                  </w:pPr>
                  <w:r>
                    <w:rPr>
                      <w:rFonts w:eastAsia="Times New Roman" w:cs="Times New Roman"/>
                      <w:color w:val="000000" w:themeColor="text1"/>
                      <w:sz w:val="22"/>
                      <w:szCs w:val="22"/>
                    </w:rPr>
                    <w:t>N</w:t>
                  </w:r>
                  <w:r w:rsidRPr="00DE7302">
                    <w:rPr>
                      <w:rFonts w:eastAsia="Times New Roman" w:cs="Times New Roman"/>
                      <w:color w:val="000000" w:themeColor="text1"/>
                      <w:sz w:val="22"/>
                      <w:szCs w:val="22"/>
                    </w:rPr>
                    <w:t>úmero de declaraciones presentadas</w:t>
                  </w:r>
                </w:p>
              </w:tc>
            </w:tr>
            <w:tr w:rsidR="00C454A1" w:rsidRPr="00F8202F" w14:paraId="72C67D40" w14:textId="77777777" w:rsidTr="001F3006">
              <w:trPr>
                <w:trHeight w:val="300"/>
              </w:trPr>
              <w:tc>
                <w:tcPr>
                  <w:tcW w:w="2852" w:type="dxa"/>
                  <w:tcBorders>
                    <w:top w:val="single" w:sz="8" w:space="0" w:color="auto"/>
                    <w:left w:val="single" w:sz="8" w:space="0" w:color="auto"/>
                    <w:bottom w:val="single" w:sz="8" w:space="0" w:color="auto"/>
                    <w:right w:val="single" w:sz="8" w:space="0" w:color="auto"/>
                  </w:tcBorders>
                  <w:tcMar>
                    <w:left w:w="108" w:type="dxa"/>
                    <w:right w:w="108" w:type="dxa"/>
                  </w:tcMar>
                </w:tcPr>
                <w:p w14:paraId="63CE32E8" w14:textId="77777777" w:rsidR="00C454A1" w:rsidRPr="00DE7302" w:rsidRDefault="00C454A1" w:rsidP="00881E6A">
                  <w:pPr>
                    <w:ind w:right="272"/>
                    <w:jc w:val="center"/>
                    <w:rPr>
                      <w:rFonts w:eastAsia="Times New Roman" w:cs="Times New Roman"/>
                      <w:color w:val="000000" w:themeColor="text1"/>
                      <w:sz w:val="22"/>
                      <w:szCs w:val="22"/>
                    </w:rPr>
                  </w:pPr>
                  <w:r w:rsidRPr="00DE7302">
                    <w:rPr>
                      <w:rFonts w:eastAsia="Times New Roman" w:cs="Times New Roman"/>
                      <w:color w:val="000000" w:themeColor="text1"/>
                      <w:sz w:val="22"/>
                      <w:szCs w:val="22"/>
                    </w:rPr>
                    <w:t>2022</w:t>
                  </w:r>
                </w:p>
              </w:tc>
              <w:tc>
                <w:tcPr>
                  <w:tcW w:w="4093" w:type="dxa"/>
                  <w:tcBorders>
                    <w:top w:val="single" w:sz="8" w:space="0" w:color="auto"/>
                    <w:left w:val="single" w:sz="8" w:space="0" w:color="auto"/>
                    <w:bottom w:val="single" w:sz="8" w:space="0" w:color="auto"/>
                    <w:right w:val="single" w:sz="8" w:space="0" w:color="auto"/>
                  </w:tcBorders>
                  <w:tcMar>
                    <w:left w:w="108" w:type="dxa"/>
                    <w:right w:w="108" w:type="dxa"/>
                  </w:tcMar>
                </w:tcPr>
                <w:p w14:paraId="7883C917" w14:textId="77777777" w:rsidR="00C454A1" w:rsidRPr="00DE7302" w:rsidRDefault="00C454A1" w:rsidP="00881E6A">
                  <w:pPr>
                    <w:ind w:right="272"/>
                    <w:jc w:val="center"/>
                    <w:rPr>
                      <w:rFonts w:eastAsia="Times New Roman" w:cs="Times New Roman"/>
                      <w:color w:val="000000" w:themeColor="text1"/>
                      <w:sz w:val="22"/>
                      <w:szCs w:val="22"/>
                    </w:rPr>
                  </w:pPr>
                  <w:r w:rsidRPr="00DE7302">
                    <w:rPr>
                      <w:rFonts w:eastAsia="Times New Roman" w:cs="Times New Roman"/>
                      <w:color w:val="000000" w:themeColor="text1"/>
                      <w:sz w:val="22"/>
                      <w:szCs w:val="22"/>
                    </w:rPr>
                    <w:t>6</w:t>
                  </w:r>
                </w:p>
              </w:tc>
            </w:tr>
            <w:tr w:rsidR="00C454A1" w:rsidRPr="00F8202F" w14:paraId="49436290" w14:textId="77777777" w:rsidTr="001F3006">
              <w:trPr>
                <w:trHeight w:val="300"/>
              </w:trPr>
              <w:tc>
                <w:tcPr>
                  <w:tcW w:w="2852" w:type="dxa"/>
                  <w:tcBorders>
                    <w:top w:val="single" w:sz="8" w:space="0" w:color="auto"/>
                    <w:left w:val="single" w:sz="8" w:space="0" w:color="auto"/>
                    <w:bottom w:val="single" w:sz="8" w:space="0" w:color="auto"/>
                    <w:right w:val="single" w:sz="8" w:space="0" w:color="auto"/>
                  </w:tcBorders>
                  <w:tcMar>
                    <w:left w:w="108" w:type="dxa"/>
                    <w:right w:w="108" w:type="dxa"/>
                  </w:tcMar>
                </w:tcPr>
                <w:p w14:paraId="43BFF0DE" w14:textId="77777777" w:rsidR="00C454A1" w:rsidRPr="00DE7302" w:rsidRDefault="00C454A1" w:rsidP="00881E6A">
                  <w:pPr>
                    <w:ind w:right="272"/>
                    <w:jc w:val="center"/>
                    <w:rPr>
                      <w:rFonts w:eastAsia="Times New Roman" w:cs="Times New Roman"/>
                      <w:color w:val="000000" w:themeColor="text1"/>
                      <w:sz w:val="22"/>
                      <w:szCs w:val="22"/>
                    </w:rPr>
                  </w:pPr>
                  <w:r w:rsidRPr="00DE7302">
                    <w:rPr>
                      <w:rFonts w:eastAsia="Times New Roman" w:cs="Times New Roman"/>
                      <w:color w:val="000000" w:themeColor="text1"/>
                      <w:sz w:val="22"/>
                      <w:szCs w:val="22"/>
                    </w:rPr>
                    <w:t>2023</w:t>
                  </w:r>
                </w:p>
              </w:tc>
              <w:tc>
                <w:tcPr>
                  <w:tcW w:w="4093" w:type="dxa"/>
                  <w:tcBorders>
                    <w:top w:val="single" w:sz="8" w:space="0" w:color="auto"/>
                    <w:left w:val="single" w:sz="8" w:space="0" w:color="auto"/>
                    <w:bottom w:val="single" w:sz="8" w:space="0" w:color="auto"/>
                    <w:right w:val="single" w:sz="8" w:space="0" w:color="auto"/>
                  </w:tcBorders>
                  <w:tcMar>
                    <w:left w:w="108" w:type="dxa"/>
                    <w:right w:w="108" w:type="dxa"/>
                  </w:tcMar>
                </w:tcPr>
                <w:p w14:paraId="35884ECA" w14:textId="77777777" w:rsidR="00C454A1" w:rsidRPr="00DE7302" w:rsidRDefault="00C454A1" w:rsidP="00881E6A">
                  <w:pPr>
                    <w:ind w:right="272"/>
                    <w:jc w:val="center"/>
                    <w:rPr>
                      <w:rFonts w:eastAsia="Times New Roman" w:cs="Times New Roman"/>
                      <w:color w:val="000000" w:themeColor="text1"/>
                      <w:sz w:val="22"/>
                      <w:szCs w:val="22"/>
                    </w:rPr>
                  </w:pPr>
                  <w:r w:rsidRPr="00DE7302">
                    <w:rPr>
                      <w:rFonts w:eastAsia="Times New Roman" w:cs="Times New Roman"/>
                      <w:color w:val="000000" w:themeColor="text1"/>
                      <w:sz w:val="22"/>
                      <w:szCs w:val="22"/>
                    </w:rPr>
                    <w:t>8</w:t>
                  </w:r>
                </w:p>
              </w:tc>
            </w:tr>
            <w:tr w:rsidR="00C454A1" w:rsidRPr="00F8202F" w14:paraId="0CD40B3A" w14:textId="77777777" w:rsidTr="001F3006">
              <w:trPr>
                <w:trHeight w:val="300"/>
              </w:trPr>
              <w:tc>
                <w:tcPr>
                  <w:tcW w:w="2852" w:type="dxa"/>
                  <w:tcBorders>
                    <w:top w:val="single" w:sz="8" w:space="0" w:color="auto"/>
                    <w:left w:val="single" w:sz="8" w:space="0" w:color="auto"/>
                    <w:bottom w:val="single" w:sz="8" w:space="0" w:color="auto"/>
                    <w:right w:val="single" w:sz="8" w:space="0" w:color="auto"/>
                  </w:tcBorders>
                  <w:tcMar>
                    <w:left w:w="108" w:type="dxa"/>
                    <w:right w:w="108" w:type="dxa"/>
                  </w:tcMar>
                </w:tcPr>
                <w:p w14:paraId="39291D95" w14:textId="77777777" w:rsidR="00C454A1" w:rsidRPr="00DE7302" w:rsidRDefault="00C454A1" w:rsidP="00881E6A">
                  <w:pPr>
                    <w:ind w:right="272"/>
                    <w:jc w:val="center"/>
                    <w:rPr>
                      <w:rFonts w:eastAsia="Times New Roman" w:cs="Times New Roman"/>
                      <w:color w:val="000000" w:themeColor="text1"/>
                      <w:sz w:val="22"/>
                      <w:szCs w:val="22"/>
                    </w:rPr>
                  </w:pPr>
                  <w:r w:rsidRPr="00DE7302">
                    <w:rPr>
                      <w:rFonts w:eastAsia="Times New Roman" w:cs="Times New Roman"/>
                      <w:color w:val="000000" w:themeColor="text1"/>
                      <w:sz w:val="22"/>
                      <w:szCs w:val="22"/>
                    </w:rPr>
                    <w:t>2024</w:t>
                  </w:r>
                </w:p>
              </w:tc>
              <w:tc>
                <w:tcPr>
                  <w:tcW w:w="4093" w:type="dxa"/>
                  <w:tcBorders>
                    <w:top w:val="single" w:sz="8" w:space="0" w:color="auto"/>
                    <w:left w:val="single" w:sz="8" w:space="0" w:color="auto"/>
                    <w:bottom w:val="single" w:sz="8" w:space="0" w:color="auto"/>
                    <w:right w:val="single" w:sz="8" w:space="0" w:color="auto"/>
                  </w:tcBorders>
                  <w:tcMar>
                    <w:left w:w="108" w:type="dxa"/>
                    <w:right w:w="108" w:type="dxa"/>
                  </w:tcMar>
                </w:tcPr>
                <w:p w14:paraId="7960ACD9" w14:textId="77777777" w:rsidR="00C454A1" w:rsidRPr="00DE7302" w:rsidRDefault="00C454A1" w:rsidP="00881E6A">
                  <w:pPr>
                    <w:ind w:right="272"/>
                    <w:jc w:val="center"/>
                    <w:rPr>
                      <w:rFonts w:eastAsia="Times New Roman" w:cs="Times New Roman"/>
                      <w:color w:val="000000" w:themeColor="text1"/>
                      <w:sz w:val="22"/>
                      <w:szCs w:val="22"/>
                    </w:rPr>
                  </w:pPr>
                  <w:r w:rsidRPr="00DE7302">
                    <w:rPr>
                      <w:rFonts w:eastAsia="Times New Roman" w:cs="Times New Roman"/>
                      <w:color w:val="000000" w:themeColor="text1"/>
                      <w:sz w:val="22"/>
                      <w:szCs w:val="22"/>
                    </w:rPr>
                    <w:t>5</w:t>
                  </w:r>
                </w:p>
              </w:tc>
            </w:tr>
            <w:tr w:rsidR="00C454A1" w:rsidRPr="00F8202F" w14:paraId="2C5C4E3F" w14:textId="77777777" w:rsidTr="001F3006">
              <w:trPr>
                <w:trHeight w:val="300"/>
              </w:trPr>
              <w:tc>
                <w:tcPr>
                  <w:tcW w:w="2852" w:type="dxa"/>
                  <w:tcBorders>
                    <w:top w:val="single" w:sz="8" w:space="0" w:color="auto"/>
                    <w:left w:val="single" w:sz="8" w:space="0" w:color="auto"/>
                    <w:bottom w:val="single" w:sz="8" w:space="0" w:color="auto"/>
                    <w:right w:val="single" w:sz="8" w:space="0" w:color="auto"/>
                  </w:tcBorders>
                  <w:tcMar>
                    <w:left w:w="108" w:type="dxa"/>
                    <w:right w:w="108" w:type="dxa"/>
                  </w:tcMar>
                </w:tcPr>
                <w:p w14:paraId="3DBF766E" w14:textId="77777777" w:rsidR="00C454A1" w:rsidRPr="00DE7302" w:rsidRDefault="00C454A1" w:rsidP="00881E6A">
                  <w:pPr>
                    <w:ind w:right="272"/>
                    <w:jc w:val="center"/>
                    <w:rPr>
                      <w:rFonts w:eastAsia="Times New Roman" w:cs="Times New Roman"/>
                      <w:color w:val="000000" w:themeColor="text1"/>
                      <w:sz w:val="22"/>
                      <w:szCs w:val="22"/>
                    </w:rPr>
                  </w:pPr>
                  <w:r w:rsidRPr="00DE7302">
                    <w:rPr>
                      <w:rFonts w:eastAsia="Times New Roman" w:cs="Times New Roman"/>
                      <w:color w:val="000000" w:themeColor="text1"/>
                      <w:sz w:val="22"/>
                      <w:szCs w:val="22"/>
                    </w:rPr>
                    <w:t>2025</w:t>
                  </w:r>
                </w:p>
              </w:tc>
              <w:tc>
                <w:tcPr>
                  <w:tcW w:w="4093" w:type="dxa"/>
                  <w:tcBorders>
                    <w:top w:val="single" w:sz="8" w:space="0" w:color="auto"/>
                    <w:left w:val="single" w:sz="8" w:space="0" w:color="auto"/>
                    <w:bottom w:val="single" w:sz="8" w:space="0" w:color="auto"/>
                    <w:right w:val="single" w:sz="8" w:space="0" w:color="auto"/>
                  </w:tcBorders>
                  <w:tcMar>
                    <w:left w:w="108" w:type="dxa"/>
                    <w:right w:w="108" w:type="dxa"/>
                  </w:tcMar>
                </w:tcPr>
                <w:p w14:paraId="752F22F0" w14:textId="77777777" w:rsidR="00C454A1" w:rsidRPr="00DE7302" w:rsidRDefault="00C454A1" w:rsidP="00881E6A">
                  <w:pPr>
                    <w:ind w:right="272"/>
                    <w:jc w:val="center"/>
                    <w:rPr>
                      <w:rFonts w:eastAsia="Times New Roman" w:cs="Times New Roman"/>
                      <w:color w:val="000000" w:themeColor="text1"/>
                      <w:sz w:val="22"/>
                      <w:szCs w:val="22"/>
                    </w:rPr>
                  </w:pPr>
                  <w:r w:rsidRPr="00DE7302">
                    <w:rPr>
                      <w:rFonts w:eastAsia="Times New Roman" w:cs="Times New Roman"/>
                      <w:color w:val="000000" w:themeColor="text1"/>
                      <w:sz w:val="22"/>
                      <w:szCs w:val="22"/>
                    </w:rPr>
                    <w:t>23</w:t>
                  </w:r>
                </w:p>
              </w:tc>
            </w:tr>
          </w:tbl>
          <w:p w14:paraId="6C328081" w14:textId="77777777" w:rsidR="00C454A1" w:rsidRDefault="00C454A1" w:rsidP="00881E6A">
            <w:pPr>
              <w:ind w:right="272"/>
              <w:rPr>
                <w:rFonts w:eastAsia="Times New Roman" w:cs="Times New Roman"/>
                <w:color w:val="000000" w:themeColor="text1"/>
                <w:sz w:val="22"/>
                <w:szCs w:val="22"/>
              </w:rPr>
            </w:pPr>
          </w:p>
          <w:p w14:paraId="6878C8DA"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Por otro lado, determinó los siguientes datos el desplazamiento forzado causado en el Catatumbo en el año 2025</w:t>
            </w:r>
            <w:r w:rsidRPr="7E7222C7">
              <w:rPr>
                <w:rStyle w:val="Refdenotaalpie"/>
                <w:rFonts w:eastAsiaTheme="minorEastAsia" w:cs="Times New Roman"/>
                <w:color w:val="000000" w:themeColor="text1"/>
                <w:lang w:eastAsia="es-CO"/>
              </w:rPr>
              <w:footnoteReference w:id="834"/>
            </w:r>
            <w:r w:rsidRPr="00DA6C7F">
              <w:rPr>
                <w:rFonts w:eastAsia="Times New Roman" w:cs="Times New Roman"/>
                <w:color w:val="000000" w:themeColor="text1"/>
                <w:sz w:val="22"/>
                <w:szCs w:val="22"/>
              </w:rPr>
              <w:t>:</w:t>
            </w:r>
          </w:p>
          <w:p w14:paraId="7CBE33ED"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27DAF80C"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Total de familias desplazadas: 23</w:t>
            </w:r>
            <w:r>
              <w:rPr>
                <w:rFonts w:eastAsia="Times New Roman" w:cs="Times New Roman"/>
                <w:color w:val="000000" w:themeColor="text1"/>
              </w:rPr>
              <w:t>.</w:t>
            </w:r>
          </w:p>
          <w:p w14:paraId="166A9C09"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Total de personas: 58</w:t>
            </w:r>
            <w:r>
              <w:rPr>
                <w:rFonts w:eastAsia="Times New Roman" w:cs="Times New Roman"/>
                <w:color w:val="000000" w:themeColor="text1"/>
              </w:rPr>
              <w:t>.</w:t>
            </w:r>
          </w:p>
          <w:p w14:paraId="12F0B72D"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Firmantes: 0</w:t>
            </w:r>
            <w:r>
              <w:rPr>
                <w:rFonts w:eastAsia="Times New Roman" w:cs="Times New Roman"/>
                <w:color w:val="000000" w:themeColor="text1"/>
              </w:rPr>
              <w:t>.</w:t>
            </w:r>
          </w:p>
          <w:p w14:paraId="37AFEBC6"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Líderes sociales: 2</w:t>
            </w:r>
            <w:r>
              <w:rPr>
                <w:rFonts w:eastAsia="Times New Roman" w:cs="Times New Roman"/>
                <w:color w:val="000000" w:themeColor="text1"/>
              </w:rPr>
              <w:t>.</w:t>
            </w:r>
          </w:p>
          <w:p w14:paraId="72F4EE22"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Niños y niñas: 16 niños, 7 niñas</w:t>
            </w:r>
            <w:r>
              <w:rPr>
                <w:rFonts w:eastAsia="Times New Roman" w:cs="Times New Roman"/>
                <w:color w:val="000000" w:themeColor="text1"/>
              </w:rPr>
              <w:t>.</w:t>
            </w:r>
          </w:p>
          <w:p w14:paraId="39607B13"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Adultos mayores: 1</w:t>
            </w:r>
            <w:r>
              <w:rPr>
                <w:rFonts w:eastAsia="Times New Roman" w:cs="Times New Roman"/>
                <w:color w:val="000000" w:themeColor="text1"/>
              </w:rPr>
              <w:t>.</w:t>
            </w:r>
          </w:p>
          <w:p w14:paraId="455E50F5"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Mujeres: 16 (ninguna embarazada)</w:t>
            </w:r>
            <w:r>
              <w:rPr>
                <w:rFonts w:eastAsia="Times New Roman" w:cs="Times New Roman"/>
                <w:color w:val="000000" w:themeColor="text1"/>
              </w:rPr>
              <w:t>.</w:t>
            </w:r>
          </w:p>
          <w:p w14:paraId="4E54A4AA"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Hombres: 15</w:t>
            </w:r>
            <w:r>
              <w:rPr>
                <w:rFonts w:eastAsia="Times New Roman" w:cs="Times New Roman"/>
                <w:color w:val="000000" w:themeColor="text1"/>
              </w:rPr>
              <w:t>.</w:t>
            </w:r>
          </w:p>
          <w:p w14:paraId="203DE98C" w14:textId="77777777" w:rsidR="00C454A1" w:rsidRPr="00DA6C7F" w:rsidRDefault="00C454A1" w:rsidP="005F4A6F">
            <w:pPr>
              <w:pStyle w:val="Prrafodelista"/>
              <w:numPr>
                <w:ilvl w:val="0"/>
                <w:numId w:val="37"/>
              </w:numPr>
              <w:ind w:right="272"/>
              <w:rPr>
                <w:rFonts w:eastAsia="Times New Roman" w:cs="Times New Roman"/>
                <w:color w:val="000000" w:themeColor="text1"/>
              </w:rPr>
            </w:pPr>
            <w:r w:rsidRPr="00DA6C7F">
              <w:rPr>
                <w:rFonts w:eastAsia="Times New Roman" w:cs="Times New Roman"/>
                <w:color w:val="000000" w:themeColor="text1"/>
              </w:rPr>
              <w:t>Personas con discapacidad: 1</w:t>
            </w:r>
            <w:r>
              <w:rPr>
                <w:rFonts w:eastAsia="Times New Roman" w:cs="Times New Roman"/>
                <w:color w:val="000000" w:themeColor="text1"/>
              </w:rPr>
              <w:t>.</w:t>
            </w:r>
          </w:p>
          <w:p w14:paraId="023566E5"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55B91A29" w14:textId="77777777" w:rsidR="00C454A1" w:rsidRPr="00DA6C7F" w:rsidRDefault="00C454A1" w:rsidP="00881E6A">
            <w:pPr>
              <w:ind w:right="272"/>
              <w:rPr>
                <w:rFonts w:eastAsia="Times New Roman" w:cs="Times New Roman"/>
                <w:color w:val="000000" w:themeColor="text1"/>
                <w:sz w:val="22"/>
                <w:szCs w:val="22"/>
              </w:rPr>
            </w:pPr>
            <w:r w:rsidRPr="00DA6C7F">
              <w:rPr>
                <w:rFonts w:eastAsia="Times New Roman" w:cs="Times New Roman"/>
                <w:color w:val="000000" w:themeColor="text1"/>
                <w:sz w:val="22"/>
                <w:szCs w:val="22"/>
              </w:rPr>
              <w:lastRenderedPageBreak/>
              <w:t>Por último, refirió que no se encontraron registros de los siguientes hechos: (</w:t>
            </w:r>
            <w:r w:rsidRPr="00DE7302">
              <w:rPr>
                <w:rFonts w:eastAsia="Times New Roman" w:cs="Times New Roman"/>
                <w:i/>
                <w:iCs/>
                <w:color w:val="000000" w:themeColor="text1"/>
                <w:sz w:val="22"/>
                <w:szCs w:val="22"/>
              </w:rPr>
              <w:t>i</w:t>
            </w:r>
            <w:r w:rsidRPr="00DA6C7F">
              <w:rPr>
                <w:rFonts w:eastAsia="Times New Roman" w:cs="Times New Roman"/>
                <w:color w:val="000000" w:themeColor="text1"/>
                <w:sz w:val="22"/>
                <w:szCs w:val="22"/>
              </w:rPr>
              <w:t>) ataques en contra de firmantes de paz, líderes sociales y población civil; (</w:t>
            </w:r>
            <w:r w:rsidRPr="00DE7302">
              <w:rPr>
                <w:rFonts w:eastAsia="Times New Roman" w:cs="Times New Roman"/>
                <w:i/>
                <w:iCs/>
                <w:color w:val="000000" w:themeColor="text1"/>
                <w:sz w:val="22"/>
                <w:szCs w:val="22"/>
              </w:rPr>
              <w:t>ii</w:t>
            </w:r>
            <w:r w:rsidRPr="00DA6C7F">
              <w:rPr>
                <w:rFonts w:eastAsia="Times New Roman" w:cs="Times New Roman"/>
                <w:color w:val="000000" w:themeColor="text1"/>
                <w:sz w:val="22"/>
                <w:szCs w:val="22"/>
              </w:rPr>
              <w:t>) extorsión, secuestros, amenazas; y (</w:t>
            </w:r>
            <w:r w:rsidRPr="00DE7302">
              <w:rPr>
                <w:rFonts w:eastAsia="Times New Roman" w:cs="Times New Roman"/>
                <w:i/>
                <w:iCs/>
                <w:color w:val="000000" w:themeColor="text1"/>
                <w:sz w:val="22"/>
                <w:szCs w:val="22"/>
              </w:rPr>
              <w:t>iii</w:t>
            </w:r>
            <w:r w:rsidRPr="00DA6C7F">
              <w:rPr>
                <w:rFonts w:eastAsia="Times New Roman" w:cs="Times New Roman"/>
                <w:color w:val="000000" w:themeColor="text1"/>
                <w:sz w:val="22"/>
                <w:szCs w:val="22"/>
              </w:rPr>
              <w:t>) desaparición forzada</w:t>
            </w:r>
            <w:r w:rsidRPr="00DA6C7F">
              <w:rPr>
                <w:rStyle w:val="Refdenotaalpie"/>
                <w:rFonts w:eastAsiaTheme="minorEastAsia" w:cs="Times New Roman"/>
                <w:color w:val="000000" w:themeColor="text1"/>
                <w:lang w:eastAsia="es-CO"/>
              </w:rPr>
              <w:footnoteReference w:id="835"/>
            </w:r>
            <w:r w:rsidRPr="00DA6C7F">
              <w:rPr>
                <w:rFonts w:eastAsia="Times New Roman" w:cs="Times New Roman"/>
                <w:color w:val="000000" w:themeColor="text1"/>
                <w:sz w:val="22"/>
                <w:szCs w:val="22"/>
              </w:rPr>
              <w:t>.</w:t>
            </w:r>
          </w:p>
          <w:p w14:paraId="392D6EDD" w14:textId="77777777" w:rsidR="00C454A1" w:rsidRPr="00DA6C7F" w:rsidRDefault="00C454A1" w:rsidP="00881E6A">
            <w:pPr>
              <w:ind w:right="272"/>
              <w:rPr>
                <w:rFonts w:cs="Times New Roman"/>
              </w:rPr>
            </w:pPr>
            <w:r w:rsidRPr="00DA6C7F">
              <w:rPr>
                <w:rFonts w:eastAsia="Times New Roman" w:cs="Times New Roman"/>
                <w:b/>
                <w:bCs/>
                <w:color w:val="000000" w:themeColor="text1"/>
                <w:sz w:val="22"/>
                <w:szCs w:val="22"/>
              </w:rPr>
              <w:t xml:space="preserve"> </w:t>
            </w:r>
          </w:p>
          <w:p w14:paraId="1F02E835" w14:textId="77777777" w:rsidR="00C454A1" w:rsidRPr="00DA6C7F" w:rsidRDefault="00C454A1" w:rsidP="00881E6A">
            <w:pPr>
              <w:ind w:right="272"/>
              <w:rPr>
                <w:rFonts w:eastAsia="Times New Roman" w:cs="Times New Roman"/>
                <w:color w:val="467886"/>
                <w:u w:val="single"/>
                <w:vertAlign w:val="superscript"/>
              </w:rPr>
            </w:pPr>
            <w:r w:rsidRPr="00DA6C7F">
              <w:rPr>
                <w:rFonts w:eastAsia="Times New Roman" w:cs="Times New Roman"/>
                <w:i/>
                <w:iCs/>
                <w:color w:val="000000" w:themeColor="text1"/>
                <w:sz w:val="22"/>
                <w:szCs w:val="22"/>
              </w:rPr>
              <w:t>Presupuesto valorativo</w:t>
            </w:r>
            <w:r w:rsidRPr="00DA6C7F">
              <w:rPr>
                <w:rFonts w:eastAsia="Times New Roman" w:cs="Times New Roman"/>
                <w:color w:val="000000" w:themeColor="text1"/>
                <w:sz w:val="22"/>
                <w:szCs w:val="22"/>
              </w:rPr>
              <w:t xml:space="preserve">.  La </w:t>
            </w:r>
            <w:r>
              <w:rPr>
                <w:rFonts w:eastAsia="Times New Roman" w:cs="Times New Roman"/>
                <w:color w:val="000000" w:themeColor="text1"/>
                <w:sz w:val="22"/>
                <w:szCs w:val="22"/>
              </w:rPr>
              <w:t>a</w:t>
            </w:r>
            <w:r w:rsidRPr="00DA6C7F">
              <w:rPr>
                <w:rFonts w:eastAsia="Times New Roman" w:cs="Times New Roman"/>
                <w:color w:val="000000" w:themeColor="text1"/>
                <w:sz w:val="22"/>
                <w:szCs w:val="22"/>
              </w:rPr>
              <w:t>lcaldía manifestó que, aunque la mayoría de la población desplazada no se estableció en este municipio, evidenció un aumento en las declaraciones por desplazamiento forzado, las cuales derivaron de la intensificación de la violencia en las zonas más apartadas del Catatumbo. Por lo que consider</w:t>
            </w:r>
            <w:r>
              <w:rPr>
                <w:rFonts w:eastAsia="Times New Roman" w:cs="Times New Roman"/>
                <w:color w:val="000000" w:themeColor="text1"/>
                <w:sz w:val="22"/>
                <w:szCs w:val="22"/>
              </w:rPr>
              <w:t>ó</w:t>
            </w:r>
            <w:r w:rsidRPr="00DA6C7F">
              <w:rPr>
                <w:rFonts w:eastAsia="Times New Roman" w:cs="Times New Roman"/>
                <w:color w:val="000000" w:themeColor="text1"/>
                <w:sz w:val="22"/>
                <w:szCs w:val="22"/>
              </w:rPr>
              <w:t xml:space="preserve"> que es imprescindible la implementación de medidas excepcionales</w:t>
            </w:r>
            <w:r w:rsidRPr="00DA6C7F">
              <w:rPr>
                <w:rStyle w:val="Refdenotaalpie"/>
                <w:rFonts w:eastAsiaTheme="minorEastAsia" w:cs="Times New Roman"/>
                <w:color w:val="000000" w:themeColor="text1"/>
                <w:lang w:eastAsia="es-CO"/>
              </w:rPr>
              <w:footnoteReference w:id="836"/>
            </w:r>
            <w:r w:rsidRPr="00DA6C7F">
              <w:rPr>
                <w:rFonts w:eastAsia="Times New Roman" w:cs="Times New Roman"/>
                <w:color w:val="000000" w:themeColor="text1"/>
                <w:sz w:val="22"/>
                <w:szCs w:val="22"/>
              </w:rPr>
              <w:t>.</w:t>
            </w:r>
          </w:p>
          <w:p w14:paraId="4D92FD83" w14:textId="77777777" w:rsidR="00C454A1" w:rsidRPr="00DE7302" w:rsidRDefault="00C454A1" w:rsidP="00881E6A">
            <w:pPr>
              <w:ind w:right="272"/>
              <w:rPr>
                <w:rFonts w:cs="Times New Roman"/>
                <w:lang w:val="es-ES"/>
              </w:rPr>
            </w:pPr>
            <w:r w:rsidRPr="00DA6C7F">
              <w:rPr>
                <w:rFonts w:eastAsia="Times New Roman" w:cs="Times New Roman"/>
                <w:color w:val="000000" w:themeColor="text1"/>
                <w:sz w:val="22"/>
                <w:szCs w:val="22"/>
              </w:rPr>
              <w:t xml:space="preserve"> </w:t>
            </w:r>
          </w:p>
          <w:p w14:paraId="1B1476A4" w14:textId="77777777" w:rsidR="00C454A1" w:rsidRPr="004D55EB" w:rsidRDefault="00C454A1" w:rsidP="00881E6A">
            <w:pPr>
              <w:ind w:right="272"/>
              <w:rPr>
                <w:rFonts w:cs="Times New Roman"/>
                <w:lang w:val="es-ES"/>
              </w:rPr>
            </w:pPr>
            <w:r w:rsidRPr="00DE7302">
              <w:rPr>
                <w:rFonts w:eastAsia="Times New Roman" w:cs="Times New Roman"/>
                <w:i/>
                <w:iCs/>
                <w:color w:val="000000" w:themeColor="text1"/>
                <w:sz w:val="22"/>
                <w:szCs w:val="22"/>
                <w:lang w:val="es-ES"/>
              </w:rPr>
              <w:t>Presupuesto de suficiencia</w:t>
            </w:r>
            <w:r w:rsidRPr="00DE7302">
              <w:rPr>
                <w:rFonts w:eastAsia="Times New Roman" w:cs="Times New Roman"/>
                <w:color w:val="000000" w:themeColor="text1"/>
                <w:sz w:val="22"/>
                <w:szCs w:val="22"/>
                <w:lang w:val="es-ES"/>
              </w:rPr>
              <w:t xml:space="preserve">. </w:t>
            </w:r>
            <w:r w:rsidRPr="00DA6C7F">
              <w:rPr>
                <w:rFonts w:eastAsia="Times New Roman" w:cs="Times New Roman"/>
                <w:color w:val="000000" w:themeColor="text1"/>
                <w:sz w:val="22"/>
                <w:szCs w:val="22"/>
              </w:rPr>
              <w:t xml:space="preserve">La Alcaldía </w:t>
            </w:r>
            <w:r>
              <w:rPr>
                <w:rFonts w:eastAsia="Times New Roman" w:cs="Times New Roman"/>
                <w:color w:val="000000" w:themeColor="text1"/>
                <w:sz w:val="22"/>
                <w:szCs w:val="22"/>
              </w:rPr>
              <w:t xml:space="preserve">de </w:t>
            </w:r>
            <w:r w:rsidRPr="00DA6C7F">
              <w:rPr>
                <w:rFonts w:eastAsia="Times New Roman" w:cs="Times New Roman"/>
                <w:color w:val="000000" w:themeColor="text1"/>
                <w:sz w:val="22"/>
                <w:szCs w:val="22"/>
              </w:rPr>
              <w:t>Río de Oro sostuvo que para la reparación integral de las víctimas del conflicto armado interno activó la ruta de Ayuda Humanitaria Inmediata, de conformidad con la Ley 1448 de 2011. Asimismo, indicó que, ante el incremento de la violencia en la región del Catatumbo en los últimos meses, ha adoptado decretos de orden público para establecer restricciones en horarios de establecimientos, circulación de personas y vehículos, y eventos de aglomeración, con el fin de restablecer la seguridad pública. Sin embargo, afirmó que las medidas ordinarias que adoptó eran insuficientes para controlar la alteración del orden público</w:t>
            </w:r>
            <w:r w:rsidRPr="00DA6C7F">
              <w:rPr>
                <w:rStyle w:val="Refdenotaalpie"/>
                <w:rFonts w:eastAsiaTheme="minorEastAsia" w:cs="Times New Roman"/>
                <w:color w:val="000000" w:themeColor="text1"/>
                <w:lang w:eastAsia="es-CO"/>
              </w:rPr>
              <w:footnoteReference w:id="837"/>
            </w:r>
            <w:r w:rsidRPr="00DA6C7F">
              <w:rPr>
                <w:rFonts w:eastAsia="Times New Roman" w:cs="Times New Roman"/>
                <w:color w:val="000000" w:themeColor="text1"/>
                <w:sz w:val="22"/>
                <w:szCs w:val="22"/>
              </w:rPr>
              <w:t>.</w:t>
            </w:r>
          </w:p>
          <w:p w14:paraId="7B182234"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 xml:space="preserve"> </w:t>
            </w:r>
          </w:p>
          <w:p w14:paraId="67E520AC" w14:textId="77777777" w:rsidR="00C454A1" w:rsidRPr="00DA6C7F" w:rsidRDefault="00C454A1" w:rsidP="00881E6A">
            <w:pPr>
              <w:ind w:right="272"/>
              <w:rPr>
                <w:rFonts w:cs="Times New Roman"/>
              </w:rPr>
            </w:pPr>
            <w:r w:rsidRPr="00DA6C7F">
              <w:rPr>
                <w:rFonts w:eastAsia="Times New Roman" w:cs="Times New Roman"/>
                <w:color w:val="000000" w:themeColor="text1"/>
                <w:sz w:val="22"/>
                <w:szCs w:val="22"/>
              </w:rPr>
              <w:t>Finalmente, el municipio comunicó que no encontró información concreta, acerca de (i) la evolución de las confrontaciones entre grupos armados, (ii)actividades ilícitas de los disidentes, y (iii) las medidas adoptadas por la fuerza pública para controlar la situación.  Por lo anterior, solicitó al Comando de la Policía Municipal información acerca de estos temas, sin embargo, indicó que no ha obtenido respuesta</w:t>
            </w:r>
            <w:r w:rsidRPr="00DA6C7F">
              <w:rPr>
                <w:rStyle w:val="Refdenotaalpie"/>
                <w:rFonts w:eastAsiaTheme="minorEastAsia" w:cs="Times New Roman"/>
                <w:color w:val="000000" w:themeColor="text1"/>
                <w:lang w:eastAsia="es-CO"/>
              </w:rPr>
              <w:footnoteReference w:id="838"/>
            </w:r>
            <w:r w:rsidRPr="00DA6C7F">
              <w:rPr>
                <w:rFonts w:eastAsia="Times New Roman" w:cs="Times New Roman"/>
                <w:color w:val="000000" w:themeColor="text1"/>
                <w:sz w:val="22"/>
                <w:szCs w:val="22"/>
              </w:rPr>
              <w:t>.</w:t>
            </w:r>
          </w:p>
        </w:tc>
      </w:tr>
    </w:tbl>
    <w:p w14:paraId="4FCEFD2B" w14:textId="77777777" w:rsidR="00C454A1" w:rsidRDefault="00C454A1" w:rsidP="00881E6A">
      <w:pPr>
        <w:ind w:right="272"/>
        <w:rPr>
          <w:rFonts w:cs="Times New Roman"/>
          <w:lang w:val="es-ES"/>
        </w:rPr>
      </w:pPr>
    </w:p>
    <w:p w14:paraId="52D3391B" w14:textId="77777777" w:rsidR="00C454A1" w:rsidRDefault="00C454A1" w:rsidP="00881E6A">
      <w:pPr>
        <w:ind w:right="272"/>
        <w:rPr>
          <w:rFonts w:cs="Times New Roman"/>
          <w:lang w:val="es-ES"/>
        </w:rPr>
      </w:pPr>
      <w:r>
        <w:rPr>
          <w:rFonts w:cs="Times New Roman"/>
          <w:lang w:val="es-ES"/>
        </w:rPr>
        <w:br w:type="page"/>
      </w:r>
    </w:p>
    <w:p w14:paraId="0C429C86" w14:textId="77777777" w:rsidR="00C454A1" w:rsidRPr="00211504" w:rsidRDefault="00C454A1" w:rsidP="00881E6A">
      <w:pPr>
        <w:ind w:right="272"/>
        <w:jc w:val="center"/>
        <w:rPr>
          <w:rFonts w:cs="Times New Roman"/>
          <w:b/>
        </w:rPr>
      </w:pPr>
      <w:r>
        <w:rPr>
          <w:rFonts w:cs="Times New Roman"/>
          <w:b/>
        </w:rPr>
        <w:lastRenderedPageBreak/>
        <w:t>ANEXO II: s</w:t>
      </w:r>
      <w:r w:rsidRPr="00211504">
        <w:rPr>
          <w:rFonts w:cs="Times New Roman"/>
          <w:b/>
        </w:rPr>
        <w:t>íntesis de las intervenciones</w:t>
      </w:r>
    </w:p>
    <w:p w14:paraId="727B80BE" w14:textId="77777777" w:rsidR="00C454A1" w:rsidRPr="00211504" w:rsidRDefault="00C454A1" w:rsidP="00881E6A">
      <w:pPr>
        <w:ind w:right="272"/>
        <w:rPr>
          <w:rFonts w:cs="Times New Roman"/>
          <w:b/>
          <w:bCs/>
        </w:rPr>
      </w:pPr>
    </w:p>
    <w:tbl>
      <w:tblPr>
        <w:tblStyle w:val="Tablaconcuadrcula"/>
        <w:tblW w:w="5000" w:type="pct"/>
        <w:tblLook w:val="04A0" w:firstRow="1" w:lastRow="0" w:firstColumn="1" w:lastColumn="0" w:noHBand="0" w:noVBand="1"/>
      </w:tblPr>
      <w:tblGrid>
        <w:gridCol w:w="2555"/>
        <w:gridCol w:w="13158"/>
      </w:tblGrid>
      <w:tr w:rsidR="00C454A1" w:rsidRPr="00211504" w14:paraId="4C682230" w14:textId="77777777" w:rsidTr="005F4A6F">
        <w:trPr>
          <w:trHeight w:val="300"/>
        </w:trPr>
        <w:tc>
          <w:tcPr>
            <w:tcW w:w="813" w:type="pct"/>
            <w:shd w:val="clear" w:color="auto" w:fill="BFBFBF" w:themeFill="background1" w:themeFillShade="BF"/>
          </w:tcPr>
          <w:p w14:paraId="0706DE7B" w14:textId="77777777" w:rsidR="00C454A1" w:rsidRPr="00211504" w:rsidRDefault="00C454A1" w:rsidP="00881E6A">
            <w:pPr>
              <w:spacing w:after="120"/>
              <w:ind w:right="272"/>
              <w:contextualSpacing/>
              <w:jc w:val="center"/>
              <w:rPr>
                <w:rFonts w:cs="Times New Roman"/>
                <w:b/>
              </w:rPr>
            </w:pPr>
            <w:bookmarkStart w:id="235" w:name="_Hlk194942934"/>
            <w:r w:rsidRPr="00211504">
              <w:rPr>
                <w:rFonts w:cs="Times New Roman"/>
                <w:b/>
              </w:rPr>
              <w:t>Interviniente</w:t>
            </w:r>
          </w:p>
        </w:tc>
        <w:tc>
          <w:tcPr>
            <w:tcW w:w="4187" w:type="pct"/>
            <w:shd w:val="clear" w:color="auto" w:fill="BFBFBF" w:themeFill="background1" w:themeFillShade="BF"/>
          </w:tcPr>
          <w:p w14:paraId="2D91C610" w14:textId="77777777" w:rsidR="00C454A1" w:rsidRPr="00211504" w:rsidRDefault="00C454A1" w:rsidP="00881E6A">
            <w:pPr>
              <w:spacing w:after="120"/>
              <w:ind w:right="272"/>
              <w:contextualSpacing/>
              <w:jc w:val="center"/>
              <w:rPr>
                <w:rFonts w:cs="Times New Roman"/>
                <w:b/>
              </w:rPr>
            </w:pPr>
            <w:r w:rsidRPr="00211504">
              <w:rPr>
                <w:rFonts w:cs="Times New Roman"/>
                <w:b/>
              </w:rPr>
              <w:t>Síntesis</w:t>
            </w:r>
          </w:p>
        </w:tc>
      </w:tr>
      <w:tr w:rsidR="00C454A1" w:rsidRPr="00F8202F" w14:paraId="33E9A8D7" w14:textId="77777777" w:rsidTr="005F4A6F">
        <w:trPr>
          <w:trHeight w:val="300"/>
        </w:trPr>
        <w:tc>
          <w:tcPr>
            <w:tcW w:w="813" w:type="pct"/>
            <w:vAlign w:val="center"/>
          </w:tcPr>
          <w:p w14:paraId="51F46520" w14:textId="77777777" w:rsidR="00C454A1" w:rsidRPr="00211504" w:rsidRDefault="00C454A1" w:rsidP="00881E6A">
            <w:pPr>
              <w:spacing w:after="120"/>
              <w:ind w:right="272"/>
              <w:contextualSpacing/>
              <w:jc w:val="center"/>
              <w:rPr>
                <w:rFonts w:cs="Times New Roman"/>
                <w:b/>
                <w:bCs/>
              </w:rPr>
            </w:pPr>
            <w:r>
              <w:rPr>
                <w:rFonts w:cs="Times New Roman"/>
                <w:b/>
                <w:bCs/>
              </w:rPr>
              <w:t xml:space="preserve">Corporación Excelencia a la Justicia </w:t>
            </w:r>
          </w:p>
        </w:tc>
        <w:tc>
          <w:tcPr>
            <w:tcW w:w="4187" w:type="pct"/>
          </w:tcPr>
          <w:p w14:paraId="27D866BA" w14:textId="77777777" w:rsidR="00C454A1" w:rsidRPr="00211504" w:rsidRDefault="00C454A1" w:rsidP="00881E6A">
            <w:pPr>
              <w:spacing w:after="120"/>
              <w:ind w:right="272"/>
              <w:contextualSpacing/>
              <w:rPr>
                <w:rFonts w:eastAsia="Times New Roman" w:cs="Times New Roman"/>
              </w:rPr>
            </w:pPr>
            <w:r w:rsidRPr="00192819">
              <w:rPr>
                <w:rFonts w:eastAsia="Times New Roman" w:cs="Times New Roman"/>
              </w:rPr>
              <w:t>Solicitó declarar la</w:t>
            </w:r>
            <w:r w:rsidRPr="00192819">
              <w:rPr>
                <w:rFonts w:eastAsia="Times New Roman" w:cs="Times New Roman"/>
                <w:i/>
                <w:iCs/>
              </w:rPr>
              <w:t xml:space="preserve"> inexequibilidad </w:t>
            </w:r>
            <w:r w:rsidRPr="00192819">
              <w:rPr>
                <w:rFonts w:eastAsia="Times New Roman" w:cs="Times New Roman"/>
              </w:rPr>
              <w:t>del Decreto Legislativo 062 de 2025. Argumentó que la crisis en el Catatumbo fue una situación previsible porque la Defensoría del Pueblo emitió nueve alertas tempranas entre 2020 y 2024 advirtiendo sobre la violencia sistemática en la subregión y la presencia de diversos grupos armados</w:t>
            </w:r>
            <w:r w:rsidRPr="00192819">
              <w:rPr>
                <w:rFonts w:eastAsia="Times New Roman" w:cs="Times New Roman"/>
                <w:vertAlign w:val="superscript"/>
              </w:rPr>
              <w:footnoteReference w:id="839"/>
            </w:r>
            <w:r w:rsidRPr="00192819">
              <w:rPr>
                <w:rFonts w:eastAsia="Times New Roman" w:cs="Times New Roman"/>
              </w:rPr>
              <w:t>. Asimismo, indicó que la alteración del orden público en la zona es el resultado de problemas “estructurales históricos”, los cuales han sido objeto de advertencias previas por parte de diversas entidades estatales</w:t>
            </w:r>
            <w:r w:rsidRPr="00192819">
              <w:rPr>
                <w:rFonts w:eastAsia="Times New Roman" w:cs="Times New Roman"/>
                <w:vertAlign w:val="superscript"/>
              </w:rPr>
              <w:footnoteReference w:id="840"/>
            </w:r>
            <w:r w:rsidRPr="00192819">
              <w:rPr>
                <w:rFonts w:eastAsia="Times New Roman" w:cs="Times New Roman"/>
              </w:rPr>
              <w:t>. Finalmente, consideró que estos sucesos deberían mitigarse mediante políticas públicas integrales dentro de los mecanismos ordinarios</w:t>
            </w:r>
            <w:r w:rsidRPr="00192819">
              <w:rPr>
                <w:rFonts w:eastAsia="Times New Roman" w:cs="Times New Roman"/>
                <w:vertAlign w:val="superscript"/>
              </w:rPr>
              <w:footnoteReference w:id="841"/>
            </w:r>
            <w:r w:rsidRPr="00192819">
              <w:rPr>
                <w:rFonts w:eastAsia="Times New Roman" w:cs="Times New Roman"/>
              </w:rPr>
              <w:t xml:space="preserve"> ya que el Gobierno nacional no justificó adecuadamente la insuficiencia de las atribuciones ordinarias ni la conexión directa entre la crisis y la necesidad del estado de conmoción interior</w:t>
            </w:r>
            <w:r w:rsidRPr="00192819">
              <w:rPr>
                <w:rFonts w:eastAsia="Times New Roman" w:cs="Times New Roman"/>
                <w:vertAlign w:val="superscript"/>
              </w:rPr>
              <w:footnoteReference w:id="842"/>
            </w:r>
            <w:r w:rsidRPr="00192819">
              <w:rPr>
                <w:rFonts w:eastAsia="Times New Roman" w:cs="Times New Roman"/>
              </w:rPr>
              <w:t>.</w:t>
            </w:r>
          </w:p>
        </w:tc>
      </w:tr>
      <w:tr w:rsidR="00C454A1" w:rsidRPr="00F8202F" w14:paraId="4A49CCE5" w14:textId="77777777" w:rsidTr="005F4A6F">
        <w:trPr>
          <w:trHeight w:val="300"/>
        </w:trPr>
        <w:tc>
          <w:tcPr>
            <w:tcW w:w="813" w:type="pct"/>
            <w:vAlign w:val="center"/>
          </w:tcPr>
          <w:p w14:paraId="25FF0D95" w14:textId="77777777" w:rsidR="00C454A1" w:rsidRPr="00211504" w:rsidRDefault="00C454A1" w:rsidP="00881E6A">
            <w:pPr>
              <w:spacing w:after="120"/>
              <w:ind w:right="272"/>
              <w:contextualSpacing/>
              <w:jc w:val="center"/>
              <w:rPr>
                <w:rFonts w:cs="Times New Roman"/>
                <w:b/>
                <w:bCs/>
              </w:rPr>
            </w:pPr>
            <w:r w:rsidRPr="00211504">
              <w:rPr>
                <w:rFonts w:cs="Times New Roman"/>
                <w:b/>
                <w:bCs/>
              </w:rPr>
              <w:t>Abelardo de la Espriella</w:t>
            </w:r>
          </w:p>
        </w:tc>
        <w:tc>
          <w:tcPr>
            <w:tcW w:w="4187" w:type="pct"/>
          </w:tcPr>
          <w:p w14:paraId="44B8DFED"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declarar la </w:t>
            </w:r>
            <w:r w:rsidRPr="00211504">
              <w:rPr>
                <w:rFonts w:eastAsia="Times New Roman" w:cs="Times New Roman"/>
                <w:i/>
                <w:iCs/>
              </w:rPr>
              <w:t>inexequibilidad</w:t>
            </w:r>
            <w:r w:rsidRPr="00211504">
              <w:rPr>
                <w:rFonts w:eastAsia="Times New Roman" w:cs="Times New Roman"/>
              </w:rPr>
              <w:t xml:space="preserve"> del Decreto Legislativo 062 de 2025</w:t>
            </w:r>
            <w:r w:rsidRPr="00211504">
              <w:rPr>
                <w:rStyle w:val="Refdenotaalpie"/>
                <w:rFonts w:eastAsia="Times New Roman" w:cs="Times New Roman"/>
              </w:rPr>
              <w:footnoteReference w:id="843"/>
            </w:r>
            <w:r w:rsidRPr="00211504">
              <w:rPr>
                <w:rFonts w:eastAsia="Times New Roman" w:cs="Times New Roman"/>
              </w:rPr>
              <w:t xml:space="preserve">. En relación con el presupuesto </w:t>
            </w:r>
            <w:r w:rsidRPr="00211504">
              <w:rPr>
                <w:rFonts w:eastAsia="Times New Roman" w:cs="Times New Roman"/>
                <w:i/>
                <w:iCs/>
              </w:rPr>
              <w:t>fáctico</w:t>
            </w:r>
            <w:r w:rsidRPr="00211504">
              <w:rPr>
                <w:rFonts w:eastAsia="Times New Roman" w:cs="Times New Roman"/>
              </w:rPr>
              <w:t>, indicó que la región del Catatumbo ha sido objeto de violencia histórica endémica, lo que ha generado una brecha socioeconómica significativa con el resto de la población del país en materia de desigualdad y pobreza</w:t>
            </w:r>
            <w:r w:rsidRPr="00211504">
              <w:rPr>
                <w:rStyle w:val="Refdenotaalpie"/>
                <w:rFonts w:eastAsia="Times New Roman" w:cs="Times New Roman"/>
              </w:rPr>
              <w:footnoteReference w:id="844"/>
            </w:r>
            <w:r w:rsidRPr="00211504">
              <w:rPr>
                <w:rFonts w:eastAsia="Times New Roman" w:cs="Times New Roman"/>
              </w:rPr>
              <w:t>. Puntualizó que, si bien existe una grave perturbación del orden público en la zona del Catatumbo, esto no se debe a situaciones sobrevinientes, inesperadas o nuevas, sino a dinámicas normales en la zona y a la ruptura de las negociaciones con el ELN</w:t>
            </w:r>
            <w:r w:rsidRPr="00211504">
              <w:rPr>
                <w:rStyle w:val="Refdenotaalpie"/>
                <w:rFonts w:eastAsia="Times New Roman" w:cs="Times New Roman"/>
              </w:rPr>
              <w:footnoteReference w:id="845"/>
            </w:r>
            <w:r w:rsidRPr="00211504">
              <w:rPr>
                <w:rFonts w:eastAsia="Times New Roman" w:cs="Times New Roman"/>
              </w:rPr>
              <w:t xml:space="preserve">. Señaló que el 28 de enero de 2025 el ministro de defensa nacional, Iván Velásquez, reconoció que contaba con información de inteligencia respecto de los movimientos del grupo terrorista ELN en </w:t>
            </w:r>
            <w:r w:rsidRPr="00211504">
              <w:rPr>
                <w:rFonts w:eastAsia="Times New Roman" w:cs="Times New Roman"/>
              </w:rPr>
              <w:lastRenderedPageBreak/>
              <w:t>la región con anterioridad a la declaratoria del estado de excepción</w:t>
            </w:r>
            <w:r w:rsidRPr="00211504">
              <w:rPr>
                <w:rStyle w:val="Refdenotaalpie"/>
                <w:rFonts w:eastAsia="Times New Roman" w:cs="Times New Roman"/>
              </w:rPr>
              <w:footnoteReference w:id="846"/>
            </w:r>
            <w:r w:rsidRPr="00211504">
              <w:rPr>
                <w:rFonts w:eastAsia="Times New Roman" w:cs="Times New Roman"/>
              </w:rPr>
              <w:t>. Por otro lado, indicó que no existen pruebas que acrediten el riesgo de afectaciones frente al sector de hidrocarburos y de la infraestructura energética. Por el contrario, indicó que el boletín número 8 sobre la situación humanitaria en Norte de Santander, anexo al decreto, señala que Ecopetrol tiene un plan de continuidad operativa en la región</w:t>
            </w:r>
            <w:r w:rsidRPr="00211504">
              <w:rPr>
                <w:rStyle w:val="Refdenotaalpie"/>
                <w:rFonts w:eastAsia="Times New Roman" w:cs="Times New Roman"/>
              </w:rPr>
              <w:footnoteReference w:id="847"/>
            </w:r>
            <w:r w:rsidRPr="00211504">
              <w:rPr>
                <w:rFonts w:eastAsia="Times New Roman" w:cs="Times New Roman"/>
              </w:rPr>
              <w:t>.</w:t>
            </w:r>
          </w:p>
          <w:p w14:paraId="037355ED" w14:textId="77777777" w:rsidR="00C454A1" w:rsidRPr="00211504" w:rsidRDefault="00C454A1" w:rsidP="00881E6A">
            <w:pPr>
              <w:spacing w:after="120"/>
              <w:ind w:right="272"/>
              <w:contextualSpacing/>
            </w:pPr>
          </w:p>
          <w:p w14:paraId="7AB41BDE"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Sobre el presupuesto </w:t>
            </w:r>
            <w:r w:rsidRPr="00211504">
              <w:rPr>
                <w:rFonts w:eastAsia="Times New Roman" w:cs="Times New Roman"/>
                <w:i/>
                <w:iCs/>
              </w:rPr>
              <w:t>valorativo</w:t>
            </w:r>
            <w:r w:rsidRPr="00211504">
              <w:rPr>
                <w:rFonts w:eastAsia="Times New Roman" w:cs="Times New Roman"/>
              </w:rPr>
              <w:t xml:space="preserve">, manifestó que el decreto </w:t>
            </w:r>
            <w:r w:rsidRPr="00211504">
              <w:rPr>
                <w:rFonts w:eastAsia="Times New Roman" w:cs="Times New Roman"/>
                <w:i/>
                <w:iCs/>
              </w:rPr>
              <w:t>sub examine</w:t>
            </w:r>
            <w:r w:rsidRPr="00211504">
              <w:rPr>
                <w:rFonts w:eastAsia="Times New Roman" w:cs="Times New Roman"/>
              </w:rPr>
              <w:t xml:space="preserve"> no demuestra la verdadera ocurrencia de los hechos aducidos como causantes de la crisis humanitaria. Reiteró que no es cierto que el escalamiento de la violencia de grupos al margen de la ley hubiera ocurrido de forma imprevisible</w:t>
            </w:r>
            <w:r w:rsidRPr="00211504">
              <w:rPr>
                <w:rStyle w:val="Refdenotaalpie"/>
                <w:rFonts w:eastAsia="Times New Roman" w:cs="Times New Roman"/>
              </w:rPr>
              <w:footnoteReference w:id="848"/>
            </w:r>
            <w:r w:rsidRPr="00211504">
              <w:rPr>
                <w:rFonts w:eastAsia="Times New Roman" w:cs="Times New Roman"/>
              </w:rPr>
              <w:t>. Indicó que durante los meses de cese al fuego (agosto de 2023 a agosto de 2024) se presentó una significativa disminución de los hechos de violencia, circunstancia que le otorgaba la posibilidad al Gobierno de mejorar la situación de orden público en la región</w:t>
            </w:r>
            <w:r w:rsidRPr="00211504">
              <w:rPr>
                <w:rStyle w:val="Refdenotaalpie"/>
                <w:rFonts w:eastAsia="Times New Roman" w:cs="Times New Roman"/>
              </w:rPr>
              <w:footnoteReference w:id="849"/>
            </w:r>
            <w:r w:rsidRPr="00211504">
              <w:rPr>
                <w:rFonts w:eastAsia="Times New Roman" w:cs="Times New Roman"/>
              </w:rPr>
              <w:t>. Precisó que la Defensoría del Pueblo emitió 20 recomendaciones a través de su Alerta Temprana de Inminencia 021 de 2024, lo que demuestra que la gravedad no surgió de forma súbita e inesperada. A pesar de ello, en su criterio el Estado incumplió con lo consignado en dicha alerta</w:t>
            </w:r>
            <w:r w:rsidRPr="00211504">
              <w:rPr>
                <w:rStyle w:val="Refdenotaalpie"/>
                <w:rFonts w:eastAsia="Times New Roman" w:cs="Times New Roman"/>
              </w:rPr>
              <w:footnoteReference w:id="850"/>
            </w:r>
            <w:r w:rsidRPr="00211504">
              <w:rPr>
                <w:rFonts w:eastAsia="Times New Roman" w:cs="Times New Roman"/>
              </w:rPr>
              <w:t>.</w:t>
            </w:r>
          </w:p>
          <w:p w14:paraId="6A9E0B62" w14:textId="77777777" w:rsidR="00C454A1" w:rsidRPr="00211504" w:rsidRDefault="00C454A1" w:rsidP="00881E6A">
            <w:pPr>
              <w:spacing w:after="120"/>
              <w:ind w:right="272"/>
              <w:contextualSpacing/>
              <w:rPr>
                <w:rFonts w:eastAsia="Times New Roman" w:cs="Times New Roman"/>
              </w:rPr>
            </w:pPr>
          </w:p>
          <w:p w14:paraId="4C2792A1"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Respecto del requisito de </w:t>
            </w:r>
            <w:r w:rsidRPr="00211504">
              <w:rPr>
                <w:rFonts w:eastAsia="Times New Roman" w:cs="Times New Roman"/>
                <w:i/>
                <w:iCs/>
              </w:rPr>
              <w:t>suficiencia</w:t>
            </w:r>
            <w:r w:rsidRPr="00211504">
              <w:rPr>
                <w:rFonts w:eastAsia="Times New Roman" w:cs="Times New Roman"/>
              </w:rPr>
              <w:t xml:space="preserve">, adujo que para la superación de la grave alteración del orden público que expone el decreto, las atribuciones ordinarias no resultan insuficientes. Sostuvo que el presidente, como suprema autoridad administrativa y como responsable de la conservación y restablecimiento del orden público, cuenta con medidas como </w:t>
            </w:r>
            <w:r w:rsidRPr="00211504">
              <w:rPr>
                <w:rFonts w:eastAsia="Times New Roman" w:cs="Times New Roman"/>
                <w:i/>
                <w:iCs/>
              </w:rPr>
              <w:t>(i)</w:t>
            </w:r>
            <w:r w:rsidRPr="00211504">
              <w:rPr>
                <w:rFonts w:eastAsia="Times New Roman" w:cs="Times New Roman"/>
              </w:rPr>
              <w:t xml:space="preserve"> la emisión de órdenes claras, precisas, motivadas, escritas y fundadas en leyes o reglamentos y dirigidas a los particulares con la finalidad de mantener o restablecer el orden público; </w:t>
            </w:r>
            <w:r w:rsidRPr="00211504">
              <w:rPr>
                <w:rFonts w:eastAsia="Times New Roman" w:cs="Times New Roman"/>
                <w:i/>
                <w:iCs/>
              </w:rPr>
              <w:t>(ii)</w:t>
            </w:r>
            <w:r w:rsidRPr="00211504">
              <w:rPr>
                <w:rFonts w:eastAsia="Times New Roman" w:cs="Times New Roman"/>
              </w:rPr>
              <w:t xml:space="preserve"> el empleo de la fuerza cuando sea estrictamente necesario, de manera proporcionada y por el tiempo requerido para el restablecimiento </w:t>
            </w:r>
            <w:r w:rsidRPr="00211504">
              <w:rPr>
                <w:rFonts w:eastAsia="Times New Roman" w:cs="Times New Roman"/>
              </w:rPr>
              <w:lastRenderedPageBreak/>
              <w:t xml:space="preserve">del orden público; </w:t>
            </w:r>
            <w:r w:rsidRPr="00211504">
              <w:rPr>
                <w:rFonts w:eastAsia="Times New Roman" w:cs="Times New Roman"/>
                <w:i/>
                <w:iCs/>
              </w:rPr>
              <w:t>(iii)</w:t>
            </w:r>
            <w:r w:rsidRPr="00211504">
              <w:rPr>
                <w:rFonts w:eastAsia="Times New Roman" w:cs="Times New Roman"/>
              </w:rPr>
              <w:t xml:space="preserve"> la utilización del servicio público de policía; </w:t>
            </w:r>
            <w:r w:rsidRPr="00211504">
              <w:rPr>
                <w:rFonts w:eastAsia="Times New Roman" w:cs="Times New Roman"/>
                <w:i/>
                <w:iCs/>
              </w:rPr>
              <w:t>(iv)</w:t>
            </w:r>
            <w:r w:rsidRPr="00211504">
              <w:rPr>
                <w:rFonts w:eastAsia="Times New Roman" w:cs="Times New Roman"/>
              </w:rPr>
              <w:t xml:space="preserve"> la realización de capturas y allanamientos con sujeción a la Constitución y a la ley; y </w:t>
            </w:r>
            <w:r w:rsidRPr="00211504">
              <w:rPr>
                <w:rFonts w:eastAsia="Times New Roman" w:cs="Times New Roman"/>
                <w:i/>
                <w:iCs/>
              </w:rPr>
              <w:t>(v)</w:t>
            </w:r>
            <w:r w:rsidRPr="00211504">
              <w:rPr>
                <w:rFonts w:eastAsia="Times New Roman" w:cs="Times New Roman"/>
              </w:rPr>
              <w:t xml:space="preserve"> la asistencia de la fuerza militar cuando la alteración del orden público no pueda ser conjurada con el concurso del cuerpo armado de policía</w:t>
            </w:r>
            <w:r w:rsidRPr="00211504">
              <w:rPr>
                <w:rStyle w:val="Refdenotaalpie"/>
                <w:rFonts w:eastAsia="Times New Roman" w:cs="Times New Roman"/>
              </w:rPr>
              <w:footnoteReference w:id="851"/>
            </w:r>
            <w:r w:rsidRPr="00211504">
              <w:rPr>
                <w:rFonts w:eastAsia="Times New Roman" w:cs="Times New Roman"/>
              </w:rPr>
              <w:t xml:space="preserve">. </w:t>
            </w:r>
          </w:p>
          <w:p w14:paraId="25311723" w14:textId="77777777" w:rsidR="00C454A1" w:rsidRPr="00211504" w:rsidRDefault="00C454A1" w:rsidP="00881E6A">
            <w:pPr>
              <w:spacing w:after="120"/>
              <w:ind w:right="272"/>
              <w:contextualSpacing/>
              <w:rPr>
                <w:rFonts w:eastAsia="Times New Roman" w:cs="Times New Roman"/>
              </w:rPr>
            </w:pPr>
          </w:p>
          <w:p w14:paraId="67515BB9"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Adicionalmente, indicó que en el año 2022 se establecieron una serie de propuestas para la transformación del territorio y la construcción de una visión de desarrollo de la región, no obstante, esto no ha tenido frutos porque el Gobierno se ha abstenido de generar acciones eficaces que permitan la materialización de dichas propuestas</w:t>
            </w:r>
            <w:r w:rsidRPr="00211504">
              <w:rPr>
                <w:rStyle w:val="Refdenotaalpie"/>
                <w:rFonts w:eastAsia="Times New Roman" w:cs="Times New Roman"/>
              </w:rPr>
              <w:footnoteReference w:id="852"/>
            </w:r>
            <w:r w:rsidRPr="00211504">
              <w:rPr>
                <w:rFonts w:eastAsia="Times New Roman" w:cs="Times New Roman"/>
              </w:rPr>
              <w:t>. Asimismo, sostuvo que en enero de 2025 el presidente encabezó un consejo de seguridad para enfrentar la crisis generada por los enfrentamientos entre el ELN y las disidencias de las FARC, circunstancia que pone en evidencia que la situación era de su pleno conocimiento y que estuvo sujeta a su control, sin embargo, no tomó ningún tipo de medida</w:t>
            </w:r>
            <w:r w:rsidRPr="00211504">
              <w:rPr>
                <w:rStyle w:val="Refdenotaalpie"/>
                <w:rFonts w:eastAsia="Times New Roman" w:cs="Times New Roman"/>
              </w:rPr>
              <w:footnoteReference w:id="853"/>
            </w:r>
            <w:r w:rsidRPr="00211504">
              <w:rPr>
                <w:rFonts w:eastAsia="Times New Roman" w:cs="Times New Roman"/>
              </w:rPr>
              <w:t>.</w:t>
            </w:r>
          </w:p>
          <w:p w14:paraId="3738C962" w14:textId="77777777" w:rsidR="00C454A1" w:rsidRPr="00211504" w:rsidRDefault="00C454A1" w:rsidP="00881E6A">
            <w:pPr>
              <w:spacing w:after="120"/>
              <w:ind w:right="272"/>
              <w:contextualSpacing/>
              <w:rPr>
                <w:rFonts w:eastAsia="Times New Roman" w:cs="Times New Roman"/>
              </w:rPr>
            </w:pPr>
          </w:p>
          <w:p w14:paraId="18929423" w14:textId="77777777" w:rsidR="00C454A1" w:rsidRPr="00211504" w:rsidRDefault="00C454A1" w:rsidP="00881E6A">
            <w:pPr>
              <w:spacing w:after="120"/>
              <w:ind w:right="272"/>
              <w:contextualSpacing/>
            </w:pPr>
            <w:r w:rsidRPr="00211504">
              <w:rPr>
                <w:rFonts w:eastAsia="Times New Roman" w:cs="Times New Roman"/>
              </w:rPr>
              <w:t>Por lo demás, advirtió que el decreto no cumple con todos los requisitos formales. En concreto, el de la firma del presidente de la república y de todos sus ministros. Al respecto, aseguró que quien firmó en representación del Ministerio de Relaciones Exteriores fue la Secretaría General de dicha cartera y no existe certeza sobre si dicha dependencia tiene la facultad de firma y representación ministerial</w:t>
            </w:r>
            <w:r w:rsidRPr="00211504">
              <w:rPr>
                <w:rStyle w:val="Refdenotaalpie"/>
                <w:rFonts w:eastAsia="Times New Roman" w:cs="Times New Roman"/>
              </w:rPr>
              <w:footnoteReference w:id="854"/>
            </w:r>
            <w:r w:rsidRPr="00211504">
              <w:rPr>
                <w:rFonts w:eastAsia="Times New Roman" w:cs="Times New Roman"/>
              </w:rPr>
              <w:t xml:space="preserve">. </w:t>
            </w:r>
          </w:p>
        </w:tc>
      </w:tr>
      <w:tr w:rsidR="00C454A1" w:rsidRPr="00F8202F" w14:paraId="3DA9FFFF" w14:textId="77777777" w:rsidTr="005F4A6F">
        <w:trPr>
          <w:trHeight w:val="300"/>
        </w:trPr>
        <w:tc>
          <w:tcPr>
            <w:tcW w:w="813" w:type="pct"/>
            <w:vAlign w:val="center"/>
          </w:tcPr>
          <w:p w14:paraId="0C46404A" w14:textId="77777777" w:rsidR="00C454A1" w:rsidRPr="00211504" w:rsidRDefault="00C454A1" w:rsidP="00881E6A">
            <w:pPr>
              <w:spacing w:after="120"/>
              <w:ind w:right="272"/>
              <w:contextualSpacing/>
              <w:jc w:val="center"/>
              <w:rPr>
                <w:rFonts w:eastAsia="Times New Roman" w:cs="Times New Roman"/>
                <w:b/>
                <w:color w:val="000000" w:themeColor="text1"/>
              </w:rPr>
            </w:pPr>
            <w:r w:rsidRPr="00211504">
              <w:rPr>
                <w:rFonts w:eastAsia="Times New Roman" w:cs="Times New Roman"/>
                <w:b/>
                <w:color w:val="000000" w:themeColor="text1"/>
              </w:rPr>
              <w:lastRenderedPageBreak/>
              <w:t>Antioqueños por Colombia</w:t>
            </w:r>
          </w:p>
        </w:tc>
        <w:tc>
          <w:tcPr>
            <w:tcW w:w="4187" w:type="pct"/>
          </w:tcPr>
          <w:p w14:paraId="7E1D1B37"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anular el estado de conmoción interior y la imposición de “inhabilidades políticas por negligencia en atender las acciones tempranas dadas por la defensoría pública”. Argumentó que </w:t>
            </w:r>
            <w:r w:rsidRPr="00211504">
              <w:rPr>
                <w:rFonts w:eastAsia="Times New Roman" w:cs="Times New Roman"/>
                <w:i/>
                <w:iCs/>
              </w:rPr>
              <w:t>(i)</w:t>
            </w:r>
            <w:r w:rsidRPr="00211504">
              <w:rPr>
                <w:rFonts w:eastAsia="Times New Roman" w:cs="Times New Roman"/>
              </w:rPr>
              <w:t xml:space="preserve"> los hechos invocados en el decreto de estado de conmoción interior son “alteraciones al orden público que hacen parte de la normalidad local o nacional”</w:t>
            </w:r>
            <w:r w:rsidRPr="00211504">
              <w:rPr>
                <w:rStyle w:val="Refdenotaalpie"/>
                <w:rFonts w:eastAsia="Times New Roman" w:cs="Times New Roman"/>
                <w:color w:val="000000" w:themeColor="text1"/>
              </w:rPr>
              <w:footnoteReference w:id="855"/>
            </w:r>
            <w:r w:rsidRPr="00211504">
              <w:rPr>
                <w:rFonts w:eastAsia="Times New Roman" w:cs="Times New Roman"/>
                <w:color w:val="000000" w:themeColor="text1"/>
              </w:rPr>
              <w:t xml:space="preserve">; </w:t>
            </w:r>
            <w:r w:rsidRPr="00211504">
              <w:rPr>
                <w:rFonts w:eastAsia="Times New Roman" w:cs="Times New Roman"/>
                <w:i/>
                <w:iCs/>
                <w:color w:val="000000" w:themeColor="text1"/>
              </w:rPr>
              <w:t>(ii)</w:t>
            </w:r>
            <w:r w:rsidRPr="00211504">
              <w:rPr>
                <w:rFonts w:eastAsia="Times New Roman" w:cs="Times New Roman"/>
                <w:color w:val="000000" w:themeColor="text1"/>
              </w:rPr>
              <w:t xml:space="preserve"> </w:t>
            </w:r>
            <w:r w:rsidRPr="00211504">
              <w:rPr>
                <w:rFonts w:eastAsia="Times New Roman" w:cs="Times New Roman"/>
              </w:rPr>
              <w:t xml:space="preserve">el estado de conmoción interior fue decretado como un instrumento político orientado a la </w:t>
            </w:r>
            <w:r w:rsidRPr="00211504">
              <w:rPr>
                <w:rFonts w:eastAsia="Times New Roman" w:cs="Times New Roman"/>
              </w:rPr>
              <w:lastRenderedPageBreak/>
              <w:t>concentración del poder y la celebración de contratos sin los debidos controles, en lugar de constituir una medida legítima y efectiva para afrontar la crisis</w:t>
            </w:r>
            <w:r w:rsidRPr="00211504">
              <w:rPr>
                <w:rStyle w:val="Refdenotaalpie"/>
                <w:rFonts w:eastAsia="Times New Roman" w:cs="Times New Roman"/>
                <w:color w:val="000000" w:themeColor="text1"/>
              </w:rPr>
              <w:footnoteReference w:id="856"/>
            </w:r>
            <w:r w:rsidRPr="00211504">
              <w:rPr>
                <w:rFonts w:eastAsia="Times New Roman" w:cs="Times New Roman"/>
                <w:color w:val="000000" w:themeColor="text1"/>
              </w:rPr>
              <w:t xml:space="preserve">; y </w:t>
            </w:r>
            <w:r w:rsidRPr="00211504">
              <w:rPr>
                <w:rFonts w:eastAsia="Times New Roman" w:cs="Times New Roman"/>
                <w:i/>
                <w:iCs/>
                <w:color w:val="000000" w:themeColor="text1"/>
              </w:rPr>
              <w:t>(iii)</w:t>
            </w:r>
            <w:r w:rsidRPr="00211504">
              <w:rPr>
                <w:rFonts w:eastAsia="Times New Roman" w:cs="Times New Roman"/>
                <w:color w:val="000000" w:themeColor="text1"/>
              </w:rPr>
              <w:t xml:space="preserve"> el </w:t>
            </w:r>
            <w:r>
              <w:rPr>
                <w:rFonts w:eastAsia="Times New Roman" w:cs="Times New Roman"/>
                <w:color w:val="000000" w:themeColor="text1"/>
              </w:rPr>
              <w:t>G</w:t>
            </w:r>
            <w:r w:rsidRPr="00211504">
              <w:rPr>
                <w:rFonts w:eastAsia="Times New Roman" w:cs="Times New Roman"/>
                <w:color w:val="000000" w:themeColor="text1"/>
              </w:rPr>
              <w:t>obierno</w:t>
            </w:r>
            <w:r>
              <w:rPr>
                <w:rFonts w:eastAsia="Times New Roman" w:cs="Times New Roman"/>
                <w:color w:val="000000" w:themeColor="text1"/>
              </w:rPr>
              <w:t xml:space="preserve"> nacional</w:t>
            </w:r>
            <w:r w:rsidRPr="00211504">
              <w:rPr>
                <w:rFonts w:eastAsia="Times New Roman" w:cs="Times New Roman"/>
                <w:color w:val="000000" w:themeColor="text1"/>
              </w:rPr>
              <w:t xml:space="preserve"> facilitó la reorganización del ELN debido a que </w:t>
            </w:r>
            <w:r w:rsidRPr="00211504">
              <w:rPr>
                <w:rFonts w:eastAsia="Times New Roman" w:cs="Times New Roman"/>
                <w:i/>
                <w:iCs/>
                <w:color w:val="000000" w:themeColor="text1"/>
              </w:rPr>
              <w:t>(a)</w:t>
            </w:r>
            <w:r w:rsidRPr="00211504">
              <w:rPr>
                <w:rFonts w:eastAsia="Times New Roman" w:cs="Times New Roman"/>
                <w:color w:val="000000" w:themeColor="text1"/>
              </w:rPr>
              <w:t xml:space="preserve"> realizó acuerdos de paz sin garantías de desmovilización</w:t>
            </w:r>
            <w:r w:rsidRPr="00211504">
              <w:rPr>
                <w:rStyle w:val="Refdenotaalpie"/>
                <w:rFonts w:eastAsia="Times New Roman" w:cs="Times New Roman"/>
                <w:color w:val="000000" w:themeColor="text1"/>
              </w:rPr>
              <w:footnoteReference w:id="857"/>
            </w:r>
            <w:r w:rsidRPr="00211504">
              <w:rPr>
                <w:rFonts w:eastAsia="Times New Roman" w:cs="Times New Roman"/>
                <w:color w:val="000000" w:themeColor="text1"/>
              </w:rPr>
              <w:t xml:space="preserve">; y </w:t>
            </w:r>
            <w:r w:rsidRPr="00211504">
              <w:rPr>
                <w:rFonts w:eastAsia="Times New Roman" w:cs="Times New Roman"/>
                <w:i/>
                <w:iCs/>
                <w:color w:val="000000" w:themeColor="text1"/>
              </w:rPr>
              <w:t xml:space="preserve">(b) </w:t>
            </w:r>
            <w:r w:rsidRPr="00211504">
              <w:rPr>
                <w:rFonts w:eastAsia="Times New Roman" w:cs="Times New Roman"/>
                <w:color w:val="000000" w:themeColor="text1"/>
              </w:rPr>
              <w:t>no implementó medidas preventivas para mitigar el tránsito del ELN desde Venezuela al Catatumbo como</w:t>
            </w:r>
            <w:r w:rsidRPr="00211504">
              <w:rPr>
                <w:rStyle w:val="Refdenotaalpie"/>
                <w:rFonts w:eastAsia="Times New Roman" w:cs="Times New Roman"/>
                <w:color w:val="000000" w:themeColor="text1"/>
              </w:rPr>
              <w:footnoteReference w:id="858"/>
            </w:r>
            <w:r w:rsidRPr="00211504">
              <w:rPr>
                <w:rFonts w:eastAsia="Times New Roman" w:cs="Times New Roman"/>
                <w:color w:val="000000" w:themeColor="text1"/>
              </w:rPr>
              <w:t>.</w:t>
            </w:r>
          </w:p>
        </w:tc>
      </w:tr>
      <w:tr w:rsidR="00C454A1" w:rsidRPr="00F8202F" w14:paraId="20587BB9" w14:textId="77777777" w:rsidTr="005F4A6F">
        <w:trPr>
          <w:trHeight w:val="300"/>
        </w:trPr>
        <w:tc>
          <w:tcPr>
            <w:tcW w:w="813" w:type="pct"/>
            <w:vAlign w:val="center"/>
          </w:tcPr>
          <w:p w14:paraId="3DCEAC95" w14:textId="77777777" w:rsidR="00C454A1" w:rsidRPr="00211504" w:rsidRDefault="00C454A1" w:rsidP="00881E6A">
            <w:pPr>
              <w:spacing w:after="120"/>
              <w:ind w:right="272"/>
              <w:contextualSpacing/>
              <w:jc w:val="center"/>
              <w:rPr>
                <w:rFonts w:eastAsia="Times New Roman" w:cs="Times New Roman"/>
                <w:b/>
                <w:color w:val="000000" w:themeColor="text1"/>
              </w:rPr>
            </w:pPr>
            <w:r w:rsidRPr="00211504">
              <w:rPr>
                <w:rFonts w:eastAsia="Times New Roman" w:cs="Times New Roman"/>
                <w:b/>
                <w:color w:val="000000" w:themeColor="text1"/>
              </w:rPr>
              <w:lastRenderedPageBreak/>
              <w:t>Edwin Alexander Llanos Franco</w:t>
            </w:r>
          </w:p>
        </w:tc>
        <w:tc>
          <w:tcPr>
            <w:tcW w:w="4187" w:type="pct"/>
          </w:tcPr>
          <w:p w14:paraId="3CBFACE4" w14:textId="77777777" w:rsidR="00C454A1" w:rsidRPr="00211504" w:rsidRDefault="00C454A1" w:rsidP="00881E6A">
            <w:pPr>
              <w:spacing w:after="120"/>
              <w:ind w:right="272"/>
              <w:contextualSpacing/>
              <w:rPr>
                <w:rFonts w:eastAsia="Times New Roman" w:cs="Times New Roman"/>
                <w:color w:val="96607D"/>
                <w:vertAlign w:val="superscript"/>
              </w:rPr>
            </w:pPr>
            <w:r w:rsidRPr="00211504">
              <w:rPr>
                <w:rFonts w:eastAsia="Times New Roman" w:cs="Times New Roman"/>
                <w:color w:val="000000" w:themeColor="text1"/>
              </w:rPr>
              <w:t>Solicitó a la Corte declarar la</w:t>
            </w:r>
            <w:r w:rsidRPr="00211504">
              <w:rPr>
                <w:rFonts w:eastAsia="Times New Roman" w:cs="Times New Roman"/>
                <w:i/>
                <w:iCs/>
                <w:color w:val="000000" w:themeColor="text1"/>
              </w:rPr>
              <w:t xml:space="preserve"> inexequibilidad </w:t>
            </w:r>
            <w:r w:rsidRPr="00211504">
              <w:rPr>
                <w:rFonts w:eastAsia="Times New Roman" w:cs="Times New Roman"/>
                <w:color w:val="000000" w:themeColor="text1"/>
              </w:rPr>
              <w:t xml:space="preserve">del Decreto Legislativo 062 de 2025. Sostuvo que las acciones criminales que ejecutó el ELN en la región del Catatumbo como, por ejemplo, desplazamientos forzados, asesinatos y desaparición forzosa, son acontecimientos previsibles. Esto, porque </w:t>
            </w:r>
            <w:r w:rsidRPr="00211504">
              <w:rPr>
                <w:rFonts w:eastAsia="Times New Roman" w:cs="Times New Roman"/>
                <w:i/>
                <w:iCs/>
                <w:color w:val="000000" w:themeColor="text1"/>
              </w:rPr>
              <w:t>(i)</w:t>
            </w:r>
            <w:r w:rsidRPr="00211504">
              <w:rPr>
                <w:rFonts w:eastAsia="Times New Roman" w:cs="Times New Roman"/>
                <w:color w:val="000000" w:themeColor="text1"/>
              </w:rPr>
              <w:t xml:space="preserve"> de acuerdo al Decreto Legislativo 062 de 2025, se establece que las fuentes de inteligencia del departamento de Arauca tenían información acerca de que “el ELN envió integrantes del Frente de Guerra Oriental hacia la región del Catatumbo para fortalecer su presencia y ejecutar las acciones criminales”</w:t>
            </w:r>
            <w:r w:rsidRPr="00211504">
              <w:rPr>
                <w:rStyle w:val="Refdenotaalpie"/>
                <w:rFonts w:eastAsia="Times New Roman" w:cs="Times New Roman"/>
                <w:color w:val="000000" w:themeColor="text1"/>
              </w:rPr>
              <w:footnoteReference w:id="859"/>
            </w:r>
            <w:r w:rsidRPr="00211504">
              <w:rPr>
                <w:rFonts w:eastAsia="Times New Roman" w:cs="Times New Roman"/>
                <w:color w:val="000000" w:themeColor="text1"/>
              </w:rPr>
              <w:t xml:space="preserve">y; </w:t>
            </w:r>
            <w:r w:rsidRPr="00211504">
              <w:rPr>
                <w:rFonts w:eastAsia="Times New Roman" w:cs="Times New Roman"/>
                <w:i/>
                <w:iCs/>
                <w:color w:val="000000" w:themeColor="text1"/>
              </w:rPr>
              <w:t xml:space="preserve">(ii) </w:t>
            </w:r>
            <w:r w:rsidRPr="00211504">
              <w:rPr>
                <w:rFonts w:eastAsia="Times New Roman" w:cs="Times New Roman"/>
                <w:color w:val="000000" w:themeColor="text1"/>
              </w:rPr>
              <w:t>la Defensoría del Pueblo emitió la Alerta Temprana de Inminencia 026 de 2024, ante el riesgo que enfrentaba diversos sectores que conforman la subregión del Catatumbo en Norte de Santander y el Sur del Cesar “debido a las nuevas dinámicas que ha adquirido el conflicto armado interno en los últimos meses en estas zonas”</w:t>
            </w:r>
            <w:r w:rsidRPr="00211504">
              <w:rPr>
                <w:rStyle w:val="Refdenotaalpie"/>
                <w:rFonts w:eastAsia="Times New Roman" w:cs="Times New Roman"/>
                <w:color w:val="000000" w:themeColor="text1"/>
              </w:rPr>
              <w:footnoteReference w:id="860"/>
            </w:r>
            <w:r w:rsidRPr="00211504">
              <w:rPr>
                <w:rFonts w:eastAsia="Times New Roman" w:cs="Times New Roman"/>
                <w:color w:val="000000" w:themeColor="text1"/>
              </w:rPr>
              <w:t xml:space="preserve">. Por otro lado, señaló que el </w:t>
            </w:r>
            <w:r>
              <w:rPr>
                <w:rFonts w:eastAsia="Times New Roman" w:cs="Times New Roman"/>
                <w:color w:val="000000" w:themeColor="text1"/>
              </w:rPr>
              <w:t>G</w:t>
            </w:r>
            <w:r w:rsidRPr="00211504">
              <w:rPr>
                <w:rFonts w:eastAsia="Times New Roman" w:cs="Times New Roman"/>
                <w:color w:val="000000" w:themeColor="text1"/>
              </w:rPr>
              <w:t xml:space="preserve">obierno no adoptó las medidas necesarias para prevenir la situación que actualmente afecta a la región del Catatumbo. Dado que el </w:t>
            </w:r>
            <w:r>
              <w:rPr>
                <w:rFonts w:eastAsia="Times New Roman" w:cs="Times New Roman"/>
                <w:color w:val="000000" w:themeColor="text1"/>
              </w:rPr>
              <w:t>G</w:t>
            </w:r>
            <w:r w:rsidRPr="00211504">
              <w:rPr>
                <w:rFonts w:eastAsia="Times New Roman" w:cs="Times New Roman"/>
                <w:color w:val="000000" w:themeColor="text1"/>
              </w:rPr>
              <w:t>obierno “desmanteló las fuerzas [militares] que operaba en la región”</w:t>
            </w:r>
            <w:r w:rsidRPr="00211504">
              <w:rPr>
                <w:rStyle w:val="Refdenotaalpie"/>
                <w:rFonts w:eastAsia="Times New Roman" w:cs="Times New Roman"/>
                <w:color w:val="000000" w:themeColor="text1"/>
              </w:rPr>
              <w:footnoteReference w:id="861"/>
            </w:r>
            <w:r w:rsidRPr="00211504">
              <w:rPr>
                <w:rFonts w:eastAsia="Times New Roman" w:cs="Times New Roman"/>
                <w:color w:val="000000" w:themeColor="text1"/>
              </w:rPr>
              <w:t xml:space="preserve"> como parte de su política de “paz total”</w:t>
            </w:r>
            <w:r w:rsidRPr="00211504">
              <w:rPr>
                <w:rStyle w:val="Refdenotaalpie"/>
                <w:rFonts w:eastAsia="Times New Roman" w:cs="Times New Roman"/>
                <w:color w:val="000000" w:themeColor="text1"/>
              </w:rPr>
              <w:footnoteReference w:id="862"/>
            </w:r>
            <w:r w:rsidRPr="00211504">
              <w:rPr>
                <w:rFonts w:eastAsia="Times New Roman" w:cs="Times New Roman"/>
                <w:color w:val="000000" w:themeColor="text1"/>
              </w:rPr>
              <w:t xml:space="preserve"> e implementó el “cese al fuego con los […] grupos armados [con los] que [estaba] adelantando [las] negociaciones de paz, limitando [la actuación] de las fuerzas militares y de policía”</w:t>
            </w:r>
            <w:r w:rsidRPr="00211504">
              <w:rPr>
                <w:rStyle w:val="Refdenotaalpie"/>
                <w:rFonts w:eastAsia="Times New Roman" w:cs="Times New Roman"/>
                <w:color w:val="96607D"/>
              </w:rPr>
              <w:footnoteReference w:id="863"/>
            </w:r>
            <w:r w:rsidRPr="00211504">
              <w:rPr>
                <w:rFonts w:eastAsia="Times New Roman" w:cs="Times New Roman"/>
                <w:color w:val="000000" w:themeColor="text1"/>
              </w:rPr>
              <w:t>.</w:t>
            </w:r>
          </w:p>
        </w:tc>
      </w:tr>
      <w:tr w:rsidR="00C454A1" w:rsidRPr="00F8202F" w14:paraId="394A1328" w14:textId="77777777" w:rsidTr="005F4A6F">
        <w:trPr>
          <w:trHeight w:val="360"/>
        </w:trPr>
        <w:tc>
          <w:tcPr>
            <w:tcW w:w="813" w:type="pct"/>
            <w:vAlign w:val="center"/>
          </w:tcPr>
          <w:p w14:paraId="7D8F3A53" w14:textId="77777777" w:rsidR="00C454A1" w:rsidRPr="00211504" w:rsidRDefault="00C454A1" w:rsidP="00881E6A">
            <w:pPr>
              <w:spacing w:after="120"/>
              <w:ind w:right="272"/>
              <w:contextualSpacing/>
              <w:jc w:val="center"/>
              <w:rPr>
                <w:rFonts w:eastAsia="Times New Roman" w:cs="Times New Roman"/>
                <w:b/>
                <w:color w:val="000000" w:themeColor="text1"/>
              </w:rPr>
            </w:pPr>
            <w:r w:rsidRPr="00211504">
              <w:rPr>
                <w:rFonts w:eastAsia="Times New Roman" w:cs="Times New Roman"/>
                <w:b/>
                <w:color w:val="000000" w:themeColor="text1"/>
              </w:rPr>
              <w:lastRenderedPageBreak/>
              <w:t>Julián Uscátegui Pastrana</w:t>
            </w:r>
          </w:p>
        </w:tc>
        <w:tc>
          <w:tcPr>
            <w:tcW w:w="4187" w:type="pct"/>
          </w:tcPr>
          <w:p w14:paraId="7ABD8559"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Solicitó declarar la</w:t>
            </w:r>
            <w:r w:rsidRPr="00211504">
              <w:rPr>
                <w:rFonts w:eastAsia="Times New Roman" w:cs="Times New Roman"/>
                <w:i/>
                <w:iCs/>
                <w:color w:val="000000" w:themeColor="text1"/>
              </w:rPr>
              <w:t xml:space="preserve"> inexequibilidad </w:t>
            </w:r>
            <w:r w:rsidRPr="00211504">
              <w:rPr>
                <w:rFonts w:eastAsia="Times New Roman" w:cs="Times New Roman"/>
                <w:color w:val="000000" w:themeColor="text1"/>
              </w:rPr>
              <w:t xml:space="preserve">del Decreto Legislativo 062 de 2025. En relación con el presupuesto </w:t>
            </w:r>
            <w:r w:rsidRPr="00211504">
              <w:rPr>
                <w:rFonts w:eastAsia="Times New Roman" w:cs="Times New Roman"/>
                <w:i/>
                <w:iCs/>
                <w:color w:val="000000" w:themeColor="text1"/>
              </w:rPr>
              <w:t>valorativo</w:t>
            </w:r>
            <w:r w:rsidRPr="00211504">
              <w:rPr>
                <w:rFonts w:eastAsia="Times New Roman" w:cs="Times New Roman"/>
                <w:color w:val="000000" w:themeColor="text1"/>
              </w:rPr>
              <w:t>, manifestó que los acontecimientos surgidos en el Catatumbo se catalogan como hechos previsibles y recurrentes que obedecen a una crisis estructural de esta zona, la cual se ha agravado por la falta de “acción estatal”</w:t>
            </w:r>
            <w:r w:rsidRPr="00211504">
              <w:rPr>
                <w:rStyle w:val="Refdenotaalpie"/>
                <w:rFonts w:eastAsia="Times New Roman" w:cs="Times New Roman"/>
                <w:color w:val="000000" w:themeColor="text1"/>
              </w:rPr>
              <w:footnoteReference w:id="864"/>
            </w:r>
            <w:r w:rsidRPr="00211504">
              <w:rPr>
                <w:rFonts w:eastAsia="Times New Roman" w:cs="Times New Roman"/>
                <w:color w:val="000000" w:themeColor="text1"/>
              </w:rPr>
              <w:t>. Por otro lado, indicó que a pesar de las alertas emitidas por la Defensoría del Pueblo sobre el aumento de la violencia generado por el ELN, el estado no adoptó las medidas eficaces para mitigar la situación</w:t>
            </w:r>
            <w:r w:rsidRPr="00211504">
              <w:rPr>
                <w:rStyle w:val="Refdenotaalpie"/>
                <w:rFonts w:eastAsia="Times New Roman" w:cs="Times New Roman"/>
                <w:color w:val="000000" w:themeColor="text1"/>
              </w:rPr>
              <w:footnoteReference w:id="865"/>
            </w:r>
            <w:r w:rsidRPr="00211504">
              <w:rPr>
                <w:rFonts w:eastAsia="Times New Roman" w:cs="Times New Roman"/>
                <w:color w:val="000000" w:themeColor="text1"/>
              </w:rPr>
              <w:t xml:space="preserve">. </w:t>
            </w:r>
          </w:p>
          <w:p w14:paraId="53B1A9A2" w14:textId="77777777" w:rsidR="00C454A1" w:rsidRPr="00211504" w:rsidRDefault="00C454A1" w:rsidP="00881E6A">
            <w:pPr>
              <w:spacing w:after="120"/>
              <w:ind w:right="272"/>
              <w:contextualSpacing/>
              <w:rPr>
                <w:rFonts w:eastAsia="Times New Roman" w:cs="Times New Roman"/>
                <w:color w:val="000000" w:themeColor="text1"/>
              </w:rPr>
            </w:pPr>
          </w:p>
          <w:p w14:paraId="61C580E5"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Respecto del requisito de </w:t>
            </w:r>
            <w:r w:rsidRPr="00211504">
              <w:rPr>
                <w:rFonts w:eastAsia="Times New Roman" w:cs="Times New Roman"/>
                <w:i/>
                <w:iCs/>
                <w:color w:val="000000" w:themeColor="text1"/>
              </w:rPr>
              <w:t>suficiencia</w:t>
            </w:r>
            <w:r w:rsidRPr="00211504">
              <w:rPr>
                <w:rFonts w:eastAsia="Times New Roman" w:cs="Times New Roman"/>
                <w:color w:val="000000" w:themeColor="text1"/>
              </w:rPr>
              <w:t>, adujo que los hechos de violencia que persisten en la región del Catatumbo requieren ser combatidos con “un tratamiento diferenciado y permanente mediante los mecanismos ordinarios con los que cuenta el Estado para abordar problemas funcionales y estructurales”</w:t>
            </w:r>
            <w:r w:rsidRPr="00211504">
              <w:rPr>
                <w:rStyle w:val="Refdenotaalpie"/>
                <w:rFonts w:eastAsia="Times New Roman" w:cs="Times New Roman"/>
                <w:color w:val="000000" w:themeColor="text1"/>
              </w:rPr>
              <w:footnoteReference w:id="866"/>
            </w:r>
            <w:r w:rsidRPr="00211504">
              <w:rPr>
                <w:rFonts w:eastAsia="Times New Roman" w:cs="Times New Roman"/>
                <w:color w:val="000000" w:themeColor="text1"/>
              </w:rPr>
              <w:t>. No obstante, precisó que el presidente y el ministro de defensa han sido negligentes al no actuar con diligencia para mitigar los hechos violentos en la zona, a través de las medidas pertinentes</w:t>
            </w:r>
            <w:r w:rsidRPr="00211504">
              <w:rPr>
                <w:rStyle w:val="Refdenotaalpie"/>
                <w:rFonts w:eastAsia="Times New Roman" w:cs="Times New Roman"/>
                <w:color w:val="000000" w:themeColor="text1"/>
              </w:rPr>
              <w:footnoteReference w:id="867"/>
            </w:r>
            <w:r w:rsidRPr="00211504">
              <w:rPr>
                <w:rFonts w:eastAsia="Times New Roman" w:cs="Times New Roman"/>
                <w:color w:val="000000" w:themeColor="text1"/>
              </w:rPr>
              <w:t xml:space="preserve">. </w:t>
            </w:r>
          </w:p>
          <w:p w14:paraId="70EEB13F" w14:textId="77777777" w:rsidR="00C454A1" w:rsidRPr="00211504" w:rsidRDefault="00C454A1" w:rsidP="00881E6A">
            <w:pPr>
              <w:spacing w:after="120"/>
              <w:ind w:right="272"/>
              <w:contextualSpacing/>
              <w:rPr>
                <w:rFonts w:eastAsia="Times New Roman" w:cs="Times New Roman"/>
                <w:color w:val="000000" w:themeColor="text1"/>
              </w:rPr>
            </w:pPr>
          </w:p>
          <w:p w14:paraId="1012B8D9"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Advirtió que </w:t>
            </w:r>
            <w:r w:rsidRPr="00211504">
              <w:rPr>
                <w:rFonts w:eastAsia="Times New Roman" w:cs="Times New Roman"/>
                <w:i/>
                <w:iCs/>
                <w:color w:val="000000" w:themeColor="text1"/>
              </w:rPr>
              <w:t xml:space="preserve">(i) </w:t>
            </w:r>
            <w:r w:rsidRPr="00211504">
              <w:rPr>
                <w:rFonts w:eastAsia="Times New Roman" w:cs="Times New Roman"/>
                <w:color w:val="000000" w:themeColor="text1"/>
              </w:rPr>
              <w:t>la inteligencia militar tenían conocimiento de que “el ELN envió integrantes del Frente de Guerra Oriental hacia la región del Catatumbo para fortalecer su presencia y ejecutar las acciones criminales”</w:t>
            </w:r>
            <w:r w:rsidRPr="00211504">
              <w:rPr>
                <w:rStyle w:val="Refdenotaalpie"/>
                <w:rFonts w:eastAsia="Times New Roman" w:cs="Times New Roman"/>
                <w:color w:val="000000" w:themeColor="text1"/>
              </w:rPr>
              <w:footnoteReference w:id="868"/>
            </w:r>
            <w:r w:rsidRPr="00211504">
              <w:rPr>
                <w:rFonts w:eastAsia="Times New Roman" w:cs="Times New Roman"/>
                <w:color w:val="000000" w:themeColor="text1"/>
              </w:rPr>
              <w:t xml:space="preserve">; </w:t>
            </w:r>
            <w:r w:rsidRPr="00211504">
              <w:rPr>
                <w:rFonts w:eastAsia="Times New Roman" w:cs="Times New Roman"/>
                <w:i/>
                <w:iCs/>
                <w:color w:val="000000" w:themeColor="text1"/>
              </w:rPr>
              <w:t xml:space="preserve">(ii) </w:t>
            </w:r>
            <w:r w:rsidRPr="00211504">
              <w:rPr>
                <w:rFonts w:eastAsia="Times New Roman" w:cs="Times New Roman"/>
                <w:color w:val="000000" w:themeColor="text1"/>
              </w:rPr>
              <w:t>en la zona se presenta</w:t>
            </w:r>
            <w:r w:rsidRPr="00211504">
              <w:rPr>
                <w:rFonts w:eastAsia="Times New Roman" w:cs="Times New Roman"/>
                <w:i/>
                <w:iCs/>
                <w:color w:val="000000" w:themeColor="text1"/>
              </w:rPr>
              <w:t xml:space="preserve"> </w:t>
            </w:r>
            <w:r w:rsidRPr="00211504">
              <w:rPr>
                <w:rFonts w:eastAsia="Times New Roman" w:cs="Times New Roman"/>
                <w:color w:val="000000" w:themeColor="text1"/>
              </w:rPr>
              <w:t>un conflicto armado prolongado que no puede considerarse como “un fenómeno inesperado o fuera de lo común”</w:t>
            </w:r>
            <w:r w:rsidRPr="00211504">
              <w:rPr>
                <w:rStyle w:val="Refdenotaalpie"/>
                <w:rFonts w:eastAsia="Times New Roman" w:cs="Times New Roman"/>
                <w:color w:val="000000" w:themeColor="text1"/>
              </w:rPr>
              <w:footnoteReference w:id="869"/>
            </w:r>
            <w:r w:rsidRPr="00211504">
              <w:rPr>
                <w:rFonts w:eastAsia="Times New Roman" w:cs="Times New Roman"/>
                <w:color w:val="000000" w:themeColor="text1"/>
              </w:rPr>
              <w:t>;</w:t>
            </w:r>
            <w:r w:rsidRPr="00211504">
              <w:rPr>
                <w:rFonts w:eastAsia="Times New Roman" w:cs="Times New Roman"/>
                <w:i/>
                <w:color w:val="000000" w:themeColor="text1"/>
              </w:rPr>
              <w:t xml:space="preserve"> (iii)</w:t>
            </w:r>
            <w:r w:rsidRPr="00211504">
              <w:rPr>
                <w:rFonts w:eastAsia="Times New Roman" w:cs="Times New Roman"/>
                <w:color w:val="000000" w:themeColor="text1"/>
              </w:rPr>
              <w:t xml:space="preserve"> al declararse el estado de conmoción interior se desconoció el poder de policía</w:t>
            </w:r>
            <w:r w:rsidRPr="00211504">
              <w:rPr>
                <w:rStyle w:val="Refdenotaalpie"/>
                <w:rFonts w:eastAsia="Times New Roman" w:cs="Times New Roman"/>
                <w:color w:val="000000" w:themeColor="text1"/>
              </w:rPr>
              <w:footnoteReference w:id="870"/>
            </w:r>
            <w:r w:rsidRPr="00211504">
              <w:rPr>
                <w:rFonts w:eastAsia="Times New Roman" w:cs="Times New Roman"/>
                <w:color w:val="000000" w:themeColor="text1"/>
              </w:rPr>
              <w:t xml:space="preserve">; y </w:t>
            </w:r>
            <w:r w:rsidRPr="00211504">
              <w:rPr>
                <w:rFonts w:eastAsia="Times New Roman" w:cs="Times New Roman"/>
                <w:i/>
                <w:iCs/>
                <w:color w:val="000000" w:themeColor="text1"/>
              </w:rPr>
              <w:t xml:space="preserve">(iv) </w:t>
            </w:r>
            <w:r w:rsidRPr="00211504">
              <w:rPr>
                <w:rFonts w:eastAsia="Times New Roman" w:cs="Times New Roman"/>
                <w:color w:val="000000" w:themeColor="text1"/>
              </w:rPr>
              <w:t xml:space="preserve">la raíz de esta problemática no se limita únicamente a la ausencia de una infraestructura adecuada o a la </w:t>
            </w:r>
            <w:r w:rsidRPr="00211504">
              <w:rPr>
                <w:rFonts w:eastAsia="Times New Roman" w:cs="Times New Roman"/>
                <w:color w:val="000000" w:themeColor="text1"/>
              </w:rPr>
              <w:lastRenderedPageBreak/>
              <w:t>debilidad del sistema institucional, por el contrario, en su criterio también es consecuencia de la desatención por parte del Estado</w:t>
            </w:r>
            <w:r w:rsidRPr="00211504">
              <w:rPr>
                <w:rStyle w:val="Refdenotaalpie"/>
                <w:rFonts w:eastAsia="Times New Roman" w:cs="Times New Roman"/>
                <w:color w:val="000000" w:themeColor="text1"/>
              </w:rPr>
              <w:footnoteReference w:id="871"/>
            </w:r>
            <w:r w:rsidRPr="00211504">
              <w:rPr>
                <w:rFonts w:eastAsia="Times New Roman" w:cs="Times New Roman"/>
                <w:color w:val="000000" w:themeColor="text1"/>
              </w:rPr>
              <w:t>.</w:t>
            </w:r>
          </w:p>
        </w:tc>
      </w:tr>
      <w:tr w:rsidR="00C454A1" w:rsidRPr="00F8202F" w14:paraId="4925F9DB" w14:textId="77777777" w:rsidTr="005F4A6F">
        <w:trPr>
          <w:trHeight w:val="300"/>
        </w:trPr>
        <w:tc>
          <w:tcPr>
            <w:tcW w:w="813" w:type="pct"/>
            <w:vAlign w:val="center"/>
          </w:tcPr>
          <w:p w14:paraId="69CDB374" w14:textId="77777777" w:rsidR="00C454A1" w:rsidRPr="00211504" w:rsidRDefault="00C454A1" w:rsidP="00881E6A">
            <w:pPr>
              <w:spacing w:after="120"/>
              <w:ind w:right="272"/>
              <w:contextualSpacing/>
              <w:jc w:val="center"/>
              <w:rPr>
                <w:rFonts w:eastAsia="Times New Roman" w:cs="Times New Roman"/>
                <w:b/>
                <w:color w:val="000000" w:themeColor="text1"/>
              </w:rPr>
            </w:pPr>
            <w:bookmarkStart w:id="236" w:name="_Hlk195045530"/>
            <w:r w:rsidRPr="00211504">
              <w:rPr>
                <w:rFonts w:eastAsia="Times New Roman" w:cs="Times New Roman"/>
                <w:b/>
                <w:color w:val="000000" w:themeColor="text1"/>
              </w:rPr>
              <w:lastRenderedPageBreak/>
              <w:t>Universidad Santo Tomás de Bucaramanga</w:t>
            </w:r>
            <w:bookmarkEnd w:id="236"/>
          </w:p>
        </w:tc>
        <w:tc>
          <w:tcPr>
            <w:tcW w:w="4187" w:type="pct"/>
          </w:tcPr>
          <w:p w14:paraId="136A65C0"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Solicitó declarar la</w:t>
            </w:r>
            <w:r w:rsidRPr="00211504">
              <w:rPr>
                <w:rFonts w:eastAsia="Times New Roman" w:cs="Times New Roman"/>
                <w:i/>
                <w:iCs/>
                <w:color w:val="000000" w:themeColor="text1"/>
              </w:rPr>
              <w:t xml:space="preserve"> exequibilidad </w:t>
            </w:r>
            <w:r w:rsidRPr="00211504">
              <w:rPr>
                <w:rFonts w:eastAsia="Times New Roman" w:cs="Times New Roman"/>
                <w:color w:val="000000" w:themeColor="text1"/>
              </w:rPr>
              <w:t xml:space="preserve">del Decreto Legislativo 062 de 2025. En relación con el presupuesto </w:t>
            </w:r>
            <w:r w:rsidRPr="00211504">
              <w:rPr>
                <w:rFonts w:eastAsia="Times New Roman" w:cs="Times New Roman"/>
                <w:i/>
                <w:iCs/>
                <w:color w:val="000000" w:themeColor="text1"/>
              </w:rPr>
              <w:t>fáctico</w:t>
            </w:r>
            <w:r w:rsidRPr="00211504">
              <w:rPr>
                <w:rFonts w:eastAsia="Times New Roman" w:cs="Times New Roman"/>
                <w:color w:val="000000" w:themeColor="text1"/>
              </w:rPr>
              <w:t>, recordó que la Corte Constitucional en la sentencia SU-020 de 2022 declaró un estado de cosas inconstitucional por incumplimiento del Acuerdo de Paz con las FARC-EP, lo que evidenció una falta de ejecución de políticas públicas para la protección de los firmantes de paz</w:t>
            </w:r>
            <w:r w:rsidRPr="00211504">
              <w:rPr>
                <w:rStyle w:val="Refdenotaalpie"/>
                <w:rFonts w:eastAsia="Times New Roman" w:cs="Times New Roman"/>
                <w:color w:val="000000" w:themeColor="text1"/>
              </w:rPr>
              <w:footnoteReference w:id="872"/>
            </w:r>
            <w:r w:rsidRPr="00211504">
              <w:rPr>
                <w:rFonts w:eastAsia="Times New Roman" w:cs="Times New Roman"/>
                <w:color w:val="000000" w:themeColor="text1"/>
              </w:rPr>
              <w:t>. Señaló que la Defensoría del Pueblo alertó sobre una grave crisis humanitaria y de seguridad en el Catatumbo puesto que los desplazamientos forzados y los ataques contra la población civil se estaban intensificando</w:t>
            </w:r>
            <w:r w:rsidRPr="00211504">
              <w:rPr>
                <w:rStyle w:val="Refdenotaalpie"/>
                <w:rFonts w:eastAsia="Times New Roman" w:cs="Times New Roman"/>
                <w:color w:val="000000" w:themeColor="text1"/>
              </w:rPr>
              <w:footnoteReference w:id="873"/>
            </w:r>
            <w:r w:rsidRPr="00211504">
              <w:rPr>
                <w:rFonts w:eastAsia="Times New Roman" w:cs="Times New Roman"/>
                <w:color w:val="000000" w:themeColor="text1"/>
              </w:rPr>
              <w:t xml:space="preserve">. </w:t>
            </w:r>
          </w:p>
          <w:p w14:paraId="73CE2CD8" w14:textId="77777777" w:rsidR="00C454A1" w:rsidRPr="00211504" w:rsidRDefault="00C454A1" w:rsidP="00881E6A">
            <w:pPr>
              <w:spacing w:after="120"/>
              <w:ind w:right="272"/>
              <w:contextualSpacing/>
              <w:rPr>
                <w:rFonts w:eastAsia="Times New Roman" w:cs="Times New Roman"/>
                <w:color w:val="000000" w:themeColor="text1"/>
              </w:rPr>
            </w:pPr>
          </w:p>
          <w:p w14:paraId="479B6037"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Sobre el presupuesto </w:t>
            </w:r>
            <w:r w:rsidRPr="00211504">
              <w:rPr>
                <w:rFonts w:eastAsia="Times New Roman" w:cs="Times New Roman"/>
                <w:i/>
                <w:iCs/>
                <w:color w:val="000000" w:themeColor="text1"/>
              </w:rPr>
              <w:t>valorativo</w:t>
            </w:r>
            <w:r w:rsidRPr="00211504">
              <w:rPr>
                <w:rFonts w:eastAsia="Times New Roman" w:cs="Times New Roman"/>
                <w:color w:val="000000" w:themeColor="text1"/>
              </w:rPr>
              <w:t>, manifestó que, desde el 15 de enero de 2025, el ELN ejecutó actos de violencia contra la población civil, líderes sociales y firmantes del Acuerdo de Paz del Catatumbo, situación que desestabilizó a la región</w:t>
            </w:r>
            <w:r w:rsidRPr="00211504">
              <w:rPr>
                <w:rStyle w:val="Refdenotaalpie"/>
                <w:rFonts w:eastAsia="Times New Roman" w:cs="Times New Roman"/>
                <w:color w:val="000000" w:themeColor="text1"/>
              </w:rPr>
              <w:footnoteReference w:id="874"/>
            </w:r>
            <w:r w:rsidRPr="00211504">
              <w:rPr>
                <w:rFonts w:eastAsia="Times New Roman" w:cs="Times New Roman"/>
                <w:color w:val="000000" w:themeColor="text1"/>
              </w:rPr>
              <w:t xml:space="preserve">. Asimismo, precisó que, como lo establece el Decreto Legislativo 062 de 2025, los acontecimientos violentos en el Catatumbo </w:t>
            </w:r>
            <w:r w:rsidRPr="00211504">
              <w:rPr>
                <w:rFonts w:eastAsia="Times New Roman" w:cs="Times New Roman"/>
                <w:i/>
                <w:iCs/>
                <w:color w:val="000000" w:themeColor="text1"/>
              </w:rPr>
              <w:t>(i)</w:t>
            </w:r>
            <w:r w:rsidRPr="00211504">
              <w:rPr>
                <w:rFonts w:eastAsia="Times New Roman" w:cs="Times New Roman"/>
                <w:color w:val="000000" w:themeColor="text1"/>
              </w:rPr>
              <w:t xml:space="preserve"> configuran una crisis humanitaria y </w:t>
            </w:r>
            <w:r w:rsidRPr="00211504">
              <w:rPr>
                <w:rFonts w:eastAsia="Times New Roman" w:cs="Times New Roman"/>
                <w:i/>
                <w:iCs/>
                <w:color w:val="000000" w:themeColor="text1"/>
              </w:rPr>
              <w:t>(ii)</w:t>
            </w:r>
            <w:r w:rsidRPr="00211504">
              <w:rPr>
                <w:rFonts w:eastAsia="Times New Roman" w:cs="Times New Roman"/>
                <w:color w:val="000000" w:themeColor="text1"/>
              </w:rPr>
              <w:t xml:space="preserve"> desborda la capacidad ordinaria del Estado</w:t>
            </w:r>
            <w:r w:rsidRPr="00211504">
              <w:rPr>
                <w:rStyle w:val="Refdenotaalpie"/>
                <w:rFonts w:eastAsia="Times New Roman" w:cs="Times New Roman"/>
                <w:color w:val="000000" w:themeColor="text1"/>
              </w:rPr>
              <w:footnoteReference w:id="875"/>
            </w:r>
            <w:r w:rsidRPr="00211504">
              <w:rPr>
                <w:rFonts w:eastAsia="Times New Roman" w:cs="Times New Roman"/>
                <w:color w:val="000000" w:themeColor="text1"/>
              </w:rPr>
              <w:t>.</w:t>
            </w:r>
          </w:p>
          <w:p w14:paraId="2EC700AA" w14:textId="77777777" w:rsidR="00C454A1" w:rsidRPr="00211504" w:rsidRDefault="00C454A1" w:rsidP="00881E6A">
            <w:pPr>
              <w:spacing w:after="120"/>
              <w:ind w:right="272"/>
              <w:contextualSpacing/>
              <w:rPr>
                <w:rFonts w:eastAsia="Times New Roman" w:cs="Times New Roman"/>
                <w:color w:val="000000" w:themeColor="text1"/>
              </w:rPr>
            </w:pPr>
          </w:p>
          <w:p w14:paraId="237135B4" w14:textId="77777777" w:rsidR="00C454A1" w:rsidRPr="00211504" w:rsidRDefault="00C454A1" w:rsidP="00881E6A">
            <w:pPr>
              <w:spacing w:after="120"/>
              <w:ind w:right="272"/>
              <w:contextualSpacing/>
            </w:pPr>
            <w:r w:rsidRPr="00211504">
              <w:rPr>
                <w:rFonts w:eastAsia="Times New Roman" w:cs="Times New Roman"/>
                <w:color w:val="000000" w:themeColor="text1"/>
              </w:rPr>
              <w:t xml:space="preserve">Respecto del requisito de </w:t>
            </w:r>
            <w:r w:rsidRPr="00211504">
              <w:rPr>
                <w:rFonts w:eastAsia="Times New Roman" w:cs="Times New Roman"/>
                <w:i/>
                <w:iCs/>
                <w:color w:val="000000" w:themeColor="text1"/>
              </w:rPr>
              <w:t>suficiencia</w:t>
            </w:r>
            <w:r w:rsidRPr="00211504">
              <w:rPr>
                <w:rFonts w:eastAsia="Times New Roman" w:cs="Times New Roman"/>
                <w:color w:val="000000" w:themeColor="text1"/>
              </w:rPr>
              <w:t>, adujo que la necesidad de adopción de medidas excepcionales para atender la crisis en la región del Catatumbo se sustenta en la ineficacia de los mecanismos ordinarios para enfrentar la magnitud del problema</w:t>
            </w:r>
            <w:r w:rsidRPr="00211504">
              <w:rPr>
                <w:rStyle w:val="Refdenotaalpie"/>
                <w:rFonts w:eastAsia="Times New Roman" w:cs="Times New Roman"/>
                <w:color w:val="000000" w:themeColor="text1"/>
              </w:rPr>
              <w:footnoteReference w:id="876"/>
            </w:r>
            <w:r w:rsidRPr="00211504">
              <w:rPr>
                <w:rFonts w:eastAsia="Times New Roman" w:cs="Times New Roman"/>
                <w:color w:val="000000" w:themeColor="text1"/>
              </w:rPr>
              <w:t xml:space="preserve">. Mencionó que el estado de conmoción interior abordará la crisis de manera integral y eficaz permitiendo </w:t>
            </w:r>
            <w:r w:rsidRPr="00211504">
              <w:rPr>
                <w:rFonts w:eastAsia="Times New Roman" w:cs="Times New Roman"/>
                <w:i/>
                <w:iCs/>
                <w:color w:val="000000" w:themeColor="text1"/>
              </w:rPr>
              <w:t xml:space="preserve">(i) </w:t>
            </w:r>
            <w:r w:rsidRPr="00211504">
              <w:rPr>
                <w:rFonts w:eastAsia="Times New Roman" w:cs="Times New Roman"/>
                <w:color w:val="000000" w:themeColor="text1"/>
              </w:rPr>
              <w:t xml:space="preserve">el fortalecimiento del control del espacio aéreo y de las capacidades de inteligencia y policía judicial para garantizar la seguridad; </w:t>
            </w:r>
            <w:r w:rsidRPr="00211504">
              <w:rPr>
                <w:rFonts w:eastAsia="Times New Roman" w:cs="Times New Roman"/>
                <w:i/>
                <w:iCs/>
                <w:color w:val="000000" w:themeColor="text1"/>
              </w:rPr>
              <w:t>(ii)</w:t>
            </w:r>
            <w:r w:rsidRPr="00211504">
              <w:rPr>
                <w:rFonts w:eastAsia="Times New Roman" w:cs="Times New Roman"/>
                <w:color w:val="000000" w:themeColor="text1"/>
              </w:rPr>
              <w:t xml:space="preserve"> las restricciones en la comercialización y transporte de bienes que </w:t>
            </w:r>
            <w:r w:rsidRPr="00211504">
              <w:rPr>
                <w:rFonts w:eastAsia="Times New Roman" w:cs="Times New Roman"/>
                <w:color w:val="000000" w:themeColor="text1"/>
              </w:rPr>
              <w:lastRenderedPageBreak/>
              <w:t xml:space="preserve">financian a los grupos armados; </w:t>
            </w:r>
            <w:r w:rsidRPr="00211504">
              <w:rPr>
                <w:rFonts w:eastAsia="Times New Roman" w:cs="Times New Roman"/>
                <w:i/>
                <w:iCs/>
                <w:color w:val="000000" w:themeColor="text1"/>
              </w:rPr>
              <w:t xml:space="preserve">(iii) </w:t>
            </w:r>
            <w:r w:rsidRPr="00211504">
              <w:rPr>
                <w:rFonts w:eastAsia="Times New Roman" w:cs="Times New Roman"/>
                <w:color w:val="000000" w:themeColor="text1"/>
              </w:rPr>
              <w:t xml:space="preserve">la recuperación del control territorial y la prevención del desplazamientos forzado; y </w:t>
            </w:r>
            <w:r w:rsidRPr="00211504">
              <w:rPr>
                <w:rFonts w:eastAsia="Times New Roman" w:cs="Times New Roman"/>
                <w:i/>
                <w:iCs/>
                <w:color w:val="000000" w:themeColor="text1"/>
              </w:rPr>
              <w:t>(iv)</w:t>
            </w:r>
            <w:r w:rsidRPr="00211504">
              <w:rPr>
                <w:rFonts w:eastAsia="Times New Roman" w:cs="Times New Roman"/>
                <w:color w:val="000000" w:themeColor="text1"/>
              </w:rPr>
              <w:t xml:space="preserve"> agilizará la ejecución de recursos y se otorgan facultades especiales a las entidades territoriales para responder a la crisis</w:t>
            </w:r>
            <w:r w:rsidRPr="00211504">
              <w:rPr>
                <w:rStyle w:val="Refdenotaalpie"/>
                <w:rFonts w:eastAsia="Times New Roman" w:cs="Times New Roman"/>
                <w:color w:val="000000" w:themeColor="text1"/>
              </w:rPr>
              <w:footnoteReference w:id="877"/>
            </w:r>
            <w:r w:rsidRPr="00211504">
              <w:rPr>
                <w:rFonts w:eastAsia="Times New Roman" w:cs="Times New Roman"/>
                <w:color w:val="000000" w:themeColor="text1"/>
              </w:rPr>
              <w:t>.</w:t>
            </w:r>
          </w:p>
        </w:tc>
      </w:tr>
      <w:tr w:rsidR="00C454A1" w:rsidRPr="00F8202F" w14:paraId="3AF604A2" w14:textId="77777777" w:rsidTr="005F4A6F">
        <w:trPr>
          <w:trHeight w:val="300"/>
        </w:trPr>
        <w:tc>
          <w:tcPr>
            <w:tcW w:w="813" w:type="pct"/>
            <w:vAlign w:val="center"/>
          </w:tcPr>
          <w:p w14:paraId="50EF1AA1" w14:textId="77777777" w:rsidR="00C454A1" w:rsidRPr="00211504" w:rsidRDefault="00C454A1" w:rsidP="00881E6A">
            <w:pPr>
              <w:spacing w:after="120"/>
              <w:ind w:right="272"/>
              <w:contextualSpacing/>
              <w:jc w:val="center"/>
              <w:rPr>
                <w:rFonts w:eastAsia="Times New Roman" w:cs="Times New Roman"/>
                <w:b/>
                <w:color w:val="000000" w:themeColor="text1"/>
              </w:rPr>
            </w:pPr>
            <w:r w:rsidRPr="00211504">
              <w:rPr>
                <w:rFonts w:eastAsia="Times New Roman" w:cs="Times New Roman"/>
                <w:b/>
                <w:color w:val="000000" w:themeColor="text1"/>
              </w:rPr>
              <w:lastRenderedPageBreak/>
              <w:t>Daniel Arias Rivera</w:t>
            </w:r>
          </w:p>
        </w:tc>
        <w:tc>
          <w:tcPr>
            <w:tcW w:w="4187" w:type="pct"/>
          </w:tcPr>
          <w:p w14:paraId="7FDD64AE"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Solicitó declarar la</w:t>
            </w:r>
            <w:r w:rsidRPr="00211504">
              <w:rPr>
                <w:rFonts w:eastAsia="Times New Roman" w:cs="Times New Roman"/>
                <w:i/>
                <w:iCs/>
                <w:color w:val="000000" w:themeColor="text1"/>
              </w:rPr>
              <w:t xml:space="preserve"> inexequibilidad </w:t>
            </w:r>
            <w:r w:rsidRPr="00211504">
              <w:rPr>
                <w:rFonts w:eastAsia="Times New Roman" w:cs="Times New Roman"/>
                <w:color w:val="000000" w:themeColor="text1"/>
              </w:rPr>
              <w:t>del Decreto Legislativo 062 de 2025. Indicó que la Sentencia SU-020 de 2022 y la Alerta Temprana 026 de 2024 de la Defensoría del Pueblo demuestran que la crisis no es un hecho sobreviniente</w:t>
            </w:r>
            <w:r w:rsidRPr="00211504">
              <w:rPr>
                <w:rStyle w:val="Refdenotaalpie"/>
                <w:rFonts w:eastAsia="Times New Roman" w:cs="Times New Roman"/>
                <w:color w:val="000000" w:themeColor="text1"/>
              </w:rPr>
              <w:footnoteReference w:id="878"/>
            </w:r>
            <w:r w:rsidRPr="00211504">
              <w:rPr>
                <w:rFonts w:eastAsia="Times New Roman" w:cs="Times New Roman"/>
                <w:color w:val="000000" w:themeColor="text1"/>
              </w:rPr>
              <w:t xml:space="preserve">. Expuso que esta última advirtió sobre tres escenarios de riesgo: </w:t>
            </w:r>
            <w:r w:rsidRPr="00211504">
              <w:rPr>
                <w:rFonts w:eastAsia="Times New Roman" w:cs="Times New Roman"/>
                <w:i/>
                <w:iCs/>
                <w:color w:val="000000" w:themeColor="text1"/>
              </w:rPr>
              <w:t>(i)</w:t>
            </w:r>
            <w:r w:rsidRPr="00211504">
              <w:rPr>
                <w:rFonts w:eastAsia="Times New Roman" w:cs="Times New Roman"/>
                <w:color w:val="000000" w:themeColor="text1"/>
              </w:rPr>
              <w:t xml:space="preserve"> la intensificación de los ataques del ELN tras el cese bilateral con el </w:t>
            </w:r>
            <w:r>
              <w:rPr>
                <w:rFonts w:eastAsia="Times New Roman" w:cs="Times New Roman"/>
                <w:color w:val="000000" w:themeColor="text1"/>
              </w:rPr>
              <w:t>G</w:t>
            </w:r>
            <w:r w:rsidRPr="00211504">
              <w:rPr>
                <w:rFonts w:eastAsia="Times New Roman" w:cs="Times New Roman"/>
                <w:color w:val="000000" w:themeColor="text1"/>
              </w:rPr>
              <w:t>obierno</w:t>
            </w:r>
            <w:r>
              <w:rPr>
                <w:rFonts w:eastAsia="Times New Roman" w:cs="Times New Roman"/>
                <w:color w:val="000000" w:themeColor="text1"/>
              </w:rPr>
              <w:t xml:space="preserve"> nacional</w:t>
            </w:r>
            <w:r w:rsidRPr="00211504">
              <w:rPr>
                <w:rFonts w:eastAsia="Times New Roman" w:cs="Times New Roman"/>
                <w:i/>
                <w:iCs/>
                <w:color w:val="000000" w:themeColor="text1"/>
              </w:rPr>
              <w:t>; (ii)</w:t>
            </w:r>
            <w:r w:rsidRPr="00211504">
              <w:rPr>
                <w:rFonts w:eastAsia="Times New Roman" w:cs="Times New Roman"/>
                <w:color w:val="000000" w:themeColor="text1"/>
              </w:rPr>
              <w:t xml:space="preserve"> el conflicto con el EPL y; </w:t>
            </w:r>
            <w:r w:rsidRPr="00211504">
              <w:rPr>
                <w:rFonts w:eastAsia="Times New Roman" w:cs="Times New Roman"/>
                <w:i/>
                <w:iCs/>
                <w:color w:val="000000" w:themeColor="text1"/>
              </w:rPr>
              <w:t xml:space="preserve">(iii) </w:t>
            </w:r>
            <w:r w:rsidRPr="00211504">
              <w:rPr>
                <w:rFonts w:eastAsia="Times New Roman" w:cs="Times New Roman"/>
                <w:color w:val="000000" w:themeColor="text1"/>
              </w:rPr>
              <w:t>la ocupación de territorios por parte de las disidencias de las FARC</w:t>
            </w:r>
            <w:r w:rsidRPr="00211504">
              <w:rPr>
                <w:rStyle w:val="Refdenotaalpie"/>
                <w:rFonts w:eastAsia="Times New Roman" w:cs="Times New Roman"/>
                <w:color w:val="000000" w:themeColor="text1"/>
              </w:rPr>
              <w:footnoteReference w:id="879"/>
            </w:r>
            <w:r w:rsidRPr="00211504">
              <w:rPr>
                <w:rFonts w:eastAsia="Times New Roman" w:cs="Times New Roman"/>
                <w:color w:val="000000" w:themeColor="text1"/>
              </w:rPr>
              <w:t>. En ese sentido, afirmó que los enfrentamientos armados entre “el Frente 33 de las disidencias de las FARC y el ELN eran previsibles”</w:t>
            </w:r>
            <w:r w:rsidRPr="00211504">
              <w:rPr>
                <w:rStyle w:val="Refdenotaalpie"/>
                <w:rFonts w:eastAsia="Times New Roman" w:cs="Times New Roman"/>
                <w:color w:val="000000" w:themeColor="text1"/>
              </w:rPr>
              <w:footnoteReference w:id="880"/>
            </w:r>
            <w:r w:rsidRPr="00211504">
              <w:rPr>
                <w:rFonts w:eastAsia="Times New Roman" w:cs="Times New Roman"/>
                <w:color w:val="000000" w:themeColor="text1"/>
              </w:rPr>
              <w:t>. Asimismo, precisó que la crisis humanitaria por la que está atravesando el Catatumbo se deriva de la ausencia de una estrategia efectiva por parte del Estado desde 1997</w:t>
            </w:r>
            <w:r w:rsidRPr="00211504">
              <w:rPr>
                <w:rStyle w:val="Refdenotaalpie"/>
                <w:rFonts w:eastAsia="Times New Roman" w:cs="Times New Roman"/>
                <w:color w:val="000000" w:themeColor="text1"/>
              </w:rPr>
              <w:footnoteReference w:id="881"/>
            </w:r>
            <w:r w:rsidRPr="00211504">
              <w:rPr>
                <w:rFonts w:eastAsia="Times New Roman" w:cs="Times New Roman"/>
                <w:color w:val="000000" w:themeColor="text1"/>
              </w:rPr>
              <w:t>.</w:t>
            </w:r>
          </w:p>
          <w:p w14:paraId="6B6C7160" w14:textId="77777777" w:rsidR="00C454A1" w:rsidRPr="00211504" w:rsidRDefault="00C454A1" w:rsidP="00881E6A">
            <w:pPr>
              <w:spacing w:after="120"/>
              <w:ind w:right="272"/>
              <w:contextualSpacing/>
              <w:rPr>
                <w:rFonts w:eastAsia="Times New Roman" w:cs="Times New Roman"/>
                <w:color w:val="000000" w:themeColor="text1"/>
              </w:rPr>
            </w:pPr>
          </w:p>
          <w:p w14:paraId="3A466DFB" w14:textId="77777777" w:rsidR="00C454A1" w:rsidRPr="00211504" w:rsidRDefault="00C454A1" w:rsidP="00881E6A">
            <w:pPr>
              <w:spacing w:after="120"/>
              <w:ind w:right="272"/>
              <w:contextualSpacing/>
            </w:pPr>
            <w:r w:rsidRPr="00211504">
              <w:rPr>
                <w:rFonts w:eastAsia="Times New Roman" w:cs="Times New Roman"/>
                <w:color w:val="000000" w:themeColor="text1"/>
              </w:rPr>
              <w:t xml:space="preserve">Por otro lado, consideró que el </w:t>
            </w:r>
            <w:r>
              <w:rPr>
                <w:rFonts w:eastAsia="Times New Roman" w:cs="Times New Roman"/>
                <w:color w:val="000000" w:themeColor="text1"/>
              </w:rPr>
              <w:t>G</w:t>
            </w:r>
            <w:r w:rsidRPr="00211504">
              <w:rPr>
                <w:rFonts w:eastAsia="Times New Roman" w:cs="Times New Roman"/>
                <w:color w:val="000000" w:themeColor="text1"/>
              </w:rPr>
              <w:t>obierno</w:t>
            </w:r>
            <w:r>
              <w:rPr>
                <w:rFonts w:eastAsia="Times New Roman" w:cs="Times New Roman"/>
                <w:color w:val="000000" w:themeColor="text1"/>
              </w:rPr>
              <w:t xml:space="preserve"> nacional</w:t>
            </w:r>
            <w:r w:rsidRPr="00211504">
              <w:rPr>
                <w:rFonts w:eastAsia="Times New Roman" w:cs="Times New Roman"/>
                <w:color w:val="000000" w:themeColor="text1"/>
              </w:rPr>
              <w:t xml:space="preserve"> disponía de mecanismos jurídicos y operativos suficientes para abordar la crisis en el Catatumbo sin recurrir a un estado de excepción</w:t>
            </w:r>
            <w:r w:rsidRPr="00211504">
              <w:rPr>
                <w:rStyle w:val="Refdenotaalpie"/>
                <w:rFonts w:eastAsia="Times New Roman" w:cs="Times New Roman"/>
                <w:color w:val="000000" w:themeColor="text1"/>
              </w:rPr>
              <w:footnoteReference w:id="882"/>
            </w:r>
            <w:r w:rsidRPr="00211504">
              <w:rPr>
                <w:rFonts w:eastAsia="Times New Roman" w:cs="Times New Roman"/>
                <w:color w:val="000000" w:themeColor="text1"/>
              </w:rPr>
              <w:t>. Señaló que la falta de una estrategia para mitigar los picos de violencia y la omisión en el uso de medidas ordinarias contradicen los principios de necesidad y excepcionalidad que rigen la conmoción interior</w:t>
            </w:r>
            <w:r w:rsidRPr="00211504">
              <w:rPr>
                <w:rStyle w:val="Refdenotaalpie"/>
                <w:rFonts w:eastAsia="Times New Roman" w:cs="Times New Roman"/>
                <w:color w:val="000000" w:themeColor="text1"/>
              </w:rPr>
              <w:footnoteReference w:id="883"/>
            </w:r>
            <w:r w:rsidRPr="00211504">
              <w:rPr>
                <w:rFonts w:eastAsia="Times New Roman" w:cs="Times New Roman"/>
                <w:color w:val="000000" w:themeColor="text1"/>
              </w:rPr>
              <w:t xml:space="preserve">. Además, sostuvo que, desde el año 2022, persisten las omisiones del </w:t>
            </w:r>
            <w:r>
              <w:rPr>
                <w:rFonts w:eastAsia="Times New Roman" w:cs="Times New Roman"/>
                <w:color w:val="000000" w:themeColor="text1"/>
              </w:rPr>
              <w:t>G</w:t>
            </w:r>
            <w:r w:rsidRPr="00211504">
              <w:rPr>
                <w:rFonts w:eastAsia="Times New Roman" w:cs="Times New Roman"/>
                <w:color w:val="000000" w:themeColor="text1"/>
              </w:rPr>
              <w:t>obierno al no implementar medidas preventivas y correctivas oportunas, lo que generó la intensificación del conflicto</w:t>
            </w:r>
            <w:r w:rsidRPr="00211504">
              <w:rPr>
                <w:rStyle w:val="Refdenotaalpie"/>
                <w:rFonts w:eastAsia="Times New Roman" w:cs="Times New Roman"/>
                <w:color w:val="000000" w:themeColor="text1"/>
              </w:rPr>
              <w:footnoteReference w:id="884"/>
            </w:r>
            <w:r w:rsidRPr="00211504">
              <w:rPr>
                <w:rFonts w:eastAsia="Times New Roman" w:cs="Times New Roman"/>
                <w:color w:val="000000" w:themeColor="text1"/>
              </w:rPr>
              <w:t xml:space="preserve">. Finalmente, sostuvo que la ausencia de acciones concretas tras la expedición del </w:t>
            </w:r>
            <w:r w:rsidRPr="00211504">
              <w:rPr>
                <w:rFonts w:eastAsia="Times New Roman" w:cs="Times New Roman"/>
                <w:color w:val="000000" w:themeColor="text1"/>
              </w:rPr>
              <w:lastRenderedPageBreak/>
              <w:t>decreto evidencia que su propósito no fue una respuesta efectiva a la crisis humanitaria, sino una reacción tardía a una situación que pudo haberse prevenido mediante políticas adecuadas</w:t>
            </w:r>
            <w:r w:rsidRPr="00211504">
              <w:rPr>
                <w:rStyle w:val="Refdenotaalpie"/>
                <w:rFonts w:eastAsia="Times New Roman" w:cs="Times New Roman"/>
                <w:color w:val="000000" w:themeColor="text1"/>
              </w:rPr>
              <w:footnoteReference w:id="885"/>
            </w:r>
            <w:r w:rsidRPr="00211504">
              <w:rPr>
                <w:rFonts w:eastAsia="Times New Roman" w:cs="Times New Roman"/>
                <w:color w:val="000000" w:themeColor="text1"/>
              </w:rPr>
              <w:t>.</w:t>
            </w:r>
          </w:p>
        </w:tc>
      </w:tr>
      <w:tr w:rsidR="00C454A1" w:rsidRPr="00F8202F" w14:paraId="06C2AB97" w14:textId="77777777" w:rsidTr="005F4A6F">
        <w:trPr>
          <w:trHeight w:val="300"/>
        </w:trPr>
        <w:tc>
          <w:tcPr>
            <w:tcW w:w="813" w:type="pct"/>
            <w:vAlign w:val="center"/>
          </w:tcPr>
          <w:p w14:paraId="0B1C9B83" w14:textId="77777777" w:rsidR="00C454A1" w:rsidRPr="00211504" w:rsidRDefault="00C454A1" w:rsidP="00881E6A">
            <w:pPr>
              <w:spacing w:after="120"/>
              <w:ind w:right="272"/>
              <w:contextualSpacing/>
              <w:jc w:val="center"/>
              <w:rPr>
                <w:rFonts w:eastAsia="Times New Roman" w:cs="Times New Roman"/>
                <w:b/>
                <w:color w:val="000000" w:themeColor="text1"/>
              </w:rPr>
            </w:pPr>
            <w:bookmarkStart w:id="237" w:name="_Hlk195045713"/>
            <w:r w:rsidRPr="00211504">
              <w:rPr>
                <w:rFonts w:eastAsia="Times New Roman" w:cs="Times New Roman"/>
                <w:b/>
                <w:color w:val="000000" w:themeColor="text1"/>
              </w:rPr>
              <w:lastRenderedPageBreak/>
              <w:t>Universidad Libre</w:t>
            </w:r>
            <w:bookmarkEnd w:id="237"/>
          </w:p>
        </w:tc>
        <w:tc>
          <w:tcPr>
            <w:tcW w:w="4187" w:type="pct"/>
          </w:tcPr>
          <w:p w14:paraId="6386B034"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Solicitó a la Corte declarar </w:t>
            </w:r>
            <w:r w:rsidRPr="00211504">
              <w:rPr>
                <w:rFonts w:eastAsia="Times New Roman" w:cs="Times New Roman"/>
                <w:i/>
                <w:iCs/>
                <w:color w:val="000000" w:themeColor="text1"/>
              </w:rPr>
              <w:t xml:space="preserve">la exequibilidad </w:t>
            </w:r>
            <w:r w:rsidRPr="00211504">
              <w:rPr>
                <w:rFonts w:eastAsia="Times New Roman" w:cs="Times New Roman"/>
                <w:color w:val="000000" w:themeColor="text1"/>
              </w:rPr>
              <w:t xml:space="preserve">del Decreto Legislativo 062 de 2025. En relación con el presupuesto </w:t>
            </w:r>
            <w:r w:rsidRPr="00211504">
              <w:rPr>
                <w:rFonts w:eastAsia="Times New Roman" w:cs="Times New Roman"/>
                <w:i/>
                <w:iCs/>
                <w:color w:val="000000" w:themeColor="text1"/>
              </w:rPr>
              <w:t>fáctico</w:t>
            </w:r>
            <w:r w:rsidRPr="00211504">
              <w:rPr>
                <w:rFonts w:eastAsia="Times New Roman" w:cs="Times New Roman"/>
                <w:color w:val="000000" w:themeColor="text1"/>
              </w:rPr>
              <w:t>, señaló que la disputa territorial entre el ELN, las disidencias de las FARC y el grupo delincuencial “Los Pelusos”, ha generado una grave crisis humanitaria y afectaciones al orden público en la región del Catatumbo</w:t>
            </w:r>
            <w:r w:rsidRPr="00211504">
              <w:rPr>
                <w:rStyle w:val="Refdenotaalpie"/>
                <w:rFonts w:eastAsia="Times New Roman" w:cs="Times New Roman"/>
                <w:color w:val="000000" w:themeColor="text1"/>
              </w:rPr>
              <w:footnoteReference w:id="886"/>
            </w:r>
            <w:r w:rsidRPr="00211504">
              <w:rPr>
                <w:rFonts w:eastAsia="Times New Roman" w:cs="Times New Roman"/>
                <w:color w:val="000000" w:themeColor="text1"/>
              </w:rPr>
              <w:t>. Destacó que el 15 de noviembre de 2024 la Defensoría del Pueblo emitió la Alerta Temprana de Inminencia 026 de 2024, en la que advirtió sobre el riesgo inminente para diversas comunidades en Norte de Santander y el sur del Cesar y formuló recomendaciones para mitigar la amenaza</w:t>
            </w:r>
            <w:r w:rsidRPr="00211504">
              <w:rPr>
                <w:rStyle w:val="Refdenotaalpie"/>
                <w:rFonts w:eastAsia="Times New Roman" w:cs="Times New Roman"/>
                <w:color w:val="000000" w:themeColor="text1"/>
              </w:rPr>
              <w:footnoteReference w:id="887"/>
            </w:r>
            <w:r w:rsidRPr="00211504">
              <w:rPr>
                <w:rFonts w:eastAsia="Times New Roman" w:cs="Times New Roman"/>
                <w:color w:val="000000" w:themeColor="text1"/>
              </w:rPr>
              <w:t>. Refirió que, en cumplimiento de estas recomendaciones, las Fuerzas Militares y la Policía Nacional desplegaron operaciones para proteger a la población civil y para combatir el narcotráfico</w:t>
            </w:r>
            <w:r w:rsidRPr="00211504">
              <w:rPr>
                <w:rStyle w:val="Refdenotaalpie"/>
                <w:rFonts w:eastAsia="Times New Roman" w:cs="Times New Roman"/>
                <w:color w:val="000000" w:themeColor="text1"/>
              </w:rPr>
              <w:footnoteReference w:id="888"/>
            </w:r>
            <w:r w:rsidRPr="00211504">
              <w:rPr>
                <w:rFonts w:eastAsia="Times New Roman" w:cs="Times New Roman"/>
                <w:color w:val="000000" w:themeColor="text1"/>
              </w:rPr>
              <w:t>. Sin embargo, mencionó que a pesar de los esfuerzos para mitigar la situación la crisis se intensificó desde el 15 de enero de 2025</w:t>
            </w:r>
            <w:r w:rsidRPr="00211504">
              <w:rPr>
                <w:rStyle w:val="Refdenotaalpie"/>
                <w:rFonts w:eastAsia="Times New Roman" w:cs="Times New Roman"/>
                <w:color w:val="000000" w:themeColor="text1"/>
              </w:rPr>
              <w:footnoteReference w:id="889"/>
            </w:r>
            <w:r w:rsidRPr="00211504">
              <w:rPr>
                <w:rFonts w:eastAsia="Times New Roman" w:cs="Times New Roman"/>
                <w:color w:val="000000" w:themeColor="text1"/>
              </w:rPr>
              <w:t>.</w:t>
            </w:r>
          </w:p>
          <w:p w14:paraId="41229CE6" w14:textId="77777777" w:rsidR="00C454A1" w:rsidRPr="00211504" w:rsidRDefault="00C454A1" w:rsidP="00881E6A">
            <w:pPr>
              <w:spacing w:after="120"/>
              <w:ind w:right="272"/>
              <w:contextualSpacing/>
              <w:rPr>
                <w:rFonts w:eastAsia="Times New Roman" w:cs="Times New Roman"/>
                <w:color w:val="000000" w:themeColor="text1"/>
              </w:rPr>
            </w:pPr>
          </w:p>
          <w:p w14:paraId="67E9ED82"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Sobre el presupuesto </w:t>
            </w:r>
            <w:r w:rsidRPr="00211504">
              <w:rPr>
                <w:rFonts w:eastAsia="Times New Roman" w:cs="Times New Roman"/>
                <w:i/>
                <w:iCs/>
                <w:color w:val="000000" w:themeColor="text1"/>
              </w:rPr>
              <w:t>valorativo</w:t>
            </w:r>
            <w:r w:rsidRPr="00211504">
              <w:rPr>
                <w:rFonts w:eastAsia="Times New Roman" w:cs="Times New Roman"/>
                <w:color w:val="000000" w:themeColor="text1"/>
              </w:rPr>
              <w:t>, manifestó que la amenaza al orden público en el Catatumbo es real e inminente, tal como lo estableció la Defensoría del Pueblo en la Alerta Temprana de Inminencia 026 de 2024</w:t>
            </w:r>
            <w:r w:rsidRPr="00211504">
              <w:rPr>
                <w:rStyle w:val="Refdenotaalpie"/>
                <w:rFonts w:eastAsia="Times New Roman" w:cs="Times New Roman"/>
                <w:color w:val="000000" w:themeColor="text1"/>
              </w:rPr>
              <w:footnoteReference w:id="890"/>
            </w:r>
            <w:r w:rsidRPr="00211504">
              <w:rPr>
                <w:rFonts w:eastAsia="Times New Roman" w:cs="Times New Roman"/>
                <w:color w:val="000000" w:themeColor="text1"/>
              </w:rPr>
              <w:t>. Consideró que este presupuesto está acreditado debido “al aumento de la violencia [en el Catatumbo], la crisis humanitaria, las amenazas a la infraestructura crítica y la [insuficiencia] de las capacidades institucionales”</w:t>
            </w:r>
            <w:r w:rsidRPr="00211504">
              <w:rPr>
                <w:rStyle w:val="Refdenotaalpie"/>
                <w:rFonts w:eastAsia="Times New Roman" w:cs="Times New Roman"/>
                <w:color w:val="000000" w:themeColor="text1"/>
              </w:rPr>
              <w:footnoteReference w:id="891"/>
            </w:r>
            <w:r w:rsidRPr="00211504">
              <w:rPr>
                <w:rFonts w:eastAsia="Times New Roman" w:cs="Times New Roman"/>
                <w:color w:val="000000" w:themeColor="text1"/>
              </w:rPr>
              <w:t>.</w:t>
            </w:r>
          </w:p>
          <w:p w14:paraId="144978C9" w14:textId="77777777" w:rsidR="00C454A1" w:rsidRPr="00211504" w:rsidRDefault="00C454A1" w:rsidP="00881E6A">
            <w:pPr>
              <w:spacing w:after="120"/>
              <w:ind w:right="272"/>
              <w:contextualSpacing/>
              <w:rPr>
                <w:rFonts w:eastAsia="Times New Roman" w:cs="Times New Roman"/>
                <w:color w:val="000000" w:themeColor="text1"/>
              </w:rPr>
            </w:pPr>
          </w:p>
          <w:p w14:paraId="61AB615A"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Respecto del requisito de </w:t>
            </w:r>
            <w:r w:rsidRPr="00211504">
              <w:rPr>
                <w:rFonts w:eastAsia="Times New Roman" w:cs="Times New Roman"/>
                <w:i/>
                <w:iCs/>
                <w:color w:val="000000" w:themeColor="text1"/>
              </w:rPr>
              <w:t>suficiencia</w:t>
            </w:r>
            <w:r w:rsidRPr="00211504">
              <w:rPr>
                <w:rFonts w:eastAsia="Times New Roman" w:cs="Times New Roman"/>
                <w:color w:val="000000" w:themeColor="text1"/>
              </w:rPr>
              <w:t xml:space="preserve">, adujo que este presupuesto se cumple porque, tal como indicó el Gobierno en el Decreto Legislativo 062 de 2025, </w:t>
            </w:r>
            <w:r w:rsidRPr="00211504">
              <w:rPr>
                <w:rFonts w:eastAsia="Times New Roman" w:cs="Times New Roman"/>
                <w:i/>
                <w:iCs/>
                <w:color w:val="000000" w:themeColor="text1"/>
              </w:rPr>
              <w:t xml:space="preserve">(i) </w:t>
            </w:r>
            <w:r w:rsidRPr="00211504">
              <w:rPr>
                <w:rFonts w:eastAsia="Times New Roman" w:cs="Times New Roman"/>
                <w:color w:val="000000" w:themeColor="text1"/>
              </w:rPr>
              <w:t xml:space="preserve">las medidas ordinarias de policía resultan insuficientes para contener la </w:t>
            </w:r>
            <w:r w:rsidRPr="00211504">
              <w:rPr>
                <w:rFonts w:eastAsia="Times New Roman" w:cs="Times New Roman"/>
                <w:color w:val="000000" w:themeColor="text1"/>
              </w:rPr>
              <w:lastRenderedPageBreak/>
              <w:t>grave perturbación del orden público en el Catatumbo</w:t>
            </w:r>
            <w:r w:rsidRPr="00211504">
              <w:rPr>
                <w:rStyle w:val="Refdenotaalpie"/>
                <w:rFonts w:eastAsia="Times New Roman" w:cs="Times New Roman"/>
                <w:color w:val="000000" w:themeColor="text1"/>
              </w:rPr>
              <w:footnoteReference w:id="892"/>
            </w:r>
            <w:r w:rsidRPr="00211504">
              <w:rPr>
                <w:rFonts w:eastAsia="Times New Roman" w:cs="Times New Roman"/>
                <w:color w:val="000000" w:themeColor="text1"/>
              </w:rPr>
              <w:t xml:space="preserve">; y </w:t>
            </w:r>
            <w:r w:rsidRPr="00211504">
              <w:rPr>
                <w:rFonts w:eastAsia="Times New Roman" w:cs="Times New Roman"/>
                <w:i/>
                <w:iCs/>
                <w:color w:val="000000" w:themeColor="text1"/>
              </w:rPr>
              <w:t>(ii)</w:t>
            </w:r>
            <w:r w:rsidRPr="00211504">
              <w:rPr>
                <w:rFonts w:eastAsia="Times New Roman" w:cs="Times New Roman"/>
                <w:color w:val="000000" w:themeColor="text1"/>
              </w:rPr>
              <w:t xml:space="preserve"> las operaciones de la Fuerza Pública, incluyendo capturas de delincuentes y la destrucción de laboratorios de estupefacientes, han generado represalias contra la población en el Catatumbo</w:t>
            </w:r>
            <w:r w:rsidRPr="00211504">
              <w:rPr>
                <w:rStyle w:val="Refdenotaalpie"/>
                <w:rFonts w:eastAsia="Times New Roman" w:cs="Times New Roman"/>
                <w:color w:val="000000" w:themeColor="text1"/>
              </w:rPr>
              <w:footnoteReference w:id="893"/>
            </w:r>
            <w:r w:rsidRPr="00211504">
              <w:rPr>
                <w:rFonts w:eastAsia="Times New Roman" w:cs="Times New Roman"/>
                <w:color w:val="000000" w:themeColor="text1"/>
              </w:rPr>
              <w:t>. Ante la magnitud de la crisis, sostuvo que el Gobierno nacional basa la necesidad de recurrir al estado de conmoción interior con el fin de obtener recursos fiscales extraordinarios y modificar el Presupuesto General de la Nación (PGN) para fortalecer la capacidad operativa de la Fuerza Pública y financiar proyectos de inversión social dirigidos a la población afectada, así como, adoptar medidas excepcionales en materia contractual para agilizar la ejecución de recursos que garanticen la estabilidad institucional, la seguridad del Estado y la convivencia ciudadana en la zona afectada</w:t>
            </w:r>
            <w:r w:rsidRPr="00211504">
              <w:rPr>
                <w:rStyle w:val="Refdenotaalpie"/>
                <w:rFonts w:eastAsia="Times New Roman" w:cs="Times New Roman"/>
                <w:color w:val="000000" w:themeColor="text1"/>
              </w:rPr>
              <w:footnoteReference w:id="894"/>
            </w:r>
            <w:r w:rsidRPr="00211504">
              <w:rPr>
                <w:rFonts w:eastAsia="Times New Roman" w:cs="Times New Roman"/>
                <w:color w:val="000000" w:themeColor="text1"/>
              </w:rPr>
              <w:t xml:space="preserve">. </w:t>
            </w:r>
          </w:p>
        </w:tc>
      </w:tr>
      <w:tr w:rsidR="00C454A1" w:rsidRPr="00F8202F" w14:paraId="54D711B3" w14:textId="77777777" w:rsidTr="005F4A6F">
        <w:trPr>
          <w:trHeight w:val="300"/>
        </w:trPr>
        <w:tc>
          <w:tcPr>
            <w:tcW w:w="813" w:type="pct"/>
            <w:vAlign w:val="center"/>
          </w:tcPr>
          <w:p w14:paraId="753D76ED" w14:textId="77777777" w:rsidR="00C454A1" w:rsidRPr="00211504" w:rsidRDefault="00C454A1" w:rsidP="00881E6A">
            <w:pPr>
              <w:spacing w:after="120"/>
              <w:ind w:right="272"/>
              <w:contextualSpacing/>
              <w:jc w:val="center"/>
              <w:rPr>
                <w:rFonts w:eastAsia="Times New Roman" w:cs="Times New Roman"/>
                <w:b/>
                <w:color w:val="000000" w:themeColor="text1"/>
              </w:rPr>
            </w:pPr>
            <w:bookmarkStart w:id="238" w:name="_Hlk195046653"/>
            <w:r w:rsidRPr="00211504">
              <w:rPr>
                <w:rFonts w:eastAsia="Times New Roman" w:cs="Times New Roman"/>
                <w:b/>
                <w:color w:val="000000" w:themeColor="text1"/>
              </w:rPr>
              <w:lastRenderedPageBreak/>
              <w:t>Ingri Yurley Montero Martínez y otros</w:t>
            </w:r>
            <w:bookmarkEnd w:id="238"/>
          </w:p>
        </w:tc>
        <w:tc>
          <w:tcPr>
            <w:tcW w:w="4187" w:type="pct"/>
          </w:tcPr>
          <w:p w14:paraId="52084F58" w14:textId="77777777" w:rsidR="00C454A1" w:rsidRPr="00211504" w:rsidRDefault="00C454A1" w:rsidP="00881E6A">
            <w:pPr>
              <w:tabs>
                <w:tab w:val="left" w:pos="9049"/>
              </w:tabs>
              <w:spacing w:after="120"/>
              <w:ind w:right="272"/>
              <w:contextualSpacing/>
              <w:rPr>
                <w:rFonts w:eastAsia="Times New Roman" w:cs="Times New Roman"/>
                <w:color w:val="000000" w:themeColor="text1"/>
              </w:rPr>
            </w:pPr>
            <w:r w:rsidRPr="00211504">
              <w:rPr>
                <w:rFonts w:eastAsia="Times New Roman" w:cs="Times New Roman"/>
                <w:color w:val="000000" w:themeColor="text1"/>
              </w:rPr>
              <w:t>Solicitaron declarar la</w:t>
            </w:r>
            <w:r w:rsidRPr="00211504">
              <w:rPr>
                <w:rFonts w:eastAsia="Times New Roman" w:cs="Times New Roman"/>
                <w:i/>
                <w:iCs/>
                <w:color w:val="000000" w:themeColor="text1"/>
              </w:rPr>
              <w:t xml:space="preserve"> inexequibilidad </w:t>
            </w:r>
            <w:r w:rsidRPr="00211504">
              <w:rPr>
                <w:rFonts w:eastAsia="Times New Roman" w:cs="Times New Roman"/>
                <w:color w:val="000000" w:themeColor="text1"/>
              </w:rPr>
              <w:t xml:space="preserve">del Decreto Legislativo 062 de 2025. En relación con el presupuesto </w:t>
            </w:r>
            <w:r w:rsidRPr="00211504">
              <w:rPr>
                <w:rFonts w:eastAsia="Times New Roman" w:cs="Times New Roman"/>
                <w:i/>
                <w:iCs/>
                <w:color w:val="000000" w:themeColor="text1"/>
              </w:rPr>
              <w:t>fáctico</w:t>
            </w:r>
            <w:r w:rsidRPr="00211504">
              <w:rPr>
                <w:rFonts w:eastAsia="Times New Roman" w:cs="Times New Roman"/>
                <w:color w:val="000000" w:themeColor="text1"/>
              </w:rPr>
              <w:t>, indicaron que los acontecimientos que motivaron la expedición del referido decreto “constituyen una problemática estructural y crónica de orden público, y no un acontecimiento sobreviniente e imprevisto”</w:t>
            </w:r>
            <w:r w:rsidRPr="00211504">
              <w:rPr>
                <w:rStyle w:val="Refdenotaalpie"/>
                <w:rFonts w:eastAsia="Times New Roman" w:cs="Times New Roman"/>
                <w:color w:val="000000" w:themeColor="text1"/>
              </w:rPr>
              <w:footnoteReference w:id="895"/>
            </w:r>
            <w:r w:rsidRPr="00211504">
              <w:rPr>
                <w:rFonts w:eastAsia="Times New Roman" w:cs="Times New Roman"/>
                <w:color w:val="000000" w:themeColor="text1"/>
              </w:rPr>
              <w:t>. Realizaron un recuento sobre la situación del orden público en el país y concluyeron que la región del Catatumbo ha sido azotada por décadas por la violencia generada por el conflicto armado. Para mitigar esta situación, resaltaron que el Estado, durante el periodo presidencial de Iván Duque, fortaleció la presencia militar en la zona, no obstante, estas medidas han sido paliativas y no han modificado estructuralmente el control territorial de los grupos armados ilegales.</w:t>
            </w:r>
            <w:r w:rsidRPr="00211504">
              <w:rPr>
                <w:rStyle w:val="Refdenotaalpie"/>
                <w:rFonts w:eastAsia="Times New Roman" w:cs="Times New Roman"/>
                <w:color w:val="000000" w:themeColor="text1"/>
              </w:rPr>
              <w:footnoteReference w:id="896"/>
            </w:r>
            <w:r w:rsidRPr="00211504">
              <w:rPr>
                <w:rFonts w:eastAsia="Times New Roman" w:cs="Times New Roman"/>
                <w:color w:val="000000" w:themeColor="text1"/>
              </w:rPr>
              <w:t xml:space="preserve"> Asimismo, señalaron que con la implementación del Acuerdo de Paz se implementaron iniciativas como “Catatumbo Sostenible” y la “Hoja de Ruta” del Programa de Desarrollo con Enfoque Territorial (PDET), orientadas a la transformación del territorio con participación comunitaria. Sin embargo, su avance ha sido lento y desigual debido a la inseguridad, el retraso en el Programa Nacional Integral de Sustitución de Cultivos Ilícitos (PNIS) y las dificultades en la reincorporación de excombatientes</w:t>
            </w:r>
            <w:r w:rsidRPr="00211504">
              <w:rPr>
                <w:rStyle w:val="Refdenotaalpie"/>
                <w:rFonts w:eastAsia="Times New Roman" w:cs="Times New Roman"/>
                <w:color w:val="000000" w:themeColor="text1"/>
              </w:rPr>
              <w:footnoteReference w:id="897"/>
            </w:r>
            <w:r w:rsidRPr="00211504">
              <w:rPr>
                <w:rFonts w:eastAsia="Times New Roman" w:cs="Times New Roman"/>
                <w:color w:val="000000" w:themeColor="text1"/>
              </w:rPr>
              <w:t xml:space="preserve">. Por todo lo anterior, concluyeron que, por </w:t>
            </w:r>
            <w:r w:rsidRPr="00211504">
              <w:rPr>
                <w:rFonts w:eastAsia="Times New Roman" w:cs="Times New Roman"/>
                <w:color w:val="000000" w:themeColor="text1"/>
              </w:rPr>
              <w:lastRenderedPageBreak/>
              <w:t>un lado, la intervención estatal en el Catatumbo se ha centrado en una respuesta militar sin consolidar una presencia institucional integral que articule seguridad, desarrollo y garantía de derechos, lo que ha permitido que en la zona exista un conflicto armado interno por más de 70 años. Por lo tanto, estimaron que la crisis de orden público que vive actualmente el Catatumbo es un problema crónico y estructural, no un evento reciente o inesperado</w:t>
            </w:r>
            <w:r w:rsidRPr="00211504">
              <w:rPr>
                <w:rStyle w:val="Refdenotaalpie"/>
                <w:rFonts w:eastAsia="Times New Roman" w:cs="Times New Roman"/>
                <w:color w:val="000000" w:themeColor="text1"/>
              </w:rPr>
              <w:footnoteReference w:id="898"/>
            </w:r>
            <w:r w:rsidRPr="00211504">
              <w:rPr>
                <w:rFonts w:eastAsia="Times New Roman" w:cs="Times New Roman"/>
                <w:color w:val="000000" w:themeColor="text1"/>
              </w:rPr>
              <w:t>.</w:t>
            </w:r>
          </w:p>
          <w:p w14:paraId="23D8B684" w14:textId="77777777" w:rsidR="00C454A1" w:rsidRPr="00211504" w:rsidRDefault="00C454A1" w:rsidP="00881E6A">
            <w:pPr>
              <w:spacing w:after="120"/>
              <w:ind w:right="272"/>
              <w:contextualSpacing/>
              <w:rPr>
                <w:rFonts w:eastAsia="Times New Roman" w:cs="Times New Roman"/>
                <w:color w:val="000000" w:themeColor="text1"/>
              </w:rPr>
            </w:pPr>
          </w:p>
          <w:p w14:paraId="4BDEADBC"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Sobre el presupuesto </w:t>
            </w:r>
            <w:r w:rsidRPr="00211504">
              <w:rPr>
                <w:rFonts w:eastAsia="Times New Roman" w:cs="Times New Roman"/>
                <w:i/>
                <w:iCs/>
                <w:color w:val="000000" w:themeColor="text1"/>
              </w:rPr>
              <w:t>valorativo</w:t>
            </w:r>
            <w:r w:rsidRPr="00211504">
              <w:rPr>
                <w:rFonts w:eastAsia="Times New Roman" w:cs="Times New Roman"/>
                <w:color w:val="000000" w:themeColor="text1"/>
              </w:rPr>
              <w:t xml:space="preserve">, manifestaron que el Decreto Legislativo 062 de 2025 no cumple con el criterio de excepcionalidad exigido por la Corte Constitucional, pues, a pesar de que el </w:t>
            </w:r>
            <w:r>
              <w:rPr>
                <w:rFonts w:eastAsia="Times New Roman" w:cs="Times New Roman"/>
                <w:color w:val="000000" w:themeColor="text1"/>
              </w:rPr>
              <w:t>G</w:t>
            </w:r>
            <w:r w:rsidRPr="00211504">
              <w:rPr>
                <w:rFonts w:eastAsia="Times New Roman" w:cs="Times New Roman"/>
                <w:color w:val="000000" w:themeColor="text1"/>
              </w:rPr>
              <w:t xml:space="preserve">obierno </w:t>
            </w:r>
            <w:r>
              <w:rPr>
                <w:rFonts w:eastAsia="Times New Roman" w:cs="Times New Roman"/>
                <w:color w:val="000000" w:themeColor="text1"/>
              </w:rPr>
              <w:t xml:space="preserve">nacional </w:t>
            </w:r>
            <w:r w:rsidRPr="00211504">
              <w:rPr>
                <w:rFonts w:eastAsia="Times New Roman" w:cs="Times New Roman"/>
                <w:color w:val="000000" w:themeColor="text1"/>
              </w:rPr>
              <w:t>argument</w:t>
            </w:r>
            <w:r>
              <w:rPr>
                <w:rFonts w:eastAsia="Times New Roman" w:cs="Times New Roman"/>
                <w:color w:val="000000" w:themeColor="text1"/>
              </w:rPr>
              <w:t>a</w:t>
            </w:r>
            <w:r w:rsidRPr="00211504">
              <w:rPr>
                <w:rFonts w:eastAsia="Times New Roman" w:cs="Times New Roman"/>
                <w:color w:val="000000" w:themeColor="text1"/>
              </w:rPr>
              <w:t xml:space="preserve"> que la violencia en la región había disminuido debido a la inestabilidad del mercado ilegal, pero que su recuperación llevó al resurgimiento de enfrentamientos, el Estado no tuvo en cuenta que </w:t>
            </w:r>
            <w:r w:rsidRPr="00211504">
              <w:rPr>
                <w:rFonts w:eastAsia="Times New Roman" w:cs="Times New Roman"/>
                <w:i/>
                <w:iCs/>
                <w:color w:val="000000" w:themeColor="text1"/>
              </w:rPr>
              <w:t>(i)</w:t>
            </w:r>
            <w:r w:rsidRPr="00211504">
              <w:rPr>
                <w:rFonts w:eastAsia="Times New Roman" w:cs="Times New Roman"/>
                <w:color w:val="000000" w:themeColor="text1"/>
              </w:rPr>
              <w:t xml:space="preserve"> el conflicto en el Catatumbo es crónico y estructural, debido a la presencia de grupos armados desde hace décadas</w:t>
            </w:r>
            <w:r w:rsidRPr="00211504">
              <w:rPr>
                <w:rStyle w:val="Refdenotaalpie"/>
                <w:rFonts w:eastAsia="Times New Roman" w:cs="Times New Roman"/>
                <w:color w:val="000000" w:themeColor="text1"/>
              </w:rPr>
              <w:footnoteReference w:id="899"/>
            </w:r>
            <w:r w:rsidRPr="00211504">
              <w:rPr>
                <w:rFonts w:eastAsia="Times New Roman" w:cs="Times New Roman"/>
                <w:color w:val="000000" w:themeColor="text1"/>
              </w:rPr>
              <w:t xml:space="preserve"> y; </w:t>
            </w:r>
            <w:r w:rsidRPr="00211504">
              <w:rPr>
                <w:rFonts w:eastAsia="Times New Roman" w:cs="Times New Roman"/>
                <w:i/>
                <w:iCs/>
                <w:color w:val="000000" w:themeColor="text1"/>
              </w:rPr>
              <w:t>(ii)</w:t>
            </w:r>
            <w:r w:rsidRPr="00211504">
              <w:rPr>
                <w:rFonts w:eastAsia="Times New Roman" w:cs="Times New Roman"/>
                <w:color w:val="000000" w:themeColor="text1"/>
              </w:rPr>
              <w:t xml:space="preserve"> según informes del Centro Nacional de Memoria Histórica y la Defensoría del Pueblo, se puede confirmar que la violencia ha sido una constante, lo que desvirtúa la supuesta imprevisibilidad del conflicto actual</w:t>
            </w:r>
            <w:r w:rsidRPr="00211504">
              <w:rPr>
                <w:rStyle w:val="Refdenotaalpie"/>
                <w:rFonts w:eastAsia="Times New Roman" w:cs="Times New Roman"/>
                <w:color w:val="000000" w:themeColor="text1"/>
              </w:rPr>
              <w:footnoteReference w:id="900"/>
            </w:r>
            <w:r w:rsidRPr="00211504">
              <w:rPr>
                <w:rFonts w:eastAsia="Times New Roman" w:cs="Times New Roman"/>
                <w:color w:val="000000" w:themeColor="text1"/>
              </w:rPr>
              <w:t xml:space="preserve">. Además, indicaron que el propio </w:t>
            </w:r>
            <w:r>
              <w:rPr>
                <w:rFonts w:eastAsia="Times New Roman" w:cs="Times New Roman"/>
                <w:color w:val="000000" w:themeColor="text1"/>
              </w:rPr>
              <w:t>G</w:t>
            </w:r>
            <w:r w:rsidRPr="00211504">
              <w:rPr>
                <w:rFonts w:eastAsia="Times New Roman" w:cs="Times New Roman"/>
                <w:color w:val="000000" w:themeColor="text1"/>
              </w:rPr>
              <w:t>obierno reconoce que la recuperación del mercado ilegal fue progresiva y, por lo tanto, concluyen que el Estado tenía conocimiento de esta dinámica y no tomó medidas oportunas para resolver la situación de inseguridad</w:t>
            </w:r>
            <w:r w:rsidRPr="00211504">
              <w:rPr>
                <w:rStyle w:val="Refdenotaalpie"/>
                <w:rFonts w:eastAsia="Times New Roman" w:cs="Times New Roman"/>
                <w:color w:val="000000" w:themeColor="text1"/>
              </w:rPr>
              <w:footnoteReference w:id="901"/>
            </w:r>
            <w:r w:rsidRPr="00211504">
              <w:rPr>
                <w:rFonts w:eastAsia="Times New Roman" w:cs="Times New Roman"/>
                <w:color w:val="000000" w:themeColor="text1"/>
              </w:rPr>
              <w:t xml:space="preserve">. </w:t>
            </w:r>
          </w:p>
          <w:p w14:paraId="38BBDF96" w14:textId="77777777" w:rsidR="00C454A1" w:rsidRPr="00211504" w:rsidRDefault="00C454A1" w:rsidP="00881E6A">
            <w:pPr>
              <w:spacing w:after="120"/>
              <w:ind w:right="272"/>
              <w:contextualSpacing/>
              <w:rPr>
                <w:rFonts w:eastAsia="Times New Roman" w:cs="Times New Roman"/>
                <w:color w:val="000000" w:themeColor="text1"/>
              </w:rPr>
            </w:pPr>
          </w:p>
          <w:p w14:paraId="1A7D529D" w14:textId="77777777" w:rsidR="00C454A1" w:rsidRPr="00211504" w:rsidRDefault="00C454A1" w:rsidP="00881E6A">
            <w:pPr>
              <w:spacing w:after="120"/>
              <w:ind w:right="272"/>
              <w:contextualSpacing/>
            </w:pPr>
            <w:r w:rsidRPr="00211504">
              <w:rPr>
                <w:rFonts w:eastAsia="Times New Roman" w:cs="Times New Roman"/>
                <w:color w:val="000000" w:themeColor="text1"/>
              </w:rPr>
              <w:t xml:space="preserve">Respecto del requisito de </w:t>
            </w:r>
            <w:r w:rsidRPr="00211504">
              <w:rPr>
                <w:rFonts w:eastAsia="Times New Roman" w:cs="Times New Roman"/>
                <w:i/>
                <w:iCs/>
                <w:color w:val="000000" w:themeColor="text1"/>
              </w:rPr>
              <w:t>suficiencia</w:t>
            </w:r>
            <w:r w:rsidRPr="00211504">
              <w:rPr>
                <w:rFonts w:eastAsia="Times New Roman" w:cs="Times New Roman"/>
                <w:color w:val="000000" w:themeColor="text1"/>
              </w:rPr>
              <w:t>, consideraron que este presupuesto no se cumple porque el Decreto Legislativo 062 de 2025 no demuestra de manera rigurosa la imposibilidad de afrontar la crisis en el Catatumbo mediante los mecanismos legales ordinarios</w:t>
            </w:r>
            <w:r w:rsidRPr="00211504">
              <w:rPr>
                <w:rStyle w:val="Refdenotaalpie"/>
                <w:rFonts w:eastAsia="Times New Roman" w:cs="Times New Roman"/>
                <w:color w:val="000000" w:themeColor="text1"/>
              </w:rPr>
              <w:footnoteReference w:id="902"/>
            </w:r>
            <w:r w:rsidRPr="00211504">
              <w:rPr>
                <w:rFonts w:eastAsia="Times New Roman" w:cs="Times New Roman"/>
                <w:color w:val="000000" w:themeColor="text1"/>
              </w:rPr>
              <w:t xml:space="preserve">. </w:t>
            </w:r>
          </w:p>
        </w:tc>
      </w:tr>
      <w:tr w:rsidR="00C454A1" w:rsidRPr="00F8202F" w14:paraId="3334AF03" w14:textId="77777777" w:rsidTr="005F4A6F">
        <w:trPr>
          <w:trHeight w:val="300"/>
        </w:trPr>
        <w:tc>
          <w:tcPr>
            <w:tcW w:w="813" w:type="pct"/>
            <w:vAlign w:val="center"/>
          </w:tcPr>
          <w:p w14:paraId="59CED080" w14:textId="77777777" w:rsidR="00C454A1" w:rsidRPr="00211504" w:rsidRDefault="00C454A1" w:rsidP="00881E6A">
            <w:pPr>
              <w:spacing w:after="120"/>
              <w:ind w:right="272"/>
              <w:contextualSpacing/>
              <w:jc w:val="center"/>
              <w:rPr>
                <w:rFonts w:cs="Times New Roman"/>
                <w:b/>
                <w:bCs/>
              </w:rPr>
            </w:pPr>
            <w:bookmarkStart w:id="239" w:name="_Hlk195085428"/>
            <w:r w:rsidRPr="00211504">
              <w:rPr>
                <w:rFonts w:cs="Times New Roman"/>
                <w:b/>
                <w:bCs/>
              </w:rPr>
              <w:lastRenderedPageBreak/>
              <w:t>Fabio Enrique Pulido Ortiz</w:t>
            </w:r>
          </w:p>
        </w:tc>
        <w:tc>
          <w:tcPr>
            <w:tcW w:w="4187" w:type="pct"/>
          </w:tcPr>
          <w:p w14:paraId="6E219B7C" w14:textId="77777777" w:rsidR="00C454A1" w:rsidRPr="00211504" w:rsidRDefault="00C454A1" w:rsidP="00881E6A">
            <w:pPr>
              <w:ind w:right="272"/>
              <w:contextualSpacing/>
              <w:rPr>
                <w:rFonts w:eastAsia="Times New Roman" w:cs="Times New Roman"/>
              </w:rPr>
            </w:pPr>
            <w:r w:rsidRPr="00211504">
              <w:rPr>
                <w:rFonts w:eastAsia="Times New Roman" w:cs="Times New Roman"/>
              </w:rPr>
              <w:t xml:space="preserve">Solicitó declarar la </w:t>
            </w:r>
            <w:r w:rsidRPr="00211504">
              <w:rPr>
                <w:rFonts w:eastAsia="Times New Roman" w:cs="Times New Roman"/>
                <w:i/>
                <w:iCs/>
              </w:rPr>
              <w:t>inexequibilidad</w:t>
            </w:r>
            <w:r w:rsidRPr="00211504">
              <w:rPr>
                <w:rFonts w:eastAsia="Times New Roman" w:cs="Times New Roman"/>
              </w:rPr>
              <w:t xml:space="preserve"> del Decreto Legislativo 062 de 2025. Respecto del presupuesto </w:t>
            </w:r>
            <w:r w:rsidRPr="00211504">
              <w:rPr>
                <w:rFonts w:eastAsia="Times New Roman" w:cs="Times New Roman"/>
                <w:i/>
                <w:iCs/>
              </w:rPr>
              <w:t>fáctico</w:t>
            </w:r>
            <w:r w:rsidRPr="00211504">
              <w:rPr>
                <w:rFonts w:eastAsia="Times New Roman" w:cs="Times New Roman"/>
              </w:rPr>
              <w:t xml:space="preserve">, </w:t>
            </w:r>
            <w:r w:rsidRPr="00211504">
              <w:rPr>
                <w:rFonts w:eastAsia="Times New Roman" w:cs="Times New Roman"/>
                <w:i/>
                <w:iCs/>
              </w:rPr>
              <w:t>(i)</w:t>
            </w:r>
            <w:r w:rsidRPr="00211504">
              <w:rPr>
                <w:rFonts w:eastAsia="Times New Roman" w:cs="Times New Roman"/>
              </w:rPr>
              <w:t xml:space="preserve"> indicó que el Gobierno nacional recurre a un concepto amplio e indeterminado de orden público, lo que genera una falta de distinción entre los presupuestos materiales para declarar la conmoción interior (orden público en </w:t>
            </w:r>
            <w:r w:rsidRPr="00211504">
              <w:rPr>
                <w:rFonts w:eastAsia="Times New Roman" w:cs="Times New Roman"/>
              </w:rPr>
              <w:lastRenderedPageBreak/>
              <w:t xml:space="preserve">sentido estricto) y los presupuestos para declarar el estado de emergencia económica, social y ecológica. Argumentó que el orden público puede entenderse en un sentido amplio, refiriéndose a las condiciones normativas y materiales para la seguridad, tranquilidad y sanidad medioambiental, asegurando la convivencia y los derechos fundamentales; y en un sentido estricto, refiriéndose a las condiciones necesarias para una convivencia pacífica, específicamente dirigidas a eliminar la violencia en las relaciones sociales. De acuerdo con lo anterior, afirmó que el presupuesto material para declarar la conmoción interior es la grave perturbación del orden público en sentido estricto, es decir, la existencia de hechos sobrevinientes de violencia que atenten de manera inminente contra la estabilidad institucional, la seguridad del Estado o la convivencia ciudadana; y no la afectación del orden público en sentido amplio. En tal sentido, afirmó que el Decreto </w:t>
            </w:r>
            <w:r w:rsidRPr="00211504">
              <w:rPr>
                <w:rFonts w:eastAsia="Times New Roman" w:cs="Times New Roman"/>
                <w:i/>
                <w:iCs/>
              </w:rPr>
              <w:t>sub examine</w:t>
            </w:r>
            <w:r w:rsidRPr="00211504">
              <w:rPr>
                <w:rFonts w:eastAsia="Times New Roman" w:cs="Times New Roman"/>
              </w:rPr>
              <w:t xml:space="preserve"> invocó en la justificación de la declaratoria de una conmoción interior hechos que corresponden a los presupuestos materiales de los estados de emergencia económica, social y ecológica, tales como aspectos medioambientales, sociales y socioeconómicos. Por lo tanto, en su criterio, el Decreto </w:t>
            </w:r>
            <w:r w:rsidRPr="00211504">
              <w:rPr>
                <w:rFonts w:eastAsia="Times New Roman" w:cs="Times New Roman"/>
                <w:i/>
                <w:iCs/>
              </w:rPr>
              <w:t>sub examine</w:t>
            </w:r>
            <w:r w:rsidRPr="00211504">
              <w:rPr>
                <w:rFonts w:eastAsia="Times New Roman" w:cs="Times New Roman"/>
              </w:rPr>
              <w:t xml:space="preserve"> incumple con el requisito de identidad, según el cual, los presupuestos que sustentan la declaratoria del estado de guerra, conmoción interior y emergencia son distintos y deben acreditarse de forma independiente. Además, consideró que esta falta de distinción podría llevar a un “uso indiscriminado y potencialmente abusivo de los poderes de excepción”</w:t>
            </w:r>
            <w:r w:rsidRPr="00211504">
              <w:rPr>
                <w:rStyle w:val="Refdenotaalpie"/>
                <w:rFonts w:eastAsia="Times New Roman" w:cs="Times New Roman"/>
              </w:rPr>
              <w:footnoteReference w:id="903"/>
            </w:r>
            <w:r w:rsidRPr="00211504">
              <w:rPr>
                <w:rFonts w:eastAsia="Times New Roman" w:cs="Times New Roman"/>
              </w:rPr>
              <w:t xml:space="preserve">. </w:t>
            </w:r>
          </w:p>
          <w:p w14:paraId="1A56CDD9" w14:textId="77777777" w:rsidR="00C454A1" w:rsidRPr="00211504" w:rsidRDefault="00C454A1" w:rsidP="00881E6A">
            <w:pPr>
              <w:ind w:right="272"/>
              <w:contextualSpacing/>
              <w:rPr>
                <w:rFonts w:eastAsia="Times New Roman" w:cs="Times New Roman"/>
              </w:rPr>
            </w:pPr>
          </w:p>
          <w:p w14:paraId="0F23C398" w14:textId="77777777" w:rsidR="00C454A1" w:rsidRPr="00211504" w:rsidRDefault="00C454A1" w:rsidP="00881E6A">
            <w:pPr>
              <w:ind w:right="272"/>
              <w:contextualSpacing/>
              <w:rPr>
                <w:rFonts w:eastAsia="Times New Roman" w:cs="Times New Roman"/>
              </w:rPr>
            </w:pPr>
            <w:r w:rsidRPr="00211504">
              <w:rPr>
                <w:rFonts w:eastAsia="Times New Roman" w:cs="Times New Roman"/>
              </w:rPr>
              <w:t xml:space="preserve">Por otro lado, </w:t>
            </w:r>
            <w:r w:rsidRPr="00211504">
              <w:rPr>
                <w:rFonts w:eastAsia="Times New Roman" w:cs="Times New Roman"/>
                <w:i/>
                <w:iCs/>
              </w:rPr>
              <w:t>(ii)</w:t>
            </w:r>
            <w:r w:rsidRPr="00211504">
              <w:rPr>
                <w:rFonts w:eastAsia="Times New Roman" w:cs="Times New Roman"/>
              </w:rPr>
              <w:t xml:space="preserve"> consideró que recurrir al concepto amplio de orden público para justificar el Decreto 0062 de 2025 constituye una indebida motivación. Este error jurídico se debe a la utilización inapropiada de un precedente judicial (sentencia C-802 de 2002) para justificar el uso del concepto de orden público en sentido amplio para la declaratoria de una conmoción interior.  Señaló que la sentencia C-802 de 2002 se refiere a poderes de policía ordinarios, no a poderes extraordinarios del presidente en una conmoción interior. El concepto amplio de orden público solo es aplicable en el marco del poder de policía ordinario, mientras que el poder de excepción en estados de conmoción interior debe basarse en el concepto estricto de orden público. El interviniente subrayó que la debida motivación de los actos administrativos es esencial para garantizar el debido proceso y evitar el abuso de poder.</w:t>
            </w:r>
          </w:p>
          <w:p w14:paraId="6A1355D0" w14:textId="77777777" w:rsidR="00C454A1" w:rsidRPr="00211504" w:rsidRDefault="00C454A1" w:rsidP="00881E6A">
            <w:pPr>
              <w:ind w:right="272"/>
              <w:contextualSpacing/>
              <w:rPr>
                <w:rFonts w:eastAsia="Times New Roman" w:cs="Times New Roman"/>
              </w:rPr>
            </w:pPr>
          </w:p>
          <w:p w14:paraId="02D0043A" w14:textId="77777777" w:rsidR="00C454A1" w:rsidRPr="00211504" w:rsidRDefault="00C454A1" w:rsidP="00881E6A">
            <w:pPr>
              <w:ind w:right="272"/>
              <w:contextualSpacing/>
              <w:rPr>
                <w:rFonts w:eastAsia="Times New Roman" w:cs="Times New Roman"/>
              </w:rPr>
            </w:pPr>
            <w:r w:rsidRPr="00211504">
              <w:rPr>
                <w:rFonts w:eastAsia="Times New Roman" w:cs="Times New Roman"/>
              </w:rPr>
              <w:t xml:space="preserve">Indicó que </w:t>
            </w:r>
            <w:r w:rsidRPr="00211504">
              <w:rPr>
                <w:rFonts w:eastAsia="Times New Roman" w:cs="Times New Roman"/>
                <w:i/>
                <w:iCs/>
              </w:rPr>
              <w:t>(iii)</w:t>
            </w:r>
            <w:r w:rsidRPr="00211504">
              <w:rPr>
                <w:rFonts w:eastAsia="Times New Roman" w:cs="Times New Roman"/>
              </w:rPr>
              <w:t xml:space="preserve"> los hechos que invoca el Gobierno nacional para justificar la declaratoria de conmoción interior no son sobrevinientes porque a pesar de la gravedad de los hechos esgrimidos, el Catatumbo ha sido una zona de conflicto “durante más de cinco décadas”</w:t>
            </w:r>
            <w:r w:rsidRPr="00211504">
              <w:rPr>
                <w:rStyle w:val="Refdenotaalpie"/>
                <w:rFonts w:eastAsia="Times New Roman" w:cs="Times New Roman"/>
              </w:rPr>
              <w:footnoteReference w:id="904"/>
            </w:r>
            <w:r w:rsidRPr="00211504">
              <w:rPr>
                <w:rFonts w:eastAsia="Times New Roman" w:cs="Times New Roman"/>
              </w:rPr>
              <w:t>. Resaltó que “la violencia en esta región es un fenómeno estructural, recurrente y cíclico, que obedece a factores sistemáticos, especialmente vinculados a la débil presencia del Estado en la región y la ausencia de políticas estructurales de largo plazo”</w:t>
            </w:r>
            <w:r w:rsidRPr="00211504">
              <w:rPr>
                <w:rStyle w:val="Refdenotaalpie"/>
                <w:rFonts w:eastAsia="Times New Roman" w:cs="Times New Roman"/>
              </w:rPr>
              <w:footnoteReference w:id="905"/>
            </w:r>
            <w:r w:rsidRPr="00211504">
              <w:rPr>
                <w:rFonts w:eastAsia="Times New Roman" w:cs="Times New Roman"/>
              </w:rPr>
              <w:t xml:space="preserve">. Subrayó que el propio Decreto 0062 de 2025 reconoce que la violencia en la región es un problema estructural y que lo que ha ocurrido es un escalamiento temporal de los ataques de los grupos armados ilegales que operan en la región.  </w:t>
            </w:r>
          </w:p>
          <w:p w14:paraId="013EDB9F" w14:textId="77777777" w:rsidR="00C454A1" w:rsidRPr="00211504" w:rsidRDefault="00C454A1" w:rsidP="00881E6A">
            <w:pPr>
              <w:ind w:right="272"/>
              <w:contextualSpacing/>
              <w:rPr>
                <w:rFonts w:eastAsia="Times New Roman" w:cs="Times New Roman"/>
              </w:rPr>
            </w:pPr>
          </w:p>
          <w:p w14:paraId="637C1F3B" w14:textId="77777777" w:rsidR="00C454A1" w:rsidRPr="00211504" w:rsidRDefault="00C454A1" w:rsidP="00881E6A">
            <w:pPr>
              <w:ind w:right="272"/>
              <w:contextualSpacing/>
              <w:rPr>
                <w:rFonts w:eastAsia="Times New Roman" w:cs="Times New Roman"/>
                <w:color w:val="000000" w:themeColor="text1"/>
              </w:rPr>
            </w:pPr>
            <w:r w:rsidRPr="00211504">
              <w:rPr>
                <w:rFonts w:eastAsia="Times New Roman" w:cs="Times New Roman"/>
              </w:rPr>
              <w:t xml:space="preserve">Respecto </w:t>
            </w:r>
            <w:r w:rsidRPr="00211504">
              <w:rPr>
                <w:rFonts w:eastAsia="Times New Roman" w:cs="Times New Roman"/>
                <w:color w:val="000000" w:themeColor="text1"/>
              </w:rPr>
              <w:t xml:space="preserve">del requisito de </w:t>
            </w:r>
            <w:r w:rsidRPr="00211504">
              <w:rPr>
                <w:rFonts w:eastAsia="Times New Roman" w:cs="Times New Roman"/>
                <w:i/>
                <w:iCs/>
                <w:color w:val="000000" w:themeColor="text1"/>
              </w:rPr>
              <w:t>suficiencia</w:t>
            </w:r>
            <w:r w:rsidRPr="00211504">
              <w:rPr>
                <w:rFonts w:eastAsia="Times New Roman" w:cs="Times New Roman"/>
                <w:color w:val="000000" w:themeColor="text1"/>
              </w:rPr>
              <w:t xml:space="preserve">, precisó que no se demuestra que los poderes ordinarios del Gobierno </w:t>
            </w:r>
            <w:r w:rsidRPr="00211504">
              <w:rPr>
                <w:rFonts w:eastAsia="Times New Roman" w:cs="Times New Roman"/>
              </w:rPr>
              <w:t xml:space="preserve">nacional </w:t>
            </w:r>
            <w:r w:rsidRPr="00211504">
              <w:rPr>
                <w:rFonts w:eastAsia="Times New Roman" w:cs="Times New Roman"/>
                <w:color w:val="000000" w:themeColor="text1"/>
              </w:rPr>
              <w:t xml:space="preserve">sean insuficientes para conjurar la escalada de violencia en la región del Catatumbo. Esto, porque </w:t>
            </w:r>
            <w:r w:rsidRPr="00211504">
              <w:rPr>
                <w:rFonts w:eastAsia="Times New Roman" w:cs="Times New Roman"/>
                <w:i/>
                <w:iCs/>
                <w:color w:val="000000" w:themeColor="text1"/>
              </w:rPr>
              <w:t>(i)</w:t>
            </w:r>
            <w:r w:rsidRPr="00211504">
              <w:rPr>
                <w:rFonts w:eastAsia="Times New Roman" w:cs="Times New Roman"/>
                <w:color w:val="000000" w:themeColor="text1"/>
              </w:rPr>
              <w:t xml:space="preserve"> la violencia provocada por las acciones de los grupos al margen de la ley en la zona puede controlarse a través de la emisión de órdenes y directrices del Presidente de la República a las fuerzas militares y de policía para restablecer el orden público en virtud del art. 189 constitucional, sin embargo, esto no se ha realizado porque la política de </w:t>
            </w:r>
            <w:r>
              <w:rPr>
                <w:rFonts w:eastAsia="Times New Roman" w:cs="Times New Roman"/>
                <w:color w:val="000000" w:themeColor="text1"/>
              </w:rPr>
              <w:t>G</w:t>
            </w:r>
            <w:r w:rsidRPr="00211504">
              <w:rPr>
                <w:rFonts w:eastAsia="Times New Roman" w:cs="Times New Roman"/>
                <w:color w:val="000000" w:themeColor="text1"/>
              </w:rPr>
              <w:t xml:space="preserve">obierno se centra en negociar y solo hasta 2025 se empleó la fuerza; y </w:t>
            </w:r>
            <w:r w:rsidRPr="00211504">
              <w:rPr>
                <w:rFonts w:eastAsia="Times New Roman" w:cs="Times New Roman"/>
                <w:i/>
                <w:iCs/>
                <w:color w:val="000000" w:themeColor="text1"/>
              </w:rPr>
              <w:t>(ii)</w:t>
            </w:r>
            <w:r w:rsidRPr="00211504">
              <w:rPr>
                <w:rFonts w:eastAsia="Times New Roman" w:cs="Times New Roman"/>
                <w:color w:val="000000" w:themeColor="text1"/>
              </w:rPr>
              <w:t xml:space="preserve"> el propio Gobierno ha reconocido que los decretos y leyes expedidas para fomentar negociaciones y acuerdos con diversos grupos armados, incluyendo el ELN y las disidencias de las FARC, “han sido exitosas para recuperar el control de la región y apuntar al restablecimiento del orden público y el control del territorio”</w:t>
            </w:r>
            <w:r w:rsidRPr="00211504">
              <w:rPr>
                <w:rStyle w:val="Refdenotaalpie"/>
                <w:rFonts w:eastAsia="Times New Roman" w:cs="Times New Roman"/>
                <w:color w:val="000000" w:themeColor="text1"/>
              </w:rPr>
              <w:footnoteReference w:id="906"/>
            </w:r>
            <w:r w:rsidRPr="00211504">
              <w:rPr>
                <w:rFonts w:eastAsia="Times New Roman" w:cs="Times New Roman"/>
                <w:color w:val="000000" w:themeColor="text1"/>
              </w:rPr>
              <w:t>.</w:t>
            </w:r>
          </w:p>
          <w:p w14:paraId="2BC6FB50" w14:textId="77777777" w:rsidR="00C454A1" w:rsidRPr="00211504" w:rsidRDefault="00C454A1" w:rsidP="00881E6A">
            <w:pPr>
              <w:ind w:right="272"/>
              <w:rPr>
                <w:rFonts w:eastAsia="Times New Roman" w:cs="Times New Roman"/>
                <w:color w:val="000000" w:themeColor="text1"/>
              </w:rPr>
            </w:pPr>
          </w:p>
          <w:p w14:paraId="0BA3ED7A" w14:textId="77777777" w:rsidR="00C454A1" w:rsidRPr="00211504" w:rsidRDefault="00C454A1" w:rsidP="00881E6A">
            <w:pPr>
              <w:ind w:right="272"/>
              <w:rPr>
                <w:rFonts w:cs="Times New Roman"/>
              </w:rPr>
            </w:pPr>
            <w:r w:rsidRPr="00211504">
              <w:rPr>
                <w:rFonts w:eastAsia="Times New Roman" w:cs="Times New Roman"/>
                <w:color w:val="000000" w:themeColor="text1"/>
              </w:rPr>
              <w:t>Señala que se viola el principio de temporalidad porque “las medidas necesarias para abordar problemas estructurales, como garantizar el bienestar y la calidad de vida, eliminar la conflictividad social, y resolver el desplazamiento, cultivos ilícitos y minería ilegal, son complejas y demandan un enfoque sostenido y a largo plazo”</w:t>
            </w:r>
            <w:r w:rsidRPr="00211504">
              <w:rPr>
                <w:rStyle w:val="Refdenotaalpie"/>
                <w:rFonts w:eastAsia="Times New Roman" w:cs="Times New Roman"/>
                <w:color w:val="000000" w:themeColor="text1"/>
              </w:rPr>
              <w:footnoteReference w:id="907"/>
            </w:r>
            <w:r w:rsidRPr="00211504">
              <w:rPr>
                <w:rFonts w:eastAsia="Times New Roman" w:cs="Times New Roman"/>
                <w:color w:val="000000" w:themeColor="text1"/>
              </w:rPr>
              <w:t xml:space="preserve">. </w:t>
            </w:r>
            <w:r w:rsidRPr="00211504">
              <w:rPr>
                <w:rFonts w:cs="Times New Roman"/>
              </w:rPr>
              <w:t xml:space="preserve">Este principio exige que los objetivos del estado de excepción deben ser temporales y no excusas para </w:t>
            </w:r>
            <w:r w:rsidRPr="00211504">
              <w:rPr>
                <w:rFonts w:cs="Times New Roman"/>
              </w:rPr>
              <w:lastRenderedPageBreak/>
              <w:t xml:space="preserve">políticas estructurales. El ciudadano argumenta que el Decreto 0062 de 2025 viola este principio al usar la conmoción interior para abordar problemas estructurales que requieren políticas de largo plazo, como garantizar bienestar, eliminar la conflictividad social en Catatumbo, resolver desplazamiento, cultivos ilícitos y minería ilegal, y asegurar servicios como justicia, agua potable, energía, salud, educación y alimentación. Estas medidas que buscan cambios profundos y duraderos requieren un enfoque sostenido en el tiempo que es incompatible con la naturaleza temporal de los estados de excepción. </w:t>
            </w:r>
          </w:p>
          <w:p w14:paraId="2ADA2AC0" w14:textId="77777777" w:rsidR="00C454A1" w:rsidRPr="00211504" w:rsidRDefault="00C454A1" w:rsidP="00881E6A">
            <w:pPr>
              <w:ind w:right="272"/>
              <w:rPr>
                <w:rFonts w:cs="Times New Roman"/>
              </w:rPr>
            </w:pPr>
          </w:p>
          <w:p w14:paraId="0EA6E1E4" w14:textId="77777777" w:rsidR="00C454A1" w:rsidRPr="00211504" w:rsidRDefault="00C454A1" w:rsidP="00881E6A">
            <w:pPr>
              <w:ind w:right="272"/>
              <w:rPr>
                <w:rFonts w:cs="Times New Roman"/>
              </w:rPr>
            </w:pPr>
            <w:r w:rsidRPr="00211504">
              <w:rPr>
                <w:rFonts w:cs="Times New Roman"/>
              </w:rPr>
              <w:t xml:space="preserve">Finalmente, argumentó que el análisis de la constitucionalidad de los decretos que declaran estados de excepción debe ser más riguroso cuando el </w:t>
            </w:r>
            <w:r>
              <w:rPr>
                <w:rFonts w:cs="Times New Roman"/>
              </w:rPr>
              <w:t>G</w:t>
            </w:r>
            <w:r w:rsidRPr="00211504">
              <w:rPr>
                <w:rFonts w:cs="Times New Roman"/>
              </w:rPr>
              <w:t>obierno</w:t>
            </w:r>
            <w:r>
              <w:rPr>
                <w:rFonts w:cs="Times New Roman"/>
              </w:rPr>
              <w:t xml:space="preserve"> nacional</w:t>
            </w:r>
            <w:r w:rsidRPr="00211504">
              <w:rPr>
                <w:rFonts w:cs="Times New Roman"/>
              </w:rPr>
              <w:t xml:space="preserve"> ha contribuido a los hechos. En su concepto, el </w:t>
            </w:r>
            <w:r>
              <w:rPr>
                <w:rFonts w:cs="Times New Roman"/>
              </w:rPr>
              <w:t>G</w:t>
            </w:r>
            <w:r w:rsidRPr="00211504">
              <w:rPr>
                <w:rFonts w:cs="Times New Roman"/>
              </w:rPr>
              <w:t xml:space="preserve">obierno nacional contribuyó a la situación en Catatumbo tanto que el propio decreto legislativo reconoce que las estrategias de negociación y los programas de sustitución de cultivos no han sido eficaces, facilitando el fortalecimiento de estos grupos. Asimismo, el interviniente señala que en el Decreto se reconoce que la falta de acciones militares y la suspensión de órdenes de captura también han sido aprovechadas por los grupos armados. Dado que la acción y omisión del </w:t>
            </w:r>
            <w:r>
              <w:rPr>
                <w:rFonts w:cs="Times New Roman"/>
              </w:rPr>
              <w:t>G</w:t>
            </w:r>
            <w:r w:rsidRPr="00211504">
              <w:rPr>
                <w:rFonts w:cs="Times New Roman"/>
              </w:rPr>
              <w:t xml:space="preserve">obierno </w:t>
            </w:r>
            <w:r>
              <w:rPr>
                <w:rFonts w:cs="Times New Roman"/>
              </w:rPr>
              <w:t xml:space="preserve">nacional </w:t>
            </w:r>
            <w:r w:rsidRPr="00211504">
              <w:rPr>
                <w:rFonts w:cs="Times New Roman"/>
              </w:rPr>
              <w:t xml:space="preserve">contribuyeron a la situación, la Corte Constitucional debe realizar un juicio de constitucionalidad más estricto para evitar el uso indebido del estado de excepción. </w:t>
            </w:r>
          </w:p>
        </w:tc>
      </w:tr>
      <w:bookmarkEnd w:id="239"/>
      <w:tr w:rsidR="00C454A1" w:rsidRPr="00F8202F" w14:paraId="7C399973" w14:textId="77777777" w:rsidTr="005F4A6F">
        <w:trPr>
          <w:trHeight w:val="300"/>
        </w:trPr>
        <w:tc>
          <w:tcPr>
            <w:tcW w:w="813" w:type="pct"/>
            <w:vAlign w:val="center"/>
          </w:tcPr>
          <w:p w14:paraId="072ACF00" w14:textId="77777777" w:rsidR="00C454A1" w:rsidRPr="00211504" w:rsidRDefault="00C454A1" w:rsidP="00881E6A">
            <w:pPr>
              <w:spacing w:after="120"/>
              <w:ind w:right="272"/>
              <w:contextualSpacing/>
              <w:jc w:val="center"/>
              <w:rPr>
                <w:rFonts w:cs="Times New Roman"/>
                <w:b/>
                <w:bCs/>
              </w:rPr>
            </w:pPr>
            <w:r w:rsidRPr="00211504">
              <w:rPr>
                <w:rFonts w:cs="Times New Roman"/>
                <w:b/>
                <w:bCs/>
              </w:rPr>
              <w:lastRenderedPageBreak/>
              <w:t>Claudia Marcela Rodríguez Santos</w:t>
            </w:r>
          </w:p>
        </w:tc>
        <w:tc>
          <w:tcPr>
            <w:tcW w:w="4187" w:type="pct"/>
          </w:tcPr>
          <w:p w14:paraId="1053DC5D"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color w:val="000000" w:themeColor="text1"/>
              </w:rPr>
              <w:t>Solicitó a la Corte declarar la</w:t>
            </w:r>
            <w:r w:rsidRPr="00211504">
              <w:rPr>
                <w:rFonts w:eastAsia="Times New Roman" w:cs="Times New Roman"/>
                <w:i/>
                <w:iCs/>
                <w:color w:val="000000" w:themeColor="text1"/>
              </w:rPr>
              <w:t xml:space="preserve"> inexequibilidad </w:t>
            </w:r>
            <w:r w:rsidRPr="00211504">
              <w:rPr>
                <w:rFonts w:eastAsia="Times New Roman" w:cs="Times New Roman"/>
                <w:color w:val="000000" w:themeColor="text1"/>
              </w:rPr>
              <w:t xml:space="preserve">del Decreto Legislativo 062 de 2025. </w:t>
            </w:r>
            <w:r w:rsidRPr="00211504">
              <w:rPr>
                <w:rFonts w:eastAsia="Times New Roman" w:cs="Times New Roman"/>
              </w:rPr>
              <w:t xml:space="preserve">Respecto al presupuesto </w:t>
            </w:r>
            <w:r w:rsidRPr="00211504">
              <w:rPr>
                <w:rFonts w:eastAsia="Times New Roman" w:cs="Times New Roman"/>
                <w:i/>
                <w:iCs/>
              </w:rPr>
              <w:t>fáctico</w:t>
            </w:r>
            <w:r w:rsidRPr="00211504">
              <w:rPr>
                <w:rFonts w:eastAsia="Times New Roman" w:cs="Times New Roman"/>
              </w:rPr>
              <w:t>, indicó que el propio Gobierno nacional reconoció en el decreto que “la crisis en esta zona del país no se presentó de forma repentina o intempestiva”</w:t>
            </w:r>
            <w:r w:rsidRPr="00211504">
              <w:rPr>
                <w:rStyle w:val="Refdenotaalpie"/>
                <w:rFonts w:eastAsia="Times New Roman" w:cs="Times New Roman"/>
              </w:rPr>
              <w:footnoteReference w:id="908"/>
            </w:r>
            <w:r w:rsidRPr="00211504">
              <w:rPr>
                <w:rFonts w:eastAsia="Times New Roman" w:cs="Times New Roman"/>
              </w:rPr>
              <w:t xml:space="preserve">. Respecto del presupuesto </w:t>
            </w:r>
            <w:r w:rsidRPr="00211504">
              <w:rPr>
                <w:rFonts w:eastAsia="Times New Roman" w:cs="Times New Roman"/>
                <w:i/>
                <w:iCs/>
              </w:rPr>
              <w:t>valorativo</w:t>
            </w:r>
            <w:r w:rsidRPr="00211504">
              <w:rPr>
                <w:rFonts w:eastAsia="Times New Roman" w:cs="Times New Roman"/>
              </w:rPr>
              <w:t xml:space="preserve"> señaló que existe una sistematicidad de los ataques perpetrados por los grupos ilegales que operan en esa región del país, los cuales se han advertido por el sistema de alertas tempranas de la Personería y de la Defensoría del Pueblo. En relación con el presupuesto de </w:t>
            </w:r>
            <w:r w:rsidRPr="00211504">
              <w:rPr>
                <w:rFonts w:eastAsia="Times New Roman" w:cs="Times New Roman"/>
                <w:i/>
                <w:iCs/>
              </w:rPr>
              <w:t>suficiencia</w:t>
            </w:r>
            <w:r w:rsidRPr="00211504">
              <w:rPr>
                <w:rFonts w:eastAsia="Times New Roman" w:cs="Times New Roman"/>
              </w:rPr>
              <w:t xml:space="preserve">, aseguró que los argumentos del Gobierno nacional sobre la insuficiencia de los recursos de las Fuerzas Militares para contrarrestar la alteración del orden público en esta zona del país no son claros ni específicos e impiden entender cuál es la destinación del presupuesto actual para combatir a los grupos ilegales que actúan en esta región, lo que se traduce en la falta de justificación de las razones por las cuales no es posible conjurar los efectos de la perturbación en la región del Catatumbo mediante los instrumentos y </w:t>
            </w:r>
            <w:r w:rsidRPr="00211504">
              <w:rPr>
                <w:rFonts w:eastAsia="Times New Roman" w:cs="Times New Roman"/>
              </w:rPr>
              <w:lastRenderedPageBreak/>
              <w:t xml:space="preserve">competencias ordinarias. Además, señaló que el decreto </w:t>
            </w:r>
            <w:r w:rsidRPr="00211504">
              <w:rPr>
                <w:rFonts w:eastAsia="Times New Roman" w:cs="Times New Roman"/>
                <w:i/>
                <w:iCs/>
              </w:rPr>
              <w:t>sub examine</w:t>
            </w:r>
            <w:r w:rsidRPr="00211504">
              <w:rPr>
                <w:rFonts w:eastAsia="Times New Roman" w:cs="Times New Roman"/>
              </w:rPr>
              <w:t xml:space="preserve"> reconoce que “la crisis presenciada en el Catatumbo y su alrededor es dada debido a problemas estructurales del Estado, aceptando de igual manera que la medida de conmoción interior se adopta como una solución transitoria para dar solución a largo plazo”</w:t>
            </w:r>
            <w:r w:rsidRPr="00211504">
              <w:rPr>
                <w:rStyle w:val="Refdenotaalpie"/>
                <w:rFonts w:eastAsia="Times New Roman" w:cs="Times New Roman"/>
              </w:rPr>
              <w:footnoteReference w:id="909"/>
            </w:r>
            <w:r w:rsidRPr="00211504">
              <w:rPr>
                <w:rFonts w:eastAsia="Times New Roman" w:cs="Times New Roman"/>
              </w:rPr>
              <w:t>.</w:t>
            </w:r>
          </w:p>
        </w:tc>
      </w:tr>
      <w:tr w:rsidR="00C454A1" w:rsidRPr="00F8202F" w14:paraId="3402BB3A" w14:textId="77777777" w:rsidTr="005F4A6F">
        <w:trPr>
          <w:trHeight w:val="300"/>
        </w:trPr>
        <w:tc>
          <w:tcPr>
            <w:tcW w:w="813" w:type="pct"/>
            <w:vAlign w:val="center"/>
          </w:tcPr>
          <w:p w14:paraId="48C0BD6C" w14:textId="77777777" w:rsidR="00C454A1" w:rsidRPr="00211504" w:rsidRDefault="00C454A1" w:rsidP="00881E6A">
            <w:pPr>
              <w:spacing w:after="120"/>
              <w:ind w:right="272"/>
              <w:contextualSpacing/>
              <w:jc w:val="center"/>
              <w:rPr>
                <w:rFonts w:cs="Times New Roman"/>
                <w:b/>
                <w:bCs/>
              </w:rPr>
            </w:pPr>
            <w:bookmarkStart w:id="243" w:name="_Hlk194943239"/>
            <w:bookmarkEnd w:id="235"/>
            <w:r w:rsidRPr="00211504">
              <w:rPr>
                <w:rFonts w:cs="Times New Roman"/>
                <w:b/>
                <w:bCs/>
              </w:rPr>
              <w:lastRenderedPageBreak/>
              <w:t>Fernando Mora</w:t>
            </w:r>
          </w:p>
        </w:tc>
        <w:tc>
          <w:tcPr>
            <w:tcW w:w="4187" w:type="pct"/>
          </w:tcPr>
          <w:p w14:paraId="252FC0C3" w14:textId="77777777" w:rsidR="00C454A1" w:rsidRPr="00211504" w:rsidRDefault="00C454A1" w:rsidP="00881E6A">
            <w:pPr>
              <w:spacing w:after="120"/>
              <w:ind w:right="272"/>
              <w:contextualSpacing/>
            </w:pPr>
            <w:r w:rsidRPr="00211504">
              <w:rPr>
                <w:rFonts w:eastAsia="Times New Roman" w:cs="Times New Roman"/>
                <w:color w:val="000000" w:themeColor="text1"/>
              </w:rPr>
              <w:t>Consideró que Colombia atraviesa “un resurgimiento de violencia” debido al crecimiento del crimen organizado y al narcotráfico, lo cual ha generado inseguridad en todo el territorio. Refiere que para enfrentar estas circunstancias el Estado debe (i) fortalecer la seguridad nacional y (ii) fomentar el diálogo político y la unidad nacional, promoviendo iniciativas que reduzcan la polarización y fortalezcan la cohesión social</w:t>
            </w:r>
            <w:r w:rsidRPr="00211504">
              <w:rPr>
                <w:rStyle w:val="Refdenotaalpie"/>
                <w:rFonts w:eastAsia="Times New Roman" w:cs="Times New Roman"/>
                <w:color w:val="000000" w:themeColor="text1"/>
              </w:rPr>
              <w:footnoteReference w:id="910"/>
            </w:r>
            <w:r w:rsidRPr="00211504">
              <w:rPr>
                <w:rFonts w:eastAsia="Times New Roman" w:cs="Times New Roman"/>
                <w:color w:val="000000" w:themeColor="text1"/>
              </w:rPr>
              <w:t>.</w:t>
            </w:r>
          </w:p>
        </w:tc>
      </w:tr>
      <w:tr w:rsidR="00C454A1" w:rsidRPr="00F8202F" w14:paraId="71ED1160" w14:textId="77777777" w:rsidTr="005F4A6F">
        <w:trPr>
          <w:trHeight w:val="300"/>
        </w:trPr>
        <w:tc>
          <w:tcPr>
            <w:tcW w:w="813" w:type="pct"/>
            <w:vAlign w:val="center"/>
          </w:tcPr>
          <w:p w14:paraId="67D5775C" w14:textId="77777777" w:rsidR="00C454A1" w:rsidRPr="00211504" w:rsidRDefault="00C454A1" w:rsidP="00881E6A">
            <w:pPr>
              <w:spacing w:after="120"/>
              <w:ind w:right="272"/>
              <w:contextualSpacing/>
              <w:jc w:val="center"/>
              <w:rPr>
                <w:rFonts w:cs="Times New Roman"/>
                <w:b/>
                <w:bCs/>
              </w:rPr>
            </w:pPr>
            <w:r w:rsidRPr="00211504">
              <w:rPr>
                <w:rFonts w:cs="Times New Roman"/>
                <w:b/>
                <w:bCs/>
              </w:rPr>
              <w:t>Duvalier Sánchez</w:t>
            </w:r>
          </w:p>
        </w:tc>
        <w:tc>
          <w:tcPr>
            <w:tcW w:w="4187" w:type="pct"/>
          </w:tcPr>
          <w:p w14:paraId="0350F5B8" w14:textId="77777777" w:rsidR="00C454A1" w:rsidRPr="00211504" w:rsidRDefault="00C454A1" w:rsidP="00881E6A">
            <w:pPr>
              <w:spacing w:after="120"/>
              <w:ind w:right="272"/>
              <w:contextualSpacing/>
            </w:pPr>
            <w:r w:rsidRPr="00211504">
              <w:rPr>
                <w:rFonts w:eastAsia="Times New Roman" w:cs="Times New Roman"/>
              </w:rPr>
              <w:t>El interviniente solicitó a la Corte declarar la</w:t>
            </w:r>
            <w:r w:rsidRPr="00211504">
              <w:rPr>
                <w:rFonts w:eastAsia="Times New Roman" w:cs="Times New Roman"/>
                <w:i/>
                <w:iCs/>
              </w:rPr>
              <w:t xml:space="preserve"> exequibilidad </w:t>
            </w:r>
            <w:r w:rsidRPr="00211504">
              <w:rPr>
                <w:rFonts w:eastAsia="Times New Roman" w:cs="Times New Roman"/>
              </w:rPr>
              <w:t xml:space="preserve">del Decreto Legislativo 062 de 2025. En relación con el presupuesto </w:t>
            </w:r>
            <w:r w:rsidRPr="00211504">
              <w:rPr>
                <w:rFonts w:eastAsia="Times New Roman" w:cs="Times New Roman"/>
                <w:i/>
                <w:iCs/>
              </w:rPr>
              <w:t>fáctico</w:t>
            </w:r>
            <w:r w:rsidRPr="00211504">
              <w:rPr>
                <w:rFonts w:eastAsia="Times New Roman" w:cs="Times New Roman"/>
              </w:rPr>
              <w:t>, indicó que “se han documentado más de 54.000 desplazamientos forzados, más de 32.448 personas confinadas, niños reclutados y cerca de cincuenta y ocho (58) asesinados de población civil, de los cuales, (4) son menores de edad, 5 firmantes de paz y 2 líderes sociales”</w:t>
            </w:r>
            <w:r w:rsidRPr="00211504">
              <w:rPr>
                <w:rStyle w:val="Refdenotaalpie"/>
                <w:rFonts w:eastAsia="Times New Roman" w:cs="Times New Roman"/>
              </w:rPr>
              <w:footnoteReference w:id="911"/>
            </w:r>
            <w:r w:rsidRPr="00211504">
              <w:rPr>
                <w:rFonts w:eastAsia="Times New Roman" w:cs="Times New Roman"/>
              </w:rPr>
              <w:t>. Agregó que, “[d]e acuerdo con los hechos revelados por el Ministerio de Defensa en los que se evidencia el recrudecimiento de la violencia en la región del Catatumbo desde el 16 de enero hasta el 24 de enero de 2025”</w:t>
            </w:r>
            <w:r w:rsidRPr="00211504">
              <w:rPr>
                <w:rStyle w:val="Refdenotaalpie"/>
                <w:rFonts w:eastAsia="Times New Roman" w:cs="Times New Roman"/>
              </w:rPr>
              <w:footnoteReference w:id="912"/>
            </w:r>
            <w:r w:rsidRPr="00211504">
              <w:rPr>
                <w:rFonts w:eastAsia="Times New Roman" w:cs="Times New Roman"/>
              </w:rPr>
              <w:t xml:space="preserve">. Sobre el presupuesto </w:t>
            </w:r>
            <w:r w:rsidRPr="00211504">
              <w:rPr>
                <w:rFonts w:eastAsia="Times New Roman" w:cs="Times New Roman"/>
                <w:i/>
                <w:iCs/>
              </w:rPr>
              <w:t>valorativo</w:t>
            </w:r>
            <w:r w:rsidRPr="00211504">
              <w:rPr>
                <w:rFonts w:eastAsia="Times New Roman" w:cs="Times New Roman"/>
              </w:rPr>
              <w:t>, manifestó que “la situación de la región del Catatumbo estaba advertida, no solo por la comunidad que habita en la zona, sino también por las cinco (05) Alertas Tempranas que entre el 2020 y 2024 emite la Defensoría del Pueblo”</w:t>
            </w:r>
            <w:r w:rsidRPr="00211504">
              <w:rPr>
                <w:rStyle w:val="Refdenotaalpie"/>
                <w:rFonts w:eastAsia="Times New Roman" w:cs="Times New Roman"/>
              </w:rPr>
              <w:footnoteReference w:id="913"/>
            </w:r>
            <w:r w:rsidRPr="00211504">
              <w:rPr>
                <w:rFonts w:eastAsia="Times New Roman" w:cs="Times New Roman"/>
              </w:rPr>
              <w:t>. Sin embargo, consideró que, si bien “los hechos presentados en la región del Catatumbo no son nuevos en la región, la dimensión de estos, ha desbordado la capacidad de atención de los mismos en condiciones normales”</w:t>
            </w:r>
            <w:r w:rsidRPr="00211504">
              <w:rPr>
                <w:rStyle w:val="Refdenotaalpie"/>
                <w:rFonts w:eastAsia="Times New Roman" w:cs="Times New Roman"/>
              </w:rPr>
              <w:footnoteReference w:id="914"/>
            </w:r>
            <w:r w:rsidRPr="00211504">
              <w:rPr>
                <w:rFonts w:eastAsia="Times New Roman" w:cs="Times New Roman"/>
              </w:rPr>
              <w:t>.</w:t>
            </w:r>
          </w:p>
          <w:p w14:paraId="53EF3988" w14:textId="77777777" w:rsidR="00C454A1" w:rsidRPr="00211504" w:rsidRDefault="00C454A1" w:rsidP="00881E6A">
            <w:pPr>
              <w:spacing w:after="120"/>
              <w:ind w:right="272"/>
              <w:contextualSpacing/>
              <w:rPr>
                <w:rFonts w:eastAsia="Times New Roman" w:cs="Times New Roman"/>
              </w:rPr>
            </w:pPr>
          </w:p>
          <w:p w14:paraId="1B7EFE43"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lastRenderedPageBreak/>
              <w:t xml:space="preserve">Respecto del requisito de </w:t>
            </w:r>
            <w:r w:rsidRPr="00211504">
              <w:rPr>
                <w:rFonts w:eastAsia="Times New Roman" w:cs="Times New Roman"/>
                <w:i/>
                <w:iCs/>
              </w:rPr>
              <w:t>suficiencia</w:t>
            </w:r>
            <w:r w:rsidRPr="00211504">
              <w:rPr>
                <w:rFonts w:eastAsia="Times New Roman" w:cs="Times New Roman"/>
              </w:rPr>
              <w:t>, adujo que el “ELN en la región norte de Santander del año 2019 a 2024 ha crecido en 27.98 % consolidando alrededor de 1.583 integrantes, es decir, 446 más en el gobierno de Duque y 115 en gobierno de Petro, esto, debido a las alianzas temporales con grupos armados ilegales […] el Ejército Nacional incorporó 1.158 hombres adicionales en la zona del Catatumbo para un total de 9.487 que operan en la parte afectada a través de las respectivas brigadas, entre estos, 428 soldados de fuerzas especiales, pero se puede aumentar este número si se aprueba el Decreto 062 de 2025”</w:t>
            </w:r>
            <w:r w:rsidRPr="00211504">
              <w:rPr>
                <w:rStyle w:val="Refdenotaalpie"/>
                <w:rFonts w:eastAsia="Times New Roman" w:cs="Times New Roman"/>
              </w:rPr>
              <w:footnoteReference w:id="915"/>
            </w:r>
            <w:r w:rsidRPr="00211504">
              <w:rPr>
                <w:rFonts w:eastAsia="Times New Roman" w:cs="Times New Roman"/>
              </w:rPr>
              <w:t>.</w:t>
            </w:r>
          </w:p>
        </w:tc>
      </w:tr>
      <w:tr w:rsidR="00C454A1" w:rsidRPr="00F8202F" w14:paraId="2FBA9483" w14:textId="77777777" w:rsidTr="005F4A6F">
        <w:trPr>
          <w:trHeight w:val="300"/>
        </w:trPr>
        <w:tc>
          <w:tcPr>
            <w:tcW w:w="813" w:type="pct"/>
            <w:vAlign w:val="center"/>
          </w:tcPr>
          <w:p w14:paraId="2EC08331" w14:textId="77777777" w:rsidR="00C454A1" w:rsidRPr="00211504" w:rsidRDefault="00C454A1" w:rsidP="00881E6A">
            <w:pPr>
              <w:spacing w:after="120"/>
              <w:ind w:right="272"/>
              <w:contextualSpacing/>
              <w:jc w:val="center"/>
              <w:rPr>
                <w:rFonts w:cs="Times New Roman"/>
                <w:b/>
                <w:bCs/>
              </w:rPr>
            </w:pPr>
            <w:r w:rsidRPr="00211504">
              <w:rPr>
                <w:rFonts w:cs="Times New Roman"/>
                <w:b/>
                <w:bCs/>
              </w:rPr>
              <w:lastRenderedPageBreak/>
              <w:t>Cámara de Representantes</w:t>
            </w:r>
          </w:p>
        </w:tc>
        <w:tc>
          <w:tcPr>
            <w:tcW w:w="4187" w:type="pct"/>
          </w:tcPr>
          <w:p w14:paraId="2A75B742" w14:textId="77777777" w:rsidR="00C454A1" w:rsidRPr="00211504" w:rsidRDefault="00C454A1" w:rsidP="00881E6A">
            <w:pPr>
              <w:spacing w:after="120"/>
              <w:ind w:right="272"/>
              <w:contextualSpacing/>
              <w:rPr>
                <w:rFonts w:cs="Times New Roman"/>
              </w:rPr>
            </w:pPr>
            <w:r w:rsidRPr="00211504">
              <w:rPr>
                <w:rFonts w:cs="Times New Roman"/>
              </w:rPr>
              <w:t>Solicitó declarar la</w:t>
            </w:r>
            <w:r w:rsidRPr="00211504">
              <w:rPr>
                <w:rFonts w:cs="Times New Roman"/>
                <w:i/>
                <w:iCs/>
              </w:rPr>
              <w:t xml:space="preserve"> exequibilidad </w:t>
            </w:r>
            <w:r w:rsidRPr="00211504">
              <w:rPr>
                <w:rFonts w:cs="Times New Roman"/>
              </w:rPr>
              <w:t xml:space="preserve">del Decreto Legislativo 062 de 2025, En relación con el presupuesto </w:t>
            </w:r>
            <w:r w:rsidRPr="00211504">
              <w:rPr>
                <w:rFonts w:cs="Times New Roman"/>
                <w:i/>
                <w:iCs/>
              </w:rPr>
              <w:t>fáctico</w:t>
            </w:r>
            <w:r w:rsidRPr="00211504">
              <w:rPr>
                <w:rFonts w:cs="Times New Roman"/>
              </w:rPr>
              <w:t>, indicó que la información sobre el “recrudecimiento de la violencia en la región del Catatumbo desde el 16 de enero de 2025”</w:t>
            </w:r>
            <w:r w:rsidRPr="00211504">
              <w:rPr>
                <w:rStyle w:val="Refdenotaalpie"/>
                <w:rFonts w:cs="Times New Roman"/>
              </w:rPr>
              <w:footnoteReference w:id="916"/>
            </w:r>
            <w:r w:rsidRPr="00211504">
              <w:rPr>
                <w:rFonts w:cs="Times New Roman"/>
              </w:rPr>
              <w:t xml:space="preserve"> cumple con la interpretación de la sentencia C-090 de 2009 sobre la situación que da origen al estado de conmoción interior. Destacó que la situación de orden público en el Catatumbo ha mostrado un deterioro paulatino, como lo evidencian el estado de cosas inconstitucional que declaró la Corte Constitucional respecto de la seguridad de los excombatientes en 2022, la falta de protección para líderes sociales, el aumento del narcotráfico, el fortalecimiento del ELN y, para el 22 de enero de 2025, las “más de 36.000”</w:t>
            </w:r>
            <w:r w:rsidRPr="00211504">
              <w:rPr>
                <w:rStyle w:val="Refdenotaalpie"/>
                <w:rFonts w:cs="Times New Roman"/>
              </w:rPr>
              <w:footnoteReference w:id="917"/>
            </w:r>
            <w:r w:rsidRPr="00211504">
              <w:rPr>
                <w:rFonts w:cs="Times New Roman"/>
              </w:rPr>
              <w:t xml:space="preserve"> personas víctimas de desplazamiento forzoso. Recordó que la Defensoría del Pueblo “emitió una alerta temprana en noviembre de 2024”</w:t>
            </w:r>
            <w:r w:rsidRPr="00211504">
              <w:rPr>
                <w:rStyle w:val="Refdenotaalpie"/>
                <w:rFonts w:cs="Times New Roman"/>
              </w:rPr>
              <w:footnoteReference w:id="918"/>
            </w:r>
            <w:r w:rsidRPr="00211504">
              <w:rPr>
                <w:rFonts w:cs="Times New Roman"/>
              </w:rPr>
              <w:t>, en la que advirtió el riesgo de orden público en el Catatumbo y la necesidad de adoptar medidas urgentes. La Cámara tuvo en cuenta que el Alto Comisionado para la Paz “explicó que el ataque del ELN no fue una acción repentina”</w:t>
            </w:r>
            <w:r w:rsidRPr="00211504">
              <w:rPr>
                <w:rStyle w:val="Refdenotaalpie"/>
                <w:rFonts w:cs="Times New Roman"/>
              </w:rPr>
              <w:footnoteReference w:id="919"/>
            </w:r>
            <w:r w:rsidRPr="00211504">
              <w:rPr>
                <w:rFonts w:cs="Times New Roman"/>
              </w:rPr>
              <w:t>. Asimismo, reconoció que la “situación de la región del Catatumbo estaba advertida, no solo por la comunidad que habita en la zona, sino también por las cinco (05) Alertas Tempranas que entre el 2020 y 2024 emite la Defensoría del Pueblo”</w:t>
            </w:r>
            <w:r w:rsidRPr="00211504">
              <w:rPr>
                <w:rStyle w:val="Refdenotaalpie"/>
                <w:rFonts w:cs="Times New Roman"/>
              </w:rPr>
              <w:footnoteReference w:id="920"/>
            </w:r>
            <w:r w:rsidRPr="00211504">
              <w:rPr>
                <w:rFonts w:cs="Times New Roman"/>
              </w:rPr>
              <w:t>.</w:t>
            </w:r>
          </w:p>
          <w:p w14:paraId="01042B42" w14:textId="77777777" w:rsidR="00C454A1" w:rsidRPr="00211504" w:rsidRDefault="00C454A1" w:rsidP="00881E6A">
            <w:pPr>
              <w:spacing w:after="120"/>
              <w:ind w:right="272"/>
              <w:contextualSpacing/>
              <w:rPr>
                <w:rFonts w:cs="Times New Roman"/>
              </w:rPr>
            </w:pPr>
          </w:p>
          <w:p w14:paraId="17FC3302" w14:textId="77777777" w:rsidR="00C454A1" w:rsidRPr="00211504" w:rsidRDefault="00C454A1" w:rsidP="00881E6A">
            <w:pPr>
              <w:spacing w:after="120"/>
              <w:ind w:right="272"/>
              <w:contextualSpacing/>
              <w:rPr>
                <w:rFonts w:cs="Times New Roman"/>
              </w:rPr>
            </w:pPr>
            <w:r w:rsidRPr="00211504">
              <w:rPr>
                <w:rFonts w:cs="Times New Roman"/>
              </w:rPr>
              <w:lastRenderedPageBreak/>
              <w:t xml:space="preserve">Sobre el presupuesto </w:t>
            </w:r>
            <w:r w:rsidRPr="00211504">
              <w:rPr>
                <w:rFonts w:cs="Times New Roman"/>
                <w:i/>
                <w:iCs/>
              </w:rPr>
              <w:t>valorativo</w:t>
            </w:r>
            <w:r w:rsidRPr="00211504">
              <w:rPr>
                <w:rFonts w:cs="Times New Roman"/>
              </w:rPr>
              <w:t xml:space="preserve">, sostuvo que desde el 15 de enero de 2025 la violencia incrementó sustancialmente en la zona, lo cual </w:t>
            </w:r>
            <w:r w:rsidRPr="00211504">
              <w:rPr>
                <w:rFonts w:cs="Times New Roman"/>
                <w:i/>
                <w:iCs/>
              </w:rPr>
              <w:t xml:space="preserve">(i) </w:t>
            </w:r>
            <w:r w:rsidRPr="00211504">
              <w:rPr>
                <w:rFonts w:cs="Times New Roman"/>
              </w:rPr>
              <w:t xml:space="preserve">impidió al Gobierno “implementar las recomendaciones de la Defensoría del Pueblo y el Ministerio Público”, </w:t>
            </w:r>
            <w:r w:rsidRPr="00211504">
              <w:rPr>
                <w:rFonts w:cs="Times New Roman"/>
                <w:i/>
                <w:iCs/>
              </w:rPr>
              <w:t>(ii)</w:t>
            </w:r>
            <w:r w:rsidRPr="00211504">
              <w:rPr>
                <w:rFonts w:cs="Times New Roman"/>
              </w:rPr>
              <w:t xml:space="preserve"> dificultó “la presencia institucional en la región”, </w:t>
            </w:r>
            <w:r w:rsidRPr="00211504">
              <w:rPr>
                <w:rFonts w:cs="Times New Roman"/>
                <w:i/>
                <w:iCs/>
              </w:rPr>
              <w:t xml:space="preserve">(iii) </w:t>
            </w:r>
            <w:r w:rsidRPr="00211504">
              <w:rPr>
                <w:rFonts w:cs="Times New Roman"/>
              </w:rPr>
              <w:t>afectó “gravemente las funciones esenciales del Estado en el Catatumbo”, e</w:t>
            </w:r>
            <w:r w:rsidRPr="00211504">
              <w:rPr>
                <w:rFonts w:cs="Times New Roman"/>
                <w:i/>
                <w:iCs/>
              </w:rPr>
              <w:t xml:space="preserve"> (iv)</w:t>
            </w:r>
            <w:r w:rsidRPr="00211504">
              <w:rPr>
                <w:rFonts w:cs="Times New Roman"/>
              </w:rPr>
              <w:t xml:space="preserve"> impidió la prestación de servicios públicos, y el acceso a alimentación, justicia, salud y educación</w:t>
            </w:r>
            <w:r w:rsidRPr="00211504">
              <w:rPr>
                <w:rStyle w:val="Refdenotaalpie"/>
                <w:rFonts w:cs="Times New Roman"/>
              </w:rPr>
              <w:footnoteReference w:id="921"/>
            </w:r>
            <w:r w:rsidRPr="00211504">
              <w:rPr>
                <w:rFonts w:cs="Times New Roman"/>
              </w:rPr>
              <w:t>. Además, la crisis provocó un “colapso institucional” y tuvo un “impacto en la infraestructura crítica” del Catatumbo</w:t>
            </w:r>
            <w:r w:rsidRPr="00211504">
              <w:rPr>
                <w:rStyle w:val="Refdenotaalpie"/>
                <w:rFonts w:cs="Times New Roman"/>
              </w:rPr>
              <w:footnoteReference w:id="922"/>
            </w:r>
            <w:r w:rsidRPr="00211504">
              <w:rPr>
                <w:rFonts w:cs="Times New Roman"/>
              </w:rPr>
              <w:t>. En este sentido, concluyó que la crisis del Catatumbo representó un cambio “cualitativo, no solo cuantitativo, en la naturaleza de los hechos de violencia” que generó “graves afectaciones a los derechos humanos de la población civil habitante en la región”</w:t>
            </w:r>
            <w:r w:rsidRPr="00211504">
              <w:rPr>
                <w:rStyle w:val="Refdenotaalpie"/>
                <w:rFonts w:cs="Times New Roman"/>
              </w:rPr>
              <w:footnoteReference w:id="923"/>
            </w:r>
            <w:r w:rsidRPr="00211504">
              <w:rPr>
                <w:rFonts w:cs="Times New Roman"/>
              </w:rPr>
              <w:t>.</w:t>
            </w:r>
          </w:p>
          <w:p w14:paraId="413D97C3" w14:textId="77777777" w:rsidR="00C454A1" w:rsidRPr="00211504" w:rsidRDefault="00C454A1" w:rsidP="00881E6A">
            <w:pPr>
              <w:spacing w:after="120"/>
              <w:ind w:right="272"/>
              <w:contextualSpacing/>
              <w:rPr>
                <w:rFonts w:cs="Times New Roman"/>
              </w:rPr>
            </w:pPr>
          </w:p>
          <w:p w14:paraId="72F3F67B" w14:textId="77777777" w:rsidR="00C454A1" w:rsidRPr="00211504" w:rsidRDefault="00C454A1" w:rsidP="00881E6A">
            <w:pPr>
              <w:spacing w:after="120"/>
              <w:ind w:right="272"/>
              <w:contextualSpacing/>
              <w:rPr>
                <w:rFonts w:cs="Times New Roman"/>
              </w:rPr>
            </w:pPr>
            <w:r w:rsidRPr="00211504">
              <w:rPr>
                <w:rFonts w:cs="Times New Roman"/>
              </w:rPr>
              <w:t xml:space="preserve">Respecto del presupuesto de </w:t>
            </w:r>
            <w:r w:rsidRPr="00211504">
              <w:rPr>
                <w:rFonts w:cs="Times New Roman"/>
                <w:i/>
                <w:iCs/>
              </w:rPr>
              <w:t>suficiencia</w:t>
            </w:r>
            <w:r w:rsidRPr="00211504">
              <w:rPr>
                <w:rFonts w:cs="Times New Roman"/>
              </w:rPr>
              <w:t>, consideró que el escalamiento de la violencia del ELN “ha generado una crisis humanitaria sin precedentes”</w:t>
            </w:r>
            <w:r w:rsidRPr="00211504">
              <w:rPr>
                <w:rStyle w:val="Refdenotaalpie"/>
                <w:rFonts w:cs="Times New Roman"/>
              </w:rPr>
              <w:footnoteReference w:id="924"/>
            </w:r>
            <w:r w:rsidRPr="00211504">
              <w:rPr>
                <w:rFonts w:cs="Times New Roman"/>
              </w:rPr>
              <w:t xml:space="preserve"> y, si bien los hechos que dieron origen a la crisis del Catatumbo “no son nuevos en la región, la dimensión de estos ha desbordado la capacidad de atención de los mismos en condiciones normales”</w:t>
            </w:r>
            <w:r w:rsidRPr="00211504">
              <w:rPr>
                <w:rStyle w:val="Refdenotaalpie"/>
                <w:rFonts w:cs="Times New Roman"/>
              </w:rPr>
              <w:footnoteReference w:id="925"/>
            </w:r>
            <w:r w:rsidRPr="00211504">
              <w:rPr>
                <w:rFonts w:cs="Times New Roman"/>
              </w:rPr>
              <w:t>. Precisó que “a pesar de las operaciones defensivas y ofensivas de [la Fuerza Pública], la magnitud del conflicto requiere un refuerzo urgente en el control del territorio”</w:t>
            </w:r>
            <w:r w:rsidRPr="00211504">
              <w:rPr>
                <w:rStyle w:val="Refdenotaalpie"/>
                <w:rFonts w:cs="Times New Roman"/>
              </w:rPr>
              <w:footnoteReference w:id="926"/>
            </w:r>
            <w:r w:rsidRPr="00211504">
              <w:rPr>
                <w:rFonts w:cs="Times New Roman"/>
              </w:rPr>
              <w:t>. Concluyó que las “capacidades ordinarias de la Fuerza Pública y las autoridades de policía resultan insuficientes para contener la violencia y garantizar la estabilidad institucional”</w:t>
            </w:r>
            <w:r w:rsidRPr="00211504">
              <w:rPr>
                <w:rStyle w:val="Refdenotaalpie"/>
                <w:rFonts w:cs="Times New Roman"/>
              </w:rPr>
              <w:footnoteReference w:id="927"/>
            </w:r>
            <w:r w:rsidRPr="00211504">
              <w:rPr>
                <w:rFonts w:cs="Times New Roman"/>
              </w:rPr>
              <w:t>. Esto, con los propósitos de “consolidar un poder militar mayúsculo”</w:t>
            </w:r>
            <w:r w:rsidRPr="00211504">
              <w:rPr>
                <w:rStyle w:val="Refdenotaalpie"/>
                <w:rFonts w:cs="Times New Roman"/>
              </w:rPr>
              <w:footnoteReference w:id="928"/>
            </w:r>
            <w:r w:rsidRPr="00211504">
              <w:rPr>
                <w:rFonts w:cs="Times New Roman"/>
              </w:rPr>
              <w:t xml:space="preserve">, fortalecer y mejorar el control del espacio aéreo, los servicios de inteligencia y el funcionamiento de la justicia. Además, a fin de frenar el desplazamiento forzado masivo. A nivel presupuestal, sostuvo que “los recursos del [PGN] son </w:t>
            </w:r>
            <w:r w:rsidRPr="00211504">
              <w:rPr>
                <w:rFonts w:cs="Times New Roman"/>
              </w:rPr>
              <w:lastRenderedPageBreak/>
              <w:t>insuficientes y rígidos en su asignación, dificultando una respuesta inmediata”</w:t>
            </w:r>
            <w:r w:rsidRPr="00211504">
              <w:rPr>
                <w:rStyle w:val="Refdenotaalpie"/>
                <w:rFonts w:cs="Times New Roman"/>
              </w:rPr>
              <w:footnoteReference w:id="929"/>
            </w:r>
            <w:r w:rsidRPr="00211504">
              <w:rPr>
                <w:rFonts w:cs="Times New Roman"/>
              </w:rPr>
              <w:t>. Destacó que el Gobierno debía adoptar medidas extraordinarias a fin de flexibilizar los recursos e implementar medidas tributarias para restablecer el orden en el Catatumbo</w:t>
            </w:r>
            <w:r w:rsidRPr="00211504">
              <w:rPr>
                <w:rStyle w:val="Refdenotaalpie"/>
                <w:rFonts w:cs="Times New Roman"/>
              </w:rPr>
              <w:footnoteReference w:id="930"/>
            </w:r>
            <w:r w:rsidRPr="00211504">
              <w:rPr>
                <w:rFonts w:cs="Times New Roman"/>
              </w:rPr>
              <w:t xml:space="preserve">. </w:t>
            </w:r>
          </w:p>
          <w:p w14:paraId="1443BEBA" w14:textId="77777777" w:rsidR="00C454A1" w:rsidRPr="00211504" w:rsidRDefault="00C454A1" w:rsidP="00881E6A">
            <w:pPr>
              <w:spacing w:after="120"/>
              <w:ind w:right="272"/>
              <w:contextualSpacing/>
              <w:rPr>
                <w:rFonts w:cs="Times New Roman"/>
              </w:rPr>
            </w:pPr>
          </w:p>
          <w:p w14:paraId="05F8AABC" w14:textId="77777777" w:rsidR="00C454A1" w:rsidRPr="00211504" w:rsidRDefault="00C454A1" w:rsidP="00881E6A">
            <w:pPr>
              <w:spacing w:after="120"/>
              <w:ind w:right="272"/>
              <w:contextualSpacing/>
              <w:rPr>
                <w:rFonts w:cs="Times New Roman"/>
              </w:rPr>
            </w:pPr>
            <w:r w:rsidRPr="00211504">
              <w:rPr>
                <w:rFonts w:cs="Times New Roman"/>
              </w:rPr>
              <w:t>Por otro lado, recopiló las declaraciones de los alcaldes de Teorama, Sardinata y Abrego, quienes sostuvieron que el Gobierno</w:t>
            </w:r>
            <w:r>
              <w:rPr>
                <w:rFonts w:cs="Times New Roman"/>
              </w:rPr>
              <w:t xml:space="preserve"> nacional</w:t>
            </w:r>
            <w:r w:rsidRPr="00211504">
              <w:rPr>
                <w:rFonts w:cs="Times New Roman"/>
              </w:rPr>
              <w:t xml:space="preserve"> no había invertido los recursos suficientes en la región, sino decidido “recortar recursos del Sistema General de Participaciones”, ni había cumplido el “Pacto Catatumbo”</w:t>
            </w:r>
            <w:r w:rsidRPr="00211504">
              <w:rPr>
                <w:rStyle w:val="Refdenotaalpie"/>
                <w:rFonts w:cs="Times New Roman"/>
              </w:rPr>
              <w:footnoteReference w:id="931"/>
            </w:r>
            <w:r w:rsidRPr="00211504">
              <w:rPr>
                <w:rFonts w:cs="Times New Roman"/>
              </w:rPr>
              <w:t>. Además, reconoció que de acuerdo “con cifras del Ministerio de Defensa, durante los últimos 15 años la capacidad operativa de las fuerzas militares, especiales del ejército ha disminuido [y] […] el número de soldados y policías para la región del Catatumbo es insuficiente”</w:t>
            </w:r>
            <w:r w:rsidRPr="00211504">
              <w:rPr>
                <w:rStyle w:val="Refdenotaalpie"/>
                <w:rFonts w:cs="Times New Roman"/>
              </w:rPr>
              <w:footnoteReference w:id="932"/>
            </w:r>
            <w:r w:rsidRPr="00211504">
              <w:rPr>
                <w:rFonts w:cs="Times New Roman"/>
              </w:rPr>
              <w:t>. Advirtió que la región del Catatumbo ha tenido “presencia histórica de grupos armados ilegales, como el ELN, las disidencias de las FARC y el Clan del Golfo”</w:t>
            </w:r>
            <w:r w:rsidRPr="00211504">
              <w:rPr>
                <w:rStyle w:val="Refdenotaalpie"/>
                <w:rFonts w:cs="Times New Roman"/>
              </w:rPr>
              <w:footnoteReference w:id="933"/>
            </w:r>
            <w:r w:rsidRPr="00211504">
              <w:rPr>
                <w:rFonts w:cs="Times New Roman"/>
              </w:rPr>
              <w:t xml:space="preserve">. </w:t>
            </w:r>
          </w:p>
        </w:tc>
      </w:tr>
      <w:tr w:rsidR="00C454A1" w:rsidRPr="00F8202F" w14:paraId="12A14D77" w14:textId="77777777" w:rsidTr="005F4A6F">
        <w:trPr>
          <w:trHeight w:val="300"/>
        </w:trPr>
        <w:tc>
          <w:tcPr>
            <w:tcW w:w="813" w:type="pct"/>
            <w:vAlign w:val="center"/>
          </w:tcPr>
          <w:p w14:paraId="23E0317F" w14:textId="77777777" w:rsidR="00C454A1" w:rsidRPr="00211504" w:rsidRDefault="00C454A1" w:rsidP="00881E6A">
            <w:pPr>
              <w:spacing w:after="120"/>
              <w:ind w:right="272"/>
              <w:contextualSpacing/>
              <w:jc w:val="center"/>
              <w:rPr>
                <w:rFonts w:cs="Times New Roman"/>
                <w:b/>
              </w:rPr>
            </w:pPr>
            <w:r w:rsidRPr="00211504">
              <w:rPr>
                <w:rFonts w:cs="Times New Roman"/>
                <w:b/>
                <w:bCs/>
              </w:rPr>
              <w:lastRenderedPageBreak/>
              <w:t>Alejandro Linares Cantillo</w:t>
            </w:r>
          </w:p>
        </w:tc>
        <w:tc>
          <w:tcPr>
            <w:tcW w:w="4187" w:type="pct"/>
          </w:tcPr>
          <w:p w14:paraId="6AD788AF" w14:textId="77777777" w:rsidR="00C454A1" w:rsidRPr="00211504" w:rsidRDefault="00C454A1" w:rsidP="00881E6A">
            <w:pPr>
              <w:spacing w:after="120"/>
              <w:ind w:right="272"/>
              <w:contextualSpacing/>
              <w:rPr>
                <w:rFonts w:cs="Times New Roman"/>
              </w:rPr>
            </w:pPr>
            <w:r w:rsidRPr="00211504">
              <w:rPr>
                <w:rFonts w:cs="Times New Roman"/>
              </w:rPr>
              <w:t>Solicitó declarar la</w:t>
            </w:r>
            <w:r w:rsidRPr="00211504">
              <w:rPr>
                <w:rFonts w:cs="Times New Roman"/>
                <w:i/>
                <w:iCs/>
              </w:rPr>
              <w:t xml:space="preserve"> inexequibilidad</w:t>
            </w:r>
            <w:r w:rsidRPr="00211504">
              <w:rPr>
                <w:rFonts w:cs="Times New Roman"/>
              </w:rPr>
              <w:t xml:space="preserve"> del Decreto Legislativo 062 de 2025. En relación con el presupuesto </w:t>
            </w:r>
            <w:r w:rsidRPr="00211504">
              <w:rPr>
                <w:rFonts w:cs="Times New Roman"/>
                <w:i/>
                <w:iCs/>
              </w:rPr>
              <w:t>valorativo</w:t>
            </w:r>
            <w:r w:rsidRPr="00211504">
              <w:rPr>
                <w:rFonts w:cs="Times New Roman"/>
              </w:rPr>
              <w:t xml:space="preserve">, indicó que, aunque la crisis humanitaria en la región del Catatumbo es grave, no es un fenómeno nuevo ni excepcional. Expuso que esa región ha sido marcada históricamente por la presencia de grupos armados ilegales, cultivos ilícitos, ausencia estatal y desplazamiento forzado. Señaló que la región del Catatumbo no es la única región en el país que enfrenta una crisis humanitaria con características similares, pues las zonas de Chocó y el </w:t>
            </w:r>
            <w:r w:rsidRPr="00211504">
              <w:rPr>
                <w:rFonts w:cs="Times New Roman"/>
              </w:rPr>
              <w:lastRenderedPageBreak/>
              <w:t>Bajo Atrato, Cauca, Nariño, Putumayo, Guaviare, el Magdalena medio, Arauca y la Amazonía han vivido en condiciones de grave vulneración de derechos humanos. En consecuencia, señaló que el conflicto entre las fuerzas del Estado y los grupos armados ilegales “no se limita exclusivamente al Catatumbo, sino que abarca múltiples regiones del país con niveles de violencia, desplazamiento forzado y crisis humanitaria igual de alarmantes y graves a los del Catatumbo”</w:t>
            </w:r>
            <w:r w:rsidRPr="00211504">
              <w:rPr>
                <w:rStyle w:val="Refdenotaalpie"/>
                <w:rFonts w:cs="Times New Roman"/>
              </w:rPr>
              <w:footnoteReference w:id="934"/>
            </w:r>
            <w:r w:rsidRPr="00211504">
              <w:rPr>
                <w:rFonts w:cs="Times New Roman"/>
              </w:rPr>
              <w:t>. Argumentó que la crisis ha sido advertida por más de seis años, hecho que puede ser corroborado con las cifras y evidencias documentadas en la Alerta Temprana No. 026-2024.</w:t>
            </w:r>
          </w:p>
          <w:p w14:paraId="69A3A093" w14:textId="77777777" w:rsidR="00C454A1" w:rsidRPr="00211504" w:rsidRDefault="00C454A1" w:rsidP="00881E6A">
            <w:pPr>
              <w:spacing w:after="120"/>
              <w:ind w:right="272"/>
              <w:contextualSpacing/>
              <w:rPr>
                <w:rFonts w:cs="Times New Roman"/>
              </w:rPr>
            </w:pPr>
          </w:p>
          <w:p w14:paraId="4554231C" w14:textId="77777777" w:rsidR="00C454A1" w:rsidRPr="00211504" w:rsidRDefault="00C454A1" w:rsidP="00881E6A">
            <w:pPr>
              <w:spacing w:after="120"/>
              <w:ind w:right="272"/>
              <w:contextualSpacing/>
              <w:rPr>
                <w:rFonts w:cs="Times New Roman"/>
              </w:rPr>
            </w:pPr>
            <w:r w:rsidRPr="00211504">
              <w:rPr>
                <w:rFonts w:cs="Times New Roman"/>
              </w:rPr>
              <w:t xml:space="preserve">Respecto del requisito de </w:t>
            </w:r>
            <w:r w:rsidRPr="00211504">
              <w:rPr>
                <w:rFonts w:cs="Times New Roman"/>
                <w:i/>
                <w:iCs/>
              </w:rPr>
              <w:t>suficiencia</w:t>
            </w:r>
            <w:r w:rsidRPr="00211504">
              <w:rPr>
                <w:rFonts w:cs="Times New Roman"/>
              </w:rPr>
              <w:t xml:space="preserve">, advirtió que no se ha demostrado que las instituciones ordinarias del Estado sean insuficientes para atender la situación. Explicó que el Gobierno </w:t>
            </w:r>
            <w:r>
              <w:rPr>
                <w:rFonts w:cs="Times New Roman"/>
              </w:rPr>
              <w:t xml:space="preserve">nacional </w:t>
            </w:r>
            <w:r w:rsidRPr="00211504">
              <w:rPr>
                <w:rFonts w:cs="Times New Roman"/>
              </w:rPr>
              <w:t>no ha atacado algunas problemáticas estructurales que contribuyen a la perpetuación de la violencia en el Catatumbo. Primero, señaló que la falta de implementación de los Programas de Desarrollo Con Enfoque Territorial (PDET) contribuye a la problemática estructural que conllevó a la declaratoria del Estado de conmoción, puesto que en los municipios PDET existen problemas de seguridad, de violencia y de desplazamiento forzado. Segundo, indicó que existen graves incumplimientos de lo dispuesto en el Acuerdo Final de Paz de 2016, pues el informe de la ONU del 2024 destaca que “el conflicto es una de las principales causas de la pobreza en el país, donde los grupos armados no estatales expulsan personas de los territorios”</w:t>
            </w:r>
            <w:r w:rsidRPr="00211504">
              <w:rPr>
                <w:rStyle w:val="Refdenotaalpie"/>
                <w:rFonts w:cs="Times New Roman"/>
              </w:rPr>
              <w:footnoteReference w:id="935"/>
            </w:r>
            <w:r w:rsidRPr="00211504">
              <w:rPr>
                <w:rFonts w:cs="Times New Roman"/>
              </w:rPr>
              <w:t>. Tercero, expuso que el Gobierno no ha atacado el circuito económico ilícito, lo cual ha generado una ola de violencia que ha afectado a miles de familias, debido a la disputa entre las disidencias de la FARC y el ELN por el control del narcotráfico. Consideró que “si el Estado no ha adoptado medidas ordinarias como imponer condiciones previas al inicio de negociaciones con actores armados, difícilmente podrá justificar la declaración de un [E]stado de Conmoción interior basándose en su propia negligencia”</w:t>
            </w:r>
            <w:r w:rsidRPr="00211504">
              <w:rPr>
                <w:rStyle w:val="Refdenotaalpie"/>
                <w:rFonts w:cs="Times New Roman"/>
              </w:rPr>
              <w:footnoteReference w:id="936"/>
            </w:r>
            <w:r w:rsidRPr="00211504">
              <w:rPr>
                <w:rFonts w:cs="Times New Roman"/>
              </w:rPr>
              <w:t xml:space="preserve">. Precisó que, aunque el Decreto reconoce estas problemáticas, el mismo no explicó las medidas ordinarias adoptadas, ni por qué aquellas son insuficientes. Por lo tanto, la declaratoria de Estado de Excepción </w:t>
            </w:r>
            <w:r w:rsidRPr="00211504">
              <w:rPr>
                <w:rFonts w:cs="Times New Roman"/>
              </w:rPr>
              <w:lastRenderedPageBreak/>
              <w:t>no puede interpretarse como “una respuesta legítima y proporcional a una crisis externa o inminente, sino como un intento de utilizar herramientas excepcionales para mitigar los efectos de su propia inacción”</w:t>
            </w:r>
            <w:r w:rsidRPr="00211504">
              <w:rPr>
                <w:rStyle w:val="Refdenotaalpie"/>
                <w:rFonts w:cs="Times New Roman"/>
              </w:rPr>
              <w:footnoteReference w:id="937"/>
            </w:r>
            <w:r w:rsidRPr="00211504">
              <w:rPr>
                <w:rFonts w:cs="Times New Roman"/>
              </w:rPr>
              <w:t>.</w:t>
            </w:r>
          </w:p>
          <w:p w14:paraId="47D3BEBD" w14:textId="77777777" w:rsidR="00C454A1" w:rsidRPr="00211504" w:rsidRDefault="00C454A1" w:rsidP="00881E6A">
            <w:pPr>
              <w:spacing w:after="120"/>
              <w:ind w:right="272"/>
              <w:contextualSpacing/>
              <w:rPr>
                <w:rFonts w:cs="Times New Roman"/>
              </w:rPr>
            </w:pPr>
          </w:p>
          <w:p w14:paraId="21494323" w14:textId="77777777" w:rsidR="00C454A1" w:rsidRPr="00211504" w:rsidRDefault="00C454A1" w:rsidP="00881E6A">
            <w:pPr>
              <w:spacing w:after="120"/>
              <w:ind w:right="272"/>
              <w:contextualSpacing/>
              <w:rPr>
                <w:rFonts w:cs="Times New Roman"/>
              </w:rPr>
            </w:pPr>
            <w:r w:rsidRPr="00211504">
              <w:rPr>
                <w:rFonts w:cs="Times New Roman"/>
              </w:rPr>
              <w:t xml:space="preserve">Asimismo, indicó que el Gobierno </w:t>
            </w:r>
            <w:r>
              <w:rPr>
                <w:rFonts w:cs="Times New Roman"/>
              </w:rPr>
              <w:t xml:space="preserve">nacional </w:t>
            </w:r>
            <w:r w:rsidRPr="00211504">
              <w:rPr>
                <w:rFonts w:cs="Times New Roman"/>
              </w:rPr>
              <w:t xml:space="preserve">acudió ante un mecanismo de excepción para implementar medidas tributarias que no fueron aprobadas por el Congreso. Si bien, el análisis de las medidas tributarias debe ser estudiado en el marco del Decreto 175 de 2015, advirtió que el Decreto </w:t>
            </w:r>
            <w:r w:rsidRPr="00211504">
              <w:rPr>
                <w:rFonts w:cs="Times New Roman"/>
                <w:i/>
                <w:iCs/>
              </w:rPr>
              <w:t xml:space="preserve">sub examine </w:t>
            </w:r>
            <w:r w:rsidRPr="00211504">
              <w:rPr>
                <w:rFonts w:cs="Times New Roman"/>
              </w:rPr>
              <w:t xml:space="preserve">estableció que era necesario proveer de recursos a las entidades del Estado que deben intervenir respecto de los actos que dieron lugar a la conmoción interior. En su criterio, el presidente pudo hacer uso de otras herramientas disponibles en el ordenamiento jurídico, tales como: </w:t>
            </w:r>
            <w:r w:rsidRPr="00211504">
              <w:rPr>
                <w:rFonts w:cs="Times New Roman"/>
                <w:i/>
                <w:iCs/>
              </w:rPr>
              <w:t>(i)</w:t>
            </w:r>
            <w:r w:rsidRPr="00211504">
              <w:rPr>
                <w:rFonts w:cs="Times New Roman"/>
              </w:rPr>
              <w:t xml:space="preserve"> el Fondo de Compensación Interministerial creado en el artículo 87 del Decreto 111 de 1996. Según esa disposición, la apropiación de estos recursos se incorpora al presupuesto del Ministerio de Hacienda “con el propósito de atender faltantes de apropiación en gastos de funcionamiento de los órganos en la respectiva vigencia fiscal, y para los casos en que el presidente [...] y el Consejo de ministros califiquen de excepcional urgencia”</w:t>
            </w:r>
            <w:r w:rsidRPr="00211504">
              <w:rPr>
                <w:rStyle w:val="Refdenotaalpie"/>
                <w:rFonts w:cs="Times New Roman"/>
              </w:rPr>
              <w:footnoteReference w:id="938"/>
            </w:r>
            <w:r w:rsidRPr="00211504">
              <w:rPr>
                <w:rFonts w:cs="Times New Roman"/>
              </w:rPr>
              <w:t xml:space="preserve">; </w:t>
            </w:r>
            <w:r w:rsidRPr="00211504">
              <w:rPr>
                <w:rFonts w:cs="Times New Roman"/>
                <w:i/>
                <w:iCs/>
              </w:rPr>
              <w:t>(ii)</w:t>
            </w:r>
            <w:r w:rsidRPr="00211504">
              <w:rPr>
                <w:rFonts w:cs="Times New Roman"/>
              </w:rPr>
              <w:t xml:space="preserve"> los recursos provenientes de la cooperación internacional a que se refiere el artículo 33 del Decreto 111 de 1996; y </w:t>
            </w:r>
            <w:r w:rsidRPr="00211504">
              <w:rPr>
                <w:rFonts w:cs="Times New Roman"/>
                <w:i/>
                <w:iCs/>
              </w:rPr>
              <w:t>(iii)</w:t>
            </w:r>
            <w:r w:rsidRPr="00211504">
              <w:rPr>
                <w:rFonts w:cs="Times New Roman"/>
              </w:rPr>
              <w:t xml:space="preserve"> la figura de los aplazamientos, prevista en el artículo 76</w:t>
            </w:r>
            <w:r w:rsidRPr="00211504">
              <w:rPr>
                <w:rFonts w:cs="Times New Roman"/>
                <w:i/>
                <w:iCs/>
              </w:rPr>
              <w:t xml:space="preserve">. </w:t>
            </w:r>
            <w:r w:rsidRPr="00211504">
              <w:rPr>
                <w:rFonts w:cs="Times New Roman"/>
              </w:rPr>
              <w:t xml:space="preserve">Según esa disposición, en cualquier momento del periodo fiscal el Gobierno </w:t>
            </w:r>
            <w:r>
              <w:rPr>
                <w:rFonts w:cs="Times New Roman"/>
              </w:rPr>
              <w:t xml:space="preserve">nacional </w:t>
            </w:r>
            <w:r w:rsidRPr="00211504">
              <w:rPr>
                <w:rFonts w:cs="Times New Roman"/>
              </w:rPr>
              <w:t>puede reducir o aplazar total o parcialmente las apropiaciones, cuando los recursos aprobados fueren insuficientes para financiar los gastos del Estado.</w:t>
            </w:r>
            <w:r w:rsidRPr="00211504">
              <w:rPr>
                <w:rFonts w:cs="Times New Roman"/>
                <w:i/>
                <w:iCs/>
              </w:rPr>
              <w:t xml:space="preserve"> </w:t>
            </w:r>
          </w:p>
        </w:tc>
      </w:tr>
      <w:tr w:rsidR="00C454A1" w:rsidRPr="00F8202F" w14:paraId="6A7E5206" w14:textId="77777777" w:rsidTr="005F4A6F">
        <w:trPr>
          <w:trHeight w:val="300"/>
        </w:trPr>
        <w:tc>
          <w:tcPr>
            <w:tcW w:w="813" w:type="pct"/>
            <w:vAlign w:val="center"/>
          </w:tcPr>
          <w:p w14:paraId="5125871A" w14:textId="77777777" w:rsidR="00C454A1" w:rsidRPr="00211504" w:rsidRDefault="00C454A1" w:rsidP="00881E6A">
            <w:pPr>
              <w:spacing w:after="120"/>
              <w:ind w:right="272"/>
              <w:contextualSpacing/>
              <w:jc w:val="center"/>
              <w:rPr>
                <w:rFonts w:eastAsia="Times New Roman" w:cs="Times New Roman"/>
              </w:rPr>
            </w:pPr>
            <w:r w:rsidRPr="00211504">
              <w:rPr>
                <w:rFonts w:eastAsia="Times New Roman" w:cs="Times New Roman"/>
                <w:b/>
                <w:bCs/>
              </w:rPr>
              <w:lastRenderedPageBreak/>
              <w:t>Fundación para el Estado del Derecho</w:t>
            </w:r>
          </w:p>
        </w:tc>
        <w:tc>
          <w:tcPr>
            <w:tcW w:w="4187" w:type="pct"/>
          </w:tcPr>
          <w:p w14:paraId="27BCC51E"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a la Corte declarar la </w:t>
            </w:r>
            <w:r w:rsidRPr="00211504">
              <w:rPr>
                <w:rFonts w:eastAsia="Times New Roman" w:cs="Times New Roman"/>
                <w:i/>
                <w:iCs/>
              </w:rPr>
              <w:t xml:space="preserve">inexequibilidad </w:t>
            </w:r>
            <w:r w:rsidRPr="00211504">
              <w:rPr>
                <w:rFonts w:eastAsia="Times New Roman" w:cs="Times New Roman"/>
              </w:rPr>
              <w:t>del Decreto Legislativo 062 de 2025</w:t>
            </w:r>
            <w:r w:rsidRPr="00211504">
              <w:rPr>
                <w:rStyle w:val="Refdenotaalpie"/>
                <w:rFonts w:eastAsia="Times New Roman" w:cs="Times New Roman"/>
              </w:rPr>
              <w:footnoteReference w:id="939"/>
            </w:r>
            <w:r w:rsidRPr="00211504">
              <w:rPr>
                <w:rFonts w:eastAsia="Times New Roman" w:cs="Times New Roman"/>
              </w:rPr>
              <w:t xml:space="preserve">. En relación con el presupuesto </w:t>
            </w:r>
            <w:r w:rsidRPr="00211504">
              <w:rPr>
                <w:rFonts w:eastAsia="Times New Roman" w:cs="Times New Roman"/>
                <w:i/>
                <w:iCs/>
              </w:rPr>
              <w:t>fáctico</w:t>
            </w:r>
            <w:r w:rsidRPr="00211504">
              <w:rPr>
                <w:rFonts w:eastAsia="Times New Roman" w:cs="Times New Roman"/>
              </w:rPr>
              <w:t>, indicó que el decreto no supera el juicio de sobreviniencia. Esto, por dos razones. Primera, el decreto no sustenta la existencia de una crisis excepcional sobreviniente</w:t>
            </w:r>
            <w:r w:rsidRPr="00211504">
              <w:rPr>
                <w:rStyle w:val="Refdenotaalpie"/>
                <w:rFonts w:eastAsia="Times New Roman" w:cs="Times New Roman"/>
              </w:rPr>
              <w:footnoteReference w:id="940"/>
            </w:r>
            <w:r w:rsidRPr="00211504">
              <w:rPr>
                <w:rFonts w:eastAsia="Times New Roman" w:cs="Times New Roman"/>
              </w:rPr>
              <w:t xml:space="preserve">. Las menciones generales realizadas en el decreto y las pruebas aportadas no revelan, más allá de la aseveración de un recrudecimiento de los ataques, </w:t>
            </w:r>
            <w:r w:rsidRPr="00211504">
              <w:rPr>
                <w:rFonts w:eastAsia="Times New Roman" w:cs="Times New Roman"/>
              </w:rPr>
              <w:lastRenderedPageBreak/>
              <w:t>un carácter extraordinario e imprevisible de los hechos. Por el contrario, el material probatorio permite concluir que se trata de una situación estructural que ha sido desatendida por el Gobierno</w:t>
            </w:r>
            <w:r>
              <w:rPr>
                <w:rFonts w:eastAsia="Times New Roman" w:cs="Times New Roman"/>
              </w:rPr>
              <w:t xml:space="preserve"> nacional</w:t>
            </w:r>
            <w:r w:rsidRPr="00211504">
              <w:rPr>
                <w:rStyle w:val="Refdenotaalpie"/>
                <w:rFonts w:eastAsia="Times New Roman" w:cs="Times New Roman"/>
              </w:rPr>
              <w:footnoteReference w:id="941"/>
            </w:r>
            <w:r w:rsidRPr="00211504">
              <w:rPr>
                <w:rFonts w:eastAsia="Times New Roman" w:cs="Times New Roman"/>
              </w:rPr>
              <w:t>. Sostuvo que al revisar la información suministrada por los entes territoriales afectados por el conflicto que motiva la declaratoria de conmoción interior y por la Unidad de Atención y Reparación a las Víctimas (UARIV), se advierte que estos han sufrido problemas históricos de desfinanciación para atender a las víctimas y, principalmente, para implementar sistemas preventivos y de protección a la población civil</w:t>
            </w:r>
            <w:r w:rsidRPr="00211504">
              <w:rPr>
                <w:rStyle w:val="Refdenotaalpie"/>
                <w:rFonts w:eastAsia="Times New Roman" w:cs="Times New Roman"/>
              </w:rPr>
              <w:footnoteReference w:id="942"/>
            </w:r>
            <w:r w:rsidRPr="00211504">
              <w:rPr>
                <w:rFonts w:eastAsia="Times New Roman" w:cs="Times New Roman"/>
              </w:rPr>
              <w:t>. Además, los datos estadísticos presentados por los entes territoriales y las autoridades nacionales encargadas de la atención a las víctimas del conflicto armado revelan que la situación relatada en el decreto de conmoción interior es estructural, y aunque ha tenido un crecimiento, no se trata de un fenómeno aislado ni mucho menos repentino, sino que es consecuencia del abandono al que ha sido sometida la región del Catatumbo</w:t>
            </w:r>
            <w:r w:rsidRPr="00211504">
              <w:rPr>
                <w:rStyle w:val="Refdenotaalpie"/>
                <w:rFonts w:eastAsia="Times New Roman" w:cs="Times New Roman"/>
              </w:rPr>
              <w:footnoteReference w:id="943"/>
            </w:r>
            <w:r w:rsidRPr="00211504">
              <w:rPr>
                <w:rFonts w:eastAsia="Times New Roman" w:cs="Times New Roman"/>
              </w:rPr>
              <w:t xml:space="preserve">. </w:t>
            </w:r>
          </w:p>
          <w:p w14:paraId="0FE2CD1E" w14:textId="77777777" w:rsidR="00C454A1" w:rsidRPr="00211504" w:rsidRDefault="00C454A1" w:rsidP="00881E6A">
            <w:pPr>
              <w:spacing w:after="120"/>
              <w:ind w:right="272"/>
              <w:contextualSpacing/>
              <w:rPr>
                <w:rFonts w:eastAsia="Times New Roman" w:cs="Times New Roman"/>
              </w:rPr>
            </w:pPr>
          </w:p>
          <w:p w14:paraId="0AE3BABD"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Segunda, la situación de orden público en la región, si bien es grave y debe ser atendida con el despliegue de todas las capacidades ordinarias estatales, no es ajena o distinta a la de otras zonas afectadas por la presencia de grupos armados ilegales y economías ilícitas. Los departamentos de Nariño, Huila, Cauca, Valle del Cauca, Chocó, Arauca, entre otros, presentan niveles de violencia comparables con los registrados en el Catatumbo. Esto, porque cuentan con presencia de disidencias de las FARC, ELN y otras estructuras armadas ilegales, así como dinámicas alarmantes de desplazamiento, confinamiento y ataques a la infraestructura. Al respecto, indicó que en aquellos territorios la crisis de orden público es atendida bajo medidas ordinarias, por lo que no se explica por qué el Catatumbo está amparado con medidas extraordinarias</w:t>
            </w:r>
            <w:r w:rsidRPr="00211504">
              <w:rPr>
                <w:rStyle w:val="Refdenotaalpie"/>
                <w:rFonts w:eastAsia="Times New Roman" w:cs="Times New Roman"/>
              </w:rPr>
              <w:footnoteReference w:id="944"/>
            </w:r>
            <w:r w:rsidRPr="00211504">
              <w:rPr>
                <w:rFonts w:eastAsia="Times New Roman" w:cs="Times New Roman"/>
              </w:rPr>
              <w:t xml:space="preserve">. </w:t>
            </w:r>
          </w:p>
          <w:p w14:paraId="5D7F9909" w14:textId="77777777" w:rsidR="00C454A1" w:rsidRPr="00211504" w:rsidRDefault="00C454A1" w:rsidP="00881E6A">
            <w:pPr>
              <w:spacing w:after="120"/>
              <w:ind w:right="272"/>
              <w:contextualSpacing/>
              <w:rPr>
                <w:rFonts w:eastAsia="Times New Roman" w:cs="Times New Roman"/>
              </w:rPr>
            </w:pPr>
          </w:p>
          <w:p w14:paraId="031EC6D7"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lastRenderedPageBreak/>
              <w:t xml:space="preserve">Sobre el presupuesto </w:t>
            </w:r>
            <w:r w:rsidRPr="00211504">
              <w:rPr>
                <w:rFonts w:eastAsia="Times New Roman" w:cs="Times New Roman"/>
                <w:i/>
                <w:iCs/>
              </w:rPr>
              <w:t>valorativo</w:t>
            </w:r>
            <w:r w:rsidRPr="00211504">
              <w:rPr>
                <w:rFonts w:eastAsia="Times New Roman" w:cs="Times New Roman"/>
              </w:rPr>
              <w:t>, manifestó que no se satisface porque el Gobierno parte de un concepto muy amplio de orden público que se presta para que todo tipo de situación crítica y crónica deba ser calificada bajo los parámetros del estado de excepción</w:t>
            </w:r>
            <w:r w:rsidRPr="00211504">
              <w:rPr>
                <w:rStyle w:val="Refdenotaalpie"/>
                <w:rFonts w:eastAsia="Times New Roman" w:cs="Times New Roman"/>
              </w:rPr>
              <w:footnoteReference w:id="945"/>
            </w:r>
            <w:r w:rsidRPr="00211504">
              <w:rPr>
                <w:rFonts w:eastAsia="Times New Roman" w:cs="Times New Roman"/>
              </w:rPr>
              <w:t>. Agregó, que no se puede concluir con claridad cuáles fueron los argumentos que permitieron confirmar el carácter inusitado, extraordinario e imprevisible de la situación de conmoción. Sostuvo que, aunque se trata de un crecimiento de las distintas problemáticas que se presentan en el territorio, se trata del resultado de las omisiones gubernamentales. Precisó que el derecho de excepción no es una herramienta para corregir fallos estructurales de gobernanza, ni un sustituto de la acción ordinaria del Estado, ni puede ser la respuesta frente a hechos agravados por la acción u omisión del Gobierno</w:t>
            </w:r>
            <w:r>
              <w:rPr>
                <w:rFonts w:eastAsia="Times New Roman" w:cs="Times New Roman"/>
              </w:rPr>
              <w:t xml:space="preserve"> nacional</w:t>
            </w:r>
            <w:r w:rsidRPr="00211504">
              <w:rPr>
                <w:rStyle w:val="Refdenotaalpie"/>
                <w:rFonts w:eastAsia="Times New Roman" w:cs="Times New Roman"/>
              </w:rPr>
              <w:footnoteReference w:id="946"/>
            </w:r>
            <w:r w:rsidRPr="00211504">
              <w:rPr>
                <w:rFonts w:eastAsia="Times New Roman" w:cs="Times New Roman"/>
              </w:rPr>
              <w:t>. Concluyó que la valoración que da lugar a la conmoción podría generar un antecedente que normalice la respuesta excepcional a la situación crónica que se evidencia en varios territorios del país en materia de seguridad y orden público. Esto, porque se estaría bajo el riesgo de que el régimen de excepción se convierta, de manera paulatina, en la regla</w:t>
            </w:r>
            <w:r w:rsidRPr="00211504">
              <w:rPr>
                <w:rStyle w:val="Refdenotaalpie"/>
                <w:rFonts w:eastAsia="Times New Roman" w:cs="Times New Roman"/>
              </w:rPr>
              <w:footnoteReference w:id="947"/>
            </w:r>
            <w:r w:rsidRPr="00211504">
              <w:rPr>
                <w:rFonts w:eastAsia="Times New Roman" w:cs="Times New Roman"/>
              </w:rPr>
              <w:t xml:space="preserve">. </w:t>
            </w:r>
          </w:p>
          <w:p w14:paraId="4EBECE0B" w14:textId="77777777" w:rsidR="00C454A1" w:rsidRPr="00211504" w:rsidRDefault="00C454A1" w:rsidP="00881E6A">
            <w:pPr>
              <w:spacing w:after="120"/>
              <w:ind w:right="272"/>
              <w:contextualSpacing/>
              <w:rPr>
                <w:rFonts w:eastAsia="Times New Roman" w:cs="Times New Roman"/>
              </w:rPr>
            </w:pPr>
          </w:p>
          <w:p w14:paraId="08F34EB9"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Respecto del requisito de </w:t>
            </w:r>
            <w:r w:rsidRPr="00211504">
              <w:rPr>
                <w:rFonts w:eastAsia="Times New Roman" w:cs="Times New Roman"/>
                <w:i/>
              </w:rPr>
              <w:t>suficiencia</w:t>
            </w:r>
            <w:r w:rsidRPr="00211504">
              <w:rPr>
                <w:rFonts w:eastAsia="Times New Roman" w:cs="Times New Roman"/>
              </w:rPr>
              <w:t xml:space="preserve"> consideró que el decreto se limita a afirmar </w:t>
            </w:r>
            <w:r w:rsidRPr="00211504">
              <w:rPr>
                <w:rFonts w:eastAsia="Times New Roman" w:cs="Times New Roman"/>
                <w:i/>
                <w:iCs/>
              </w:rPr>
              <w:t>(i)</w:t>
            </w:r>
            <w:r w:rsidRPr="00211504">
              <w:rPr>
                <w:rFonts w:eastAsia="Times New Roman" w:cs="Times New Roman"/>
              </w:rPr>
              <w:t xml:space="preserve"> la gravedad de la situación y </w:t>
            </w:r>
            <w:r w:rsidRPr="00211504">
              <w:rPr>
                <w:rFonts w:eastAsia="Times New Roman" w:cs="Times New Roman"/>
                <w:i/>
                <w:iCs/>
              </w:rPr>
              <w:t>(ii)</w:t>
            </w:r>
            <w:r w:rsidRPr="00211504">
              <w:rPr>
                <w:rFonts w:eastAsia="Times New Roman" w:cs="Times New Roman"/>
              </w:rPr>
              <w:t xml:space="preserve"> el agotamiento de las herramientas con las que cuenta sin un análisis detallado de los esfuerzos previos realizados con los mecanismos ordinarios disponibles. En materia de seguridad y orden público, indicó que no hay elementos que permitan concluir que se hayan desplegado todas las facultades militares con las que cuenta el Gobierno nacional y que las implementadas resulten insuficientes</w:t>
            </w:r>
            <w:r w:rsidRPr="00211504">
              <w:rPr>
                <w:rStyle w:val="Refdenotaalpie"/>
                <w:rFonts w:eastAsia="Times New Roman" w:cs="Times New Roman"/>
              </w:rPr>
              <w:footnoteReference w:id="948"/>
            </w:r>
            <w:r w:rsidRPr="00211504">
              <w:rPr>
                <w:rFonts w:eastAsia="Times New Roman" w:cs="Times New Roman"/>
              </w:rPr>
              <w:t>. Sostuvo que el decreto menciona la existencia de algunas estrategias previas de seguridad, como la reanudación de diálogos de paz con el ELN y la implementación de ceses al fuego bilaterales en años anteriores. No obstante, no explica qué otras alternativas fueron consideradas antes de optar por la declaratoria de conmoción interior</w:t>
            </w:r>
            <w:r w:rsidRPr="00211504">
              <w:rPr>
                <w:rStyle w:val="Refdenotaalpie"/>
                <w:rFonts w:eastAsia="Times New Roman" w:cs="Times New Roman"/>
              </w:rPr>
              <w:footnoteReference w:id="949"/>
            </w:r>
            <w:r w:rsidRPr="00211504">
              <w:rPr>
                <w:rFonts w:eastAsia="Times New Roman" w:cs="Times New Roman"/>
              </w:rPr>
              <w:t xml:space="preserve">. En materia presupuestal, precisó </w:t>
            </w:r>
            <w:r w:rsidRPr="00211504">
              <w:rPr>
                <w:rFonts w:eastAsia="Times New Roman" w:cs="Times New Roman"/>
              </w:rPr>
              <w:lastRenderedPageBreak/>
              <w:t>que el Gobierno no manifestó haber evaluado la posibilidad de realizar una reasignación de fondos mediante adiciones presupuestales o haber acudido a la solicitud de cooperación internacional para fortalecer las capacidades operativas</w:t>
            </w:r>
            <w:r w:rsidRPr="00211504">
              <w:rPr>
                <w:rStyle w:val="Refdenotaalpie"/>
                <w:rFonts w:eastAsia="Times New Roman" w:cs="Times New Roman"/>
              </w:rPr>
              <w:footnoteReference w:id="950"/>
            </w:r>
            <w:r w:rsidRPr="00211504">
              <w:rPr>
                <w:rFonts w:eastAsia="Times New Roman" w:cs="Times New Roman"/>
              </w:rPr>
              <w:t>.  Indicó que la medida de aplazamiento del gasto, adoptada cuando ya las condiciones de escalamiento de la violencia en la región del Catatumbo aducidas en el decreto eran conocidas por el Gobierno</w:t>
            </w:r>
            <w:r>
              <w:rPr>
                <w:rFonts w:eastAsia="Times New Roman" w:cs="Times New Roman"/>
              </w:rPr>
              <w:t xml:space="preserve"> nacional</w:t>
            </w:r>
            <w:r w:rsidRPr="00211504">
              <w:rPr>
                <w:rFonts w:eastAsia="Times New Roman" w:cs="Times New Roman"/>
              </w:rPr>
              <w:t>, revela que nunca se contempló hacer uso de las medidas ordinarias de financiación del gasto requerido para atender la situación de orden público</w:t>
            </w:r>
            <w:r w:rsidRPr="00211504">
              <w:rPr>
                <w:rStyle w:val="Refdenotaalpie"/>
                <w:rFonts w:eastAsia="Times New Roman" w:cs="Times New Roman"/>
              </w:rPr>
              <w:footnoteReference w:id="951"/>
            </w:r>
            <w:r w:rsidRPr="00211504">
              <w:rPr>
                <w:rFonts w:eastAsia="Times New Roman" w:cs="Times New Roman"/>
              </w:rPr>
              <w:t>. A su juicio, la falta de una exposición clara de estos puntos impide que la Corte pueda evaluar si realmente existe una insuficiencia de medidas ordinarias.</w:t>
            </w:r>
          </w:p>
          <w:p w14:paraId="791FC7B3" w14:textId="77777777" w:rsidR="00C454A1" w:rsidRPr="00211504" w:rsidRDefault="00C454A1" w:rsidP="00881E6A">
            <w:pPr>
              <w:spacing w:after="120"/>
              <w:ind w:right="272"/>
              <w:contextualSpacing/>
              <w:rPr>
                <w:rFonts w:eastAsia="Times New Roman" w:cs="Times New Roman"/>
              </w:rPr>
            </w:pPr>
          </w:p>
          <w:p w14:paraId="533D1C95"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En materia de implementación de medidas asistenciales especiales para el Catatumbo, precisó que no existen registros de que los esfuerzos del Pacto por la Transformación Social y Territorial del Catatumbo hubieran sido reforzados o acelerados antes de recurrir a la declaratoria. Lo anterior, de conformidad con la respuesta que suministró el DAPRE. Agregó que tampoco hay evidencia en el expediente y en la justificación del decreto, de un intento previo de reasignación presupuestal o modificación en la ejecución de las inversiones derivadas de dicho pacto, antes de acudir al estado de excepción</w:t>
            </w:r>
            <w:r w:rsidRPr="00211504">
              <w:rPr>
                <w:rStyle w:val="Refdenotaalpie"/>
                <w:rFonts w:eastAsia="Times New Roman" w:cs="Times New Roman"/>
              </w:rPr>
              <w:footnoteReference w:id="952"/>
            </w:r>
            <w:r w:rsidRPr="00211504">
              <w:rPr>
                <w:rFonts w:eastAsia="Times New Roman" w:cs="Times New Roman"/>
              </w:rPr>
              <w:t>. Por lo demás, precisó que, el Gobierno, al utilizar facultades extraordinarias para enfrentar problemas estructurales, desconoce el carácter transitorio y excepcional de la institución de la conmoción interior, en lugar de fortalecer políticas públicas a largo plazo</w:t>
            </w:r>
            <w:r w:rsidRPr="00211504">
              <w:rPr>
                <w:rStyle w:val="Refdenotaalpie"/>
                <w:rFonts w:eastAsia="Times New Roman" w:cs="Times New Roman"/>
              </w:rPr>
              <w:footnoteReference w:id="953"/>
            </w:r>
            <w:r w:rsidRPr="00211504">
              <w:rPr>
                <w:rFonts w:eastAsia="Times New Roman" w:cs="Times New Roman"/>
              </w:rPr>
              <w:t>.</w:t>
            </w:r>
          </w:p>
        </w:tc>
      </w:tr>
      <w:tr w:rsidR="00C454A1" w:rsidRPr="00F8202F" w14:paraId="3C2B72D3" w14:textId="77777777" w:rsidTr="005F4A6F">
        <w:trPr>
          <w:trHeight w:val="300"/>
        </w:trPr>
        <w:tc>
          <w:tcPr>
            <w:tcW w:w="813" w:type="pct"/>
            <w:vAlign w:val="center"/>
          </w:tcPr>
          <w:p w14:paraId="0B1D9E7A" w14:textId="77777777" w:rsidR="00C454A1" w:rsidRPr="00211504" w:rsidRDefault="00C454A1" w:rsidP="00881E6A">
            <w:pPr>
              <w:spacing w:before="840" w:after="840"/>
              <w:ind w:right="272"/>
              <w:jc w:val="center"/>
              <w:rPr>
                <w:rFonts w:cs="Times New Roman"/>
                <w:b/>
                <w:bCs/>
              </w:rPr>
            </w:pPr>
            <w:r w:rsidRPr="00211504">
              <w:rPr>
                <w:rFonts w:cs="Times New Roman"/>
                <w:b/>
                <w:bCs/>
              </w:rPr>
              <w:lastRenderedPageBreak/>
              <w:t>David Luna Sánchez</w:t>
            </w:r>
          </w:p>
        </w:tc>
        <w:tc>
          <w:tcPr>
            <w:tcW w:w="4187" w:type="pct"/>
          </w:tcPr>
          <w:p w14:paraId="0A557030" w14:textId="77777777" w:rsidR="00C454A1" w:rsidRPr="00211504" w:rsidRDefault="00C454A1" w:rsidP="00881E6A">
            <w:pPr>
              <w:spacing w:after="120"/>
              <w:ind w:right="272"/>
              <w:contextualSpacing/>
              <w:rPr>
                <w:rFonts w:cs="Times New Roman"/>
              </w:rPr>
            </w:pPr>
            <w:r w:rsidRPr="00211504">
              <w:rPr>
                <w:rFonts w:cs="Times New Roman"/>
              </w:rPr>
              <w:t xml:space="preserve">Solicitó a la Corte declarar </w:t>
            </w:r>
            <w:r w:rsidRPr="00211504">
              <w:rPr>
                <w:rFonts w:cs="Times New Roman"/>
                <w:iCs/>
              </w:rPr>
              <w:t>la</w:t>
            </w:r>
            <w:r w:rsidRPr="00211504">
              <w:rPr>
                <w:rFonts w:cs="Times New Roman"/>
                <w:i/>
              </w:rPr>
              <w:t xml:space="preserve"> inexequibilidad </w:t>
            </w:r>
            <w:r w:rsidRPr="00211504">
              <w:rPr>
                <w:rFonts w:cs="Times New Roman"/>
              </w:rPr>
              <w:t>del Decreto Legislativo 062 de 2025. En relación con los presupuestos formales, adujo que el Decreto no contó con la firma del entonces ministro de Relaciones Exteriores Luis Gilberto Murillo. En su lugar, el mismo fue firmado por la secretaria general del Ministerio Paola Andrea Vásquez Restrepo.  Por tal razón, al no estar acreditado el requisito constitucional que exige la firma de todos los ministros del despacho, el Decreto es inconstitucional.</w:t>
            </w:r>
          </w:p>
          <w:p w14:paraId="0ABD87F4" w14:textId="77777777" w:rsidR="00C454A1" w:rsidRPr="00211504" w:rsidRDefault="00C454A1" w:rsidP="00881E6A">
            <w:pPr>
              <w:spacing w:after="120"/>
              <w:ind w:right="272"/>
              <w:contextualSpacing/>
              <w:rPr>
                <w:rFonts w:cs="Times New Roman"/>
              </w:rPr>
            </w:pPr>
          </w:p>
          <w:p w14:paraId="24155D0E" w14:textId="77777777" w:rsidR="00C454A1" w:rsidRPr="00211504" w:rsidRDefault="00C454A1" w:rsidP="00881E6A">
            <w:pPr>
              <w:spacing w:after="120"/>
              <w:ind w:right="272"/>
              <w:contextualSpacing/>
              <w:rPr>
                <w:rFonts w:cs="Times New Roman"/>
              </w:rPr>
            </w:pPr>
            <w:r w:rsidRPr="00211504">
              <w:rPr>
                <w:rFonts w:cs="Times New Roman"/>
              </w:rPr>
              <w:t xml:space="preserve">Sobre el presupuesto </w:t>
            </w:r>
            <w:r w:rsidRPr="00211504">
              <w:rPr>
                <w:rFonts w:cs="Times New Roman"/>
                <w:i/>
                <w:iCs/>
              </w:rPr>
              <w:t>valorativo</w:t>
            </w:r>
            <w:r w:rsidRPr="00211504">
              <w:rPr>
                <w:rFonts w:cs="Times New Roman"/>
              </w:rPr>
              <w:t>, indicó que el Decreto no justifica de manera detallada en qué medida la situación en la región del Catatumbo atenta contra la estabilidad institucional, la seguridad del Estado o la convivencia ciudadana. A su juicio, es imperativo que el Gobierno justifique por qué la crisis en la región es una situación “excepcional que amerita la restricción de derechos fundamentales”</w:t>
            </w:r>
            <w:r w:rsidRPr="00211504">
              <w:rPr>
                <w:rStyle w:val="Refdenotaalpie"/>
                <w:rFonts w:cs="Times New Roman"/>
              </w:rPr>
              <w:footnoteReference w:id="954"/>
            </w:r>
            <w:r w:rsidRPr="00211504">
              <w:rPr>
                <w:rFonts w:cs="Times New Roman"/>
              </w:rPr>
              <w:t xml:space="preserve">. Reconoció que los hechos de violencia descritos en la norma </w:t>
            </w:r>
            <w:r w:rsidRPr="00211504">
              <w:rPr>
                <w:rFonts w:cs="Times New Roman"/>
                <w:i/>
              </w:rPr>
              <w:t xml:space="preserve">sub examine </w:t>
            </w:r>
            <w:r w:rsidRPr="00211504">
              <w:rPr>
                <w:rFonts w:cs="Times New Roman"/>
              </w:rPr>
              <w:t>afectan a la población. Sin embargo, señaló que no se ha demostrado que tales hechos representan “un deterioro que no pueda ser abordado mediante el despliegue total y efectivo de las capacidades ordinarias del Estado, que actualmente se encuentran contraídas de manera deliberada por parte del Gobierno”</w:t>
            </w:r>
            <w:r w:rsidRPr="00211504">
              <w:rPr>
                <w:rStyle w:val="Refdenotaalpie"/>
                <w:rFonts w:cs="Times New Roman"/>
              </w:rPr>
              <w:footnoteReference w:id="955"/>
            </w:r>
            <w:r w:rsidRPr="00211504">
              <w:rPr>
                <w:rFonts w:cs="Times New Roman"/>
              </w:rPr>
              <w:t>.</w:t>
            </w:r>
          </w:p>
          <w:p w14:paraId="629FAB84" w14:textId="77777777" w:rsidR="00C454A1" w:rsidRPr="00211504" w:rsidRDefault="00C454A1" w:rsidP="00881E6A">
            <w:pPr>
              <w:spacing w:after="120"/>
              <w:ind w:right="272"/>
              <w:contextualSpacing/>
              <w:rPr>
                <w:rFonts w:cs="Times New Roman"/>
              </w:rPr>
            </w:pPr>
          </w:p>
          <w:p w14:paraId="2283C118" w14:textId="77777777" w:rsidR="00C454A1" w:rsidRPr="00211504" w:rsidRDefault="00C454A1" w:rsidP="00881E6A">
            <w:pPr>
              <w:spacing w:after="120"/>
              <w:ind w:right="272"/>
              <w:contextualSpacing/>
              <w:rPr>
                <w:rFonts w:cs="Times New Roman"/>
              </w:rPr>
            </w:pPr>
            <w:r w:rsidRPr="00211504">
              <w:rPr>
                <w:rFonts w:cs="Times New Roman"/>
              </w:rPr>
              <w:t xml:space="preserve">Respecto del requisito de </w:t>
            </w:r>
            <w:r w:rsidRPr="00211504">
              <w:rPr>
                <w:rFonts w:cs="Times New Roman"/>
                <w:i/>
                <w:iCs/>
              </w:rPr>
              <w:t>suficiencia</w:t>
            </w:r>
            <w:r w:rsidRPr="00211504">
              <w:rPr>
                <w:rFonts w:cs="Times New Roman"/>
              </w:rPr>
              <w:t xml:space="preserve">, indicó que el Gobierno </w:t>
            </w:r>
            <w:r>
              <w:rPr>
                <w:rFonts w:cs="Times New Roman"/>
              </w:rPr>
              <w:t xml:space="preserve">nacional </w:t>
            </w:r>
            <w:r w:rsidRPr="00211504">
              <w:rPr>
                <w:rFonts w:cs="Times New Roman"/>
              </w:rPr>
              <w:t>no demostró que las atribuciones ordinarias del Estado fueran ineficaces para controlar la situación. Advirtió que en el Decreto no se identificó cuáles eran las atribuciones ordinarias con que contaba el Gobierno ni cuáles de ellas ejerció con la finalidad de conjurar la crisis, pues “poco o nada se ha hecho”</w:t>
            </w:r>
            <w:r w:rsidRPr="00211504">
              <w:rPr>
                <w:rStyle w:val="Refdenotaalpie"/>
                <w:rFonts w:cs="Times New Roman"/>
              </w:rPr>
              <w:footnoteReference w:id="956"/>
            </w:r>
            <w:r w:rsidRPr="00211504">
              <w:rPr>
                <w:rFonts w:cs="Times New Roman"/>
              </w:rPr>
              <w:t xml:space="preserve">. Señaló que las distintas entidades del Estado han adelantado las siguientes actuaciones ordinarias: </w:t>
            </w:r>
            <w:r w:rsidRPr="00211504">
              <w:rPr>
                <w:rFonts w:cs="Times New Roman"/>
                <w:i/>
                <w:iCs/>
              </w:rPr>
              <w:t>(i)</w:t>
            </w:r>
            <w:r w:rsidRPr="00211504">
              <w:rPr>
                <w:rFonts w:cs="Times New Roman"/>
              </w:rPr>
              <w:t xml:space="preserve"> desde el 4 de agosto de 2024, la Fuerza Pública reanudó operaciones militares contra el ELN; </w:t>
            </w:r>
            <w:r w:rsidRPr="00211504">
              <w:rPr>
                <w:rFonts w:cs="Times New Roman"/>
                <w:i/>
                <w:iCs/>
              </w:rPr>
              <w:t>(ii)</w:t>
            </w:r>
            <w:r w:rsidRPr="00211504">
              <w:rPr>
                <w:rFonts w:cs="Times New Roman"/>
              </w:rPr>
              <w:t xml:space="preserve"> “la administración implementó programas de sustitución de cultivos y reintegración de </w:t>
            </w:r>
            <w:r w:rsidRPr="00211504">
              <w:rPr>
                <w:rFonts w:cs="Times New Roman"/>
              </w:rPr>
              <w:lastRenderedPageBreak/>
              <w:t>excombatientes”</w:t>
            </w:r>
            <w:r w:rsidRPr="00211504">
              <w:rPr>
                <w:rStyle w:val="Refdenotaalpie"/>
                <w:rFonts w:cs="Times New Roman"/>
              </w:rPr>
              <w:footnoteReference w:id="957"/>
            </w:r>
            <w:r w:rsidRPr="00211504">
              <w:rPr>
                <w:rFonts w:cs="Times New Roman"/>
              </w:rPr>
              <w:t xml:space="preserve">; y </w:t>
            </w:r>
            <w:r w:rsidRPr="00211504">
              <w:rPr>
                <w:rFonts w:cs="Times New Roman"/>
                <w:i/>
                <w:iCs/>
              </w:rPr>
              <w:t>(iii)</w:t>
            </w:r>
            <w:r w:rsidRPr="00211504">
              <w:rPr>
                <w:rFonts w:cs="Times New Roman"/>
              </w:rPr>
              <w:t xml:space="preserve"> el 15 de noviembre de 2024, la Defensoría del pueblo emitió una alerta temprana y recomendó medidas de prevención, protección y judicialización. Sin embargo, el Decreto no enunció cual de estas medidas se implementó, lo cual pone de manifiesto “la absoluta falta de motivación de la declaratoria del Estado [de excepción]”</w:t>
            </w:r>
            <w:r w:rsidRPr="00211504">
              <w:rPr>
                <w:rStyle w:val="Refdenotaalpie"/>
                <w:rFonts w:cs="Times New Roman"/>
              </w:rPr>
              <w:footnoteReference w:id="958"/>
            </w:r>
            <w:r w:rsidRPr="00211504">
              <w:rPr>
                <w:rFonts w:cs="Times New Roman"/>
              </w:rPr>
              <w:t>. En tal sentido, el interviniente explicó que no existe evidencia de que el Gobierno haya incrementado el pie de fuerza, fortalecido la inteligencia militar o endurecido su estrategia de seguridad. Tampoco es posible acreditar las medidas preventivas para la protección de líderes sociales y excombatientes, así como para controlar el orden público. Por último, afirmó que el Decreto no evaluó las alternativas disponibles dentro de las reglas ordinarias del presupuesto para conjurar la crisis.</w:t>
            </w:r>
          </w:p>
          <w:p w14:paraId="33937CE7" w14:textId="77777777" w:rsidR="00C454A1" w:rsidRPr="00211504" w:rsidRDefault="00C454A1" w:rsidP="00881E6A">
            <w:pPr>
              <w:spacing w:after="120"/>
              <w:ind w:right="272"/>
              <w:contextualSpacing/>
              <w:rPr>
                <w:rFonts w:cs="Times New Roman"/>
              </w:rPr>
            </w:pPr>
          </w:p>
        </w:tc>
      </w:tr>
      <w:tr w:rsidR="00C454A1" w:rsidRPr="00F8202F" w14:paraId="497D9090" w14:textId="77777777" w:rsidTr="005F4A6F">
        <w:trPr>
          <w:trHeight w:val="300"/>
        </w:trPr>
        <w:tc>
          <w:tcPr>
            <w:tcW w:w="813" w:type="pct"/>
            <w:vAlign w:val="center"/>
          </w:tcPr>
          <w:p w14:paraId="69E0D860" w14:textId="77777777" w:rsidR="00C454A1" w:rsidRPr="00211504" w:rsidRDefault="00C454A1" w:rsidP="00881E6A">
            <w:pPr>
              <w:spacing w:before="600" w:after="600"/>
              <w:ind w:right="272"/>
              <w:jc w:val="center"/>
              <w:rPr>
                <w:rFonts w:cs="Times New Roman"/>
                <w:b/>
                <w:bCs/>
              </w:rPr>
            </w:pPr>
            <w:r w:rsidRPr="00211504">
              <w:rPr>
                <w:rFonts w:cs="Times New Roman"/>
                <w:b/>
                <w:bCs/>
              </w:rPr>
              <w:lastRenderedPageBreak/>
              <w:t>Universidad Sergio Arboleda</w:t>
            </w:r>
          </w:p>
        </w:tc>
        <w:tc>
          <w:tcPr>
            <w:tcW w:w="4187" w:type="pct"/>
          </w:tcPr>
          <w:p w14:paraId="71D9BEE7"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declarar la </w:t>
            </w:r>
            <w:r w:rsidRPr="00211504">
              <w:rPr>
                <w:rFonts w:eastAsia="Times New Roman" w:cs="Times New Roman"/>
                <w:i/>
                <w:iCs/>
              </w:rPr>
              <w:t>inexequibilidad</w:t>
            </w:r>
            <w:r w:rsidRPr="00211504">
              <w:rPr>
                <w:rFonts w:eastAsia="Times New Roman" w:cs="Times New Roman"/>
              </w:rPr>
              <w:t xml:space="preserve"> del Decreto Legislativo 062 de 2025. En relación con el presupuesto </w:t>
            </w:r>
            <w:r w:rsidRPr="00211504">
              <w:rPr>
                <w:rFonts w:eastAsia="Times New Roman" w:cs="Times New Roman"/>
                <w:i/>
                <w:iCs/>
              </w:rPr>
              <w:t>fáctico</w:t>
            </w:r>
            <w:r w:rsidRPr="00211504">
              <w:rPr>
                <w:rFonts w:eastAsia="Times New Roman" w:cs="Times New Roman"/>
              </w:rPr>
              <w:t>, recordó que la región del Catatumbo “ha padecido históricamente los rigores y consecuencias negativas del conflicto armado”</w:t>
            </w:r>
            <w:r w:rsidRPr="00211504">
              <w:rPr>
                <w:rStyle w:val="Refdenotaalpie"/>
                <w:rFonts w:eastAsia="Times New Roman" w:cs="Times New Roman"/>
              </w:rPr>
              <w:footnoteReference w:id="959"/>
            </w:r>
            <w:r w:rsidRPr="00211504">
              <w:rPr>
                <w:rFonts w:eastAsia="Times New Roman" w:cs="Times New Roman"/>
              </w:rPr>
              <w:t xml:space="preserve">. Respecto del presupuesto </w:t>
            </w:r>
            <w:r w:rsidRPr="00211504">
              <w:rPr>
                <w:rFonts w:eastAsia="Times New Roman" w:cs="Times New Roman"/>
                <w:i/>
                <w:iCs/>
              </w:rPr>
              <w:t>valorativo</w:t>
            </w:r>
            <w:r w:rsidRPr="00211504">
              <w:rPr>
                <w:rFonts w:eastAsia="Times New Roman" w:cs="Times New Roman"/>
              </w:rPr>
              <w:t>, manifestó que, debido a que la crisis ha sido histórica, no se trata de una situación que deba ser calificada como nueva, imprevisible o extraordinaria que deba ser conjurada a través del Estado de Conmoción Interior. A su juicio, se trata de falencias estructurales que deben ser combatidas “con la adopción de mecanismos de carácter permanente”</w:t>
            </w:r>
            <w:r w:rsidRPr="00211504">
              <w:rPr>
                <w:rStyle w:val="Refdenotaalpie"/>
                <w:rFonts w:eastAsia="Times New Roman" w:cs="Times New Roman"/>
              </w:rPr>
              <w:footnoteReference w:id="960"/>
            </w:r>
            <w:r w:rsidRPr="00211504">
              <w:rPr>
                <w:rFonts w:eastAsia="Times New Roman" w:cs="Times New Roman"/>
              </w:rPr>
              <w:t xml:space="preserve">. Sobre el presupuesto de </w:t>
            </w:r>
            <w:r w:rsidRPr="00211504">
              <w:rPr>
                <w:rFonts w:eastAsia="Times New Roman" w:cs="Times New Roman"/>
                <w:i/>
                <w:iCs/>
              </w:rPr>
              <w:t>suficiencia</w:t>
            </w:r>
            <w:r w:rsidRPr="00211504">
              <w:rPr>
                <w:rFonts w:eastAsia="Times New Roman" w:cs="Times New Roman"/>
              </w:rPr>
              <w:t xml:space="preserve">, adujo que la Defensoría del Pueblo ya había emitido varias Alertas Tempranas sobre la situación de la región y que el Gobierno </w:t>
            </w:r>
            <w:r>
              <w:rPr>
                <w:rFonts w:eastAsia="Times New Roman" w:cs="Times New Roman"/>
              </w:rPr>
              <w:t xml:space="preserve">nacional </w:t>
            </w:r>
            <w:r w:rsidRPr="00211504">
              <w:rPr>
                <w:rFonts w:eastAsia="Times New Roman" w:cs="Times New Roman"/>
              </w:rPr>
              <w:t xml:space="preserve">no dio respuesta oportuna, permitiendo que la situación se agravara cada día más. De esta forma, el Gobierno </w:t>
            </w:r>
            <w:r>
              <w:rPr>
                <w:rFonts w:eastAsia="Times New Roman" w:cs="Times New Roman"/>
              </w:rPr>
              <w:t xml:space="preserve">nacional </w:t>
            </w:r>
            <w:r w:rsidRPr="00211504">
              <w:rPr>
                <w:rFonts w:eastAsia="Times New Roman" w:cs="Times New Roman"/>
              </w:rPr>
              <w:t>debió adoptar cada una de las medidas ordinarias “que estuvieran en sus manos para la resolución de esta [problemática]”</w:t>
            </w:r>
            <w:r w:rsidRPr="00211504">
              <w:rPr>
                <w:rStyle w:val="Refdenotaalpie"/>
                <w:rFonts w:eastAsia="Times New Roman" w:cs="Times New Roman"/>
              </w:rPr>
              <w:footnoteReference w:id="961"/>
            </w:r>
            <w:r w:rsidRPr="00211504">
              <w:rPr>
                <w:rFonts w:eastAsia="Times New Roman" w:cs="Times New Roman"/>
              </w:rPr>
              <w:t xml:space="preserve">. Sin embargo, no intervino de manera efectiva. Por lo tanto, no está </w:t>
            </w:r>
            <w:r w:rsidRPr="00211504">
              <w:rPr>
                <w:rFonts w:eastAsia="Times New Roman" w:cs="Times New Roman"/>
              </w:rPr>
              <w:lastRenderedPageBreak/>
              <w:t>acreditado que los mecanismos ordinarios con que cuenta la Rama Ejecutiva hayan sido insuficientes para conjurar la crisis que dio lugar a la declaratoria del Estado de Excepción.</w:t>
            </w:r>
          </w:p>
        </w:tc>
      </w:tr>
      <w:tr w:rsidR="00C454A1" w:rsidRPr="00F8202F" w14:paraId="1C4F56B1" w14:textId="77777777" w:rsidTr="005F4A6F">
        <w:trPr>
          <w:trHeight w:val="300"/>
        </w:trPr>
        <w:tc>
          <w:tcPr>
            <w:tcW w:w="813" w:type="pct"/>
            <w:vAlign w:val="center"/>
          </w:tcPr>
          <w:p w14:paraId="711FCCD6" w14:textId="77777777" w:rsidR="00C454A1" w:rsidRPr="00211504" w:rsidRDefault="00C454A1" w:rsidP="00881E6A">
            <w:pPr>
              <w:spacing w:after="120"/>
              <w:ind w:right="272"/>
              <w:contextualSpacing/>
              <w:jc w:val="center"/>
              <w:rPr>
                <w:rFonts w:cs="Times New Roman"/>
                <w:b/>
              </w:rPr>
            </w:pPr>
            <w:r w:rsidRPr="00211504">
              <w:rPr>
                <w:rFonts w:cs="Times New Roman"/>
                <w:b/>
              </w:rPr>
              <w:lastRenderedPageBreak/>
              <w:t>Ana María Barbosa y otros</w:t>
            </w:r>
          </w:p>
        </w:tc>
        <w:tc>
          <w:tcPr>
            <w:tcW w:w="4187" w:type="pct"/>
          </w:tcPr>
          <w:p w14:paraId="6C02167D"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Los intervinientes solicitaron a la Corte declarar la </w:t>
            </w:r>
            <w:r w:rsidRPr="00211504">
              <w:rPr>
                <w:rFonts w:eastAsia="Times New Roman" w:cs="Times New Roman"/>
                <w:i/>
                <w:iCs/>
              </w:rPr>
              <w:t>inexequibilidad</w:t>
            </w:r>
            <w:r w:rsidRPr="00211504">
              <w:rPr>
                <w:rFonts w:eastAsia="Times New Roman" w:cs="Times New Roman"/>
              </w:rPr>
              <w:t xml:space="preserve"> del Decreto Legislativo 062 de 2025. No se pronunciaron específicamente respecto del presupuesto </w:t>
            </w:r>
            <w:r w:rsidRPr="00211504">
              <w:rPr>
                <w:rFonts w:eastAsia="Times New Roman" w:cs="Times New Roman"/>
                <w:i/>
                <w:iCs/>
              </w:rPr>
              <w:t>fáctico</w:t>
            </w:r>
            <w:r w:rsidRPr="00211504">
              <w:rPr>
                <w:rFonts w:eastAsia="Times New Roman" w:cs="Times New Roman"/>
              </w:rPr>
              <w:t xml:space="preserve">. Sobre el presupuesto </w:t>
            </w:r>
            <w:r w:rsidRPr="00211504">
              <w:rPr>
                <w:rFonts w:eastAsia="Times New Roman" w:cs="Times New Roman"/>
                <w:i/>
                <w:iCs/>
              </w:rPr>
              <w:t>valorativo</w:t>
            </w:r>
            <w:r w:rsidRPr="00211504">
              <w:rPr>
                <w:rFonts w:eastAsia="Times New Roman" w:cs="Times New Roman"/>
              </w:rPr>
              <w:t>, manifestaron que, si bien la escalada de violencia en el Catatumbo es lamentable, no es una circunstancia extraordinaria</w:t>
            </w:r>
            <w:r w:rsidRPr="00211504">
              <w:rPr>
                <w:rStyle w:val="Refdenotaalpie"/>
                <w:rFonts w:eastAsia="Times New Roman" w:cs="Times New Roman"/>
              </w:rPr>
              <w:footnoteReference w:id="962"/>
            </w:r>
            <w:r w:rsidRPr="00211504">
              <w:rPr>
                <w:rFonts w:eastAsia="Times New Roman" w:cs="Times New Roman"/>
              </w:rPr>
              <w:t xml:space="preserve">. El primer rastro de violencia que se puede identificar, como origen de la situación que vive actualmente esta región, data de 1949 con una masacre producto de la violencia bipartidista. Es decir, hace más de 50 años los grupos armados tienen presencia en esta región. Agregaron que la previsibilidad de la escalada criminal había sido advertida por la Defensoría del Pueblo desde el año 2018, por lo tanto, concluyen que esta situación era previsible para el Gobierno nacional, quien pudo haber tomado medidas para su mitigación sin esperar a que el conflicto llegara a su punto más álgido. A su juicio, permitir un estado de conmoción interior frente a una situación que lleva más de 50 años, envía el mensaje de que es válido qué el </w:t>
            </w:r>
            <w:r>
              <w:rPr>
                <w:rFonts w:eastAsia="Times New Roman" w:cs="Times New Roman"/>
              </w:rPr>
              <w:t>G</w:t>
            </w:r>
            <w:r w:rsidRPr="00211504">
              <w:rPr>
                <w:rFonts w:eastAsia="Times New Roman" w:cs="Times New Roman"/>
              </w:rPr>
              <w:t>obierno omita situaciones críticas de orden público, como mecanismo para gobernar bajo un estado de excepción</w:t>
            </w:r>
            <w:r w:rsidRPr="00211504">
              <w:rPr>
                <w:rStyle w:val="Refdenotaalpie"/>
                <w:rFonts w:eastAsia="Times New Roman" w:cs="Times New Roman"/>
              </w:rPr>
              <w:footnoteReference w:id="963"/>
            </w:r>
            <w:r w:rsidRPr="00211504">
              <w:rPr>
                <w:rFonts w:eastAsia="Times New Roman" w:cs="Times New Roman"/>
              </w:rPr>
              <w:t>.</w:t>
            </w:r>
          </w:p>
          <w:p w14:paraId="2725B737" w14:textId="77777777" w:rsidR="00C454A1" w:rsidRPr="00211504" w:rsidRDefault="00C454A1" w:rsidP="00881E6A">
            <w:pPr>
              <w:spacing w:after="120"/>
              <w:ind w:right="272"/>
              <w:contextualSpacing/>
              <w:rPr>
                <w:rFonts w:eastAsia="Times New Roman" w:cs="Times New Roman"/>
              </w:rPr>
            </w:pPr>
          </w:p>
          <w:p w14:paraId="6CF291EB"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Respecto del requisito de </w:t>
            </w:r>
            <w:r w:rsidRPr="00211504">
              <w:rPr>
                <w:rFonts w:eastAsia="Times New Roman" w:cs="Times New Roman"/>
                <w:i/>
                <w:iCs/>
              </w:rPr>
              <w:t>suficiencia</w:t>
            </w:r>
            <w:r w:rsidRPr="00211504">
              <w:rPr>
                <w:rFonts w:eastAsia="Times New Roman" w:cs="Times New Roman"/>
              </w:rPr>
              <w:t>, indicaron que, si bien en el decreto se mencionan las acciones que se han tomado y los objetivos que se quieren alcanzar, no se explica por qué las facultades ordinarias de policía y del Gobierno nacional, como autoridad administrativa, no son suficientes. A su juicio, carece de fundamento afirmar que no pueden utilizarse las medidas ordinarias, incluyendo la necesidad de crear impuestos, cuando conforme al artículo 87 del Estatuto Orgánico del Presupuesto, el 1% de los ingresos corrientes de la nación están destinados para atender situaciones como la que dio lugar al estado de excepción</w:t>
            </w:r>
            <w:r w:rsidRPr="00211504">
              <w:rPr>
                <w:rStyle w:val="Refdenotaalpie"/>
                <w:rFonts w:eastAsia="Times New Roman" w:cs="Times New Roman"/>
              </w:rPr>
              <w:footnoteReference w:id="964"/>
            </w:r>
            <w:r w:rsidRPr="00211504">
              <w:rPr>
                <w:rFonts w:eastAsia="Times New Roman" w:cs="Times New Roman"/>
              </w:rPr>
              <w:t xml:space="preserve">. Indicaron que el Gobierno </w:t>
            </w:r>
            <w:r>
              <w:rPr>
                <w:rFonts w:eastAsia="Times New Roman" w:cs="Times New Roman"/>
              </w:rPr>
              <w:t xml:space="preserve">nacional </w:t>
            </w:r>
            <w:r w:rsidRPr="00211504">
              <w:rPr>
                <w:rFonts w:eastAsia="Times New Roman" w:cs="Times New Roman"/>
              </w:rPr>
              <w:t xml:space="preserve">contaba, por ejemplo, con </w:t>
            </w:r>
            <w:r w:rsidRPr="00211504">
              <w:rPr>
                <w:rFonts w:eastAsia="Times New Roman" w:cs="Times New Roman"/>
                <w:i/>
                <w:iCs/>
              </w:rPr>
              <w:t>(i)</w:t>
            </w:r>
            <w:r w:rsidRPr="00211504">
              <w:rPr>
                <w:rFonts w:eastAsia="Times New Roman" w:cs="Times New Roman"/>
              </w:rPr>
              <w:t xml:space="preserve"> la asistencia militar y </w:t>
            </w:r>
            <w:r w:rsidRPr="00211504">
              <w:rPr>
                <w:rFonts w:eastAsia="Times New Roman" w:cs="Times New Roman"/>
                <w:i/>
                <w:iCs/>
              </w:rPr>
              <w:t>(ii)</w:t>
            </w:r>
            <w:r w:rsidRPr="00211504">
              <w:rPr>
                <w:rFonts w:eastAsia="Times New Roman" w:cs="Times New Roman"/>
              </w:rPr>
              <w:t xml:space="preserve"> la figura de los reservistas prevista en el artículo 57 de la Ley 1861 de 2017. Sobre el primer punto, indicaron que existe duda de por qué el Gobierno acudió en primera </w:t>
            </w:r>
            <w:r w:rsidRPr="00211504">
              <w:rPr>
                <w:rFonts w:eastAsia="Times New Roman" w:cs="Times New Roman"/>
              </w:rPr>
              <w:lastRenderedPageBreak/>
              <w:t>instancia al estado de conmoción interior y no a la asistencia militar, teniendo en cuenta que dicha figura hace parte de las facultades ordinarias del Ejecutivo</w:t>
            </w:r>
            <w:r w:rsidRPr="00211504">
              <w:rPr>
                <w:rStyle w:val="Refdenotaalpie"/>
                <w:rFonts w:eastAsia="Times New Roman" w:cs="Times New Roman"/>
              </w:rPr>
              <w:footnoteReference w:id="965"/>
            </w:r>
            <w:r w:rsidRPr="00211504">
              <w:rPr>
                <w:rFonts w:eastAsia="Times New Roman" w:cs="Times New Roman"/>
              </w:rPr>
              <w:t xml:space="preserve">. </w:t>
            </w:r>
          </w:p>
          <w:p w14:paraId="30D4D584" w14:textId="77777777" w:rsidR="00C454A1" w:rsidRPr="00211504" w:rsidRDefault="00C454A1" w:rsidP="00881E6A">
            <w:pPr>
              <w:spacing w:after="120"/>
              <w:ind w:right="272"/>
              <w:contextualSpacing/>
              <w:rPr>
                <w:rFonts w:eastAsia="Times New Roman" w:cs="Times New Roman"/>
              </w:rPr>
            </w:pPr>
          </w:p>
          <w:p w14:paraId="700FE737"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Manifestaron que el Gobierno </w:t>
            </w:r>
            <w:r>
              <w:rPr>
                <w:rFonts w:eastAsia="Times New Roman" w:cs="Times New Roman"/>
              </w:rPr>
              <w:t xml:space="preserve">nacional </w:t>
            </w:r>
            <w:r w:rsidRPr="00211504">
              <w:rPr>
                <w:rFonts w:eastAsia="Times New Roman" w:cs="Times New Roman"/>
              </w:rPr>
              <w:t xml:space="preserve">ha emitido un alto número de decretos legislativos en el marco del Decreto Legislativo 0062 de 2025 y, a su juicio, el contenido de estos decretos es la prueba de lo innecesaria que era la emisión del decreto </w:t>
            </w:r>
            <w:r w:rsidRPr="00211504">
              <w:rPr>
                <w:rFonts w:eastAsia="Times New Roman" w:cs="Times New Roman"/>
                <w:i/>
                <w:iCs/>
              </w:rPr>
              <w:t>sub examine</w:t>
            </w:r>
            <w:r w:rsidRPr="00211504">
              <w:rPr>
                <w:rFonts w:eastAsia="Times New Roman" w:cs="Times New Roman"/>
              </w:rPr>
              <w:t>. Esto, porque las medidas que se han tomado no son en lo absoluto extraordinarias y bien podrían suplirse mediante las facultades ordinarias del Gobierno</w:t>
            </w:r>
            <w:r>
              <w:rPr>
                <w:rFonts w:eastAsia="Times New Roman" w:cs="Times New Roman"/>
              </w:rPr>
              <w:t xml:space="preserve"> nacional</w:t>
            </w:r>
            <w:r w:rsidRPr="00211504">
              <w:rPr>
                <w:rFonts w:eastAsia="Times New Roman" w:cs="Times New Roman"/>
              </w:rPr>
              <w:t>. A modo de ejemplo, señalaron que el Decreto 0118 del 30 de enero de 2025 crea la figura del “Comandante Militar”. Para los intervinientes dicha figura es innecesaria porque con las figuras existentes pueden llevarse a cabo todas estas funciones que le fueron asignadas</w:t>
            </w:r>
            <w:r w:rsidRPr="00211504">
              <w:rPr>
                <w:rStyle w:val="Refdenotaalpie"/>
                <w:rFonts w:eastAsia="Times New Roman" w:cs="Times New Roman"/>
              </w:rPr>
              <w:footnoteReference w:id="966"/>
            </w:r>
            <w:r w:rsidRPr="00211504">
              <w:rPr>
                <w:rFonts w:eastAsia="Times New Roman" w:cs="Times New Roman"/>
              </w:rPr>
              <w:t>.</w:t>
            </w:r>
          </w:p>
          <w:p w14:paraId="2D262703" w14:textId="77777777" w:rsidR="00C454A1" w:rsidRPr="00211504" w:rsidRDefault="00C454A1" w:rsidP="00881E6A">
            <w:pPr>
              <w:spacing w:after="120"/>
              <w:ind w:right="272"/>
              <w:contextualSpacing/>
              <w:rPr>
                <w:rFonts w:eastAsia="Times New Roman" w:cs="Times New Roman"/>
              </w:rPr>
            </w:pPr>
          </w:p>
          <w:p w14:paraId="2BB365A6"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Por lo demás, consideran que el decreto no cumple con los requisitos formales. Lo anterior, porque existen irregularidades en las firmas de tres de los ministros. Precisaron que el decreto tiene tres firmas que no cumplen con la normativa porque </w:t>
            </w:r>
            <w:r w:rsidRPr="00211504">
              <w:rPr>
                <w:rFonts w:eastAsia="Times New Roman" w:cs="Times New Roman"/>
                <w:i/>
                <w:iCs/>
              </w:rPr>
              <w:t>(i)</w:t>
            </w:r>
            <w:r w:rsidRPr="00211504">
              <w:rPr>
                <w:rFonts w:eastAsia="Times New Roman" w:cs="Times New Roman"/>
              </w:rPr>
              <w:t xml:space="preserve"> en lugar del ministro de relaciones exteriores, el decreto fue firmado por Paola Andrea Vásquez Restrepo en calidad de secretaria general de dicho ministerio y </w:t>
            </w:r>
            <w:r w:rsidRPr="00211504">
              <w:rPr>
                <w:rFonts w:eastAsia="Times New Roman" w:cs="Times New Roman"/>
                <w:i/>
                <w:iCs/>
              </w:rPr>
              <w:t>(ii)</w:t>
            </w:r>
            <w:r w:rsidRPr="00211504">
              <w:rPr>
                <w:rFonts w:eastAsia="Times New Roman" w:cs="Times New Roman"/>
              </w:rPr>
              <w:t xml:space="preserve"> fue firmado por María Fernanda Rojas Mantilla en calidad de subdirectora general de programas y proyectos del Departamento Administrativo para la Prosperidad Social, encargada del empleo del despacho del ministro de transporte y por Diego Alejandro Guevara Castañeda en calidad de viceministro general del Ministerio de Hacienda y Crédito Público, encargado del empleo del ministro de hacienda y crédito público. </w:t>
            </w:r>
          </w:p>
        </w:tc>
      </w:tr>
      <w:tr w:rsidR="00C454A1" w:rsidRPr="00F8202F" w14:paraId="7ED9CE36" w14:textId="77777777" w:rsidTr="005F4A6F">
        <w:trPr>
          <w:trHeight w:val="300"/>
        </w:trPr>
        <w:tc>
          <w:tcPr>
            <w:tcW w:w="813" w:type="pct"/>
            <w:vAlign w:val="center"/>
          </w:tcPr>
          <w:p w14:paraId="2ABD7F6C" w14:textId="77777777" w:rsidR="00C454A1" w:rsidRPr="00211504" w:rsidRDefault="00C454A1" w:rsidP="00881E6A">
            <w:pPr>
              <w:spacing w:after="120"/>
              <w:ind w:right="272"/>
              <w:contextualSpacing/>
              <w:jc w:val="center"/>
              <w:rPr>
                <w:rFonts w:eastAsia="Times New Roman" w:cs="Times New Roman"/>
              </w:rPr>
            </w:pPr>
            <w:r w:rsidRPr="00211504">
              <w:rPr>
                <w:rFonts w:eastAsia="Times New Roman" w:cs="Times New Roman"/>
                <w:b/>
                <w:bCs/>
              </w:rPr>
              <w:lastRenderedPageBreak/>
              <w:t>Agencia Nacional de Defensa Jurídica del Estado</w:t>
            </w:r>
          </w:p>
        </w:tc>
        <w:tc>
          <w:tcPr>
            <w:tcW w:w="4187" w:type="pct"/>
          </w:tcPr>
          <w:p w14:paraId="42CE11C6"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la exequibilidad del Decreto Legislativo 062 de 2025. Respecto del presupuesto </w:t>
            </w:r>
            <w:r w:rsidRPr="00211504">
              <w:rPr>
                <w:rFonts w:eastAsia="Times New Roman" w:cs="Times New Roman"/>
                <w:i/>
                <w:iCs/>
              </w:rPr>
              <w:t>fáctico</w:t>
            </w:r>
            <w:r w:rsidRPr="00211504">
              <w:rPr>
                <w:rFonts w:eastAsia="Times New Roman" w:cs="Times New Roman"/>
              </w:rPr>
              <w:t>, argumentó que el decreto se sustenta en un grave incremento del desplazamiento forzado, causado directamente por el incremento del conflicto en la zona objeto de la declaratoria de conmoción interior. Destaca que se presentaron 36.137 casos en enero de 2025, en contraste con 5.422 casos en todo 2024 (567% de aumento)</w:t>
            </w:r>
            <w:r w:rsidRPr="00211504">
              <w:rPr>
                <w:rStyle w:val="Refdenotaalpie"/>
                <w:rFonts w:eastAsia="Times New Roman" w:cs="Times New Roman"/>
              </w:rPr>
              <w:footnoteReference w:id="967"/>
            </w:r>
            <w:r w:rsidRPr="00211504">
              <w:rPr>
                <w:rFonts w:eastAsia="Times New Roman" w:cs="Times New Roman"/>
              </w:rPr>
              <w:t xml:space="preserve">, sin contar con las atenciones a población desplazada informadas por la Alcaldía de Cúcuta (que ascenderían a 15.086), y por otras autoridades </w:t>
            </w:r>
            <w:r w:rsidRPr="00211504">
              <w:rPr>
                <w:rFonts w:eastAsia="Times New Roman" w:cs="Times New Roman"/>
              </w:rPr>
              <w:lastRenderedPageBreak/>
              <w:t>territoriales (Tibú, Teorama y San Calixto, que reportan 7.122 personas en situación de confinamiento). Informó que el puesto de mando unificado de Norte de Santander reportó para el 21 de enero de 2025 que 16.482 personas se encontraban en albergues en el departamento y que se presentaba un flujo migratorio hacia Venezuela de alrededor de 700 personas diarias, con reporte de 400 diarios el 21 y 22 de enero de 2025. Consideró que el incremento inusitado de la migración forzosa es causa de la presencia de grupos armados organizados y al incremento de actos de violencia. Indicó que las circunstancias que motivaron la declaratoria son objetivamente verificables, pues los datos provienen de las autoridades encargadas del manejo del desplazamiento forzado, y justifican el uso de facultades extraordinarias por parte del Ejecutivo por el peligro que representan para las instituciones democráticas. Por otra parte, se refirió a la situación de los firmantes del Acuerdo de Paz y destacó que entre el 16 de enero y 10 de febrero de 2025 se había presentado el asesinato de 6 firmantes. Además, reportó la desaparición de 9 firmantes, el desplazamiento de 177 de ellos, y la evacuación de 51</w:t>
            </w:r>
            <w:r w:rsidRPr="00211504">
              <w:rPr>
                <w:rStyle w:val="Refdenotaalpie"/>
                <w:rFonts w:eastAsia="Times New Roman" w:cs="Times New Roman"/>
              </w:rPr>
              <w:footnoteReference w:id="968"/>
            </w:r>
            <w:r w:rsidRPr="00211504">
              <w:rPr>
                <w:rFonts w:eastAsia="Times New Roman" w:cs="Times New Roman"/>
              </w:rPr>
              <w:t>.</w:t>
            </w:r>
          </w:p>
          <w:p w14:paraId="768CB3F7" w14:textId="77777777" w:rsidR="00C454A1" w:rsidRPr="00211504" w:rsidRDefault="00C454A1" w:rsidP="00881E6A">
            <w:pPr>
              <w:tabs>
                <w:tab w:val="left" w:pos="709"/>
              </w:tabs>
              <w:spacing w:after="120"/>
              <w:ind w:right="272"/>
              <w:contextualSpacing/>
            </w:pPr>
            <w:r w:rsidRPr="00211504">
              <w:rPr>
                <w:rFonts w:eastAsia="Times New Roman" w:cs="Times New Roman"/>
              </w:rPr>
              <w:t xml:space="preserve"> </w:t>
            </w:r>
          </w:p>
          <w:p w14:paraId="0EE0FF2C" w14:textId="77777777" w:rsidR="00C454A1" w:rsidRPr="00211504" w:rsidRDefault="00C454A1" w:rsidP="00881E6A">
            <w:pPr>
              <w:tabs>
                <w:tab w:val="left" w:pos="709"/>
              </w:tabs>
              <w:spacing w:after="120"/>
              <w:ind w:right="272"/>
              <w:contextualSpacing/>
              <w:rPr>
                <w:rFonts w:cs="Times New Roman"/>
              </w:rPr>
            </w:pPr>
            <w:r w:rsidRPr="00211504">
              <w:rPr>
                <w:rFonts w:eastAsia="Times New Roman" w:cs="Times New Roman"/>
              </w:rPr>
              <w:t xml:space="preserve">Acerca del presupuesto </w:t>
            </w:r>
            <w:r w:rsidRPr="00211504">
              <w:rPr>
                <w:rFonts w:eastAsia="Times New Roman" w:cs="Times New Roman"/>
                <w:i/>
                <w:iCs/>
              </w:rPr>
              <w:t>valorativo</w:t>
            </w:r>
            <w:r w:rsidRPr="00211504">
              <w:rPr>
                <w:rFonts w:eastAsia="Times New Roman" w:cs="Times New Roman"/>
              </w:rPr>
              <w:t xml:space="preserve">, sostuvo que la conmoción interior responde a una situación que desborda la capacidad ordinaria del Estado en tanto los medios legales vigentes no han sido suficientes para contener la inusitada crisis de seguridad en la región. Subrayó que la declaratoria de la conmoción interior deriva de hechos </w:t>
            </w:r>
            <w:r w:rsidRPr="00211504">
              <w:rPr>
                <w:rFonts w:eastAsia="Times New Roman" w:cs="Times New Roman"/>
                <w:i/>
                <w:iCs/>
              </w:rPr>
              <w:t xml:space="preserve">(i) </w:t>
            </w:r>
            <w:r w:rsidRPr="00211504">
              <w:rPr>
                <w:rFonts w:eastAsia="Times New Roman" w:cs="Times New Roman"/>
              </w:rPr>
              <w:t xml:space="preserve">graves, pues agudizan la situación el estado de cosas inconstitucional declarado por la Corte en materia de desplazamiento; </w:t>
            </w:r>
            <w:r w:rsidRPr="00211504">
              <w:rPr>
                <w:rFonts w:eastAsia="Times New Roman" w:cs="Times New Roman"/>
                <w:i/>
                <w:iCs/>
              </w:rPr>
              <w:t>(ii)</w:t>
            </w:r>
            <w:r w:rsidRPr="00211504">
              <w:rPr>
                <w:rFonts w:eastAsia="Times New Roman" w:cs="Times New Roman"/>
              </w:rPr>
              <w:t xml:space="preserve"> extraordinarios, por el volumen de desplazamiento que asciende en un solo mes a casi 6 veces lo reportado en el año inmediatamente anterior; </w:t>
            </w:r>
            <w:r w:rsidRPr="00211504">
              <w:rPr>
                <w:rFonts w:eastAsia="Times New Roman" w:cs="Times New Roman"/>
                <w:i/>
                <w:iCs/>
              </w:rPr>
              <w:t>(iii)</w:t>
            </w:r>
            <w:r w:rsidRPr="00211504">
              <w:rPr>
                <w:rFonts w:eastAsia="Times New Roman" w:cs="Times New Roman"/>
              </w:rPr>
              <w:t xml:space="preserve"> inminentes, por tratase de una constatada situación de violencia que afecta a los habitantes del Catatumbo; y </w:t>
            </w:r>
            <w:r w:rsidRPr="00211504">
              <w:rPr>
                <w:rFonts w:eastAsia="Times New Roman" w:cs="Times New Roman"/>
                <w:i/>
                <w:iCs/>
              </w:rPr>
              <w:t>(iv)</w:t>
            </w:r>
            <w:r w:rsidRPr="00211504">
              <w:rPr>
                <w:rFonts w:eastAsia="Times New Roman" w:cs="Times New Roman"/>
              </w:rPr>
              <w:t xml:space="preserve"> que tienen la capacidad de atentar de manera inminente contra la estabilidad institucional. De otra parte, la ANDJE resaltó lo dicho por esta Corte en la sentencia SU-020 de 2022, en la que se declaró la existencia de un estado de cosas inconstitucional relacionado con el bajo nivel de implementación de garantías para los firmantes del Acuerdo Final de Paz. Asimismo, señaló que se ha verificado por otras autoridades judiciales la precaria situación de seguridad para los firmantes en varios municipios del </w:t>
            </w:r>
            <w:r w:rsidRPr="00211504">
              <w:rPr>
                <w:rFonts w:eastAsia="Times New Roman" w:cs="Times New Roman"/>
              </w:rPr>
              <w:lastRenderedPageBreak/>
              <w:t>departamento. Consideró que los firmantes se encuentran en una situación de riesgo inminente que ha obligado al Gobierno nacional “a proteger y evacuar de la zona a todos los excombatientes de las FARC-EP, lo que atenta de manera inminente la estabilidad institucional”</w:t>
            </w:r>
            <w:r w:rsidRPr="00211504">
              <w:rPr>
                <w:rStyle w:val="Refdenotaalpie"/>
                <w:rFonts w:eastAsia="Times New Roman" w:cs="Times New Roman"/>
              </w:rPr>
              <w:footnoteReference w:id="969"/>
            </w:r>
            <w:r w:rsidRPr="00211504">
              <w:rPr>
                <w:rFonts w:cs="Times New Roman"/>
              </w:rPr>
              <w:t xml:space="preserve"> porque esto</w:t>
            </w:r>
            <w:r w:rsidRPr="00211504">
              <w:rPr>
                <w:rFonts w:eastAsia="Times New Roman" w:cs="Times New Roman"/>
              </w:rPr>
              <w:t xml:space="preserve"> pone en riesgo el cumplimiento del Acuerdo Final de Paz.</w:t>
            </w:r>
          </w:p>
          <w:p w14:paraId="68A9F8F3" w14:textId="77777777" w:rsidR="00C454A1" w:rsidRPr="00211504" w:rsidRDefault="00C454A1" w:rsidP="00881E6A">
            <w:pPr>
              <w:tabs>
                <w:tab w:val="left" w:pos="709"/>
              </w:tabs>
              <w:spacing w:after="120"/>
              <w:ind w:right="272"/>
              <w:contextualSpacing/>
            </w:pPr>
            <w:r w:rsidRPr="00211504">
              <w:rPr>
                <w:rFonts w:eastAsia="Times New Roman" w:cs="Times New Roman"/>
              </w:rPr>
              <w:t xml:space="preserve"> </w:t>
            </w:r>
          </w:p>
          <w:p w14:paraId="5BC0646F"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Sobre el presupuesto de </w:t>
            </w:r>
            <w:r w:rsidRPr="00211504">
              <w:rPr>
                <w:rFonts w:eastAsia="Times New Roman" w:cs="Times New Roman"/>
                <w:i/>
                <w:iCs/>
              </w:rPr>
              <w:t>suficiencia</w:t>
            </w:r>
            <w:r w:rsidRPr="00211504">
              <w:rPr>
                <w:rFonts w:eastAsia="Times New Roman" w:cs="Times New Roman"/>
              </w:rPr>
              <w:t xml:space="preserve">, resaltó que el Decreto </w:t>
            </w:r>
            <w:r w:rsidRPr="00211504">
              <w:rPr>
                <w:rFonts w:eastAsia="Times New Roman" w:cs="Times New Roman"/>
                <w:i/>
                <w:iCs/>
              </w:rPr>
              <w:t>sub examine</w:t>
            </w:r>
            <w:r w:rsidRPr="00211504">
              <w:rPr>
                <w:rFonts w:eastAsia="Times New Roman" w:cs="Times New Roman"/>
              </w:rPr>
              <w:t xml:space="preserve"> incorpora medidas idóneas, necesarias y proporcionales para enfrentar la crisis, enmarcadas dentro de los límites constitucionales y el respeto por los derechos fundamentales. Resaltó que “[l]as competencias ordinarias, dispuestas incluso para atender un problema estructural de la región, fueron razonablemente calificadas como insuficientes por el Presidente de la República, pues es notorio que, un incremento súbito de más del 567%, en un solo mes, en relación con población desplazada, supone una carga difícil de absorber”</w:t>
            </w:r>
            <w:r w:rsidRPr="00211504">
              <w:rPr>
                <w:rStyle w:val="Refdenotaalpie"/>
                <w:rFonts w:eastAsia="Times New Roman" w:cs="Times New Roman"/>
              </w:rPr>
              <w:footnoteReference w:id="970"/>
            </w:r>
            <w:r w:rsidRPr="00211504">
              <w:rPr>
                <w:rFonts w:eastAsia="Times New Roman" w:cs="Times New Roman"/>
              </w:rPr>
              <w:t>. Consideró que la situación se hace más compleja si se tienen en cuenta la falta de recursos y las rigideces presupuestales que impiden la destinación inmediata de recursos para “proyectos de inversión social”</w:t>
            </w:r>
            <w:r w:rsidRPr="00211504">
              <w:rPr>
                <w:rStyle w:val="Refdenotaalpie"/>
                <w:rFonts w:eastAsia="Times New Roman" w:cs="Times New Roman"/>
              </w:rPr>
              <w:footnoteReference w:id="971"/>
            </w:r>
            <w:r w:rsidRPr="00211504">
              <w:rPr>
                <w:rFonts w:eastAsia="Times New Roman" w:cs="Times New Roman"/>
              </w:rPr>
              <w:t>. Advirtió que, a pesar de que pasaron 20 años desde la declaratoria del ECI en materia de desplazamiento forzado, “la única forma de evitar su agravamiento en la región del Catatumbo es la declaratoria del estado de conmoción interior”</w:t>
            </w:r>
            <w:r w:rsidRPr="00211504">
              <w:rPr>
                <w:rStyle w:val="Refdenotaalpie"/>
                <w:rFonts w:eastAsia="Times New Roman" w:cs="Times New Roman"/>
              </w:rPr>
              <w:footnoteReference w:id="972"/>
            </w:r>
            <w:r w:rsidRPr="00211504">
              <w:rPr>
                <w:rFonts w:eastAsia="Times New Roman" w:cs="Times New Roman"/>
              </w:rPr>
              <w:t>. Señaló que “[n]o se puede consentir que, so pretexto de no haberse agotado otras vías ordinarias, que de hecho se han intentado durante cuatro gobiernos distintos, la situación de violación masiva de derechos de las personas que están sufriendo desplazamiento se agrave”</w:t>
            </w:r>
            <w:r w:rsidRPr="00211504">
              <w:rPr>
                <w:rStyle w:val="Refdenotaalpie"/>
                <w:rFonts w:eastAsia="Times New Roman" w:cs="Times New Roman"/>
              </w:rPr>
              <w:footnoteReference w:id="973"/>
            </w:r>
            <w:r w:rsidRPr="00211504">
              <w:rPr>
                <w:rFonts w:eastAsia="Times New Roman" w:cs="Times New Roman"/>
              </w:rPr>
              <w:t>. Respecto de los firmantes del Acuerdo Final de Paz, se enlistaron una serie de iniciativas</w:t>
            </w:r>
            <w:r w:rsidRPr="00211504">
              <w:rPr>
                <w:rStyle w:val="Refdenotaalpie"/>
                <w:rFonts w:eastAsia="Times New Roman" w:cs="Times New Roman"/>
              </w:rPr>
              <w:footnoteReference w:id="974"/>
            </w:r>
            <w:r w:rsidRPr="00211504">
              <w:rPr>
                <w:rFonts w:eastAsia="Times New Roman" w:cs="Times New Roman"/>
              </w:rPr>
              <w:t xml:space="preserve"> que se han implementado para garantizar su seguridad y consolidar una institucionalidad encargada de su implementación. Considera que el ascenso súbito del conflicto en la región del Catatumbo ha impedido a las autoridades aplicar las medidas de choque necesarias para </w:t>
            </w:r>
            <w:r w:rsidRPr="00211504">
              <w:rPr>
                <w:rFonts w:eastAsia="Times New Roman" w:cs="Times New Roman"/>
              </w:rPr>
              <w:lastRenderedPageBreak/>
              <w:t xml:space="preserve">atender sus efectos sobre la población civil y “las autoridades administrativas y de policía no contar[on] con tiempo de reacción para mantener el orden público en la región”. </w:t>
            </w:r>
          </w:p>
        </w:tc>
      </w:tr>
      <w:tr w:rsidR="00C454A1" w:rsidRPr="00F8202F" w14:paraId="2873A6DA" w14:textId="77777777" w:rsidTr="005F4A6F">
        <w:trPr>
          <w:trHeight w:val="300"/>
        </w:trPr>
        <w:tc>
          <w:tcPr>
            <w:tcW w:w="813" w:type="pct"/>
            <w:vAlign w:val="center"/>
          </w:tcPr>
          <w:p w14:paraId="04C8F04C" w14:textId="77777777" w:rsidR="00C454A1" w:rsidRPr="00211504" w:rsidRDefault="00C454A1" w:rsidP="00881E6A">
            <w:pPr>
              <w:spacing w:after="120"/>
              <w:ind w:right="272"/>
              <w:contextualSpacing/>
              <w:jc w:val="center"/>
              <w:rPr>
                <w:rFonts w:eastAsia="Times New Roman" w:cs="Times New Roman"/>
              </w:rPr>
            </w:pPr>
            <w:bookmarkStart w:id="248" w:name="_Hlk195100783"/>
            <w:r w:rsidRPr="00211504">
              <w:rPr>
                <w:rFonts w:eastAsia="Times New Roman" w:cs="Times New Roman"/>
                <w:b/>
                <w:bCs/>
              </w:rPr>
              <w:lastRenderedPageBreak/>
              <w:t>Dirección de Impuestos y Aduanas Nacionales - DIAN</w:t>
            </w:r>
            <w:bookmarkEnd w:id="248"/>
          </w:p>
        </w:tc>
        <w:tc>
          <w:tcPr>
            <w:tcW w:w="4187" w:type="pct"/>
          </w:tcPr>
          <w:p w14:paraId="2BB73EB2" w14:textId="77777777" w:rsidR="00C454A1" w:rsidRPr="00211504" w:rsidRDefault="00C454A1" w:rsidP="00881E6A">
            <w:pPr>
              <w:spacing w:after="120"/>
              <w:ind w:right="272"/>
              <w:contextualSpacing/>
            </w:pPr>
            <w:r w:rsidRPr="00211504">
              <w:rPr>
                <w:rFonts w:eastAsia="Times New Roman" w:cs="Times New Roman"/>
              </w:rPr>
              <w:t xml:space="preserve">Solicitó a la Corte declarar la exequibilidad del Decreto Legislativo 062 de 2025. Con relación al presupuesto </w:t>
            </w:r>
            <w:r w:rsidRPr="00211504">
              <w:rPr>
                <w:rFonts w:eastAsia="Times New Roman" w:cs="Times New Roman"/>
                <w:i/>
                <w:iCs/>
              </w:rPr>
              <w:t>fáctico</w:t>
            </w:r>
            <w:r w:rsidRPr="00211504">
              <w:rPr>
                <w:rFonts w:eastAsia="Times New Roman" w:cs="Times New Roman"/>
              </w:rPr>
              <w:t>, resaltó el recrudecimiento del conflicto por la disputa territorial en el Catatumbo, entre el ELN, los Grupos Armados Organizados residuales (GAOr), la Segunda Marquetalia y Estado Mayor Central y el Grupo Delincuencial Organizado (GDO) los “Pelusos”. Consideró que esto ha generado un aumento en el desplazamiento forzado y la perturbación del orden público, lo que se agravó por el “aumento en los cultivos ilícitos desde el año 2023”</w:t>
            </w:r>
            <w:r w:rsidRPr="00211504">
              <w:rPr>
                <w:rStyle w:val="Refdenotaalpie"/>
                <w:rFonts w:eastAsia="Times New Roman" w:cs="Times New Roman"/>
              </w:rPr>
              <w:footnoteReference w:id="975"/>
            </w:r>
            <w:r w:rsidRPr="00211504">
              <w:t>.</w:t>
            </w:r>
            <w:r w:rsidRPr="00211504">
              <w:rPr>
                <w:rFonts w:eastAsia="Times New Roman" w:cs="Times New Roman"/>
              </w:rPr>
              <w:t xml:space="preserve"> Llamó la atención sobre las siguientes circunstancias que evidenciarían la crisis: </w:t>
            </w:r>
            <w:r w:rsidRPr="00211504">
              <w:rPr>
                <w:rFonts w:eastAsia="Times New Roman" w:cs="Times New Roman"/>
                <w:i/>
                <w:iCs/>
              </w:rPr>
              <w:t>(i)</w:t>
            </w:r>
            <w:r w:rsidRPr="00211504">
              <w:rPr>
                <w:rFonts w:eastAsia="Times New Roman" w:cs="Times New Roman"/>
              </w:rPr>
              <w:t xml:space="preserve"> 38 homicidios reportados hasta el 21 de enero de 2025, incluyendo 5 firmantes del Acuerdo de Paz; </w:t>
            </w:r>
            <w:r w:rsidRPr="00211504">
              <w:rPr>
                <w:rFonts w:eastAsia="Times New Roman" w:cs="Times New Roman"/>
                <w:i/>
                <w:iCs/>
              </w:rPr>
              <w:t>(ii)</w:t>
            </w:r>
            <w:r w:rsidRPr="00211504">
              <w:rPr>
                <w:rFonts w:eastAsia="Times New Roman" w:cs="Times New Roman"/>
              </w:rPr>
              <w:t xml:space="preserve"> 36.137 personas desplazadas en 2025, en comparación con 5.422 en 2024; </w:t>
            </w:r>
            <w:r w:rsidRPr="00211504">
              <w:rPr>
                <w:rFonts w:eastAsia="Times New Roman" w:cs="Times New Roman"/>
                <w:i/>
                <w:iCs/>
              </w:rPr>
              <w:t>(iii)</w:t>
            </w:r>
            <w:r w:rsidRPr="00211504">
              <w:rPr>
                <w:rFonts w:eastAsia="Times New Roman" w:cs="Times New Roman"/>
              </w:rPr>
              <w:t xml:space="preserve"> incremento en los ataques contra la población civil y la Fuerza Pública tras la finalización del cese al fuego con el ELN en 2024; y </w:t>
            </w:r>
            <w:r w:rsidRPr="00211504">
              <w:rPr>
                <w:rFonts w:eastAsia="Times New Roman" w:cs="Times New Roman"/>
                <w:i/>
                <w:iCs/>
              </w:rPr>
              <w:t xml:space="preserve">(iv) </w:t>
            </w:r>
            <w:r w:rsidRPr="00211504">
              <w:rPr>
                <w:rFonts w:eastAsia="Times New Roman" w:cs="Times New Roman"/>
              </w:rPr>
              <w:t>expansión significativa de los cultivos ilícitos y la consecuente disputa entre grupos criminales por el control de los territorios de producción.</w:t>
            </w:r>
          </w:p>
          <w:p w14:paraId="2FECF726" w14:textId="77777777" w:rsidR="00C454A1" w:rsidRPr="00211504" w:rsidRDefault="00C454A1" w:rsidP="00881E6A">
            <w:pPr>
              <w:spacing w:after="120"/>
              <w:ind w:right="272"/>
              <w:contextualSpacing/>
            </w:pPr>
            <w:r w:rsidRPr="00211504">
              <w:rPr>
                <w:rFonts w:eastAsia="Times New Roman" w:cs="Times New Roman"/>
              </w:rPr>
              <w:t xml:space="preserve"> </w:t>
            </w:r>
          </w:p>
          <w:p w14:paraId="30D24765" w14:textId="77777777" w:rsidR="00C454A1" w:rsidRPr="00211504" w:rsidRDefault="00C454A1" w:rsidP="00881E6A">
            <w:pPr>
              <w:spacing w:after="120"/>
              <w:ind w:right="272"/>
              <w:contextualSpacing/>
            </w:pPr>
            <w:r w:rsidRPr="00211504">
              <w:rPr>
                <w:rFonts w:eastAsia="Times New Roman" w:cs="Times New Roman"/>
              </w:rPr>
              <w:t xml:space="preserve">Sobre el presupuesto </w:t>
            </w:r>
            <w:r w:rsidRPr="00211504">
              <w:rPr>
                <w:rFonts w:eastAsia="Times New Roman" w:cs="Times New Roman"/>
                <w:i/>
                <w:iCs/>
              </w:rPr>
              <w:t>valorativo</w:t>
            </w:r>
            <w:r w:rsidRPr="00211504">
              <w:rPr>
                <w:rFonts w:eastAsia="Times New Roman" w:cs="Times New Roman"/>
              </w:rPr>
              <w:t>, resaltó que la acción armada desplegada por el ELN generó “una crisis humanitaria que derivó en la afectación de diferentes funciones esenciales del Estado, entre ellas, la prestación de servicios públicos, los servicios de notariado y registro, el acceso a la justicia, la educación, los servicios sanitarios y los servicios de alcantarillado y acueducto, así como la actividad industrial y comercial de particulares que proveen bienes y prestan servicios de importancia estratégica para la región y el país, desbordando de manera grave la capacidad ordinaria del Estado en la prestación de los servicios de salud en los primeros niveles de atención en los municipios afectados, sin dejar de lado los atentados que afectan la seguridad energética del país y la lesión al medio ambiente”</w:t>
            </w:r>
            <w:r w:rsidRPr="00211504">
              <w:rPr>
                <w:rStyle w:val="Refdenotaalpie"/>
                <w:rFonts w:eastAsia="Times New Roman" w:cs="Times New Roman"/>
              </w:rPr>
              <w:footnoteReference w:id="976"/>
            </w:r>
            <w:r w:rsidRPr="00211504">
              <w:rPr>
                <w:rFonts w:eastAsia="Times New Roman" w:cs="Times New Roman"/>
              </w:rPr>
              <w:t xml:space="preserve">. Debido al impacto que esta circunstancia tiene para la infraestructura, tierras y </w:t>
            </w:r>
            <w:r w:rsidRPr="00211504">
              <w:rPr>
                <w:rFonts w:eastAsia="Times New Roman" w:cs="Times New Roman"/>
              </w:rPr>
              <w:lastRenderedPageBreak/>
              <w:t>activos agropecuarios, estima que la población civil está siendo afectada de manera importante, especialmente en el acceso a los alimentos. En su opinión, estas circunstancias justificarían la adopción de medidas extraordinarias.</w:t>
            </w:r>
          </w:p>
          <w:p w14:paraId="0E09B853" w14:textId="77777777" w:rsidR="00C454A1" w:rsidRPr="00211504" w:rsidRDefault="00C454A1" w:rsidP="00881E6A">
            <w:pPr>
              <w:spacing w:after="120"/>
              <w:ind w:right="272"/>
              <w:contextualSpacing/>
            </w:pPr>
            <w:r w:rsidRPr="00211504">
              <w:rPr>
                <w:rFonts w:eastAsia="Times New Roman" w:cs="Times New Roman"/>
              </w:rPr>
              <w:t xml:space="preserve"> </w:t>
            </w:r>
          </w:p>
          <w:p w14:paraId="25F0F855" w14:textId="77777777" w:rsidR="00C454A1" w:rsidRPr="00211504" w:rsidRDefault="00C454A1" w:rsidP="00881E6A">
            <w:pPr>
              <w:spacing w:after="120"/>
              <w:ind w:right="272"/>
              <w:contextualSpacing/>
            </w:pPr>
            <w:r w:rsidRPr="00211504">
              <w:rPr>
                <w:rFonts w:eastAsia="Times New Roman" w:cs="Times New Roman"/>
              </w:rPr>
              <w:t xml:space="preserve">Sobre el presupuesto de </w:t>
            </w:r>
            <w:r w:rsidRPr="00211504">
              <w:rPr>
                <w:rFonts w:eastAsia="Times New Roman" w:cs="Times New Roman"/>
                <w:i/>
                <w:iCs/>
              </w:rPr>
              <w:t xml:space="preserve">suficiencia, </w:t>
            </w:r>
            <w:r w:rsidRPr="00211504">
              <w:rPr>
                <w:rFonts w:eastAsia="Times New Roman" w:cs="Times New Roman"/>
              </w:rPr>
              <w:t>consideró que “las acciones ordinarias adelantadas para la recuperación del control del territorio necesitan ser reforzadas, ante la magnitud de la crisis humanitaria causada por el escalamiento abrupto e imprevisible del accionar violento del ELN”</w:t>
            </w:r>
            <w:r w:rsidRPr="00211504">
              <w:rPr>
                <w:rStyle w:val="Refdenotaalpie"/>
                <w:rFonts w:eastAsia="Times New Roman" w:cs="Times New Roman"/>
              </w:rPr>
              <w:footnoteReference w:id="977"/>
            </w:r>
            <w:r w:rsidRPr="00211504">
              <w:rPr>
                <w:rFonts w:eastAsia="Times New Roman" w:cs="Times New Roman"/>
              </w:rPr>
              <w:t>. Explicó que las Fuerzas Militares y la Policía han adelantado actividades operacionales a raíz de la situación de orden público, y que estas han resultado insuficientes para prevenir la arremetida de organizaciones que han perturbado el orden público y suscitado el temor de la población. Estima que “es necesario e indispensable adoptar herramientas jurídicas y materiales extraordinarias para retomar el control de esta región del país, para ello se debe fortalecer las capacidades de las Fuerzas Armadas en los servicios de inteligencia y de policía judicial, como el funcionamiento de la rama judicial que deriven en la restricción, comercialización y transporte de servicios, bienes e insumos utilizados por los grupos armados para el financiamiento de sus actividades criminales”</w:t>
            </w:r>
            <w:r w:rsidRPr="00211504">
              <w:rPr>
                <w:rStyle w:val="Refdenotaalpie"/>
                <w:rFonts w:eastAsia="Times New Roman" w:cs="Times New Roman"/>
              </w:rPr>
              <w:footnoteReference w:id="978"/>
            </w:r>
            <w:r w:rsidRPr="00211504">
              <w:rPr>
                <w:rFonts w:eastAsia="Times New Roman" w:cs="Times New Roman"/>
              </w:rPr>
              <w:t>, para lo cual es necesario aumentar el recaudo fiscal, tanto en lo nacional, como en el ámbito territorial. Asimismo, resalta que aquello requerirá de un mayor aporte de los contribuyentes para financiar los gastos e inversiones del Estado, dando cumplimiento a lo establecido en el artículo 95 constitucional</w:t>
            </w:r>
            <w:r w:rsidRPr="00211504">
              <w:rPr>
                <w:rStyle w:val="Refdenotaalpie"/>
                <w:rFonts w:eastAsia="Times New Roman" w:cs="Times New Roman"/>
              </w:rPr>
              <w:footnoteReference w:id="979"/>
            </w:r>
            <w:r w:rsidRPr="00211504">
              <w:rPr>
                <w:rFonts w:eastAsia="Times New Roman" w:cs="Times New Roman"/>
              </w:rPr>
              <w:t>.</w:t>
            </w:r>
          </w:p>
        </w:tc>
      </w:tr>
      <w:tr w:rsidR="00C454A1" w:rsidRPr="00F8202F" w14:paraId="49A1B293" w14:textId="77777777" w:rsidTr="005F4A6F">
        <w:trPr>
          <w:trHeight w:val="300"/>
        </w:trPr>
        <w:tc>
          <w:tcPr>
            <w:tcW w:w="813" w:type="pct"/>
            <w:vAlign w:val="center"/>
          </w:tcPr>
          <w:p w14:paraId="77D4C817" w14:textId="77777777" w:rsidR="00C454A1" w:rsidRPr="00211504" w:rsidRDefault="00C454A1" w:rsidP="00881E6A">
            <w:pPr>
              <w:spacing w:before="600" w:after="600"/>
              <w:ind w:right="272"/>
              <w:jc w:val="center"/>
              <w:rPr>
                <w:rFonts w:eastAsia="Times New Roman" w:cs="Times New Roman"/>
                <w:highlight w:val="yellow"/>
              </w:rPr>
            </w:pPr>
            <w:r w:rsidRPr="00211504">
              <w:rPr>
                <w:rFonts w:eastAsia="Times New Roman" w:cs="Times New Roman"/>
                <w:b/>
                <w:bCs/>
              </w:rPr>
              <w:lastRenderedPageBreak/>
              <w:t xml:space="preserve">Emilio José Archila Peñalosa y Margarita </w:t>
            </w:r>
            <w:r w:rsidRPr="00211504">
              <w:rPr>
                <w:rFonts w:eastAsia="Times New Roman" w:cs="Times New Roman"/>
                <w:b/>
                <w:bCs/>
              </w:rPr>
              <w:lastRenderedPageBreak/>
              <w:t>Rosa Hernández Valderrama</w:t>
            </w:r>
          </w:p>
        </w:tc>
        <w:tc>
          <w:tcPr>
            <w:tcW w:w="4187" w:type="pct"/>
          </w:tcPr>
          <w:p w14:paraId="390D24D3" w14:textId="77777777" w:rsidR="00C454A1" w:rsidRPr="00211504" w:rsidRDefault="00C454A1" w:rsidP="00881E6A">
            <w:pPr>
              <w:spacing w:after="120"/>
              <w:ind w:right="272"/>
              <w:contextualSpacing/>
            </w:pPr>
            <w:r w:rsidRPr="00211504">
              <w:rPr>
                <w:rFonts w:eastAsia="Times New Roman" w:cs="Times New Roman"/>
              </w:rPr>
              <w:lastRenderedPageBreak/>
              <w:t xml:space="preserve">Solicitan la declaratoria de </w:t>
            </w:r>
            <w:r w:rsidRPr="00211504">
              <w:rPr>
                <w:rFonts w:eastAsia="Times New Roman" w:cs="Times New Roman"/>
                <w:i/>
                <w:iCs/>
              </w:rPr>
              <w:t>inexequibilidad</w:t>
            </w:r>
            <w:r w:rsidRPr="00211504">
              <w:rPr>
                <w:rFonts w:eastAsia="Times New Roman" w:cs="Times New Roman"/>
              </w:rPr>
              <w:t xml:space="preserve"> del decreto y, subsidiariamente, su </w:t>
            </w:r>
            <w:r w:rsidRPr="00211504">
              <w:rPr>
                <w:rFonts w:eastAsia="Times New Roman" w:cs="Times New Roman"/>
                <w:i/>
                <w:iCs/>
              </w:rPr>
              <w:t>exequibilidad condicionada</w:t>
            </w:r>
            <w:r w:rsidRPr="00211504">
              <w:rPr>
                <w:rFonts w:eastAsia="Times New Roman" w:cs="Times New Roman"/>
              </w:rPr>
              <w:t xml:space="preserve"> a la continuidad de aspectos de planeación, atinentes a la implementación del Acuerdo de Paz</w:t>
            </w:r>
            <w:r w:rsidRPr="00211504">
              <w:rPr>
                <w:rStyle w:val="Refdenotaalpie"/>
                <w:rFonts w:eastAsia="Times New Roman" w:cs="Times New Roman"/>
              </w:rPr>
              <w:footnoteReference w:id="980"/>
            </w:r>
            <w:r w:rsidRPr="00211504">
              <w:rPr>
                <w:rFonts w:eastAsia="Times New Roman" w:cs="Times New Roman"/>
              </w:rPr>
              <w:t xml:space="preserve">. Con relación al presupuesto </w:t>
            </w:r>
            <w:r w:rsidRPr="00211504">
              <w:rPr>
                <w:rFonts w:eastAsia="Times New Roman" w:cs="Times New Roman"/>
                <w:i/>
                <w:iCs/>
              </w:rPr>
              <w:t>fáctico</w:t>
            </w:r>
            <w:r w:rsidRPr="00211504">
              <w:rPr>
                <w:rFonts w:eastAsia="Times New Roman" w:cs="Times New Roman"/>
              </w:rPr>
              <w:t>, argumentan que el decreto se fundamenta en un supuesto incumplimiento del Acuerdo Final de Paz, lo que, a su juicio, no se ajusta a la realidad. Presentaron cifras sobre los avances en la implementación del acuerdo durante el gobierno de Iván Duque y que acreditan la resolución de problemáticas que afectan la paz en zonas especialmente golpeadas por el conflicto:</w:t>
            </w:r>
          </w:p>
          <w:p w14:paraId="484A7FE7" w14:textId="77777777" w:rsidR="00C454A1" w:rsidRPr="00211504" w:rsidRDefault="00C454A1" w:rsidP="005F4A6F">
            <w:pPr>
              <w:pStyle w:val="Prrafodelista"/>
              <w:numPr>
                <w:ilvl w:val="0"/>
                <w:numId w:val="76"/>
              </w:numPr>
              <w:spacing w:after="120"/>
              <w:ind w:right="272"/>
              <w:rPr>
                <w:rFonts w:eastAsia="Times New Roman" w:cs="Times New Roman"/>
              </w:rPr>
            </w:pPr>
            <w:r w:rsidRPr="00211504">
              <w:rPr>
                <w:rFonts w:eastAsia="Times New Roman" w:cs="Times New Roman"/>
              </w:rPr>
              <w:lastRenderedPageBreak/>
              <w:t>Reincorporación: 4.486 proyectos productivos beneficiando a 9.213 excombatientes; 7.512 personas accedieron a educación; 98,9% de la población reincorporada afiliada a salud.</w:t>
            </w:r>
          </w:p>
          <w:p w14:paraId="6D19A52B" w14:textId="77777777" w:rsidR="00C454A1" w:rsidRPr="00211504" w:rsidRDefault="00C454A1" w:rsidP="005F4A6F">
            <w:pPr>
              <w:pStyle w:val="Prrafodelista"/>
              <w:numPr>
                <w:ilvl w:val="0"/>
                <w:numId w:val="76"/>
              </w:numPr>
              <w:spacing w:after="120"/>
              <w:ind w:right="272"/>
              <w:rPr>
                <w:rFonts w:eastAsia="Times New Roman" w:cs="Times New Roman"/>
              </w:rPr>
            </w:pPr>
            <w:r w:rsidRPr="00211504">
              <w:rPr>
                <w:rFonts w:eastAsia="Times New Roman" w:cs="Times New Roman"/>
              </w:rPr>
              <w:t>Sustitución de cultivos: 19.790 hectáreas erradicadas voluntariamente con solo un 0,8% de resiembra; 76.283 familias beneficiadas con asistencia técnica.</w:t>
            </w:r>
          </w:p>
          <w:p w14:paraId="0BE2642D" w14:textId="77777777" w:rsidR="00C454A1" w:rsidRPr="00211504" w:rsidRDefault="00C454A1" w:rsidP="005F4A6F">
            <w:pPr>
              <w:pStyle w:val="Prrafodelista"/>
              <w:numPr>
                <w:ilvl w:val="0"/>
                <w:numId w:val="76"/>
              </w:numPr>
              <w:spacing w:after="120"/>
              <w:ind w:right="272"/>
              <w:rPr>
                <w:rFonts w:eastAsia="Times New Roman" w:cs="Times New Roman"/>
              </w:rPr>
            </w:pPr>
            <w:r w:rsidRPr="00211504">
              <w:rPr>
                <w:rFonts w:eastAsia="Times New Roman" w:cs="Times New Roman"/>
              </w:rPr>
              <w:t>Restitución de tierras: 221.128 hectáreas restituidas beneficiando a 34.555 víctimas.</w:t>
            </w:r>
          </w:p>
          <w:p w14:paraId="0729C813" w14:textId="77777777" w:rsidR="00C454A1" w:rsidRPr="00211504" w:rsidRDefault="00C454A1" w:rsidP="005F4A6F">
            <w:pPr>
              <w:pStyle w:val="Prrafodelista"/>
              <w:numPr>
                <w:ilvl w:val="0"/>
                <w:numId w:val="76"/>
              </w:numPr>
              <w:spacing w:after="120"/>
              <w:ind w:right="272"/>
              <w:rPr>
                <w:rFonts w:eastAsia="Times New Roman" w:cs="Times New Roman"/>
              </w:rPr>
            </w:pPr>
            <w:r w:rsidRPr="00211504">
              <w:rPr>
                <w:rFonts w:eastAsia="Times New Roman" w:cs="Times New Roman"/>
              </w:rPr>
              <w:t>Planes de Desarrollo con Enfoque Territorial (PDET): 3.358 proyectos aprobados con una inversión de $13,57 billones.</w:t>
            </w:r>
          </w:p>
          <w:p w14:paraId="68ED3D71" w14:textId="77777777" w:rsidR="00C454A1" w:rsidRPr="00211504" w:rsidRDefault="00C454A1" w:rsidP="005F4A6F">
            <w:pPr>
              <w:pStyle w:val="Prrafodelista"/>
              <w:numPr>
                <w:ilvl w:val="0"/>
                <w:numId w:val="76"/>
              </w:numPr>
              <w:spacing w:after="120"/>
              <w:ind w:right="272"/>
              <w:rPr>
                <w:rFonts w:eastAsia="Times New Roman" w:cs="Times New Roman"/>
              </w:rPr>
            </w:pPr>
            <w:r w:rsidRPr="00211504">
              <w:rPr>
                <w:rFonts w:eastAsia="Times New Roman" w:cs="Times New Roman"/>
              </w:rPr>
              <w:t>Inversión en el Catatumbo: 1.115 iniciativas PDET; 227.653 millones de pesos en proyectos de infraestructura; 10.000 millones de pesos para mejoramiento de vías terciarias.</w:t>
            </w:r>
            <w:r w:rsidRPr="00211504">
              <w:rPr>
                <w:rFonts w:eastAsia="Times New Roman" w:cs="Times New Roman"/>
                <w:highlight w:val="yellow"/>
              </w:rPr>
              <w:t xml:space="preserve"> </w:t>
            </w:r>
          </w:p>
          <w:p w14:paraId="705B0F42" w14:textId="77777777" w:rsidR="00C454A1" w:rsidRPr="00211504" w:rsidRDefault="00C454A1" w:rsidP="00881E6A">
            <w:pPr>
              <w:spacing w:after="120"/>
              <w:ind w:right="272"/>
              <w:contextualSpacing/>
            </w:pPr>
            <w:r w:rsidRPr="00211504">
              <w:rPr>
                <w:rFonts w:eastAsia="Times New Roman" w:cs="Times New Roman"/>
              </w:rPr>
              <w:t>Por lo anterior, sostienen que no es cierto que el Acuerdo de Paz estuviera en riesgo en su implementación o realización, ni en el territorio colombiano, ni en el Catatumbo, como sostiene el decreto que se analiza.</w:t>
            </w:r>
          </w:p>
          <w:p w14:paraId="706556CD" w14:textId="77777777" w:rsidR="00C454A1" w:rsidRPr="00211504" w:rsidRDefault="00C454A1" w:rsidP="00881E6A">
            <w:pPr>
              <w:spacing w:after="120"/>
              <w:ind w:right="272"/>
              <w:contextualSpacing/>
            </w:pPr>
            <w:r w:rsidRPr="00211504">
              <w:rPr>
                <w:rFonts w:eastAsia="Times New Roman" w:cs="Times New Roman"/>
                <w:highlight w:val="yellow"/>
              </w:rPr>
              <w:t xml:space="preserve"> </w:t>
            </w:r>
          </w:p>
          <w:p w14:paraId="7ABFF22D" w14:textId="77777777" w:rsidR="00C454A1" w:rsidRPr="00211504" w:rsidRDefault="00C454A1" w:rsidP="00881E6A">
            <w:pPr>
              <w:spacing w:after="120"/>
              <w:ind w:right="272"/>
              <w:contextualSpacing/>
            </w:pPr>
            <w:r w:rsidRPr="00211504">
              <w:rPr>
                <w:rFonts w:eastAsia="Times New Roman" w:cs="Times New Roman"/>
              </w:rPr>
              <w:t xml:space="preserve">Acerca del presupuesto </w:t>
            </w:r>
            <w:r w:rsidRPr="00211504">
              <w:rPr>
                <w:rFonts w:eastAsia="Times New Roman" w:cs="Times New Roman"/>
                <w:i/>
                <w:iCs/>
              </w:rPr>
              <w:t>valorativo</w:t>
            </w:r>
            <w:r w:rsidRPr="00211504">
              <w:rPr>
                <w:rFonts w:eastAsia="Times New Roman" w:cs="Times New Roman"/>
              </w:rPr>
              <w:t xml:space="preserve">, argumentan que el decreto vulnera el principio de progresividad en la realización del derecho a la paz y el mandato de cumplimiento de buena fe del Acuerdo Final de Paz, contenido en el Acto Legislativo 02 de 2017. Consideran que los principios de integralidad y no regresividad que deben regir la implementación del Acuerdo Final están siendo afectados por el decreto </w:t>
            </w:r>
            <w:r w:rsidRPr="00211504">
              <w:rPr>
                <w:rFonts w:eastAsia="Times New Roman" w:cs="Times New Roman"/>
                <w:i/>
                <w:iCs/>
              </w:rPr>
              <w:t>sub examine</w:t>
            </w:r>
            <w:r w:rsidRPr="00211504">
              <w:rPr>
                <w:rFonts w:eastAsia="Times New Roman" w:cs="Times New Roman"/>
              </w:rPr>
              <w:t>. Los intervinientes destacan que la “política de Paz Total es regresiva respecto del Acuerdo de Paz por cuanto desconoce lo planeado y avanzado y no involucra lo ya construido”</w:t>
            </w:r>
            <w:r w:rsidRPr="00211504">
              <w:rPr>
                <w:rStyle w:val="Refdenotaalpie"/>
                <w:rFonts w:eastAsia="Times New Roman" w:cs="Times New Roman"/>
              </w:rPr>
              <w:footnoteReference w:id="981"/>
            </w:r>
            <w:r w:rsidRPr="00211504">
              <w:rPr>
                <w:rFonts w:eastAsia="Times New Roman" w:cs="Times New Roman"/>
              </w:rPr>
              <w:t xml:space="preserve">. Destacan que no puede utilizarse el alegado incumplimiento del acuerdo de paz como fundamental para la declaratoria de la conmoción interior, cuando se han tenido tres años para realizar su implementación de manera adecuada, y existe evidencia de que sí se pudo mantener los propósitos del acuerdo en el periodo 2018-2022. </w:t>
            </w:r>
          </w:p>
          <w:p w14:paraId="30BAA45B" w14:textId="77777777" w:rsidR="00C454A1" w:rsidRPr="00211504" w:rsidRDefault="00C454A1" w:rsidP="00881E6A">
            <w:pPr>
              <w:spacing w:after="120"/>
              <w:ind w:right="272"/>
              <w:contextualSpacing/>
            </w:pPr>
            <w:r w:rsidRPr="00211504">
              <w:rPr>
                <w:rFonts w:eastAsia="Times New Roman" w:cs="Times New Roman"/>
                <w:highlight w:val="yellow"/>
              </w:rPr>
              <w:t xml:space="preserve"> </w:t>
            </w:r>
          </w:p>
          <w:p w14:paraId="03400237" w14:textId="77777777" w:rsidR="00C454A1" w:rsidRPr="00211504" w:rsidRDefault="00C454A1" w:rsidP="00881E6A">
            <w:pPr>
              <w:spacing w:after="120"/>
              <w:ind w:right="272"/>
              <w:contextualSpacing/>
            </w:pPr>
            <w:r w:rsidRPr="00211504">
              <w:rPr>
                <w:rFonts w:eastAsia="Times New Roman" w:cs="Times New Roman"/>
              </w:rPr>
              <w:t xml:space="preserve">Acerca del presupuesto de </w:t>
            </w:r>
            <w:r w:rsidRPr="00211504">
              <w:rPr>
                <w:rFonts w:eastAsia="Times New Roman" w:cs="Times New Roman"/>
                <w:i/>
                <w:iCs/>
              </w:rPr>
              <w:t>suficiencia</w:t>
            </w:r>
            <w:r w:rsidRPr="00211504">
              <w:rPr>
                <w:rFonts w:eastAsia="Times New Roman" w:cs="Times New Roman"/>
              </w:rPr>
              <w:t>, destacan que el Acuerdo Final de Paz se “venía cumpliendo” en el periodo 2018-2022</w:t>
            </w:r>
            <w:r w:rsidRPr="00211504">
              <w:rPr>
                <w:rStyle w:val="Refdenotaalpie"/>
                <w:rFonts w:eastAsia="Times New Roman" w:cs="Times New Roman"/>
              </w:rPr>
              <w:footnoteReference w:id="982"/>
            </w:r>
            <w:r w:rsidRPr="00211504">
              <w:rPr>
                <w:rFonts w:eastAsia="Times New Roman" w:cs="Times New Roman"/>
              </w:rPr>
              <w:t xml:space="preserve">. Resaltan que el </w:t>
            </w:r>
            <w:r>
              <w:rPr>
                <w:rFonts w:eastAsia="Times New Roman" w:cs="Times New Roman"/>
              </w:rPr>
              <w:t>G</w:t>
            </w:r>
            <w:r w:rsidRPr="00211504">
              <w:rPr>
                <w:rFonts w:eastAsia="Times New Roman" w:cs="Times New Roman"/>
              </w:rPr>
              <w:t xml:space="preserve">obierno “ya ha llevado la dirección del país por 3 años” y “si fuera cierto que un </w:t>
            </w:r>
            <w:r w:rsidRPr="00211504">
              <w:rPr>
                <w:rFonts w:eastAsia="Times New Roman" w:cs="Times New Roman"/>
              </w:rPr>
              <w:lastRenderedPageBreak/>
              <w:t>retraso en la implementación es lo que causa el actual nivel de violencia en el Catatumbo, con mayor razón lo que habría que hacer es acelerar ese cumplimiento para el cual se cuenta con herramientas legales ordinarias, sin pedir instrumentos fuera de lo ordinario”</w:t>
            </w:r>
            <w:r w:rsidRPr="00211504">
              <w:rPr>
                <w:rStyle w:val="Refdenotaalpie"/>
                <w:rFonts w:eastAsia="Times New Roman" w:cs="Times New Roman"/>
              </w:rPr>
              <w:footnoteReference w:id="983"/>
            </w:r>
            <w:r w:rsidRPr="00211504">
              <w:rPr>
                <w:rFonts w:eastAsia="Times New Roman" w:cs="Times New Roman"/>
              </w:rPr>
              <w:t xml:space="preserve">.  Así, plantean que el decreto analizado carece de una justificación suficiente en cuanto a la necesidad de medidas excepcionales, se fundamenta en premisas erróneas sobre el incumplimiento del Acuerdo de Paz y contraviene el principio de progresividad en la realización del derecho a la paz, lo que lleva a solicitar su declaratoria de inexequibilidad. </w:t>
            </w:r>
          </w:p>
        </w:tc>
      </w:tr>
      <w:tr w:rsidR="00C454A1" w:rsidRPr="00F8202F" w14:paraId="1E7C3873" w14:textId="77777777" w:rsidTr="005F4A6F">
        <w:trPr>
          <w:trHeight w:val="300"/>
        </w:trPr>
        <w:tc>
          <w:tcPr>
            <w:tcW w:w="813" w:type="pct"/>
            <w:vAlign w:val="center"/>
          </w:tcPr>
          <w:p w14:paraId="5B4C8CE4" w14:textId="77777777" w:rsidR="00C454A1" w:rsidRPr="00211504" w:rsidRDefault="00C454A1" w:rsidP="00881E6A">
            <w:pPr>
              <w:spacing w:after="120"/>
              <w:ind w:right="272"/>
              <w:contextualSpacing/>
              <w:jc w:val="center"/>
              <w:rPr>
                <w:rFonts w:cs="Times New Roman"/>
                <w:b/>
                <w:bCs/>
              </w:rPr>
            </w:pPr>
            <w:r w:rsidRPr="00211504">
              <w:rPr>
                <w:rFonts w:cs="Times New Roman"/>
                <w:b/>
                <w:bCs/>
              </w:rPr>
              <w:lastRenderedPageBreak/>
              <w:t>Fiscalía General de la Nación</w:t>
            </w:r>
          </w:p>
        </w:tc>
        <w:tc>
          <w:tcPr>
            <w:tcW w:w="4187" w:type="pct"/>
          </w:tcPr>
          <w:p w14:paraId="22C5EF5B" w14:textId="77777777" w:rsidR="00C454A1" w:rsidRPr="00211504" w:rsidRDefault="00C454A1" w:rsidP="00881E6A">
            <w:pPr>
              <w:spacing w:after="120"/>
              <w:ind w:right="272"/>
              <w:contextualSpacing/>
            </w:pPr>
            <w:r w:rsidRPr="00211504">
              <w:rPr>
                <w:rFonts w:eastAsia="Times New Roman" w:cs="Times New Roman"/>
              </w:rPr>
              <w:t>Manifestó que sí existen condiciones excepcionales de seguridad y orden público en la región del Catatumbo que exigen por parte del Estado una intervención integral en el territorio</w:t>
            </w:r>
            <w:r w:rsidRPr="00211504">
              <w:rPr>
                <w:rStyle w:val="Refdenotaalpie"/>
                <w:rFonts w:eastAsia="Times New Roman" w:cs="Times New Roman"/>
              </w:rPr>
              <w:footnoteReference w:id="984"/>
            </w:r>
            <w:r w:rsidRPr="00211504">
              <w:rPr>
                <w:rFonts w:eastAsia="Times New Roman" w:cs="Times New Roman"/>
              </w:rPr>
              <w:t>. Precisó que el 21 de enero de 2025 envió una comunicación al presidente de la República con el fin de solicitar garantías de seguridad a los funcionarios de la Fiscalía General de la Nación. Esto, con el fin de normalizar el ejercicio misional en los municipios identificados en la declaratoria del estado de conmoción interior. Por el otro, indicó que el 24 de enero de 2025, creó un grupo de tareas especiales asignado específicamente al área territorial definida por el decreto. Indicó que se requiere de la participación de todas las instituciones estatales para restablecer el orden público y la seguridad en la zona del Catatumbo.</w:t>
            </w:r>
            <w:r w:rsidRPr="00211504">
              <w:tab/>
            </w:r>
          </w:p>
        </w:tc>
      </w:tr>
      <w:tr w:rsidR="00C454A1" w:rsidRPr="00F8202F" w14:paraId="106B0739" w14:textId="77777777" w:rsidTr="005F4A6F">
        <w:trPr>
          <w:trHeight w:val="300"/>
        </w:trPr>
        <w:tc>
          <w:tcPr>
            <w:tcW w:w="813" w:type="pct"/>
            <w:vAlign w:val="center"/>
          </w:tcPr>
          <w:p w14:paraId="1E8E44B5" w14:textId="77777777" w:rsidR="00C454A1" w:rsidRPr="00211504" w:rsidRDefault="00C454A1" w:rsidP="00881E6A">
            <w:pPr>
              <w:spacing w:after="120"/>
              <w:ind w:right="272"/>
              <w:contextualSpacing/>
              <w:jc w:val="center"/>
              <w:rPr>
                <w:rFonts w:eastAsia="Times New Roman" w:cs="Times New Roman"/>
              </w:rPr>
            </w:pPr>
            <w:r w:rsidRPr="00211504">
              <w:rPr>
                <w:rFonts w:eastAsia="Times New Roman" w:cs="Times New Roman"/>
                <w:b/>
                <w:bCs/>
              </w:rPr>
              <w:t>Intervención de Tania María Camila Luna Blanco y otros</w:t>
            </w:r>
          </w:p>
        </w:tc>
        <w:tc>
          <w:tcPr>
            <w:tcW w:w="4187" w:type="pct"/>
          </w:tcPr>
          <w:p w14:paraId="52EE9EAE" w14:textId="77777777" w:rsidR="00C454A1" w:rsidRPr="00211504" w:rsidRDefault="00C454A1" w:rsidP="00881E6A">
            <w:pPr>
              <w:spacing w:after="120"/>
              <w:ind w:right="272"/>
              <w:contextualSpacing/>
            </w:pPr>
            <w:r w:rsidRPr="00211504">
              <w:rPr>
                <w:rFonts w:eastAsia="Times New Roman" w:cs="Times New Roman"/>
              </w:rPr>
              <w:t xml:space="preserve">Solicitaron declarar la </w:t>
            </w:r>
            <w:r w:rsidRPr="00211504">
              <w:rPr>
                <w:rFonts w:eastAsia="Times New Roman" w:cs="Times New Roman"/>
                <w:i/>
                <w:iCs/>
              </w:rPr>
              <w:t>inexequibilidad</w:t>
            </w:r>
            <w:r w:rsidRPr="00211504">
              <w:rPr>
                <w:rFonts w:eastAsia="Times New Roman" w:cs="Times New Roman"/>
              </w:rPr>
              <w:t xml:space="preserve"> del Decreto Legislativo 062 de 2025.  Respecto del presupuesto </w:t>
            </w:r>
            <w:r w:rsidRPr="00211504">
              <w:rPr>
                <w:rFonts w:eastAsia="Times New Roman" w:cs="Times New Roman"/>
                <w:i/>
                <w:iCs/>
              </w:rPr>
              <w:t>fáctico</w:t>
            </w:r>
            <w:r w:rsidRPr="00211504">
              <w:rPr>
                <w:rFonts w:eastAsia="Times New Roman" w:cs="Times New Roman"/>
              </w:rPr>
              <w:t xml:space="preserve">, califican como “hechos crónicos” la problemática de orden público en la zona del Catatumbo y, por lo tanto, consideran que no se trata de hechos sobrevinientes ni súbitos. Sobre el presupuesto </w:t>
            </w:r>
            <w:r w:rsidRPr="00211504">
              <w:rPr>
                <w:rFonts w:eastAsia="Times New Roman" w:cs="Times New Roman"/>
                <w:i/>
                <w:iCs/>
              </w:rPr>
              <w:t>valorativo</w:t>
            </w:r>
            <w:r w:rsidRPr="00211504">
              <w:rPr>
                <w:rFonts w:eastAsia="Times New Roman" w:cs="Times New Roman"/>
              </w:rPr>
              <w:t>, argumentan que se encuentra acreditada la gravedad de la situación, particularmente en lo que tiene que ver con el desplazamiento forzado y la afectación que se ha generado para los firmantes del acuerdo de paz. Resalta que la “crisis humanitaria por el alto volumen de desplazamiento forzado, así como la amenaza a la vida, integridad y demás derechos de los firmantes del Acuerdo de paz comprometen el goce efectivo de las garantías constitucionales de los ciudadanos”</w:t>
            </w:r>
            <w:r w:rsidRPr="00211504">
              <w:rPr>
                <w:rStyle w:val="Refdenotaalpie"/>
                <w:rFonts w:eastAsia="Times New Roman" w:cs="Times New Roman"/>
              </w:rPr>
              <w:footnoteReference w:id="985"/>
            </w:r>
            <w:r w:rsidRPr="00211504">
              <w:rPr>
                <w:rFonts w:eastAsia="Times New Roman" w:cs="Times New Roman"/>
              </w:rPr>
              <w:t>.</w:t>
            </w:r>
          </w:p>
          <w:p w14:paraId="274A6BA1" w14:textId="77777777" w:rsidR="00C454A1" w:rsidRPr="00211504" w:rsidRDefault="00C454A1" w:rsidP="00881E6A">
            <w:pPr>
              <w:spacing w:after="120"/>
              <w:ind w:right="272"/>
              <w:contextualSpacing/>
            </w:pPr>
            <w:r w:rsidRPr="00211504">
              <w:rPr>
                <w:rFonts w:eastAsia="Times New Roman" w:cs="Times New Roman"/>
              </w:rPr>
              <w:t xml:space="preserve"> </w:t>
            </w:r>
          </w:p>
          <w:p w14:paraId="6D0FC0F9"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lastRenderedPageBreak/>
              <w:t xml:space="preserve">En cuanto al presupuesto de </w:t>
            </w:r>
            <w:r w:rsidRPr="00211504">
              <w:rPr>
                <w:rFonts w:eastAsia="Times New Roman" w:cs="Times New Roman"/>
                <w:i/>
                <w:iCs/>
              </w:rPr>
              <w:t>suficiencia</w:t>
            </w:r>
            <w:r w:rsidRPr="00211504">
              <w:rPr>
                <w:rFonts w:eastAsia="Times New Roman" w:cs="Times New Roman"/>
              </w:rPr>
              <w:t xml:space="preserve">, señalan que el decreto </w:t>
            </w:r>
            <w:r w:rsidRPr="00211504">
              <w:rPr>
                <w:rFonts w:eastAsia="Times New Roman" w:cs="Times New Roman"/>
                <w:i/>
                <w:iCs/>
              </w:rPr>
              <w:t>sub examine</w:t>
            </w:r>
            <w:r w:rsidRPr="00211504">
              <w:rPr>
                <w:rFonts w:eastAsia="Times New Roman" w:cs="Times New Roman"/>
              </w:rPr>
              <w:t xml:space="preserve"> no justifica de manera suficiente por qué las facultades ordinarias de policía son ineficaces. Los intervinientes llaman la atención acerca de que gran parte de los considerandos que se ocupan del requisito de suficiencia “no hacen referencia concreta a las medidas a tomar o a su razón para conjurar la crisis; por el contrario, se enfocan en afirmar que se necesita una medida, más no en decir en modo general cuál es su naturaleza. Tampoco apuestan por demostrar, o si quiera aseverar, por qué la medida excepcional que se utilizaría sería necesaria frente a una ordinaria que podría llegar a tener el mismo efecto”</w:t>
            </w:r>
            <w:r w:rsidRPr="00211504">
              <w:rPr>
                <w:rStyle w:val="Refdenotaalpie"/>
                <w:rFonts w:eastAsia="Times New Roman" w:cs="Times New Roman"/>
              </w:rPr>
              <w:footnoteReference w:id="986"/>
            </w:r>
            <w:r w:rsidRPr="00211504">
              <w:rPr>
                <w:rFonts w:eastAsia="Times New Roman" w:cs="Times New Roman"/>
              </w:rPr>
              <w:t xml:space="preserve">. En consecuencia, concluyen que, al no superarse el juicio de suficiencia, el decreto 062 de 2025 debe declararse </w:t>
            </w:r>
            <w:r w:rsidRPr="00211504">
              <w:rPr>
                <w:rFonts w:eastAsia="Times New Roman" w:cs="Times New Roman"/>
                <w:i/>
                <w:iCs/>
              </w:rPr>
              <w:t>inexequible</w:t>
            </w:r>
            <w:r w:rsidRPr="00211504">
              <w:rPr>
                <w:rFonts w:eastAsia="Times New Roman" w:cs="Times New Roman"/>
              </w:rPr>
              <w:t>. Adicionalmente, invitaron a la Corte a “establecer un diálogo interinstitucional que permita elaborar una solución integradora y definitiva a la crisis, evitando una continuación del escalamiento del conflicto en la región con impacto en otras regiones y en el orden nacional”</w:t>
            </w:r>
            <w:r w:rsidRPr="00211504">
              <w:rPr>
                <w:rStyle w:val="Refdenotaalpie"/>
                <w:rFonts w:eastAsia="Times New Roman" w:cs="Times New Roman"/>
              </w:rPr>
              <w:footnoteReference w:id="987"/>
            </w:r>
            <w:r w:rsidRPr="00211504">
              <w:rPr>
                <w:rFonts w:eastAsia="Times New Roman" w:cs="Times New Roman"/>
              </w:rPr>
              <w:t xml:space="preserve">. </w:t>
            </w:r>
          </w:p>
        </w:tc>
      </w:tr>
      <w:tr w:rsidR="00C454A1" w:rsidRPr="00F8202F" w14:paraId="50E0669E" w14:textId="77777777" w:rsidTr="005F4A6F">
        <w:trPr>
          <w:trHeight w:val="300"/>
        </w:trPr>
        <w:tc>
          <w:tcPr>
            <w:tcW w:w="813" w:type="pct"/>
            <w:vAlign w:val="center"/>
          </w:tcPr>
          <w:p w14:paraId="7500C56F" w14:textId="77777777" w:rsidR="00C454A1" w:rsidRPr="00211504" w:rsidRDefault="00C454A1" w:rsidP="00881E6A">
            <w:pPr>
              <w:spacing w:after="120"/>
              <w:ind w:right="272"/>
              <w:contextualSpacing/>
              <w:jc w:val="center"/>
              <w:rPr>
                <w:rFonts w:eastAsia="Times New Roman" w:cs="Times New Roman"/>
                <w:b/>
                <w:bCs/>
                <w:color w:val="000000" w:themeColor="text1"/>
              </w:rPr>
            </w:pPr>
            <w:r w:rsidRPr="00211504">
              <w:rPr>
                <w:rFonts w:eastAsia="Times New Roman" w:cs="Times New Roman"/>
                <w:b/>
                <w:bCs/>
                <w:color w:val="000000" w:themeColor="text1"/>
              </w:rPr>
              <w:lastRenderedPageBreak/>
              <w:t>Daniel Eduardo Londoño De Vivero</w:t>
            </w:r>
          </w:p>
        </w:tc>
        <w:tc>
          <w:tcPr>
            <w:tcW w:w="4187" w:type="pct"/>
          </w:tcPr>
          <w:p w14:paraId="39A32837" w14:textId="77777777" w:rsidR="00C454A1" w:rsidRPr="00211504" w:rsidRDefault="00C454A1" w:rsidP="00881E6A">
            <w:pPr>
              <w:spacing w:after="120"/>
              <w:ind w:right="272"/>
              <w:contextualSpacing/>
            </w:pPr>
            <w:r w:rsidRPr="00211504">
              <w:rPr>
                <w:rFonts w:eastAsia="Times New Roman" w:cs="Times New Roman"/>
                <w:color w:val="000000" w:themeColor="text1"/>
              </w:rPr>
              <w:t>Solicitó a la Corte declarar la</w:t>
            </w:r>
            <w:r w:rsidRPr="00211504">
              <w:rPr>
                <w:rFonts w:eastAsia="Times New Roman" w:cs="Times New Roman"/>
                <w:i/>
                <w:iCs/>
                <w:color w:val="000000" w:themeColor="text1"/>
              </w:rPr>
              <w:t xml:space="preserve"> inexequibilidad </w:t>
            </w:r>
            <w:r w:rsidRPr="00211504">
              <w:rPr>
                <w:rFonts w:eastAsia="Times New Roman" w:cs="Times New Roman"/>
                <w:color w:val="000000" w:themeColor="text1"/>
              </w:rPr>
              <w:t xml:space="preserve">del Decreto Legislativo 062 de 2025. En relación con el presupuesto </w:t>
            </w:r>
            <w:r w:rsidRPr="00211504">
              <w:rPr>
                <w:rFonts w:eastAsia="Times New Roman" w:cs="Times New Roman"/>
                <w:i/>
                <w:iCs/>
                <w:color w:val="000000" w:themeColor="text1"/>
              </w:rPr>
              <w:t>fáctico</w:t>
            </w:r>
            <w:r w:rsidRPr="00211504">
              <w:rPr>
                <w:rFonts w:eastAsia="Times New Roman" w:cs="Times New Roman"/>
                <w:color w:val="000000" w:themeColor="text1"/>
              </w:rPr>
              <w:t xml:space="preserve">, refirió que las causas de la violencia en la región del Catatumbo son de naturaleza estructural y de larga data, por lo que no pueden considerarse como sobrevinientes. Esto, porque </w:t>
            </w:r>
            <w:r w:rsidRPr="00211504">
              <w:rPr>
                <w:rFonts w:eastAsia="Times New Roman" w:cs="Times New Roman"/>
                <w:i/>
                <w:iCs/>
                <w:color w:val="000000" w:themeColor="text1"/>
              </w:rPr>
              <w:t>(i)</w:t>
            </w:r>
            <w:r w:rsidRPr="00211504">
              <w:rPr>
                <w:rFonts w:eastAsia="Times New Roman" w:cs="Times New Roman"/>
                <w:color w:val="000000" w:themeColor="text1"/>
              </w:rPr>
              <w:t xml:space="preserve"> en el Catatumbo ha sido prolongada la presencia de grupos armados ilegales que disputan el control territorial; </w:t>
            </w:r>
            <w:r w:rsidRPr="00211504">
              <w:rPr>
                <w:rFonts w:eastAsia="Times New Roman" w:cs="Times New Roman"/>
                <w:i/>
                <w:iCs/>
                <w:color w:val="000000" w:themeColor="text1"/>
              </w:rPr>
              <w:t xml:space="preserve">(ii) </w:t>
            </w:r>
            <w:r w:rsidRPr="00211504">
              <w:rPr>
                <w:rFonts w:eastAsia="Times New Roman" w:cs="Times New Roman"/>
                <w:color w:val="000000" w:themeColor="text1"/>
              </w:rPr>
              <w:t xml:space="preserve">desde antes de 2023, una parte significativa de los cultivos de coca en Colombia se concentraba en esta región; </w:t>
            </w:r>
            <w:r w:rsidRPr="00211504">
              <w:rPr>
                <w:rFonts w:eastAsia="Times New Roman" w:cs="Times New Roman"/>
                <w:i/>
                <w:iCs/>
                <w:color w:val="000000" w:themeColor="text1"/>
              </w:rPr>
              <w:t>(iii)</w:t>
            </w:r>
            <w:r w:rsidRPr="00211504">
              <w:rPr>
                <w:rFonts w:eastAsia="Times New Roman" w:cs="Times New Roman"/>
                <w:color w:val="000000" w:themeColor="text1"/>
              </w:rPr>
              <w:t xml:space="preserve"> múltiples signatarios del Acuerdo de Paz, exintegrantes de las FARC y sus familias han sido víctimas de homicidios y otros actos de violencia, lo que llevó a la Corte Constitucional, mediante la sentencia SU-020 de 2022, a declarar un estado de cosas inconstitucional debido a la falta de garantías de seguridad; y </w:t>
            </w:r>
            <w:r w:rsidRPr="00211504">
              <w:rPr>
                <w:rFonts w:eastAsia="Times New Roman" w:cs="Times New Roman"/>
                <w:i/>
                <w:iCs/>
                <w:color w:val="000000" w:themeColor="text1"/>
              </w:rPr>
              <w:t>(iv)</w:t>
            </w:r>
            <w:r w:rsidRPr="00211504">
              <w:rPr>
                <w:rFonts w:eastAsia="Times New Roman" w:cs="Times New Roman"/>
                <w:color w:val="000000" w:themeColor="text1"/>
              </w:rPr>
              <w:t xml:space="preserve"> desde 2018 hasta noviembre de 2024, la Defensoría del Pueblo emitió múltiples Alertas Tempranas advirtiendo sobre la persistencia del conflicto armado y las violaciones a los derechos humanos por parte del ELN, EPL y otros grupos ilegales</w:t>
            </w:r>
            <w:r w:rsidRPr="00211504">
              <w:rPr>
                <w:rStyle w:val="Refdenotaalpie"/>
                <w:rFonts w:eastAsia="Times New Roman" w:cs="Times New Roman"/>
                <w:color w:val="000000" w:themeColor="text1"/>
              </w:rPr>
              <w:footnoteReference w:id="988"/>
            </w:r>
            <w:r w:rsidRPr="00211504">
              <w:rPr>
                <w:rFonts w:eastAsia="Times New Roman" w:cs="Times New Roman"/>
                <w:color w:val="000000" w:themeColor="text1"/>
              </w:rPr>
              <w:t>. Por lo anterior, considero que la intensificación de la violencia desde el 15 o 16 de enero de 2025 no justifica la declaratoria del Estado de conmoción interior debido a que la situación no reúne las condiciones de ser excepcional, imprevisible o transitoria</w:t>
            </w:r>
            <w:r w:rsidRPr="00211504">
              <w:rPr>
                <w:rStyle w:val="Refdenotaalpie"/>
                <w:rFonts w:eastAsia="Times New Roman" w:cs="Times New Roman"/>
                <w:color w:val="000000" w:themeColor="text1"/>
              </w:rPr>
              <w:footnoteReference w:id="989"/>
            </w:r>
            <w:r w:rsidRPr="00211504">
              <w:rPr>
                <w:rFonts w:eastAsia="Times New Roman" w:cs="Times New Roman"/>
                <w:color w:val="000000" w:themeColor="text1"/>
              </w:rPr>
              <w:t>.</w:t>
            </w:r>
          </w:p>
          <w:p w14:paraId="434A873E" w14:textId="77777777" w:rsidR="00C454A1" w:rsidRPr="00211504" w:rsidRDefault="00C454A1" w:rsidP="00881E6A">
            <w:pPr>
              <w:spacing w:after="120"/>
              <w:ind w:right="272"/>
              <w:contextualSpacing/>
            </w:pPr>
            <w:r w:rsidRPr="00211504">
              <w:rPr>
                <w:rFonts w:eastAsia="Times New Roman" w:cs="Times New Roman"/>
                <w:color w:val="000000" w:themeColor="text1"/>
              </w:rPr>
              <w:lastRenderedPageBreak/>
              <w:t xml:space="preserve"> </w:t>
            </w:r>
          </w:p>
          <w:p w14:paraId="1D333762"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Sobre el presupuesto </w:t>
            </w:r>
            <w:r w:rsidRPr="00211504">
              <w:rPr>
                <w:rFonts w:eastAsia="Times New Roman" w:cs="Times New Roman"/>
                <w:i/>
                <w:iCs/>
                <w:color w:val="000000" w:themeColor="text1"/>
              </w:rPr>
              <w:t>valorativo</w:t>
            </w:r>
            <w:r w:rsidRPr="00211504">
              <w:rPr>
                <w:rFonts w:eastAsia="Times New Roman" w:cs="Times New Roman"/>
                <w:color w:val="000000" w:themeColor="text1"/>
              </w:rPr>
              <w:t xml:space="preserve">, manifestó que la argumentación en la que se fundamenta el Decreto Legislativo 062 de 2025 no explica de manera suficiente por qué los eventos sobrevinientes justificaban la adopción de la medida más extrema prevista en la Constitución. Estimo que el decreto </w:t>
            </w:r>
            <w:r w:rsidRPr="00211504">
              <w:rPr>
                <w:rFonts w:eastAsia="Times New Roman" w:cs="Times New Roman"/>
                <w:i/>
                <w:iCs/>
                <w:color w:val="000000" w:themeColor="text1"/>
              </w:rPr>
              <w:t>sub examine</w:t>
            </w:r>
            <w:r w:rsidRPr="00211504">
              <w:rPr>
                <w:rFonts w:eastAsia="Times New Roman" w:cs="Times New Roman"/>
                <w:color w:val="000000" w:themeColor="text1"/>
              </w:rPr>
              <w:t xml:space="preserve"> no expone una argumentación suficiente para demostrar que los hechos descritos alteraron gravemente el orden público y justificaban la declaratoria del Estado de excepción</w:t>
            </w:r>
            <w:r w:rsidRPr="00211504">
              <w:rPr>
                <w:rStyle w:val="Refdenotaalpie"/>
                <w:rFonts w:eastAsia="Times New Roman" w:cs="Times New Roman"/>
                <w:color w:val="000000" w:themeColor="text1"/>
              </w:rPr>
              <w:footnoteReference w:id="990"/>
            </w:r>
            <w:r w:rsidRPr="00211504">
              <w:rPr>
                <w:rFonts w:eastAsia="Times New Roman" w:cs="Times New Roman"/>
                <w:color w:val="000000" w:themeColor="text1"/>
              </w:rPr>
              <w:t xml:space="preserve">. Sostuvo que no se cumple el requisito </w:t>
            </w:r>
            <w:r w:rsidRPr="00211504">
              <w:rPr>
                <w:rFonts w:eastAsia="Times New Roman" w:cs="Times New Roman"/>
                <w:i/>
                <w:iCs/>
                <w:color w:val="000000" w:themeColor="text1"/>
              </w:rPr>
              <w:t>valorativo</w:t>
            </w:r>
            <w:r w:rsidRPr="00211504">
              <w:rPr>
                <w:rFonts w:eastAsia="Times New Roman" w:cs="Times New Roman"/>
                <w:color w:val="000000" w:themeColor="text1"/>
              </w:rPr>
              <w:t xml:space="preserve"> debido a que no se demostró que los hechos invocados constituyeran una grave perturbación del orden público que afectara la estabilidad institucional, la seguridad del Estado y/o la convivencia ciudadana. Respecto del requisito de </w:t>
            </w:r>
            <w:r w:rsidRPr="00211504">
              <w:rPr>
                <w:rFonts w:eastAsia="Times New Roman" w:cs="Times New Roman"/>
                <w:i/>
                <w:iCs/>
                <w:color w:val="000000" w:themeColor="text1"/>
              </w:rPr>
              <w:t>suficiencia</w:t>
            </w:r>
            <w:r w:rsidRPr="00211504">
              <w:rPr>
                <w:rFonts w:eastAsia="Times New Roman" w:cs="Times New Roman"/>
                <w:color w:val="000000" w:themeColor="text1"/>
              </w:rPr>
              <w:t xml:space="preserve">, adujo que, si bien el Gobierno </w:t>
            </w:r>
            <w:r>
              <w:rPr>
                <w:rFonts w:eastAsia="Times New Roman" w:cs="Times New Roman"/>
                <w:color w:val="000000" w:themeColor="text1"/>
              </w:rPr>
              <w:t xml:space="preserve">nacional </w:t>
            </w:r>
            <w:r w:rsidRPr="00211504">
              <w:rPr>
                <w:rFonts w:eastAsia="Times New Roman" w:cs="Times New Roman"/>
                <w:color w:val="000000" w:themeColor="text1"/>
              </w:rPr>
              <w:t>destacó que implementó acciones progresivas para mitigar el impacto de organizaciones armadas ilegales y señaló que estas medidas ordinarias, el decreto no detalla qué medidas se han implementado ni por qué resultaron insuficientes</w:t>
            </w:r>
            <w:r w:rsidRPr="00211504">
              <w:rPr>
                <w:rStyle w:val="Refdenotaalpie"/>
                <w:rFonts w:eastAsia="Times New Roman" w:cs="Times New Roman"/>
                <w:color w:val="000000" w:themeColor="text1"/>
              </w:rPr>
              <w:footnoteReference w:id="991"/>
            </w:r>
            <w:r w:rsidRPr="00211504">
              <w:rPr>
                <w:rFonts w:eastAsia="Times New Roman" w:cs="Times New Roman"/>
                <w:color w:val="000000" w:themeColor="text1"/>
              </w:rPr>
              <w:t>. Asimismo, refirió que, aunque el Gobierno afirma que se requiere medidas extraordinarias para el fortalecimiento del control aéreo, ajustes presupuestales y restricciones en la comercialización de bienes usados por grupos armados, no justificó la necesidad de acciones excepcionales para declarar un estado de conmoción</w:t>
            </w:r>
            <w:r w:rsidRPr="00211504">
              <w:rPr>
                <w:rStyle w:val="Refdenotaalpie"/>
                <w:rFonts w:eastAsia="Times New Roman" w:cs="Times New Roman"/>
                <w:color w:val="000000" w:themeColor="text1"/>
              </w:rPr>
              <w:footnoteReference w:id="992"/>
            </w:r>
            <w:r w:rsidRPr="00211504">
              <w:rPr>
                <w:rFonts w:eastAsia="Times New Roman" w:cs="Times New Roman"/>
                <w:color w:val="000000" w:themeColor="text1"/>
              </w:rPr>
              <w:t>.</w:t>
            </w:r>
          </w:p>
        </w:tc>
      </w:tr>
      <w:tr w:rsidR="00C454A1" w:rsidRPr="00F8202F" w14:paraId="0D7B1118" w14:textId="77777777" w:rsidTr="005F4A6F">
        <w:trPr>
          <w:trHeight w:val="300"/>
        </w:trPr>
        <w:tc>
          <w:tcPr>
            <w:tcW w:w="813" w:type="pct"/>
            <w:vAlign w:val="center"/>
          </w:tcPr>
          <w:p w14:paraId="4BCDA832" w14:textId="77777777" w:rsidR="00C454A1" w:rsidRPr="00211504" w:rsidRDefault="00C454A1" w:rsidP="00881E6A">
            <w:pPr>
              <w:spacing w:after="120"/>
              <w:ind w:right="272"/>
              <w:contextualSpacing/>
              <w:jc w:val="center"/>
              <w:rPr>
                <w:rFonts w:eastAsia="Times New Roman" w:cs="Times New Roman"/>
                <w:b/>
                <w:bCs/>
                <w:color w:val="000000" w:themeColor="text1"/>
              </w:rPr>
            </w:pPr>
            <w:r w:rsidRPr="00211504">
              <w:rPr>
                <w:rFonts w:eastAsia="Times New Roman" w:cs="Times New Roman"/>
                <w:b/>
                <w:bCs/>
                <w:color w:val="000000" w:themeColor="text1"/>
              </w:rPr>
              <w:lastRenderedPageBreak/>
              <w:t>Juan Alberto Londoño Martínez</w:t>
            </w:r>
          </w:p>
          <w:p w14:paraId="2BBA561D" w14:textId="77777777" w:rsidR="00C454A1" w:rsidRPr="00211504" w:rsidRDefault="00C454A1" w:rsidP="00881E6A">
            <w:pPr>
              <w:spacing w:after="120"/>
              <w:ind w:right="272"/>
              <w:contextualSpacing/>
              <w:jc w:val="center"/>
              <w:rPr>
                <w:rFonts w:eastAsia="Times New Roman" w:cs="Times New Roman"/>
                <w:b/>
                <w:bCs/>
                <w:color w:val="000000" w:themeColor="text1"/>
              </w:rPr>
            </w:pPr>
          </w:p>
        </w:tc>
        <w:tc>
          <w:tcPr>
            <w:tcW w:w="4187" w:type="pct"/>
          </w:tcPr>
          <w:p w14:paraId="2686691C"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color w:val="000000" w:themeColor="text1"/>
              </w:rPr>
              <w:t>Solicitó declarar la</w:t>
            </w:r>
            <w:r w:rsidRPr="00211504">
              <w:rPr>
                <w:rFonts w:eastAsia="Times New Roman" w:cs="Times New Roman"/>
                <w:i/>
                <w:iCs/>
                <w:color w:val="000000" w:themeColor="text1"/>
              </w:rPr>
              <w:t xml:space="preserve"> inexequibilidad </w:t>
            </w:r>
            <w:r w:rsidRPr="00211504">
              <w:rPr>
                <w:rFonts w:eastAsia="Times New Roman" w:cs="Times New Roman"/>
                <w:color w:val="000000" w:themeColor="text1"/>
              </w:rPr>
              <w:t>del Decreto Legislativo 062 de 2025</w:t>
            </w:r>
            <w:r w:rsidRPr="00211504">
              <w:rPr>
                <w:rFonts w:eastAsia="Times New Roman" w:cs="Times New Roman"/>
              </w:rPr>
              <w:t xml:space="preserve">. Sobre el presupuesto </w:t>
            </w:r>
            <w:r w:rsidRPr="00211504">
              <w:rPr>
                <w:rFonts w:eastAsia="Times New Roman" w:cs="Times New Roman"/>
                <w:i/>
                <w:iCs/>
              </w:rPr>
              <w:t>fáctico</w:t>
            </w:r>
            <w:r w:rsidRPr="00211504">
              <w:rPr>
                <w:rFonts w:eastAsia="Times New Roman" w:cs="Times New Roman"/>
              </w:rPr>
              <w:t>,</w:t>
            </w:r>
            <w:r w:rsidRPr="00211504">
              <w:rPr>
                <w:rFonts w:eastAsia="Times New Roman" w:cs="Times New Roman"/>
                <w:b/>
                <w:bCs/>
              </w:rPr>
              <w:t xml:space="preserve"> </w:t>
            </w:r>
            <w:r w:rsidRPr="00211504">
              <w:rPr>
                <w:rFonts w:eastAsia="Times New Roman" w:cs="Times New Roman"/>
              </w:rPr>
              <w:t>advirtió sobre la situación no es sobreviniente y refirió 4 alertas tempranas 2020, 2021, 2023, 2023 de la Defensoría del Pueblo sobre la situación de orden público en el Catatumbo. Adicionalmente, afirmó que e</w:t>
            </w:r>
            <w:r w:rsidRPr="00211504">
              <w:rPr>
                <w:rFonts w:eastAsia="Times New Roman" w:cs="Times New Roman"/>
                <w:color w:val="000000" w:themeColor="text1"/>
              </w:rPr>
              <w:t>l “incremento o disminución de precios o el cambio en las condiciones de mercado de un bien o una actividad ilícita” es un mal “endémico”</w:t>
            </w:r>
            <w:r w:rsidRPr="00211504">
              <w:rPr>
                <w:rStyle w:val="Refdenotaalpie"/>
                <w:rFonts w:eastAsia="Times New Roman" w:cs="Times New Roman"/>
                <w:color w:val="000000" w:themeColor="text1"/>
              </w:rPr>
              <w:footnoteReference w:id="993"/>
            </w:r>
            <w:r w:rsidRPr="00211504">
              <w:rPr>
                <w:rFonts w:eastAsia="Times New Roman" w:cs="Times New Roman"/>
                <w:color w:val="000000" w:themeColor="text1"/>
              </w:rPr>
              <w:t xml:space="preserve">. Sobre el presupuesto </w:t>
            </w:r>
            <w:r w:rsidRPr="00211504">
              <w:rPr>
                <w:rFonts w:eastAsia="Times New Roman" w:cs="Times New Roman"/>
                <w:i/>
                <w:iCs/>
                <w:color w:val="000000" w:themeColor="text1"/>
              </w:rPr>
              <w:t>valorativo</w:t>
            </w:r>
            <w:r w:rsidRPr="00211504">
              <w:rPr>
                <w:rFonts w:eastAsia="Times New Roman" w:cs="Times New Roman"/>
                <w:color w:val="000000" w:themeColor="text1"/>
              </w:rPr>
              <w:t xml:space="preserve">, indicó que </w:t>
            </w:r>
            <w:r w:rsidRPr="00211504">
              <w:rPr>
                <w:rFonts w:eastAsia="Times New Roman" w:cs="Times New Roman"/>
              </w:rPr>
              <w:t>“en ningún aparte del presupuesto valorativo se exponen las acciones adelantadas por el Estado para atender la situación”</w:t>
            </w:r>
            <w:r w:rsidRPr="00211504">
              <w:rPr>
                <w:rStyle w:val="Refdenotaalpie"/>
                <w:rFonts w:eastAsia="Times New Roman" w:cs="Times New Roman"/>
              </w:rPr>
              <w:footnoteReference w:id="994"/>
            </w:r>
            <w:r w:rsidRPr="00211504">
              <w:rPr>
                <w:rFonts w:eastAsia="Times New Roman" w:cs="Times New Roman"/>
              </w:rPr>
              <w:t xml:space="preserve">. Respecto del requisito de </w:t>
            </w:r>
            <w:r w:rsidRPr="00211504">
              <w:rPr>
                <w:rFonts w:eastAsia="Times New Roman" w:cs="Times New Roman"/>
                <w:i/>
                <w:iCs/>
              </w:rPr>
              <w:t xml:space="preserve">suficiencia, </w:t>
            </w:r>
            <w:r w:rsidRPr="00211504">
              <w:rPr>
                <w:rFonts w:eastAsia="Times New Roman" w:cs="Times New Roman"/>
              </w:rPr>
              <w:lastRenderedPageBreak/>
              <w:t>señaló que el decreto sub examine “no menciona por qué no es posible acudir a facultades tales como la asistencia militar [del] art. 170 de la Ley 1801 de 2016 y/o vincular mayor personal de policía de manera transitoria mediante el art. 57 de la Ley 1861 de 2017”</w:t>
            </w:r>
            <w:r w:rsidRPr="00211504">
              <w:rPr>
                <w:rStyle w:val="Refdenotaalpie"/>
                <w:rFonts w:eastAsia="Times New Roman" w:cs="Times New Roman"/>
              </w:rPr>
              <w:footnoteReference w:id="995"/>
            </w:r>
            <w:r w:rsidRPr="00211504">
              <w:rPr>
                <w:rFonts w:eastAsia="Times New Roman" w:cs="Times New Roman"/>
              </w:rPr>
              <w:t>. También que “la suma que se pretende recaudar representa únicamente el 0,006% del Presupuesto [se puede atender con] la legislación ordinaria.</w:t>
            </w:r>
            <w:r w:rsidRPr="00211504">
              <w:rPr>
                <w:rStyle w:val="Refdenotaalpie"/>
                <w:rFonts w:eastAsia="Times New Roman" w:cs="Times New Roman"/>
              </w:rPr>
              <w:footnoteReference w:id="996"/>
            </w:r>
            <w:r w:rsidRPr="00211504">
              <w:rPr>
                <w:rFonts w:eastAsia="Times New Roman" w:cs="Times New Roman"/>
              </w:rPr>
              <w:t>” y que es “contradictorio solicitar nuevos recursos fiscales cuando tres días después […]  recorta el presupuesto de la fuerza pública en 800 mil millones” a través del “Decreto 069 de 2025”</w:t>
            </w:r>
            <w:r w:rsidRPr="00211504">
              <w:rPr>
                <w:rStyle w:val="Refdenotaalpie"/>
                <w:rFonts w:eastAsia="Times New Roman" w:cs="Times New Roman"/>
              </w:rPr>
              <w:footnoteReference w:id="997"/>
            </w:r>
            <w:r w:rsidRPr="00211504">
              <w:rPr>
                <w:rFonts w:eastAsia="Times New Roman" w:cs="Times New Roman"/>
              </w:rPr>
              <w:t>.</w:t>
            </w:r>
          </w:p>
        </w:tc>
      </w:tr>
      <w:tr w:rsidR="00C454A1" w:rsidRPr="00F8202F" w14:paraId="7B415385" w14:textId="77777777" w:rsidTr="005F4A6F">
        <w:trPr>
          <w:trHeight w:val="300"/>
        </w:trPr>
        <w:tc>
          <w:tcPr>
            <w:tcW w:w="813" w:type="pct"/>
            <w:vAlign w:val="center"/>
          </w:tcPr>
          <w:p w14:paraId="454B88DB" w14:textId="77777777" w:rsidR="00C454A1" w:rsidRPr="00211504" w:rsidRDefault="00C454A1" w:rsidP="00881E6A">
            <w:pPr>
              <w:spacing w:after="120"/>
              <w:ind w:right="272"/>
              <w:contextualSpacing/>
              <w:jc w:val="center"/>
              <w:rPr>
                <w:rFonts w:eastAsia="Times New Roman" w:cs="Times New Roman"/>
                <w:b/>
                <w:bCs/>
              </w:rPr>
            </w:pPr>
            <w:r w:rsidRPr="00211504">
              <w:rPr>
                <w:rFonts w:eastAsia="Times New Roman" w:cs="Times New Roman"/>
                <w:b/>
                <w:bCs/>
              </w:rPr>
              <w:lastRenderedPageBreak/>
              <w:t>Clínica de Interés Público en Derechos</w:t>
            </w:r>
          </w:p>
          <w:p w14:paraId="7DCE09CE" w14:textId="77777777" w:rsidR="00C454A1" w:rsidRPr="00211504" w:rsidRDefault="00C454A1" w:rsidP="00881E6A">
            <w:pPr>
              <w:spacing w:after="120"/>
              <w:ind w:right="272"/>
              <w:contextualSpacing/>
              <w:jc w:val="center"/>
              <w:rPr>
                <w:rFonts w:eastAsia="Times New Roman" w:cs="Times New Roman"/>
              </w:rPr>
            </w:pPr>
            <w:r w:rsidRPr="00211504">
              <w:rPr>
                <w:rFonts w:eastAsia="Times New Roman" w:cs="Times New Roman"/>
                <w:b/>
                <w:bCs/>
              </w:rPr>
              <w:t>Humanos de la Universidad Sergio Arboleda</w:t>
            </w:r>
          </w:p>
          <w:p w14:paraId="645B1247" w14:textId="77777777" w:rsidR="00C454A1" w:rsidRPr="00211504" w:rsidRDefault="00C454A1" w:rsidP="00881E6A">
            <w:pPr>
              <w:spacing w:after="120"/>
              <w:ind w:right="272"/>
              <w:contextualSpacing/>
              <w:jc w:val="center"/>
              <w:rPr>
                <w:rFonts w:eastAsia="Times New Roman" w:cs="Times New Roman"/>
                <w:b/>
                <w:bCs/>
              </w:rPr>
            </w:pPr>
          </w:p>
          <w:p w14:paraId="14D9241C" w14:textId="77777777" w:rsidR="00C454A1" w:rsidRPr="00211504" w:rsidRDefault="00C454A1" w:rsidP="00881E6A">
            <w:pPr>
              <w:spacing w:after="120"/>
              <w:ind w:right="272"/>
              <w:contextualSpacing/>
              <w:jc w:val="center"/>
              <w:rPr>
                <w:rFonts w:eastAsia="Times New Roman" w:cs="Times New Roman"/>
                <w:b/>
                <w:bCs/>
              </w:rPr>
            </w:pPr>
          </w:p>
        </w:tc>
        <w:tc>
          <w:tcPr>
            <w:tcW w:w="4187" w:type="pct"/>
          </w:tcPr>
          <w:p w14:paraId="694AF261"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a la Corte declarar </w:t>
            </w:r>
            <w:r w:rsidRPr="00211504">
              <w:rPr>
                <w:rFonts w:eastAsia="Times New Roman" w:cs="Times New Roman"/>
                <w:i/>
                <w:iCs/>
              </w:rPr>
              <w:t xml:space="preserve">la inexequibilidad </w:t>
            </w:r>
            <w:r w:rsidRPr="00211504">
              <w:rPr>
                <w:rFonts w:eastAsia="Times New Roman" w:cs="Times New Roman"/>
              </w:rPr>
              <w:t xml:space="preserve">del Decreto Legislativo 062 de 2025. </w:t>
            </w:r>
            <w:r w:rsidRPr="00211504">
              <w:rPr>
                <w:rFonts w:eastAsia="Times New Roman" w:cs="Times New Roman"/>
                <w:bCs/>
              </w:rPr>
              <w:t xml:space="preserve">Sobre el presupuesto </w:t>
            </w:r>
            <w:r w:rsidRPr="00211504">
              <w:rPr>
                <w:rFonts w:eastAsia="Times New Roman" w:cs="Times New Roman"/>
                <w:bCs/>
                <w:i/>
              </w:rPr>
              <w:t>fáctico</w:t>
            </w:r>
            <w:r w:rsidRPr="00211504">
              <w:rPr>
                <w:rFonts w:eastAsia="Times New Roman" w:cs="Times New Roman"/>
                <w:bCs/>
              </w:rPr>
              <w:t>, indicó que</w:t>
            </w:r>
            <w:r w:rsidRPr="00211504">
              <w:rPr>
                <w:rFonts w:eastAsia="Times New Roman" w:cs="Times New Roman"/>
                <w:b/>
                <w:bCs/>
              </w:rPr>
              <w:t xml:space="preserve"> </w:t>
            </w:r>
            <w:r w:rsidRPr="00211504">
              <w:rPr>
                <w:rFonts w:eastAsia="Times New Roman" w:cs="Times New Roman"/>
              </w:rPr>
              <w:t>“el decreto proporciona cifras oficiales y registros de hechos de violencia, lo que permite constatar objetivamente la ocurrencia de los hechos descritos”</w:t>
            </w:r>
            <w:r w:rsidRPr="00211504">
              <w:rPr>
                <w:rStyle w:val="Refdenotaalpie"/>
                <w:rFonts w:eastAsia="Times New Roman" w:cs="Times New Roman"/>
              </w:rPr>
              <w:footnoteReference w:id="998"/>
            </w:r>
            <w:r w:rsidRPr="00211504">
              <w:rPr>
                <w:rFonts w:eastAsia="Times New Roman" w:cs="Times New Roman"/>
              </w:rPr>
              <w:t xml:space="preserve">. </w:t>
            </w:r>
            <w:r w:rsidRPr="00211504">
              <w:rPr>
                <w:rFonts w:eastAsia="Times New Roman" w:cs="Times New Roman"/>
                <w:bCs/>
              </w:rPr>
              <w:t xml:space="preserve">Sobre el presupuesto </w:t>
            </w:r>
            <w:r w:rsidRPr="00211504">
              <w:rPr>
                <w:rFonts w:eastAsia="Times New Roman" w:cs="Times New Roman"/>
                <w:bCs/>
                <w:i/>
              </w:rPr>
              <w:t>valorativo</w:t>
            </w:r>
            <w:r w:rsidRPr="00211504">
              <w:rPr>
                <w:rFonts w:eastAsia="Times New Roman" w:cs="Times New Roman"/>
                <w:bCs/>
              </w:rPr>
              <w:t>, señaló que</w:t>
            </w:r>
            <w:r w:rsidRPr="00211504">
              <w:rPr>
                <w:rFonts w:eastAsia="Times New Roman" w:cs="Times New Roman"/>
                <w:b/>
                <w:bCs/>
              </w:rPr>
              <w:t xml:space="preserve"> </w:t>
            </w:r>
            <w:r w:rsidRPr="00211504">
              <w:rPr>
                <w:rFonts w:eastAsia="Times New Roman" w:cs="Times New Roman"/>
              </w:rPr>
              <w:t>“no se acredita el juicio de excepcionalidad”</w:t>
            </w:r>
            <w:r w:rsidRPr="00211504">
              <w:rPr>
                <w:rStyle w:val="Refdenotaalpie"/>
                <w:rFonts w:eastAsia="Times New Roman" w:cs="Times New Roman"/>
              </w:rPr>
              <w:footnoteReference w:id="999"/>
            </w:r>
            <w:r w:rsidRPr="00211504">
              <w:rPr>
                <w:rFonts w:eastAsia="Times New Roman" w:cs="Times New Roman"/>
              </w:rPr>
              <w:t xml:space="preserve"> porque (i) según el Informe del Centro Nacional de Memoria Histórica de 2015, “desde los años 80, el territorio ha sufrido masacres, desplazamientos forzados” y citó al Centro Nacional de Memoria Histórica. (ii) Según la Universidad Francisco de Paula Santander de Cúcuta, “más de 100.000 campesinos han sido desplazados de la región a causa de la violencia prolongada ejercida por grupos armados ilegales, en un proceso continuo de vulneración de derechos humanos”. </w:t>
            </w:r>
            <w:r w:rsidRPr="00211504">
              <w:rPr>
                <w:rFonts w:eastAsia="Times New Roman" w:cs="Times New Roman"/>
                <w:bCs/>
              </w:rPr>
              <w:t xml:space="preserve">Sobre el presupuesto de </w:t>
            </w:r>
            <w:r w:rsidRPr="00211504">
              <w:rPr>
                <w:rFonts w:eastAsia="Times New Roman" w:cs="Times New Roman"/>
                <w:bCs/>
                <w:i/>
              </w:rPr>
              <w:t>suficiencia</w:t>
            </w:r>
            <w:r w:rsidRPr="00211504">
              <w:rPr>
                <w:rFonts w:eastAsia="Times New Roman" w:cs="Times New Roman"/>
                <w:bCs/>
              </w:rPr>
              <w:t xml:space="preserve">, afirmó que </w:t>
            </w:r>
            <w:r w:rsidRPr="00211504">
              <w:rPr>
                <w:rFonts w:eastAsia="Times New Roman" w:cs="Times New Roman"/>
              </w:rPr>
              <w:t>“los Decretos 039 y 104 de 2024, que prolongaron el cese al fuego con el ELN, limitó deliberadamente la capacidad operativa de la Fuerza Pública, lo que permitió la expansión de los grupos armados ilegales en lugar de contenerlos. Las Alertas Tempranas 021-24 y 026-24 [de la Defensoría] evidenciaron que la violencia aumentó pese a las advertencias, lo que sugiere que el deterioro del orden público no se debió a la insuficiencia de los mecanismos ordinarios, sino a su falta de aplicación</w:t>
            </w:r>
            <w:r w:rsidRPr="00211504">
              <w:rPr>
                <w:rStyle w:val="Refdenotaalpie"/>
                <w:rFonts w:eastAsia="Times New Roman" w:cs="Times New Roman"/>
              </w:rPr>
              <w:footnoteReference w:id="1000"/>
            </w:r>
            <w:r w:rsidRPr="00211504">
              <w:rPr>
                <w:rFonts w:eastAsia="Times New Roman" w:cs="Times New Roman"/>
              </w:rPr>
              <w:t>”.</w:t>
            </w:r>
          </w:p>
        </w:tc>
      </w:tr>
      <w:tr w:rsidR="00C454A1" w:rsidRPr="00F8202F" w14:paraId="4D2FA1C2" w14:textId="77777777" w:rsidTr="005F4A6F">
        <w:trPr>
          <w:trHeight w:val="300"/>
        </w:trPr>
        <w:tc>
          <w:tcPr>
            <w:tcW w:w="813" w:type="pct"/>
            <w:vAlign w:val="center"/>
          </w:tcPr>
          <w:p w14:paraId="142DFED2" w14:textId="77777777" w:rsidR="00C454A1" w:rsidRPr="00211504" w:rsidRDefault="00C454A1" w:rsidP="00881E6A">
            <w:pPr>
              <w:spacing w:after="120"/>
              <w:ind w:right="272"/>
              <w:contextualSpacing/>
              <w:jc w:val="center"/>
              <w:rPr>
                <w:rFonts w:eastAsia="Times New Roman" w:cs="Times New Roman"/>
                <w:b/>
                <w:bCs/>
              </w:rPr>
            </w:pPr>
          </w:p>
          <w:p w14:paraId="4395682D" w14:textId="77777777" w:rsidR="00C454A1" w:rsidRPr="00211504" w:rsidRDefault="00C454A1" w:rsidP="00881E6A">
            <w:pPr>
              <w:spacing w:after="120"/>
              <w:ind w:right="272"/>
              <w:contextualSpacing/>
              <w:jc w:val="center"/>
              <w:rPr>
                <w:rFonts w:eastAsia="Times New Roman" w:cs="Times New Roman"/>
                <w:b/>
                <w:bCs/>
              </w:rPr>
            </w:pPr>
            <w:r w:rsidRPr="00211504">
              <w:rPr>
                <w:rFonts w:eastAsia="Times New Roman" w:cs="Times New Roman"/>
                <w:b/>
                <w:bCs/>
              </w:rPr>
              <w:t>Federación Nacional de Productores de Carbón</w:t>
            </w:r>
          </w:p>
        </w:tc>
        <w:tc>
          <w:tcPr>
            <w:tcW w:w="4187" w:type="pct"/>
          </w:tcPr>
          <w:p w14:paraId="55CA4E6D"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a la Corte declarar </w:t>
            </w:r>
            <w:r w:rsidRPr="00211504">
              <w:rPr>
                <w:rFonts w:eastAsia="Times New Roman" w:cs="Times New Roman"/>
                <w:i/>
                <w:iCs/>
              </w:rPr>
              <w:t xml:space="preserve">la inexequibilidad </w:t>
            </w:r>
            <w:r w:rsidRPr="00211504">
              <w:rPr>
                <w:rFonts w:eastAsia="Times New Roman" w:cs="Times New Roman"/>
              </w:rPr>
              <w:t xml:space="preserve">del Decreto Legislativo 062 de 2025. </w:t>
            </w:r>
            <w:r w:rsidRPr="00211504">
              <w:rPr>
                <w:rFonts w:eastAsia="Times New Roman" w:cs="Times New Roman"/>
                <w:bCs/>
              </w:rPr>
              <w:t xml:space="preserve">Sobre el presupuesto </w:t>
            </w:r>
            <w:r w:rsidRPr="00211504">
              <w:rPr>
                <w:rFonts w:eastAsia="Times New Roman" w:cs="Times New Roman"/>
                <w:bCs/>
                <w:i/>
              </w:rPr>
              <w:t>fáctico</w:t>
            </w:r>
            <w:r w:rsidRPr="00211504">
              <w:rPr>
                <w:rFonts w:eastAsia="Times New Roman" w:cs="Times New Roman"/>
                <w:bCs/>
              </w:rPr>
              <w:t>, indicó que</w:t>
            </w:r>
            <w:r w:rsidRPr="00211504">
              <w:rPr>
                <w:rFonts w:eastAsia="Times New Roman" w:cs="Times New Roman"/>
                <w:b/>
                <w:bCs/>
              </w:rPr>
              <w:t xml:space="preserve"> </w:t>
            </w:r>
            <w:r w:rsidRPr="00211504">
              <w:rPr>
                <w:rFonts w:eastAsia="Times New Roman" w:cs="Times New Roman"/>
              </w:rPr>
              <w:t xml:space="preserve">“en el año 2024 se denunció </w:t>
            </w:r>
            <w:bookmarkStart w:id="250" w:name="_Int_TCk8ALYp"/>
            <w:r w:rsidRPr="00211504">
              <w:rPr>
                <w:rFonts w:eastAsia="Times New Roman" w:cs="Times New Roman"/>
              </w:rPr>
              <w:t>públicamentes</w:t>
            </w:r>
            <w:bookmarkEnd w:id="250"/>
            <w:r w:rsidRPr="00211504">
              <w:rPr>
                <w:rFonts w:eastAsia="Times New Roman" w:cs="Times New Roman"/>
              </w:rPr>
              <w:t xml:space="preserve"> [sic] que el Catatumbo se había convertido en una zona de despeje no declarada oficialmente y que quien controlaba la entrada y salida de los carbones en el Catatumbo era el ELN recalcando que el nivel de extorsión del ELN hacia los pequeños productores mineros que hacen parte de la cadena de suministro es de tal nivel que han promovido paros armados para que los comercializadores y los compradores suban el precio, pretendiendo que en el Catatumbo se mueven los precios internacionales.</w:t>
            </w:r>
            <w:r w:rsidRPr="00211504">
              <w:rPr>
                <w:rStyle w:val="Refdenotaalpie"/>
                <w:rFonts w:eastAsia="Times New Roman" w:cs="Times New Roman"/>
              </w:rPr>
              <w:footnoteReference w:id="1001"/>
            </w:r>
            <w:r w:rsidRPr="00211504">
              <w:rPr>
                <w:rFonts w:eastAsia="Times New Roman" w:cs="Times New Roman"/>
              </w:rPr>
              <w:t>”. Posteriormente, señaló que  “se destacan el cubrimiento de los principales medios de comunicación respecto de las denuncias efectuadas por esta Federación”</w:t>
            </w:r>
            <w:r w:rsidRPr="00211504">
              <w:rPr>
                <w:rStyle w:val="Refdenotaalpie"/>
                <w:rFonts w:eastAsia="Times New Roman" w:cs="Times New Roman"/>
              </w:rPr>
              <w:footnoteReference w:id="1002"/>
            </w:r>
            <w:r w:rsidRPr="00211504">
              <w:rPr>
                <w:rFonts w:eastAsia="Times New Roman" w:cs="Times New Roman"/>
              </w:rPr>
              <w:t xml:space="preserve">. </w:t>
            </w:r>
            <w:r w:rsidRPr="00211504">
              <w:rPr>
                <w:rFonts w:eastAsia="Times New Roman" w:cs="Times New Roman"/>
                <w:bCs/>
              </w:rPr>
              <w:t xml:space="preserve">Sobre el  presupuesto de </w:t>
            </w:r>
            <w:r w:rsidRPr="00211504">
              <w:rPr>
                <w:rFonts w:eastAsia="Times New Roman" w:cs="Times New Roman"/>
                <w:bCs/>
                <w:i/>
              </w:rPr>
              <w:t>suficiencia,</w:t>
            </w:r>
            <w:r w:rsidRPr="00211504">
              <w:rPr>
                <w:rFonts w:eastAsia="Times New Roman" w:cs="Times New Roman"/>
                <w:bCs/>
              </w:rPr>
              <w:t xml:space="preserve"> consideró que “</w:t>
            </w:r>
            <w:r w:rsidRPr="00211504">
              <w:rPr>
                <w:rFonts w:eastAsia="Times New Roman" w:cs="Times New Roman"/>
              </w:rPr>
              <w:t>la declaratoria de la emergencia económica en el Guajira se repite ahora con la declaratoria del estado de conmoción interior y comparte lo manifestado en su oportunidad por la Corte en cuanto a que una solución integral a una problemática estructural y compleja como la que se presenta en la región del Catatumbo debe incluir la intervención del Congreso de la República justamente por las mismas causas que fueron analizadas en la sentencia C-383/23”</w:t>
            </w:r>
            <w:r w:rsidRPr="00211504">
              <w:rPr>
                <w:rStyle w:val="Refdenotaalpie"/>
                <w:rFonts w:eastAsia="Times New Roman" w:cs="Times New Roman"/>
              </w:rPr>
              <w:footnoteReference w:id="1003"/>
            </w:r>
            <w:r w:rsidRPr="00211504">
              <w:rPr>
                <w:rFonts w:eastAsia="Times New Roman" w:cs="Times New Roman"/>
              </w:rPr>
              <w:t>.</w:t>
            </w:r>
          </w:p>
        </w:tc>
      </w:tr>
      <w:tr w:rsidR="00C454A1" w:rsidRPr="00F8202F" w14:paraId="1258C370" w14:textId="77777777" w:rsidTr="005F4A6F">
        <w:trPr>
          <w:trHeight w:val="300"/>
        </w:trPr>
        <w:tc>
          <w:tcPr>
            <w:tcW w:w="813" w:type="pct"/>
            <w:vAlign w:val="center"/>
          </w:tcPr>
          <w:p w14:paraId="375D7A7A" w14:textId="77777777" w:rsidR="00C454A1" w:rsidRPr="00211504" w:rsidRDefault="00C454A1" w:rsidP="00881E6A">
            <w:pPr>
              <w:spacing w:after="120"/>
              <w:ind w:right="272"/>
              <w:contextualSpacing/>
              <w:jc w:val="center"/>
              <w:rPr>
                <w:rFonts w:eastAsia="Times New Roman" w:cs="Times New Roman"/>
                <w:b/>
                <w:bCs/>
              </w:rPr>
            </w:pPr>
            <w:r w:rsidRPr="00211504">
              <w:rPr>
                <w:rFonts w:eastAsia="Times New Roman" w:cs="Times New Roman"/>
                <w:b/>
                <w:bCs/>
              </w:rPr>
              <w:t>Luis Jaime Salgar Vegalara</w:t>
            </w:r>
          </w:p>
        </w:tc>
        <w:tc>
          <w:tcPr>
            <w:tcW w:w="4187" w:type="pct"/>
          </w:tcPr>
          <w:p w14:paraId="18305C7C" w14:textId="77777777" w:rsidR="00C454A1" w:rsidRPr="00211504" w:rsidRDefault="00C454A1" w:rsidP="00881E6A">
            <w:pPr>
              <w:spacing w:after="120"/>
              <w:ind w:right="272"/>
              <w:contextualSpacing/>
              <w:rPr>
                <w:rFonts w:eastAsia="Times New Roman" w:cs="Times New Roman"/>
                <w:bCs/>
              </w:rPr>
            </w:pPr>
            <w:r w:rsidRPr="00211504">
              <w:t xml:space="preserve">Solicitó a la Corte declarar </w:t>
            </w:r>
            <w:r w:rsidRPr="00211504">
              <w:rPr>
                <w:i/>
                <w:iCs/>
              </w:rPr>
              <w:t xml:space="preserve">la exequibilidad </w:t>
            </w:r>
            <w:r w:rsidRPr="00211504">
              <w:t xml:space="preserve">del Decreto Legislativo 062 de 2025. Sobre el presupuesto </w:t>
            </w:r>
            <w:r w:rsidRPr="00211504">
              <w:rPr>
                <w:i/>
              </w:rPr>
              <w:t>fáctico</w:t>
            </w:r>
            <w:r w:rsidRPr="00211504">
              <w:t xml:space="preserve">, consideró que se cumplía dada la grave alteración del orden público. Sin embargo, consideró que existían dificultades asociadas al presupuesto </w:t>
            </w:r>
            <w:r w:rsidRPr="00211504">
              <w:rPr>
                <w:i/>
              </w:rPr>
              <w:t xml:space="preserve">valorativo </w:t>
            </w:r>
            <w:r w:rsidRPr="00211504">
              <w:t>relacionadas al carácter extraordinario de la situación porque, a su juicio, “los problemas de orden público que vive el Catatumbo son estructurales”</w:t>
            </w:r>
            <w:r w:rsidRPr="00211504">
              <w:rPr>
                <w:rStyle w:val="Refdenotaalpie"/>
              </w:rPr>
              <w:footnoteReference w:id="1004"/>
            </w:r>
            <w:r w:rsidRPr="00211504">
              <w:t>. Señaló que “el Boletín No. 14 del PMU Catatumbo, de febrero de 2025, registró el desplazamiento de 53.361 personas y el confinamiento de 30.908 personas”, lo que, en su criterio, sería el “reflejo directo de la violencia estructural acumulada”</w:t>
            </w:r>
            <w:r w:rsidRPr="00211504">
              <w:rPr>
                <w:rStyle w:val="Refdenotaalpie"/>
              </w:rPr>
              <w:footnoteReference w:id="1005"/>
            </w:r>
            <w:r w:rsidRPr="00211504">
              <w:t xml:space="preserve">. </w:t>
            </w:r>
            <w:r w:rsidRPr="00211504">
              <w:lastRenderedPageBreak/>
              <w:t>Destacó que “la política de la paz total estuvo acompañada de decisiones de parte del presidente de suspender o reducir las acciones de la Fuerza Pública contra dichas organizaciones al margen de la ley sin que hubiere políticas correlativas de control territorial y sin que se desplegaran mecanismos encaminados a asegurar el orden público y la seguridad del Estado”</w:t>
            </w:r>
            <w:r w:rsidRPr="00211504">
              <w:rPr>
                <w:rStyle w:val="Refdenotaalpie"/>
              </w:rPr>
              <w:footnoteReference w:id="1006"/>
            </w:r>
            <w:r w:rsidRPr="00211504">
              <w:t>. Por lo anterior, consideró que el agravamiento de la situación de orden público en el Catatumbo, “concurrieron decisiones de política pública desplegadas por el propio Gobierno Nacional”</w:t>
            </w:r>
            <w:r w:rsidRPr="00211504">
              <w:rPr>
                <w:rStyle w:val="Refdenotaalpie"/>
              </w:rPr>
              <w:footnoteReference w:id="1007"/>
            </w:r>
            <w:r w:rsidRPr="00211504">
              <w:t xml:space="preserve">. Sobre el presupuesto de </w:t>
            </w:r>
            <w:r w:rsidRPr="00211504">
              <w:rPr>
                <w:i/>
              </w:rPr>
              <w:t xml:space="preserve">suficiencia, </w:t>
            </w:r>
            <w:r w:rsidRPr="00211504">
              <w:rPr>
                <w:iCs/>
              </w:rPr>
              <w:t>consideró</w:t>
            </w:r>
            <w:r w:rsidRPr="00211504">
              <w:t xml:space="preserve"> que la declaratoria es un “mecanismo encaminado a solucionar los errores en los que ha incurrido el Gobierno tanto por acción como por omisión”</w:t>
            </w:r>
            <w:r w:rsidRPr="00211504">
              <w:rPr>
                <w:rStyle w:val="Refdenotaalpie"/>
              </w:rPr>
              <w:footnoteReference w:id="1008"/>
            </w:r>
            <w:r w:rsidRPr="00211504">
              <w:t>. Indicó que, “es una situación desafortunada que obliga al Estado a debilitar el marco institucional de los Estados de Excepción con tal de asegurar un propósito superior”</w:t>
            </w:r>
            <w:r w:rsidRPr="00211504">
              <w:rPr>
                <w:rStyle w:val="Refdenotaalpie"/>
              </w:rPr>
              <w:footnoteReference w:id="1009"/>
            </w:r>
            <w:r w:rsidRPr="00211504">
              <w:t>.</w:t>
            </w:r>
          </w:p>
        </w:tc>
      </w:tr>
      <w:tr w:rsidR="00C454A1" w:rsidRPr="00F8202F" w14:paraId="47E8E811" w14:textId="77777777" w:rsidTr="005F4A6F">
        <w:trPr>
          <w:trHeight w:val="300"/>
        </w:trPr>
        <w:tc>
          <w:tcPr>
            <w:tcW w:w="813" w:type="pct"/>
            <w:vAlign w:val="center"/>
          </w:tcPr>
          <w:p w14:paraId="724E509D" w14:textId="77777777" w:rsidR="00C454A1" w:rsidRPr="00211504" w:rsidRDefault="00C454A1" w:rsidP="00881E6A">
            <w:pPr>
              <w:spacing w:after="120"/>
              <w:ind w:right="272"/>
              <w:contextualSpacing/>
              <w:jc w:val="center"/>
              <w:rPr>
                <w:rFonts w:eastAsia="Times New Roman" w:cs="Times New Roman"/>
                <w:b/>
                <w:bCs/>
              </w:rPr>
            </w:pPr>
            <w:r w:rsidRPr="00211504">
              <w:rPr>
                <w:rFonts w:eastAsia="Times New Roman" w:cs="Times New Roman"/>
                <w:b/>
                <w:bCs/>
              </w:rPr>
              <w:lastRenderedPageBreak/>
              <w:t>Jahel Quiroga Carrillo</w:t>
            </w:r>
          </w:p>
          <w:p w14:paraId="41778854" w14:textId="77777777" w:rsidR="00C454A1" w:rsidRPr="00211504" w:rsidRDefault="00C454A1" w:rsidP="00881E6A">
            <w:pPr>
              <w:spacing w:after="120"/>
              <w:ind w:right="272"/>
              <w:contextualSpacing/>
              <w:jc w:val="center"/>
              <w:rPr>
                <w:rFonts w:eastAsia="Times New Roman" w:cs="Times New Roman"/>
                <w:b/>
                <w:bCs/>
              </w:rPr>
            </w:pPr>
          </w:p>
        </w:tc>
        <w:tc>
          <w:tcPr>
            <w:tcW w:w="4187" w:type="pct"/>
          </w:tcPr>
          <w:p w14:paraId="21B5CA92"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a la Corte declarar </w:t>
            </w:r>
            <w:r w:rsidRPr="00211504">
              <w:rPr>
                <w:rFonts w:eastAsia="Times New Roman" w:cs="Times New Roman"/>
                <w:i/>
                <w:iCs/>
              </w:rPr>
              <w:t xml:space="preserve">la exequibilidad </w:t>
            </w:r>
            <w:r w:rsidRPr="00211504">
              <w:rPr>
                <w:rFonts w:eastAsia="Times New Roman" w:cs="Times New Roman"/>
              </w:rPr>
              <w:t xml:space="preserve">del Decreto Legislativo 062 de 2025.  </w:t>
            </w:r>
            <w:r w:rsidRPr="00211504">
              <w:rPr>
                <w:rFonts w:eastAsia="Times New Roman" w:cs="Times New Roman"/>
                <w:bCs/>
              </w:rPr>
              <w:t xml:space="preserve">Sobre el presupuesto </w:t>
            </w:r>
            <w:r w:rsidRPr="00211504">
              <w:rPr>
                <w:rFonts w:eastAsia="Times New Roman" w:cs="Times New Roman"/>
                <w:bCs/>
                <w:i/>
              </w:rPr>
              <w:t xml:space="preserve">fáctico, </w:t>
            </w:r>
            <w:r w:rsidRPr="00211504">
              <w:rPr>
                <w:rFonts w:eastAsia="Times New Roman" w:cs="Times New Roman"/>
              </w:rPr>
              <w:t>indicó que</w:t>
            </w:r>
            <w:r w:rsidRPr="00211504">
              <w:rPr>
                <w:rFonts w:eastAsia="Times New Roman" w:cs="Times New Roman"/>
                <w:b/>
                <w:bCs/>
              </w:rPr>
              <w:t xml:space="preserve"> </w:t>
            </w:r>
            <w:r w:rsidRPr="00211504">
              <w:rPr>
                <w:rFonts w:eastAsia="Times New Roman" w:cs="Times New Roman"/>
              </w:rPr>
              <w:t>“la región del Catatumbo está sufriendo el desplazamiento masivo más grande del país en los últimos 28 años y el mayor desde que se tiene registro institucional del fenómeno”</w:t>
            </w:r>
            <w:r w:rsidRPr="00211504">
              <w:rPr>
                <w:rStyle w:val="Refdenotaalpie"/>
                <w:rFonts w:eastAsia="Times New Roman" w:cs="Times New Roman"/>
              </w:rPr>
              <w:footnoteReference w:id="1010"/>
            </w:r>
            <w:r w:rsidRPr="00211504">
              <w:rPr>
                <w:rFonts w:eastAsia="Times New Roman" w:cs="Times New Roman"/>
              </w:rPr>
              <w:t xml:space="preserve">. </w:t>
            </w:r>
            <w:r w:rsidRPr="00211504">
              <w:rPr>
                <w:rFonts w:eastAsia="Times New Roman" w:cs="Times New Roman"/>
                <w:bCs/>
              </w:rPr>
              <w:t xml:space="preserve">Sobre el presupuesto </w:t>
            </w:r>
            <w:r w:rsidRPr="00211504">
              <w:rPr>
                <w:rFonts w:eastAsia="Times New Roman" w:cs="Times New Roman"/>
                <w:bCs/>
                <w:i/>
              </w:rPr>
              <w:t>valorativo</w:t>
            </w:r>
            <w:r w:rsidRPr="00211504">
              <w:rPr>
                <w:rFonts w:eastAsia="Times New Roman" w:cs="Times New Roman"/>
                <w:bCs/>
              </w:rPr>
              <w:t>, señaló que</w:t>
            </w:r>
            <w:r w:rsidRPr="00211504">
              <w:rPr>
                <w:rFonts w:eastAsia="Times New Roman" w:cs="Times New Roman"/>
                <w:b/>
                <w:bCs/>
              </w:rPr>
              <w:t xml:space="preserve"> </w:t>
            </w:r>
            <w:r w:rsidRPr="00211504">
              <w:rPr>
                <w:rFonts w:eastAsia="Times New Roman" w:cs="Times New Roman"/>
              </w:rPr>
              <w:t>“aunque la Defensoría emitió la Alerta Temprana de Inminencia 026 de 2024, la misma no sólo no comprendía todo el territorio objeto de la declaratoria, sino que los hechos reportados para ese entonces no tenían el alcance ni la magnitud que desde enero de este año han tenido las acciones de los grupos armados ilegales en la región”</w:t>
            </w:r>
            <w:r w:rsidRPr="00211504">
              <w:rPr>
                <w:rStyle w:val="Refdenotaalpie"/>
                <w:rFonts w:eastAsia="Times New Roman" w:cs="Times New Roman"/>
              </w:rPr>
              <w:footnoteReference w:id="1011"/>
            </w:r>
            <w:r w:rsidRPr="00211504">
              <w:rPr>
                <w:rFonts w:eastAsia="Times New Roman" w:cs="Times New Roman"/>
              </w:rPr>
              <w:t xml:space="preserve">. </w:t>
            </w:r>
          </w:p>
          <w:p w14:paraId="56290486" w14:textId="77777777" w:rsidR="00C454A1" w:rsidRPr="00211504" w:rsidRDefault="00C454A1" w:rsidP="00881E6A">
            <w:pPr>
              <w:spacing w:after="120"/>
              <w:ind w:right="272"/>
              <w:contextualSpacing/>
              <w:rPr>
                <w:rFonts w:eastAsia="Times New Roman" w:cs="Times New Roman"/>
                <w:bCs/>
              </w:rPr>
            </w:pPr>
          </w:p>
          <w:p w14:paraId="7E9F7F70" w14:textId="77777777" w:rsidR="00C454A1" w:rsidRPr="00211504" w:rsidRDefault="00C454A1" w:rsidP="00881E6A">
            <w:pPr>
              <w:spacing w:after="120"/>
              <w:ind w:right="272"/>
              <w:contextualSpacing/>
            </w:pPr>
            <w:r w:rsidRPr="00211504">
              <w:rPr>
                <w:rFonts w:eastAsia="Times New Roman" w:cs="Times New Roman"/>
                <w:bCs/>
              </w:rPr>
              <w:t xml:space="preserve">Sobre el presupuesto de </w:t>
            </w:r>
            <w:r w:rsidRPr="00211504">
              <w:rPr>
                <w:rFonts w:eastAsia="Times New Roman" w:cs="Times New Roman"/>
                <w:bCs/>
                <w:i/>
              </w:rPr>
              <w:t>suficiencia</w:t>
            </w:r>
            <w:r w:rsidRPr="00211504">
              <w:rPr>
                <w:rFonts w:eastAsia="Times New Roman" w:cs="Times New Roman"/>
                <w:b/>
                <w:bCs/>
              </w:rPr>
              <w:t xml:space="preserve">, </w:t>
            </w:r>
            <w:r w:rsidRPr="00211504">
              <w:rPr>
                <w:rFonts w:eastAsia="Times New Roman" w:cs="Times New Roman"/>
                <w:bCs/>
              </w:rPr>
              <w:t xml:space="preserve">afirmó que </w:t>
            </w:r>
            <w:r w:rsidRPr="00211504">
              <w:rPr>
                <w:rFonts w:eastAsia="Times New Roman" w:cs="Times New Roman"/>
              </w:rPr>
              <w:t xml:space="preserve">“las autoridades administrativas territoriales no cuentan con atribuciones suficientes para garantizar la atención humanitaria ni la prestación de servicios esenciales como </w:t>
            </w:r>
            <w:r w:rsidRPr="00211504">
              <w:rPr>
                <w:rFonts w:eastAsia="Times New Roman" w:cs="Times New Roman"/>
              </w:rPr>
              <w:lastRenderedPageBreak/>
              <w:t>justicia, agua potable, saneamiento, electricidad, combustibles, salud, educación y alimentación, entre otros”</w:t>
            </w:r>
            <w:r w:rsidRPr="00211504">
              <w:rPr>
                <w:rStyle w:val="Refdenotaalpie"/>
                <w:rFonts w:eastAsia="Times New Roman" w:cs="Times New Roman"/>
              </w:rPr>
              <w:footnoteReference w:id="1012"/>
            </w:r>
            <w:r w:rsidRPr="00211504">
              <w:rPr>
                <w:rFonts w:eastAsia="Times New Roman" w:cs="Times New Roman"/>
              </w:rPr>
              <w:t>. Al respecto citó el informe presentado por el MinJusticia al Congreso, “a partir del 16 de enero de 2025, la grave perturbación del orden público en la región del Catatumbo se ha intensificado como consecuencia del despliegue militar, las hostilidades y las operaciones armadas del ELN en contra de la población civil y las instituciones, lo que ha generado una grave e imprevisible crisis humanitaria que compromete, entre otras, a poblaciones especialmente vulnerables como el pueblo indígena Barí, líderes sociales, niños, niñas y adolescentes, campesinos y campesinas”</w:t>
            </w:r>
            <w:r w:rsidRPr="00211504">
              <w:rPr>
                <w:rStyle w:val="Refdenotaalpie"/>
                <w:rFonts w:eastAsia="Times New Roman" w:cs="Times New Roman"/>
              </w:rPr>
              <w:footnoteReference w:id="1013"/>
            </w:r>
            <w:r w:rsidRPr="00211504">
              <w:rPr>
                <w:rFonts w:eastAsia="Times New Roman" w:cs="Times New Roman"/>
              </w:rPr>
              <w:t>.</w:t>
            </w:r>
          </w:p>
        </w:tc>
      </w:tr>
      <w:tr w:rsidR="00C454A1" w:rsidRPr="00F8202F" w14:paraId="298D09A3" w14:textId="77777777" w:rsidTr="005F4A6F">
        <w:trPr>
          <w:trHeight w:val="300"/>
        </w:trPr>
        <w:tc>
          <w:tcPr>
            <w:tcW w:w="813" w:type="pct"/>
            <w:vAlign w:val="center"/>
          </w:tcPr>
          <w:p w14:paraId="4D1BC218" w14:textId="77777777" w:rsidR="00C454A1" w:rsidRPr="00211504" w:rsidRDefault="00C454A1" w:rsidP="00881E6A">
            <w:pPr>
              <w:spacing w:after="120"/>
              <w:ind w:right="272"/>
              <w:contextualSpacing/>
              <w:jc w:val="center"/>
              <w:rPr>
                <w:rFonts w:eastAsia="Times New Roman" w:cs="Times New Roman"/>
                <w:b/>
                <w:bCs/>
              </w:rPr>
            </w:pPr>
            <w:r w:rsidRPr="00211504">
              <w:rPr>
                <w:rFonts w:eastAsia="Times New Roman" w:cs="Times New Roman"/>
                <w:b/>
                <w:bCs/>
              </w:rPr>
              <w:lastRenderedPageBreak/>
              <w:t>Harold Eduardo Sua Montaña</w:t>
            </w:r>
          </w:p>
          <w:p w14:paraId="3CF1FE77" w14:textId="77777777" w:rsidR="00C454A1" w:rsidRPr="00211504" w:rsidRDefault="00C454A1" w:rsidP="00881E6A">
            <w:pPr>
              <w:spacing w:after="120"/>
              <w:ind w:right="272"/>
              <w:contextualSpacing/>
              <w:jc w:val="center"/>
              <w:rPr>
                <w:rFonts w:eastAsia="Times New Roman" w:cs="Times New Roman"/>
                <w:b/>
                <w:bCs/>
              </w:rPr>
            </w:pPr>
          </w:p>
        </w:tc>
        <w:tc>
          <w:tcPr>
            <w:tcW w:w="4187" w:type="pct"/>
          </w:tcPr>
          <w:p w14:paraId="2ABBFCB7" w14:textId="77777777" w:rsidR="00C454A1" w:rsidRPr="00B272A7" w:rsidRDefault="00C454A1" w:rsidP="00881E6A">
            <w:pPr>
              <w:spacing w:after="120"/>
              <w:ind w:right="272"/>
              <w:contextualSpacing/>
              <w:rPr>
                <w:rFonts w:eastAsia="Times New Roman" w:cs="Times New Roman"/>
              </w:rPr>
            </w:pPr>
            <w:r w:rsidRPr="00B272A7">
              <w:rPr>
                <w:rFonts w:eastAsia="Times New Roman" w:cs="Times New Roman"/>
              </w:rPr>
              <w:t xml:space="preserve">Solicitó a la Corte declarar </w:t>
            </w:r>
            <w:r w:rsidRPr="00B272A7">
              <w:rPr>
                <w:rFonts w:eastAsia="Times New Roman" w:cs="Times New Roman"/>
                <w:i/>
                <w:iCs/>
              </w:rPr>
              <w:t xml:space="preserve">la exequibilidad </w:t>
            </w:r>
            <w:r w:rsidRPr="00B272A7">
              <w:rPr>
                <w:rFonts w:eastAsia="Times New Roman" w:cs="Times New Roman"/>
              </w:rPr>
              <w:t xml:space="preserve">del Decreto Legislativo 062 de 2025.  </w:t>
            </w:r>
            <w:r w:rsidRPr="00B272A7">
              <w:rPr>
                <w:rFonts w:eastAsia="Times New Roman" w:cs="Times New Roman"/>
                <w:bCs/>
              </w:rPr>
              <w:t xml:space="preserve">Sobre el presupuesto </w:t>
            </w:r>
            <w:r w:rsidRPr="00B272A7">
              <w:rPr>
                <w:rFonts w:eastAsia="Times New Roman" w:cs="Times New Roman"/>
                <w:bCs/>
                <w:i/>
              </w:rPr>
              <w:t xml:space="preserve">fáctico, </w:t>
            </w:r>
            <w:r w:rsidRPr="00B272A7">
              <w:rPr>
                <w:rFonts w:eastAsia="Times New Roman" w:cs="Times New Roman"/>
              </w:rPr>
              <w:t>indicó que</w:t>
            </w:r>
            <w:r w:rsidRPr="00B272A7">
              <w:rPr>
                <w:rFonts w:eastAsia="Times New Roman" w:cs="Times New Roman"/>
                <w:b/>
                <w:bCs/>
              </w:rPr>
              <w:t xml:space="preserve"> </w:t>
            </w:r>
            <w:r w:rsidRPr="00B272A7">
              <w:rPr>
                <w:rFonts w:eastAsia="Times New Roman" w:cs="Times New Roman"/>
              </w:rPr>
              <w:t>“la región del Catatumbo está sufriendo el desplazamiento masivo más grande del país en los últimos 28 años y el mayor desde que se tiene registro institucional del fenómeno”</w:t>
            </w:r>
            <w:r w:rsidRPr="00B272A7">
              <w:rPr>
                <w:rFonts w:eastAsia="Times New Roman" w:cs="Times New Roman"/>
                <w:vertAlign w:val="superscript"/>
              </w:rPr>
              <w:footnoteReference w:id="1014"/>
            </w:r>
            <w:r w:rsidRPr="00B272A7">
              <w:rPr>
                <w:rFonts w:eastAsia="Times New Roman" w:cs="Times New Roman"/>
              </w:rPr>
              <w:t xml:space="preserve">. </w:t>
            </w:r>
            <w:r w:rsidRPr="00B272A7">
              <w:rPr>
                <w:rFonts w:eastAsia="Times New Roman" w:cs="Times New Roman"/>
                <w:bCs/>
              </w:rPr>
              <w:t xml:space="preserve">Sobre el presupuesto </w:t>
            </w:r>
            <w:r w:rsidRPr="00B272A7">
              <w:rPr>
                <w:rFonts w:eastAsia="Times New Roman" w:cs="Times New Roman"/>
                <w:bCs/>
                <w:i/>
              </w:rPr>
              <w:t>valorativo</w:t>
            </w:r>
            <w:r w:rsidRPr="00B272A7">
              <w:rPr>
                <w:rFonts w:eastAsia="Times New Roman" w:cs="Times New Roman"/>
                <w:bCs/>
              </w:rPr>
              <w:t>, señaló que</w:t>
            </w:r>
            <w:r w:rsidRPr="00B272A7">
              <w:rPr>
                <w:rFonts w:eastAsia="Times New Roman" w:cs="Times New Roman"/>
                <w:b/>
                <w:bCs/>
              </w:rPr>
              <w:t xml:space="preserve"> </w:t>
            </w:r>
            <w:r w:rsidRPr="00B272A7">
              <w:rPr>
                <w:rFonts w:eastAsia="Times New Roman" w:cs="Times New Roman"/>
              </w:rPr>
              <w:t>“aunque la Defensoría emitió la Alerta Temprana de Inminencia 026 de 2024, la misma no sólo no comprendía todo el territorio objeto de la declaratoria, sino que los hechos reportados para ese entonces no tenían el alcance ni la magnitud que desde enero de este año han tenido las acciones de los grupos armados ilegales en la región”</w:t>
            </w:r>
            <w:r w:rsidRPr="00B272A7">
              <w:rPr>
                <w:rFonts w:eastAsia="Times New Roman" w:cs="Times New Roman"/>
                <w:vertAlign w:val="superscript"/>
              </w:rPr>
              <w:footnoteReference w:id="1015"/>
            </w:r>
            <w:r w:rsidRPr="00B272A7">
              <w:rPr>
                <w:rFonts w:eastAsia="Times New Roman" w:cs="Times New Roman"/>
              </w:rPr>
              <w:t xml:space="preserve">. </w:t>
            </w:r>
          </w:p>
          <w:p w14:paraId="08DAB806" w14:textId="77777777" w:rsidR="00C454A1" w:rsidRPr="00B272A7" w:rsidRDefault="00C454A1" w:rsidP="00881E6A">
            <w:pPr>
              <w:spacing w:after="120"/>
              <w:ind w:right="272"/>
              <w:contextualSpacing/>
              <w:rPr>
                <w:rFonts w:eastAsia="Times New Roman" w:cs="Times New Roman"/>
                <w:bCs/>
              </w:rPr>
            </w:pPr>
          </w:p>
          <w:p w14:paraId="49D272DB"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bCs/>
              </w:rPr>
              <w:t xml:space="preserve">Sobre el presupuesto de </w:t>
            </w:r>
            <w:r w:rsidRPr="00211504">
              <w:rPr>
                <w:rFonts w:eastAsia="Times New Roman" w:cs="Times New Roman"/>
                <w:bCs/>
                <w:i/>
              </w:rPr>
              <w:t>suficiencia</w:t>
            </w:r>
            <w:r w:rsidRPr="00211504">
              <w:rPr>
                <w:rFonts w:eastAsia="Times New Roman" w:cs="Times New Roman"/>
                <w:b/>
                <w:bCs/>
              </w:rPr>
              <w:t xml:space="preserve">, </w:t>
            </w:r>
            <w:r w:rsidRPr="00211504">
              <w:rPr>
                <w:rFonts w:eastAsia="Times New Roman" w:cs="Times New Roman"/>
                <w:bCs/>
              </w:rPr>
              <w:t xml:space="preserve">afirmó que </w:t>
            </w:r>
            <w:r w:rsidRPr="00211504">
              <w:rPr>
                <w:rFonts w:eastAsia="Times New Roman" w:cs="Times New Roman"/>
              </w:rPr>
              <w:t>“las autoridades administrativas territoriales no cuentan con atribuciones suficientes para garantizar la atención humanitaria ni la prestación de servicios esenciales como justicia, agua potable, saneamiento, electricidad, combustibles, salud, educación y alimentación, entre otros”</w:t>
            </w:r>
            <w:r w:rsidRPr="00211504">
              <w:rPr>
                <w:rFonts w:eastAsia="Times New Roman" w:cs="Times New Roman"/>
                <w:vertAlign w:val="superscript"/>
              </w:rPr>
              <w:footnoteReference w:id="1016"/>
            </w:r>
            <w:r w:rsidRPr="00211504">
              <w:rPr>
                <w:rFonts w:eastAsia="Times New Roman" w:cs="Times New Roman"/>
              </w:rPr>
              <w:t xml:space="preserve">. Al respecto, citó el informe presentado por el Ministerio de Justicia y del Derecho al Congreso, en el que se señaló que “a partir del 16 de enero de 2025, la grave perturbación del orden público en la región del Catatumbo se ha </w:t>
            </w:r>
            <w:r w:rsidRPr="00211504">
              <w:rPr>
                <w:rFonts w:eastAsia="Times New Roman" w:cs="Times New Roman"/>
              </w:rPr>
              <w:lastRenderedPageBreak/>
              <w:t>intensificado como consecuencia del despliegue militar, las hostilidades y las operaciones armadas del ELN en contra de la población civil y las instituciones, lo que ha generado una grave e imprevisible crisis humanitaria que compromete, entre otras, a poblaciones especialmente vulnerables como el pueblo indígena Barí, líderes sociales, niños, niñas y adolescentes, campesinos y campesinas”</w:t>
            </w:r>
            <w:r w:rsidRPr="00211504">
              <w:rPr>
                <w:rFonts w:eastAsia="Times New Roman" w:cs="Times New Roman"/>
                <w:vertAlign w:val="superscript"/>
              </w:rPr>
              <w:footnoteReference w:id="1017"/>
            </w:r>
            <w:r w:rsidRPr="00211504">
              <w:rPr>
                <w:rFonts w:eastAsia="Times New Roman" w:cs="Times New Roman"/>
              </w:rPr>
              <w:t>.</w:t>
            </w:r>
          </w:p>
        </w:tc>
      </w:tr>
      <w:tr w:rsidR="00C454A1" w:rsidRPr="00F8202F" w14:paraId="4FCCAC1F" w14:textId="77777777" w:rsidTr="005F4A6F">
        <w:trPr>
          <w:trHeight w:val="300"/>
        </w:trPr>
        <w:tc>
          <w:tcPr>
            <w:tcW w:w="813" w:type="pct"/>
            <w:vAlign w:val="center"/>
          </w:tcPr>
          <w:p w14:paraId="22B77008" w14:textId="77777777" w:rsidR="00C454A1" w:rsidRPr="00211504" w:rsidRDefault="00C454A1" w:rsidP="00881E6A">
            <w:pPr>
              <w:spacing w:after="120"/>
              <w:ind w:right="272"/>
              <w:contextualSpacing/>
              <w:jc w:val="center"/>
              <w:rPr>
                <w:rFonts w:eastAsia="Times New Roman" w:cs="Times New Roman"/>
                <w:b/>
                <w:bCs/>
              </w:rPr>
            </w:pPr>
            <w:r w:rsidRPr="00211504">
              <w:rPr>
                <w:rFonts w:eastAsia="Times New Roman" w:cs="Times New Roman"/>
                <w:b/>
                <w:bCs/>
              </w:rPr>
              <w:lastRenderedPageBreak/>
              <w:t>Omar Javier García Quiñones</w:t>
            </w:r>
          </w:p>
        </w:tc>
        <w:tc>
          <w:tcPr>
            <w:tcW w:w="4187" w:type="pct"/>
          </w:tcPr>
          <w:p w14:paraId="7251B71F"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El interviniente solicitó a la Corte declarar la </w:t>
            </w:r>
            <w:r w:rsidRPr="00211504">
              <w:rPr>
                <w:rFonts w:eastAsia="Times New Roman" w:cs="Times New Roman"/>
                <w:i/>
                <w:iCs/>
              </w:rPr>
              <w:t>inexequibilidad</w:t>
            </w:r>
            <w:r w:rsidRPr="00211504">
              <w:rPr>
                <w:rFonts w:eastAsia="Times New Roman" w:cs="Times New Roman"/>
              </w:rPr>
              <w:t xml:space="preserve"> del Decreto Legislativo 062 de 2025.</w:t>
            </w:r>
          </w:p>
          <w:p w14:paraId="43EB26C2" w14:textId="77777777" w:rsidR="00C454A1" w:rsidRPr="00211504" w:rsidRDefault="00C454A1" w:rsidP="00881E6A">
            <w:pPr>
              <w:spacing w:after="120"/>
              <w:ind w:right="272"/>
              <w:contextualSpacing/>
              <w:rPr>
                <w:rFonts w:eastAsia="Times New Roman" w:cs="Times New Roman"/>
              </w:rPr>
            </w:pPr>
          </w:p>
          <w:p w14:paraId="2F3ABC1D"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El interviniente se pronunció respecto de los presupuestos fácticos y valorativos de la siguiente manera. En particular, advirtió que el Gobierno </w:t>
            </w:r>
            <w:r>
              <w:rPr>
                <w:rFonts w:eastAsia="Times New Roman" w:cs="Times New Roman"/>
              </w:rPr>
              <w:t>n</w:t>
            </w:r>
            <w:r w:rsidRPr="00211504">
              <w:rPr>
                <w:rFonts w:eastAsia="Times New Roman" w:cs="Times New Roman"/>
              </w:rPr>
              <w:t xml:space="preserve">acional, “con el ánimo de desarrollar la política de PAZ TOTAL[,] permitió que los dos grupos dominantes como lo son ELN y disidencia de las FARC FRENTE 33, realizaron desde el año 2023 a la fecha de la confrontación un sin números de actos entre los cuales estaban: secuestro, extorsión, reclutamiento de menores, violación a los ceses al fuego”. En su criterio, “el Gobierno Nacional al igual que el departamental (año 2024) fueron complacientes dejando en disposición de estos dos grupos el control de la zona catatumbera como el dominio de la zona del Área Metropolitana de Cúcuta”. De igual manera, consideró que el </w:t>
            </w:r>
            <w:r>
              <w:rPr>
                <w:rFonts w:eastAsia="Times New Roman" w:cs="Times New Roman"/>
              </w:rPr>
              <w:t>G</w:t>
            </w:r>
            <w:r w:rsidRPr="00211504">
              <w:rPr>
                <w:rFonts w:eastAsia="Times New Roman" w:cs="Times New Roman"/>
              </w:rPr>
              <w:t>obierno nacional “no realizó acciones para replegar la fuerza pública en contra de estos grupos” entre 2022 y 2024.</w:t>
            </w:r>
          </w:p>
          <w:p w14:paraId="7B4F83FE" w14:textId="77777777" w:rsidR="00C454A1" w:rsidRPr="00211504" w:rsidRDefault="00C454A1" w:rsidP="00881E6A">
            <w:pPr>
              <w:spacing w:after="120"/>
              <w:ind w:right="272"/>
              <w:contextualSpacing/>
              <w:rPr>
                <w:rFonts w:eastAsia="Times New Roman" w:cs="Times New Roman"/>
              </w:rPr>
            </w:pPr>
          </w:p>
          <w:p w14:paraId="348790D9"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Respecto del presupuesto de suficiencia, el interviniente informó que fue procurador regional en Cúcuta en 2024. En ejercicio de sus funciones, presentó una petición ante el Gobernador de Norte de Santander (remitió la petición, que no la respuesta). Sin embargo, no recibió respuesta a su petición. Con base en esta omisión, el interviniente consideró que había advertido “desde el 25 de abril de 2024 el fenómeno de violencia que el gobierno nacional (por la paz total) el gobierno departamental (por el plan departamental de la paz) hacían caso omiso a los llamados que desencadenaron la masacre más grande de los tiempos modernos de Colombia”.</w:t>
            </w:r>
          </w:p>
        </w:tc>
      </w:tr>
      <w:tr w:rsidR="00C454A1" w:rsidRPr="00F8202F" w14:paraId="0BF1B1D6" w14:textId="77777777" w:rsidTr="005F4A6F">
        <w:trPr>
          <w:trHeight w:val="300"/>
        </w:trPr>
        <w:tc>
          <w:tcPr>
            <w:tcW w:w="813" w:type="pct"/>
            <w:vAlign w:val="center"/>
          </w:tcPr>
          <w:p w14:paraId="79F4128D" w14:textId="77777777" w:rsidR="00C454A1" w:rsidRPr="00211504" w:rsidRDefault="00C454A1" w:rsidP="00881E6A">
            <w:pPr>
              <w:spacing w:after="120"/>
              <w:ind w:right="272"/>
              <w:contextualSpacing/>
              <w:rPr>
                <w:rFonts w:eastAsia="Times New Roman" w:cs="Times New Roman"/>
                <w:b/>
                <w:bCs/>
              </w:rPr>
            </w:pPr>
            <w:r w:rsidRPr="00211504">
              <w:rPr>
                <w:rFonts w:eastAsia="Times New Roman" w:cs="Times New Roman"/>
                <w:b/>
                <w:bCs/>
              </w:rPr>
              <w:t>Defensoría del Pueblo</w:t>
            </w:r>
          </w:p>
        </w:tc>
        <w:tc>
          <w:tcPr>
            <w:tcW w:w="4187" w:type="pct"/>
          </w:tcPr>
          <w:p w14:paraId="23789DA4"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Solicitó a la Corte declarar la</w:t>
            </w:r>
            <w:r w:rsidRPr="00211504">
              <w:rPr>
                <w:rFonts w:eastAsia="Times New Roman" w:cs="Times New Roman"/>
                <w:i/>
                <w:iCs/>
                <w:color w:val="000000" w:themeColor="text1"/>
              </w:rPr>
              <w:t xml:space="preserve"> exequibilidad </w:t>
            </w:r>
            <w:r w:rsidRPr="00211504">
              <w:rPr>
                <w:rFonts w:eastAsia="Times New Roman" w:cs="Times New Roman"/>
                <w:color w:val="000000" w:themeColor="text1"/>
              </w:rPr>
              <w:t xml:space="preserve">del Decreto Legislativo 062 de 2025. Señaló que el decreto cumplió con los requisitos formales y materiales contenidos en el art. 213 Constitucional. Sobre los requisitos formales, señaló que se cumplieron a cabalidad porque (i) el decreto se suscribió por el presidente de la República y sus 19 </w:t>
            </w:r>
            <w:r w:rsidRPr="00211504">
              <w:rPr>
                <w:rFonts w:eastAsia="Times New Roman" w:cs="Times New Roman"/>
                <w:color w:val="000000" w:themeColor="text1"/>
              </w:rPr>
              <w:lastRenderedPageBreak/>
              <w:t>ministros, (ii) el decreto fue motivado, (iii) se limitaron los efectos de la declaratoria a la región de Catatumbo, así como al área metropolitana de Cúcuta y los municipios de Río de Oro y González en el departamento del Cesar, (iv) el decreto se limitó a 90 días, (v) se comunicó a la OEA y (vi) se remitió a la Corte constitucional al día hábil siguiente de su expedición para el control automático.</w:t>
            </w:r>
          </w:p>
          <w:p w14:paraId="65445E23" w14:textId="77777777" w:rsidR="00C454A1" w:rsidRPr="00211504" w:rsidRDefault="00C454A1" w:rsidP="00881E6A">
            <w:pPr>
              <w:spacing w:after="120"/>
              <w:ind w:right="272"/>
              <w:contextualSpacing/>
              <w:rPr>
                <w:rFonts w:eastAsia="Times New Roman" w:cs="Times New Roman"/>
                <w:color w:val="000000" w:themeColor="text1"/>
              </w:rPr>
            </w:pPr>
          </w:p>
          <w:p w14:paraId="0ADC6273"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Respecto al supuesto </w:t>
            </w:r>
            <w:r w:rsidRPr="00211504">
              <w:rPr>
                <w:rFonts w:eastAsia="Times New Roman" w:cs="Times New Roman"/>
              </w:rPr>
              <w:t>fáctico indicó que “</w:t>
            </w:r>
            <w:r w:rsidRPr="00211504">
              <w:rPr>
                <w:rFonts w:eastAsia="Times New Roman" w:cs="Times New Roman"/>
                <w:color w:val="000000" w:themeColor="text1"/>
              </w:rPr>
              <w:t>el Gobierno nacional</w:t>
            </w:r>
            <w:r w:rsidRPr="00211504">
              <w:rPr>
                <w:rFonts w:eastAsia="Times New Roman" w:cs="Times New Roman"/>
              </w:rPr>
              <w:t xml:space="preserve"> </w:t>
            </w:r>
            <w:r w:rsidRPr="00211504">
              <w:rPr>
                <w:rFonts w:eastAsia="Times New Roman" w:cs="Times New Roman"/>
                <w:color w:val="000000" w:themeColor="text1"/>
              </w:rPr>
              <w:t>acreditó la ocurrencia de hechos concretos, perceptibles y verificables de</w:t>
            </w:r>
            <w:r w:rsidRPr="00211504">
              <w:rPr>
                <w:rFonts w:eastAsia="Times New Roman" w:cs="Times New Roman"/>
              </w:rPr>
              <w:t xml:space="preserve"> </w:t>
            </w:r>
            <w:r w:rsidRPr="00211504">
              <w:rPr>
                <w:rFonts w:eastAsia="Times New Roman" w:cs="Times New Roman"/>
                <w:color w:val="000000" w:themeColor="text1"/>
              </w:rPr>
              <w:t>perturbación del orden público”</w:t>
            </w:r>
            <w:r w:rsidRPr="00211504">
              <w:rPr>
                <w:rStyle w:val="Refdenotaalpie"/>
                <w:rFonts w:eastAsia="Times New Roman" w:cs="Times New Roman"/>
                <w:color w:val="000000" w:themeColor="text1"/>
              </w:rPr>
              <w:footnoteReference w:id="1018"/>
            </w:r>
            <w:r w:rsidRPr="00211504">
              <w:rPr>
                <w:rFonts w:eastAsia="Times New Roman" w:cs="Times New Roman"/>
                <w:color w:val="000000" w:themeColor="text1"/>
              </w:rPr>
              <w:t>. Al respecto mencionó que “los hechos objetivos demuestran el escalamiento de las hostilidades y los ataques inusitados a la población civil que ha aparejado una crisis humanitaria e institucional, la cual evidencia una grave perturbación del orden público que ha puesto en riesgo, de manera inminente, la estabilidad institucional, la seguridad de la población y la convivencia ciudadana”</w:t>
            </w:r>
            <w:r w:rsidRPr="00211504">
              <w:rPr>
                <w:rStyle w:val="Refdenotaalpie"/>
                <w:rFonts w:eastAsia="Times New Roman" w:cs="Times New Roman"/>
                <w:color w:val="000000" w:themeColor="text1"/>
              </w:rPr>
              <w:footnoteReference w:id="1019"/>
            </w:r>
            <w:r w:rsidRPr="00211504">
              <w:rPr>
                <w:rFonts w:eastAsia="Times New Roman" w:cs="Times New Roman"/>
                <w:color w:val="000000" w:themeColor="text1"/>
              </w:rPr>
              <w:t>. Explicó que esto se debe a que (i) hay presencia de ELN y disidencias de las FARC como el frente 33, (ii) los procesos de negociación y dialogo para el cese al fuego finalizaron en agosto de 2024, (iii) los firmantes de paz “afrontan riesgos graves e inminentes”</w:t>
            </w:r>
            <w:r w:rsidRPr="00211504">
              <w:rPr>
                <w:rStyle w:val="Refdenotaalpie"/>
                <w:rFonts w:eastAsia="Times New Roman" w:cs="Times New Roman"/>
                <w:color w:val="000000" w:themeColor="text1"/>
              </w:rPr>
              <w:footnoteReference w:id="1020"/>
            </w:r>
            <w:r w:rsidRPr="00211504">
              <w:rPr>
                <w:rFonts w:eastAsia="Times New Roman" w:cs="Times New Roman"/>
                <w:color w:val="000000" w:themeColor="text1"/>
              </w:rPr>
              <w:t>, materializados en muertes violentas, desapariciones forzadas y desplazamientos, (iv) crecieron los cultivos ilícitos en la región, (v) con la alerta temprana N° 016 de 2024 se advirtió de la posibilidad de ruptura del pacto de coexistencia entre el ELN y las disidencias de las FARC, lo que se materializó el 16 de enero de 2025, y (vi) la escalada violenta del ELN desencadenó en una “una crisis humanitaria sin precedentes en Colombia”</w:t>
            </w:r>
            <w:r w:rsidRPr="00211504">
              <w:rPr>
                <w:rStyle w:val="Refdenotaalpie"/>
                <w:rFonts w:eastAsia="Times New Roman" w:cs="Times New Roman"/>
                <w:color w:val="000000" w:themeColor="text1"/>
              </w:rPr>
              <w:footnoteReference w:id="1021"/>
            </w:r>
            <w:r w:rsidRPr="00211504">
              <w:rPr>
                <w:rFonts w:eastAsia="Times New Roman" w:cs="Times New Roman"/>
                <w:color w:val="000000" w:themeColor="text1"/>
              </w:rPr>
              <w:t>.</w:t>
            </w:r>
          </w:p>
          <w:p w14:paraId="43B98150" w14:textId="77777777" w:rsidR="00C454A1" w:rsidRPr="00211504" w:rsidRDefault="00C454A1" w:rsidP="00881E6A">
            <w:pPr>
              <w:spacing w:after="120"/>
              <w:ind w:right="272"/>
              <w:contextualSpacing/>
              <w:rPr>
                <w:rFonts w:eastAsia="Times New Roman" w:cs="Times New Roman"/>
                <w:color w:val="000000" w:themeColor="text1"/>
              </w:rPr>
            </w:pPr>
          </w:p>
          <w:p w14:paraId="3EA2A1FE"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 xml:space="preserve">Además, señaló que el Gobierno </w:t>
            </w:r>
            <w:r>
              <w:rPr>
                <w:rFonts w:eastAsia="Times New Roman" w:cs="Times New Roman"/>
                <w:color w:val="000000" w:themeColor="text1"/>
              </w:rPr>
              <w:t>n</w:t>
            </w:r>
            <w:r w:rsidRPr="00211504">
              <w:rPr>
                <w:rFonts w:eastAsia="Times New Roman" w:cs="Times New Roman"/>
                <w:color w:val="000000" w:themeColor="text1"/>
              </w:rPr>
              <w:t xml:space="preserve">acional tuvo en cuenta en sus consideraciones (i) la diversidad étnica presente en los territorios en conflicto, en especial a las comunidades indígenas Barí, (ii) las zonas de especial protección ambiental, lo que demuestra que el decreto está acorde con la jurisprudencia de la Corte Constitucional y la JEP, (iii) la ampliación del impacto de la violencia no solo a los lugares en los que el orden público está afectado, sino también en municipios que sirven de tránsito y recepción de personas desplazadas, (iv) la presencia del ELN, las </w:t>
            </w:r>
            <w:r w:rsidRPr="00211504">
              <w:rPr>
                <w:rFonts w:eastAsia="Times New Roman" w:cs="Times New Roman"/>
                <w:color w:val="000000" w:themeColor="text1"/>
              </w:rPr>
              <w:lastRenderedPageBreak/>
              <w:t>disidencias de las FARC (Frente 33 y Frente 10), “los Pelusos”, el Clan del Golfo (Antes Autodefensas Gaitanistas de Colombia), Reductos del Ejército Popular de Liberación (EPL); y Grupos Delictivos Organizados (GDO), (v) la suspensión del cese al fuego y los diálogos con el ELN y el Frente 33, (vi) que pese a los compromisos y medidas para proteger a firmantes y excombatientes; y responder a los cultivos ilícitos, esta población afronta riesgos graves e inminentes, (vi) que en el mismo sentido de lo anterior, la declaratoria de cosas inconstitucionales sobre los firmantes de paz obliga al gobierno a tener “medidas específicas y proporcionales al riesgo”</w:t>
            </w:r>
            <w:r w:rsidRPr="00211504">
              <w:rPr>
                <w:rStyle w:val="Refdenotaalpie"/>
                <w:rFonts w:eastAsia="Times New Roman" w:cs="Times New Roman"/>
                <w:color w:val="000000" w:themeColor="text1"/>
              </w:rPr>
              <w:footnoteReference w:id="1022"/>
            </w:r>
            <w:r w:rsidRPr="00211504">
              <w:rPr>
                <w:rFonts w:eastAsia="Times New Roman" w:cs="Times New Roman"/>
                <w:color w:val="000000" w:themeColor="text1"/>
              </w:rPr>
              <w:t xml:space="preserve">, (vii) la crisis cocalera y los pactos entre grupos, que afectan la seguridad alimentaria en la región, (viii) el desplazamiento de más de 1100 personas migrantes y (ix) contrastó la siguiente información: </w:t>
            </w:r>
          </w:p>
          <w:p w14:paraId="002D7581" w14:textId="77777777" w:rsidR="00C454A1" w:rsidRPr="00211504" w:rsidRDefault="00C454A1" w:rsidP="00881E6A">
            <w:pPr>
              <w:spacing w:after="120"/>
              <w:ind w:right="272"/>
              <w:contextualSpacing/>
              <w:rPr>
                <w:rFonts w:eastAsia="Times New Roman" w:cs="Times New Roman"/>
                <w:noProof/>
                <w:color w:val="000000" w:themeColor="text1"/>
              </w:rPr>
            </w:pPr>
          </w:p>
          <w:p w14:paraId="6B017C60" w14:textId="77777777" w:rsidR="00C454A1" w:rsidRPr="00211504" w:rsidRDefault="00C454A1" w:rsidP="00881E6A">
            <w:pPr>
              <w:spacing w:after="120"/>
              <w:ind w:right="272"/>
              <w:contextualSpacing/>
              <w:jc w:val="center"/>
              <w:rPr>
                <w:rFonts w:eastAsia="Times New Roman" w:cs="Times New Roman"/>
                <w:color w:val="000000" w:themeColor="text1"/>
              </w:rPr>
            </w:pPr>
            <w:r w:rsidRPr="00211504">
              <w:rPr>
                <w:rFonts w:eastAsia="Times New Roman" w:cs="Times New Roman"/>
                <w:noProof/>
                <w:color w:val="000000" w:themeColor="text1"/>
                <w:lang w:val="en-US"/>
              </w:rPr>
              <w:drawing>
                <wp:inline distT="0" distB="0" distL="0" distR="0" wp14:anchorId="74E21809" wp14:editId="20C0FA8C">
                  <wp:extent cx="3676573" cy="2938780"/>
                  <wp:effectExtent l="0" t="0" r="635" b="0"/>
                  <wp:docPr id="1497464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64363" name="Imagen 1497464363"/>
                          <pic:cNvPicPr/>
                        </pic:nvPicPr>
                        <pic:blipFill rotWithShape="1">
                          <a:blip r:embed="rId19" cstate="print">
                            <a:extLst>
                              <a:ext uri="{28A0092B-C50C-407E-A947-70E740481C1C}">
                                <a14:useLocalDpi xmlns:a14="http://schemas.microsoft.com/office/drawing/2010/main" val="0"/>
                              </a:ext>
                            </a:extLst>
                          </a:blip>
                          <a:srcRect t="1334" r="2072"/>
                          <a:stretch/>
                        </pic:blipFill>
                        <pic:spPr bwMode="auto">
                          <a:xfrm>
                            <a:off x="0" y="0"/>
                            <a:ext cx="3802758" cy="3039643"/>
                          </a:xfrm>
                          <a:prstGeom prst="rect">
                            <a:avLst/>
                          </a:prstGeom>
                          <a:ln>
                            <a:noFill/>
                          </a:ln>
                          <a:extLst>
                            <a:ext uri="{53640926-AAD7-44D8-BBD7-CCE9431645EC}">
                              <a14:shadowObscured xmlns:a14="http://schemas.microsoft.com/office/drawing/2010/main"/>
                            </a:ext>
                          </a:extLst>
                        </pic:spPr>
                      </pic:pic>
                    </a:graphicData>
                  </a:graphic>
                </wp:inline>
              </w:drawing>
            </w:r>
          </w:p>
          <w:p w14:paraId="330D56A7" w14:textId="77777777" w:rsidR="00C454A1" w:rsidRPr="00211504" w:rsidRDefault="00C454A1" w:rsidP="00881E6A">
            <w:pPr>
              <w:spacing w:after="120"/>
              <w:ind w:right="272"/>
              <w:contextualSpacing/>
              <w:rPr>
                <w:rFonts w:eastAsia="Times New Roman" w:cs="Times New Roman"/>
                <w:color w:val="000000" w:themeColor="text1"/>
              </w:rPr>
            </w:pPr>
          </w:p>
          <w:p w14:paraId="21C21C90"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Respecto al presupuesto valorativo indicó que “la valoración que realizó el presidente de la República sobre la intensidad grave de la perturbación al orden público, que atenta contra la estabilidad institucional, la seguridad humana y la convivencia ciudadana, no es arbitraria ni constituye un error manifiesto”</w:t>
            </w:r>
            <w:r w:rsidRPr="00211504">
              <w:rPr>
                <w:rStyle w:val="Refdenotaalpie"/>
                <w:rFonts w:eastAsia="Times New Roman" w:cs="Times New Roman"/>
              </w:rPr>
              <w:footnoteReference w:id="1023"/>
            </w:r>
            <w:r w:rsidRPr="00211504">
              <w:rPr>
                <w:rFonts w:eastAsia="Times New Roman" w:cs="Times New Roman"/>
              </w:rPr>
              <w:t>. Esto en razón a la gravedad y la inminencia de lo que ocurre y la posible afectación a la estabilidad institucional. Sobre lo primero porque (i) la gravedad de los hechos “se sustenta en la intensificación inusitada de las hostilidades y operaciones armadas por parte del ELN y en el aumento excepcional de los casos infracciones al derecho internacional humanitario en lo corrido del año 2025”</w:t>
            </w:r>
            <w:r w:rsidRPr="00211504">
              <w:rPr>
                <w:rStyle w:val="Refdenotaalpie"/>
                <w:rFonts w:eastAsia="Times New Roman" w:cs="Times New Roman"/>
              </w:rPr>
              <w:footnoteReference w:id="1024"/>
            </w:r>
            <w:r w:rsidRPr="00211504">
              <w:rPr>
                <w:rFonts w:eastAsia="Times New Roman" w:cs="Times New Roman"/>
              </w:rPr>
              <w:t>, (ii) “perturba desproporcionadamente el ejercicio de derechos constitucionales como la vida, la integridad personal, la prohibición de la desaparición forzada, la libertad e integridad sexual, la dignidad humana, la seguridad alimentaria, el acceso efectivo a la salud, la vivienda, la educación, el derecho de las mujeres a vivir una vida libre de violencias, las garantías fundamentales de las niñas, niños y adolescentes y los derechos de los pueblos indígenas”</w:t>
            </w:r>
            <w:r w:rsidRPr="00211504">
              <w:rPr>
                <w:rStyle w:val="Refdenotaalpie"/>
                <w:rFonts w:eastAsia="Times New Roman" w:cs="Times New Roman"/>
              </w:rPr>
              <w:footnoteReference w:id="1025"/>
            </w:r>
            <w:r w:rsidRPr="00211504">
              <w:rPr>
                <w:rFonts w:eastAsia="Times New Roman" w:cs="Times New Roman"/>
              </w:rPr>
              <w:t>, (iii) la crisis humanitaria desborda las capacidades “operativa y financiera de todos los municipios de la subregión del Catatumbo y es previsible que también sobrepase la capacidad institucional nacional”</w:t>
            </w:r>
            <w:r w:rsidRPr="00211504">
              <w:rPr>
                <w:rStyle w:val="Refdenotaalpie"/>
                <w:rFonts w:eastAsia="Times New Roman" w:cs="Times New Roman"/>
              </w:rPr>
              <w:footnoteReference w:id="1026"/>
            </w:r>
            <w:r w:rsidRPr="00211504">
              <w:rPr>
                <w:rFonts w:eastAsia="Times New Roman" w:cs="Times New Roman"/>
              </w:rPr>
              <w:t>.</w:t>
            </w:r>
          </w:p>
          <w:p w14:paraId="2ECE7643" w14:textId="77777777" w:rsidR="00C454A1" w:rsidRPr="00211504" w:rsidRDefault="00C454A1" w:rsidP="00881E6A">
            <w:pPr>
              <w:spacing w:after="120"/>
              <w:ind w:right="272"/>
              <w:contextualSpacing/>
              <w:rPr>
                <w:rFonts w:eastAsia="Times New Roman" w:cs="Times New Roman"/>
              </w:rPr>
            </w:pPr>
          </w:p>
          <w:p w14:paraId="419BB9CA"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Sobre la inminencia aseguró que existe “la necesidad de conjurar y detener los riesgos reales y próximos de expansión y consolidación del control territorial y poblacional por grupos armados ilegales”</w:t>
            </w:r>
            <w:r w:rsidRPr="00211504">
              <w:rPr>
                <w:rStyle w:val="Refdenotaalpie"/>
                <w:rFonts w:eastAsia="Times New Roman" w:cs="Times New Roman"/>
              </w:rPr>
              <w:footnoteReference w:id="1027"/>
            </w:r>
            <w:r w:rsidRPr="00211504">
              <w:rPr>
                <w:rFonts w:eastAsia="Times New Roman" w:cs="Times New Roman"/>
              </w:rPr>
              <w:t xml:space="preserve">. Respecto a la afectación a la estabilidad institucional señaló que (i) “se ha observado un claro riesgo para las instituciones estatales, personeros, alcaldes y miembros de corporaciones públicas enfrentan situaciones de vulnerabilidad y </w:t>
            </w:r>
            <w:r w:rsidRPr="00211504">
              <w:rPr>
                <w:rFonts w:eastAsia="Times New Roman" w:cs="Times New Roman"/>
              </w:rPr>
              <w:lastRenderedPageBreak/>
              <w:t>permanente zozobra sobre su seguridad”</w:t>
            </w:r>
            <w:r w:rsidRPr="00211504">
              <w:rPr>
                <w:rStyle w:val="Refdenotaalpie"/>
                <w:rFonts w:eastAsia="Times New Roman" w:cs="Times New Roman"/>
              </w:rPr>
              <w:footnoteReference w:id="1028"/>
            </w:r>
            <w:r w:rsidRPr="00211504">
              <w:rPr>
                <w:rFonts w:eastAsia="Times New Roman" w:cs="Times New Roman"/>
              </w:rPr>
              <w:t>, (ii) hay una afectación a los servicios esenciales del Estado como la educación, la justicia y el notariado y (iii) hay una restricción de acceso al territorio.</w:t>
            </w:r>
          </w:p>
          <w:p w14:paraId="0E333EDF" w14:textId="77777777" w:rsidR="00C454A1" w:rsidRPr="00211504" w:rsidRDefault="00C454A1" w:rsidP="00881E6A">
            <w:pPr>
              <w:spacing w:after="120"/>
              <w:ind w:right="272"/>
              <w:contextualSpacing/>
              <w:rPr>
                <w:rFonts w:eastAsia="Times New Roman" w:cs="Times New Roman"/>
              </w:rPr>
            </w:pPr>
          </w:p>
          <w:p w14:paraId="5EFFA53C"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En relación con el presupuesto de suficiencia, aseguró que “se necesitan medidas extraordinarias para atender la situación de anormalidad”</w:t>
            </w:r>
            <w:r w:rsidRPr="00211504">
              <w:rPr>
                <w:rStyle w:val="Refdenotaalpie"/>
                <w:rFonts w:eastAsia="Times New Roman" w:cs="Times New Roman"/>
              </w:rPr>
              <w:footnoteReference w:id="1029"/>
            </w:r>
            <w:r w:rsidRPr="00211504">
              <w:rPr>
                <w:rFonts w:eastAsia="Times New Roman" w:cs="Times New Roman"/>
              </w:rPr>
              <w:t>. Lo anterior porque se han implementado medidas ordinarias que no han sido suficientes como (i) el fortalecimiento de la fuerza pública, (ii) habilitación de nuevos albergues y refugios, (iii) mecanismos de monitoreo y alertas tempranas, (iv) planes de abastecimiento y distribución de alimentos, (v) reactivación del Programa Nacional Integral de Sustitución de Cultivos en el Catatumbo y su expansión, (vi) “medidas para asegurar la continuidad de los servicios públicos esenciales y para reforzar la seguridad en la infraestructura energética y vial”</w:t>
            </w:r>
            <w:r w:rsidRPr="00211504">
              <w:rPr>
                <w:rStyle w:val="Refdenotaalpie"/>
                <w:rFonts w:eastAsia="Times New Roman" w:cs="Times New Roman"/>
              </w:rPr>
              <w:footnoteReference w:id="1030"/>
            </w:r>
            <w:r w:rsidRPr="00211504">
              <w:rPr>
                <w:rFonts w:eastAsia="Times New Roman" w:cs="Times New Roman"/>
              </w:rPr>
              <w:t>, (vii) utilizar recursos del Sistema General de Participaciones y del Sistema General de Regalías y (viii) solicitar recursos mediante cooperación internacional.</w:t>
            </w:r>
          </w:p>
          <w:p w14:paraId="1072DFCB" w14:textId="77777777" w:rsidR="00C454A1" w:rsidRPr="00211504" w:rsidRDefault="00C454A1" w:rsidP="00881E6A">
            <w:pPr>
              <w:spacing w:after="120"/>
              <w:ind w:right="272"/>
              <w:contextualSpacing/>
              <w:rPr>
                <w:rFonts w:eastAsia="Times New Roman" w:cs="Times New Roman"/>
              </w:rPr>
            </w:pPr>
          </w:p>
          <w:p w14:paraId="22001EED"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Además, planteó que “los argumentos de necesidad e insuficiencia de medidas ordinarias pueden clasificarse en tres niveles de revisión, de acuerdo con el grado de justificación y coherencia en su planteamiento”</w:t>
            </w:r>
            <w:r w:rsidRPr="00211504">
              <w:rPr>
                <w:rStyle w:val="Refdenotaalpie"/>
                <w:rFonts w:eastAsia="Times New Roman" w:cs="Times New Roman"/>
              </w:rPr>
              <w:footnoteReference w:id="1031"/>
            </w:r>
            <w:r w:rsidRPr="00211504">
              <w:rPr>
                <w:rFonts w:eastAsia="Times New Roman" w:cs="Times New Roman"/>
              </w:rPr>
              <w:t>. En el escrutinio leve clasificó (i) la imposibilidad de realizar labores de recuperación e identificación de restos “debido a la inseguridad en la región”</w:t>
            </w:r>
            <w:r w:rsidRPr="00211504">
              <w:rPr>
                <w:rStyle w:val="Refdenotaalpie"/>
                <w:rFonts w:eastAsia="Times New Roman" w:cs="Times New Roman"/>
              </w:rPr>
              <w:footnoteReference w:id="1032"/>
            </w:r>
            <w:r w:rsidRPr="00211504">
              <w:rPr>
                <w:rFonts w:eastAsia="Times New Roman" w:cs="Times New Roman"/>
              </w:rPr>
              <w:t>, (ii) la incapacidad de la Fuerza Pública para controlar la crisis, “a pesar de su tamaño y presupuesto”</w:t>
            </w:r>
            <w:r w:rsidRPr="00211504">
              <w:rPr>
                <w:rStyle w:val="Refdenotaalpie"/>
                <w:rFonts w:eastAsia="Times New Roman" w:cs="Times New Roman"/>
              </w:rPr>
              <w:footnoteReference w:id="1033"/>
            </w:r>
            <w:r w:rsidRPr="00211504">
              <w:rPr>
                <w:rFonts w:eastAsia="Times New Roman" w:cs="Times New Roman"/>
              </w:rPr>
              <w:t>, lo que incluye también la insuficiencia de las estrategias convencionales de seguridad, y el fortalecimiento de los actores armados, (iii)  la falta de operatividad de las instituciones encargadas de investigar y sancionar los delitos cometidos en la región</w:t>
            </w:r>
            <w:r w:rsidRPr="00211504">
              <w:rPr>
                <w:rStyle w:val="Refdenotaalpie"/>
                <w:rFonts w:eastAsia="Times New Roman" w:cs="Times New Roman"/>
              </w:rPr>
              <w:footnoteReference w:id="1034"/>
            </w:r>
            <w:r w:rsidRPr="00211504">
              <w:rPr>
                <w:rFonts w:eastAsia="Times New Roman" w:cs="Times New Roman"/>
              </w:rPr>
              <w:t xml:space="preserve">, (iv) la imposibilidad del Estado para cumplir con sus </w:t>
            </w:r>
            <w:r w:rsidRPr="00211504">
              <w:rPr>
                <w:rFonts w:eastAsia="Times New Roman" w:cs="Times New Roman"/>
              </w:rPr>
              <w:lastRenderedPageBreak/>
              <w:t>obligaciones internacionales en materia de derechos humanos, (v) el colapso en la prestación de servicios básicos (agua potable, energía, educación y salud) y (vi) desborde en la capacidad de atención en materia humanitaria, lo cual deteriora el tejido social y afecta a la región en materia económica.</w:t>
            </w:r>
          </w:p>
          <w:p w14:paraId="79AF3C11" w14:textId="77777777" w:rsidR="00C454A1" w:rsidRPr="00211504" w:rsidRDefault="00C454A1" w:rsidP="00881E6A">
            <w:pPr>
              <w:spacing w:after="120"/>
              <w:ind w:right="272"/>
              <w:contextualSpacing/>
              <w:rPr>
                <w:rFonts w:eastAsia="Times New Roman" w:cs="Times New Roman"/>
              </w:rPr>
            </w:pPr>
          </w:p>
          <w:p w14:paraId="52A04D70"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En segundo lugar, a su juicio, los argumentos que requieren escrutinio intermedio son los que “pueden aceptarse como riesgos extraordinarios, pero su justificación es deficiente o insuficientemente fundamentada”</w:t>
            </w:r>
            <w:r w:rsidRPr="00211504">
              <w:rPr>
                <w:rStyle w:val="Refdenotaalpie"/>
                <w:rFonts w:eastAsia="Times New Roman" w:cs="Times New Roman"/>
              </w:rPr>
              <w:footnoteReference w:id="1035"/>
            </w:r>
            <w:r w:rsidRPr="00211504">
              <w:rPr>
                <w:rFonts w:eastAsia="Times New Roman" w:cs="Times New Roman"/>
              </w:rPr>
              <w:t>. Indicó que en este nivel se encuentran (i) la insuficiencia de uno de los ejércitos más grandes de Latinoamérica para mejorar su operatividad mediante los mecanismos ordinarios, más aún cuando su presupuesto obedece al 1% del presupuesto nacional, (ii) la falta de eficiencia de asignación de los recursos de defensa a para aumentar la capacidad operativa (administración y priorización de los recursos), (iii) “el fortalecimiento de las capacidades de inteligencia y policía judicial”</w:t>
            </w:r>
            <w:r w:rsidRPr="00211504">
              <w:rPr>
                <w:rStyle w:val="Refdenotaalpie"/>
                <w:rFonts w:eastAsia="Times New Roman" w:cs="Times New Roman"/>
              </w:rPr>
              <w:footnoteReference w:id="1036"/>
            </w:r>
            <w:r w:rsidRPr="00211504">
              <w:rPr>
                <w:rFonts w:eastAsia="Times New Roman" w:cs="Times New Roman"/>
              </w:rPr>
              <w:t xml:space="preserve"> para la recolección de información y persecución del crimen, (iv) la necesidad extraordinaria de “restringir la comercialización y transporte de bienes y servicios utilizados por grupos armados ilegales en la región”</w:t>
            </w:r>
            <w:r w:rsidRPr="00211504">
              <w:rPr>
                <w:rStyle w:val="Refdenotaalpie"/>
                <w:rFonts w:eastAsia="Times New Roman" w:cs="Times New Roman"/>
              </w:rPr>
              <w:footnoteReference w:id="1037"/>
            </w:r>
            <w:r w:rsidRPr="00211504">
              <w:rPr>
                <w:rFonts w:eastAsia="Times New Roman" w:cs="Times New Roman"/>
              </w:rPr>
              <w:t xml:space="preserve"> y (v) necesidad de decretar el estado de conmoción para poder acudir a cooperación internacional para la financiación de programas humanitarios.</w:t>
            </w:r>
          </w:p>
          <w:p w14:paraId="6AC7A5DD" w14:textId="77777777" w:rsidR="00C454A1" w:rsidRPr="00211504" w:rsidRDefault="00C454A1" w:rsidP="00881E6A">
            <w:pPr>
              <w:spacing w:after="120"/>
              <w:ind w:right="272"/>
              <w:contextualSpacing/>
              <w:rPr>
                <w:rFonts w:eastAsia="Times New Roman" w:cs="Times New Roman"/>
              </w:rPr>
            </w:pPr>
          </w:p>
          <w:p w14:paraId="083309DF"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En tercer lugar, consideró que los argumentos que requieren escrutinio estricto son aquellos en los que el Gobierno aportó justificación “contradictoria o insuficiente, lo que exige un control más riguroso por parte de la Corte Constitucional.”</w:t>
            </w:r>
            <w:r w:rsidRPr="00211504">
              <w:rPr>
                <w:rStyle w:val="Refdenotaalpie"/>
                <w:rFonts w:eastAsia="Times New Roman" w:cs="Times New Roman"/>
              </w:rPr>
              <w:footnoteReference w:id="1038"/>
            </w:r>
            <w:r w:rsidRPr="00211504">
              <w:rPr>
                <w:rFonts w:eastAsia="Times New Roman" w:cs="Times New Roman"/>
              </w:rPr>
              <w:t xml:space="preserve"> Señaló en este nivel, los siguientes argumentos del gobierno; (i) la necesidad de adoptar medidas extraordinarias debido a la magnitud de los desplazamientos transfronterizos, (ii) la necesidad de ampliar el programa de sustitución de cultivos, cuando esto requiere un plan de largo y mediano plazo, (iii) impulsar la </w:t>
            </w:r>
            <w:r w:rsidRPr="00211504">
              <w:rPr>
                <w:rFonts w:eastAsia="Times New Roman" w:cs="Times New Roman"/>
              </w:rPr>
              <w:lastRenderedPageBreak/>
              <w:t>región del Catatumbo mediante un decreto de conmoción y (iv) la insuficiencia de los mecanismos ordinarios de redistribución presupuestal para atender la crisis en el Catatumbo.</w:t>
            </w:r>
          </w:p>
          <w:p w14:paraId="290E69C8" w14:textId="77777777" w:rsidR="00C454A1" w:rsidRPr="00211504" w:rsidRDefault="00C454A1" w:rsidP="00881E6A">
            <w:pPr>
              <w:spacing w:after="120"/>
              <w:ind w:right="272"/>
              <w:contextualSpacing/>
              <w:rPr>
                <w:rFonts w:eastAsia="Times New Roman" w:cs="Times New Roman"/>
              </w:rPr>
            </w:pPr>
          </w:p>
          <w:p w14:paraId="28FCF938"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Por último, señala que considera “pertinente y adecuado” que la Corte Constitucional escuche las percepciones y preocupaciones de las comunidades del Catatumbo de primera mano”</w:t>
            </w:r>
            <w:r w:rsidRPr="00211504">
              <w:rPr>
                <w:rStyle w:val="Refdenotaalpie"/>
                <w:rFonts w:eastAsia="Times New Roman" w:cs="Times New Roman"/>
              </w:rPr>
              <w:footnoteReference w:id="1039"/>
            </w:r>
            <w:r w:rsidRPr="00211504">
              <w:rPr>
                <w:rFonts w:eastAsia="Times New Roman" w:cs="Times New Roman"/>
              </w:rPr>
              <w:t xml:space="preserve"> a través de una audiencia pública regional conformidad con el artículo 12 del Decreto 2067 de 1991.</w:t>
            </w:r>
          </w:p>
        </w:tc>
      </w:tr>
      <w:tr w:rsidR="00C454A1" w:rsidRPr="00F8202F" w14:paraId="44C1D8D3" w14:textId="77777777" w:rsidTr="005F4A6F">
        <w:trPr>
          <w:trHeight w:val="300"/>
        </w:trPr>
        <w:tc>
          <w:tcPr>
            <w:tcW w:w="813" w:type="pct"/>
            <w:vAlign w:val="center"/>
          </w:tcPr>
          <w:p w14:paraId="52402613" w14:textId="77777777" w:rsidR="00C454A1" w:rsidRPr="00211504" w:rsidRDefault="00C454A1" w:rsidP="00881E6A">
            <w:pPr>
              <w:spacing w:after="120"/>
              <w:ind w:right="272"/>
              <w:contextualSpacing/>
              <w:jc w:val="center"/>
              <w:rPr>
                <w:rFonts w:eastAsia="Times New Roman" w:cs="Times New Roman"/>
                <w:b/>
                <w:bCs/>
              </w:rPr>
            </w:pPr>
            <w:r w:rsidRPr="00211504">
              <w:rPr>
                <w:rFonts w:eastAsia="Times New Roman" w:cs="Times New Roman"/>
                <w:b/>
                <w:bCs/>
              </w:rPr>
              <w:lastRenderedPageBreak/>
              <w:t>Juan Manuel Charry</w:t>
            </w:r>
          </w:p>
        </w:tc>
        <w:tc>
          <w:tcPr>
            <w:tcW w:w="4187" w:type="pct"/>
          </w:tcPr>
          <w:p w14:paraId="02017DC0"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Solicitó a la Corte declarar la</w:t>
            </w:r>
            <w:r w:rsidRPr="00211504">
              <w:rPr>
                <w:rFonts w:eastAsia="Times New Roman" w:cs="Times New Roman"/>
                <w:i/>
                <w:iCs/>
                <w:color w:val="000000" w:themeColor="text1"/>
              </w:rPr>
              <w:t xml:space="preserve"> inexequibilidad </w:t>
            </w:r>
            <w:r w:rsidRPr="00211504">
              <w:rPr>
                <w:rFonts w:eastAsia="Times New Roman" w:cs="Times New Roman"/>
                <w:color w:val="000000" w:themeColor="text1"/>
              </w:rPr>
              <w:t>del Decreto Legislativo 062 de 2025. Señaló que, a pesar de que el Decreto cumplió con los requisitos formales contenidos en el art. 213 Constitucional y el supuesto fáctico, no sucede lo mismo respecto a los presupuestos valorativo y de suficiencia.</w:t>
            </w:r>
          </w:p>
          <w:p w14:paraId="0E41CFDF" w14:textId="77777777" w:rsidR="00C454A1" w:rsidRPr="00211504" w:rsidRDefault="00C454A1" w:rsidP="00881E6A">
            <w:pPr>
              <w:spacing w:after="120"/>
              <w:ind w:right="272"/>
              <w:contextualSpacing/>
              <w:rPr>
                <w:rFonts w:eastAsia="Times New Roman" w:cs="Times New Roman"/>
                <w:color w:val="000000" w:themeColor="text1"/>
              </w:rPr>
            </w:pPr>
          </w:p>
          <w:p w14:paraId="0DD05C6F"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Respecto del presupuesto </w:t>
            </w:r>
            <w:r w:rsidRPr="00211504">
              <w:rPr>
                <w:rFonts w:eastAsia="Times New Roman" w:cs="Times New Roman"/>
                <w:i/>
                <w:iCs/>
              </w:rPr>
              <w:t>fáctico,</w:t>
            </w:r>
            <w:r w:rsidRPr="00211504">
              <w:rPr>
                <w:rFonts w:eastAsia="Times New Roman" w:cs="Times New Roman"/>
              </w:rPr>
              <w:t xml:space="preserve"> indicó que el Gobierno </w:t>
            </w:r>
            <w:r>
              <w:rPr>
                <w:rFonts w:eastAsia="Times New Roman" w:cs="Times New Roman"/>
              </w:rPr>
              <w:t>n</w:t>
            </w:r>
            <w:r w:rsidRPr="00211504">
              <w:rPr>
                <w:rFonts w:eastAsia="Times New Roman" w:cs="Times New Roman"/>
              </w:rPr>
              <w:t>acional sustentó bajo 31 considerandos que existe un “respaldo fáctico que efectivamente tiene asiento en la realidad”</w:t>
            </w:r>
            <w:r w:rsidRPr="00211504">
              <w:rPr>
                <w:rStyle w:val="Refdenotaalpie"/>
                <w:rFonts w:eastAsia="Times New Roman" w:cs="Times New Roman"/>
              </w:rPr>
              <w:footnoteReference w:id="1040"/>
            </w:r>
            <w:r w:rsidRPr="00211504">
              <w:rPr>
                <w:rFonts w:eastAsia="Times New Roman" w:cs="Times New Roman"/>
              </w:rPr>
              <w:t>. Respecto al presupuesto valorativo señaló que “la valoración realizada por el presidente de la República deviene en un error manifiesto”</w:t>
            </w:r>
            <w:r w:rsidRPr="00211504">
              <w:rPr>
                <w:rStyle w:val="Refdenotaalpie"/>
                <w:rFonts w:eastAsia="Times New Roman" w:cs="Times New Roman"/>
              </w:rPr>
              <w:footnoteReference w:id="1041"/>
            </w:r>
            <w:r w:rsidRPr="00211504">
              <w:rPr>
                <w:rFonts w:eastAsia="Times New Roman" w:cs="Times New Roman"/>
              </w:rPr>
              <w:t>, en tanto las alteraciones al orden público que se presentan en la actualidad “hacen parte de las dinámicas propias del contexto de violencia y conflictividad que ha azotado el país desde hace varios años”</w:t>
            </w:r>
            <w:r w:rsidRPr="00211504">
              <w:rPr>
                <w:rStyle w:val="Refdenotaalpie"/>
                <w:rFonts w:eastAsia="Times New Roman" w:cs="Times New Roman"/>
              </w:rPr>
              <w:footnoteReference w:id="1042"/>
            </w:r>
            <w:r w:rsidRPr="00211504">
              <w:rPr>
                <w:rFonts w:eastAsia="Times New Roman" w:cs="Times New Roman"/>
              </w:rPr>
              <w:t>. Agregó que “el hecho de que haya un aumento de la violencia caracterizada por amenazas a la infraestructura no lo hace necesariamente extraordinario”</w:t>
            </w:r>
            <w:r w:rsidRPr="00211504">
              <w:rPr>
                <w:rStyle w:val="Refdenotaalpie"/>
                <w:rFonts w:eastAsia="Times New Roman" w:cs="Times New Roman"/>
              </w:rPr>
              <w:footnoteReference w:id="1043"/>
            </w:r>
            <w:r w:rsidRPr="00211504">
              <w:rPr>
                <w:rFonts w:eastAsia="Times New Roman" w:cs="Times New Roman"/>
              </w:rPr>
              <w:t>, más aún si se tiene en cuenta que los fenómenos que se presentan en esta región del país “han estado vigentes durante los últimos años y no han sido controlados por parte de los órganos institucionales mediante los medios ordinarios disponibles”</w:t>
            </w:r>
            <w:r w:rsidRPr="00211504">
              <w:rPr>
                <w:rStyle w:val="Refdenotaalpie"/>
                <w:rFonts w:eastAsia="Times New Roman" w:cs="Times New Roman"/>
              </w:rPr>
              <w:footnoteReference w:id="1044"/>
            </w:r>
            <w:r w:rsidRPr="00211504">
              <w:rPr>
                <w:rFonts w:eastAsia="Times New Roman" w:cs="Times New Roman"/>
              </w:rPr>
              <w:t xml:space="preserve">. Añadió que “el error manifiesto es evidente por cuanto no existe de forma inminente un serio peligro que amenace mediante un riesgo efectivo la estabilidad institucional, la </w:t>
            </w:r>
            <w:r w:rsidRPr="00211504">
              <w:rPr>
                <w:rFonts w:eastAsia="Times New Roman" w:cs="Times New Roman"/>
              </w:rPr>
              <w:lastRenderedPageBreak/>
              <w:t>seguridad del Estado ni la convivencia ciudadana</w:t>
            </w:r>
            <w:r w:rsidRPr="00211504">
              <w:rPr>
                <w:rStyle w:val="Refdenotaalpie"/>
                <w:rFonts w:eastAsia="Times New Roman" w:cs="Times New Roman"/>
              </w:rPr>
              <w:footnoteReference w:id="1045"/>
            </w:r>
            <w:r w:rsidRPr="00211504">
              <w:rPr>
                <w:rFonts w:eastAsia="Times New Roman" w:cs="Times New Roman"/>
              </w:rPr>
              <w:t xml:space="preserve">. Esto porque (i) existen alertas de la defensoría desde el año 2021, sobre las cuales el Gobierno </w:t>
            </w:r>
            <w:r>
              <w:rPr>
                <w:rFonts w:eastAsia="Times New Roman" w:cs="Times New Roman"/>
              </w:rPr>
              <w:t>n</w:t>
            </w:r>
            <w:r w:rsidRPr="00211504">
              <w:rPr>
                <w:rFonts w:eastAsia="Times New Roman" w:cs="Times New Roman"/>
              </w:rPr>
              <w:t>acional no ha tomado medidas, (ii) el Decreto describe las afectaciones, pero no explica cómo se producen o cuál es su relación con la ofensiva armada, (iii) se describen afectaciones regulares, lo cual va en contravía del carácter extraordinario, (iv) “el gobierno nacional irónicamente no ha tomado las medidas necesarias en los últimos años”</w:t>
            </w:r>
            <w:r w:rsidRPr="00211504">
              <w:rPr>
                <w:rStyle w:val="Refdenotaalpie"/>
                <w:rFonts w:eastAsia="Times New Roman" w:cs="Times New Roman"/>
              </w:rPr>
              <w:footnoteReference w:id="1046"/>
            </w:r>
            <w:r w:rsidRPr="00211504">
              <w:rPr>
                <w:rFonts w:eastAsia="Times New Roman" w:cs="Times New Roman"/>
              </w:rPr>
              <w:t>, para controlar la escalada de violencia en la región, (v) se ha recortado el presupuesto del sector defensa, y (vi) se han suprimido instituciones y figuras cuyo propósito era “asegurar la estabilidad de los territorios”</w:t>
            </w:r>
            <w:r w:rsidRPr="00211504">
              <w:rPr>
                <w:rStyle w:val="Refdenotaalpie"/>
                <w:rFonts w:eastAsia="Times New Roman" w:cs="Times New Roman"/>
              </w:rPr>
              <w:footnoteReference w:id="1047"/>
            </w:r>
            <w:r w:rsidRPr="00211504">
              <w:rPr>
                <w:rFonts w:eastAsia="Times New Roman" w:cs="Times New Roman"/>
              </w:rPr>
              <w:t>.</w:t>
            </w:r>
          </w:p>
          <w:p w14:paraId="0D76BE35" w14:textId="77777777" w:rsidR="00C454A1" w:rsidRPr="00211504" w:rsidRDefault="00C454A1" w:rsidP="00881E6A">
            <w:pPr>
              <w:spacing w:after="120"/>
              <w:ind w:right="272"/>
              <w:contextualSpacing/>
              <w:rPr>
                <w:rFonts w:eastAsia="Times New Roman" w:cs="Times New Roman"/>
              </w:rPr>
            </w:pPr>
          </w:p>
          <w:p w14:paraId="1F6BAD5B"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En relación con el presupuesto de </w:t>
            </w:r>
            <w:r w:rsidRPr="00211504">
              <w:rPr>
                <w:rFonts w:eastAsia="Times New Roman" w:cs="Times New Roman"/>
                <w:i/>
                <w:iCs/>
              </w:rPr>
              <w:t>suficiencia</w:t>
            </w:r>
            <w:r w:rsidRPr="00211504">
              <w:rPr>
                <w:rFonts w:eastAsia="Times New Roman" w:cs="Times New Roman"/>
              </w:rPr>
              <w:t>, aseguró que los motivos expuestos en el decreto no son suficientes para acreditar este presupuesto. Esto porque (i) “no explica por qué las facultades ordinarias de policía no son suficientes para llevar a cabo las acciones necesarias”</w:t>
            </w:r>
            <w:r w:rsidRPr="00211504">
              <w:rPr>
                <w:rStyle w:val="Refdenotaalpie"/>
                <w:rFonts w:eastAsia="Times New Roman" w:cs="Times New Roman"/>
              </w:rPr>
              <w:footnoteReference w:id="1048"/>
            </w:r>
            <w:r w:rsidRPr="00211504">
              <w:rPr>
                <w:rFonts w:eastAsia="Times New Roman" w:cs="Times New Roman"/>
              </w:rPr>
              <w:t>, y (ii) “la jurisprudencia constitucional exige un ejercicio argumentativo altamente riguroso donde el presidente tiene el deber de explicar concretamente cuáles son las medidas ordinarias que se tienen a su disposición y, por ello, realizar un examen de ponderación suficiente de cara a los fines perseguidos”</w:t>
            </w:r>
            <w:r w:rsidRPr="00211504">
              <w:rPr>
                <w:rStyle w:val="Refdenotaalpie"/>
                <w:rFonts w:eastAsia="Times New Roman" w:cs="Times New Roman"/>
              </w:rPr>
              <w:footnoteReference w:id="1049"/>
            </w:r>
            <w:r w:rsidRPr="00211504">
              <w:rPr>
                <w:rFonts w:eastAsia="Times New Roman" w:cs="Times New Roman"/>
              </w:rPr>
              <w:t xml:space="preserve"> y esto no se hizo en el decreto en estudio. Además, afirmó que, en materia de utilización de la fuerza, el presidente no consideró que podría haber implementado las herramientas de asistencia militar y los reservistas. Sobre la financiación y las medidas tributarias para atender la emergencia, el interviniente afirmó que (i) existen a nivel interno “instituciones como el </w:t>
            </w:r>
            <w:bookmarkStart w:id="251" w:name="OLE_LINK2"/>
            <w:r w:rsidRPr="00211504">
              <w:rPr>
                <w:rFonts w:eastAsia="Times New Roman" w:cs="Times New Roman"/>
              </w:rPr>
              <w:t>Órgano Colegiado de Administración y Decisión Paz</w:t>
            </w:r>
            <w:bookmarkEnd w:id="251"/>
            <w:r w:rsidRPr="00211504">
              <w:rPr>
                <w:rFonts w:eastAsia="Times New Roman" w:cs="Times New Roman"/>
              </w:rPr>
              <w:t>”</w:t>
            </w:r>
            <w:r w:rsidRPr="00211504">
              <w:rPr>
                <w:rStyle w:val="Refdenotaalpie"/>
                <w:rFonts w:eastAsia="Times New Roman" w:cs="Times New Roman"/>
              </w:rPr>
              <w:footnoteReference w:id="1050"/>
            </w:r>
            <w:r w:rsidRPr="00211504">
              <w:rPr>
                <w:rFonts w:eastAsia="Times New Roman" w:cs="Times New Roman"/>
              </w:rPr>
              <w:t xml:space="preserve"> que con anterioridad han financiado proyectos de inversión en la región, (ii) pueden destinarse recursos de las regalías, o (iii) acudir a mecanismos de cooperación. Sobre la necesidad de extender el programa de sustitución </w:t>
            </w:r>
            <w:r w:rsidRPr="00211504">
              <w:rPr>
                <w:rFonts w:eastAsia="Times New Roman" w:cs="Times New Roman"/>
              </w:rPr>
              <w:lastRenderedPageBreak/>
              <w:t>de cultivos, “no se explica cómo dicha extensión afectará la situación de orden público, pues si se sustituyen cultivos ilícitos se esperaría una reacción más violenta de los grupos ilegales no su aplacamiento”</w:t>
            </w:r>
            <w:r w:rsidRPr="00211504">
              <w:rPr>
                <w:rStyle w:val="Refdenotaalpie"/>
                <w:rFonts w:eastAsia="Times New Roman" w:cs="Times New Roman"/>
              </w:rPr>
              <w:footnoteReference w:id="1051"/>
            </w:r>
            <w:r w:rsidRPr="00211504">
              <w:rPr>
                <w:rFonts w:eastAsia="Times New Roman" w:cs="Times New Roman"/>
              </w:rPr>
              <w:t>.</w:t>
            </w:r>
          </w:p>
          <w:p w14:paraId="00E63515" w14:textId="77777777" w:rsidR="00C454A1" w:rsidRPr="00211504" w:rsidRDefault="00C454A1" w:rsidP="00881E6A">
            <w:pPr>
              <w:spacing w:after="120"/>
              <w:ind w:right="272"/>
              <w:contextualSpacing/>
              <w:rPr>
                <w:rFonts w:eastAsia="Times New Roman" w:cs="Times New Roman"/>
              </w:rPr>
            </w:pPr>
          </w:p>
          <w:p w14:paraId="1A8F22E0"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Señaló que hay un grupo de medidas relacionadas con la satisfacción de necesidades básicas insatisfechas que no guardan relación con “una perturbación del orden público, de modo que carece de total conexidad su inclusión para justificar la legislación excepcional adoptada”</w:t>
            </w:r>
            <w:r w:rsidRPr="00211504">
              <w:rPr>
                <w:rStyle w:val="Refdenotaalpie"/>
                <w:rFonts w:eastAsia="Times New Roman" w:cs="Times New Roman"/>
              </w:rPr>
              <w:footnoteReference w:id="1052"/>
            </w:r>
            <w:r w:rsidRPr="00211504">
              <w:rPr>
                <w:rFonts w:eastAsia="Times New Roman" w:cs="Times New Roman"/>
              </w:rPr>
              <w:t>.</w:t>
            </w:r>
          </w:p>
          <w:p w14:paraId="0039A05B" w14:textId="77777777" w:rsidR="00C454A1" w:rsidRPr="00211504" w:rsidRDefault="00C454A1" w:rsidP="00881E6A">
            <w:pPr>
              <w:spacing w:after="120"/>
              <w:ind w:right="272"/>
              <w:contextualSpacing/>
              <w:rPr>
                <w:rFonts w:eastAsia="Times New Roman" w:cs="Times New Roman"/>
              </w:rPr>
            </w:pPr>
          </w:p>
          <w:p w14:paraId="3DC96BC8"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color w:val="000000" w:themeColor="text1"/>
              </w:rPr>
              <w:t xml:space="preserve">Por otro lado, el interviniente remite a la Corte un informe de la consultora Control Risks que explica de manera retrospectiva la </w:t>
            </w:r>
            <w:r w:rsidRPr="00211504">
              <w:rPr>
                <w:rFonts w:eastAsia="Times New Roman" w:cs="Times New Roman"/>
              </w:rPr>
              <w:t xml:space="preserve">situación de orden público del Catatumbo en 2023 y 2024, así como el análisis de la situación humanitaria y de orden público en la zona en enero de 2025. </w:t>
            </w:r>
            <w:r w:rsidRPr="00211504">
              <w:rPr>
                <w:rFonts w:eastAsia="Times New Roman" w:cs="Times New Roman"/>
                <w:color w:val="000000" w:themeColor="text1"/>
              </w:rPr>
              <w:t>En dicho informe se presentan las siguientes conclusiones:</w:t>
            </w:r>
          </w:p>
          <w:p w14:paraId="7338BA00" w14:textId="77777777" w:rsidR="00C454A1" w:rsidRPr="00211504" w:rsidRDefault="00C454A1" w:rsidP="005F4A6F">
            <w:pPr>
              <w:pStyle w:val="Prrafodelista"/>
              <w:numPr>
                <w:ilvl w:val="0"/>
                <w:numId w:val="77"/>
              </w:numPr>
              <w:spacing w:after="120"/>
              <w:ind w:right="272"/>
              <w:rPr>
                <w:rFonts w:eastAsia="Times New Roman" w:cs="Times New Roman"/>
                <w:color w:val="000000" w:themeColor="text1"/>
              </w:rPr>
            </w:pPr>
            <w:r w:rsidRPr="00211504">
              <w:rPr>
                <w:rFonts w:eastAsia="Times New Roman" w:cs="Times New Roman"/>
                <w:color w:val="000000" w:themeColor="text1"/>
              </w:rPr>
              <w:t>El episodio de violencia en el Catatumbo en enero de 2025 no es una situación extraordinaria ni excepcional, sino representa la continuación de unas dinámicas locales de conflicto que, a pesar de variar en intensidad y efectos en el tiempo, persisten en sus causas estructurales al menos desde 2016</w:t>
            </w:r>
          </w:p>
          <w:p w14:paraId="6244767A" w14:textId="77777777" w:rsidR="00C454A1" w:rsidRPr="00211504" w:rsidRDefault="00C454A1" w:rsidP="005F4A6F">
            <w:pPr>
              <w:pStyle w:val="Prrafodelista"/>
              <w:numPr>
                <w:ilvl w:val="0"/>
                <w:numId w:val="77"/>
              </w:numPr>
              <w:spacing w:after="120"/>
              <w:ind w:right="272"/>
              <w:rPr>
                <w:rFonts w:eastAsia="Times New Roman" w:cs="Times New Roman"/>
                <w:color w:val="000000" w:themeColor="text1"/>
              </w:rPr>
            </w:pPr>
            <w:r w:rsidRPr="00211504">
              <w:rPr>
                <w:rFonts w:eastAsia="Times New Roman" w:cs="Times New Roman"/>
                <w:color w:val="000000" w:themeColor="text1"/>
              </w:rPr>
              <w:t>La región del Catatumbo ya experimentaba elevados niveles de violencia armada, con otros episodios de severo deterioro humanitario, el más importante en 2018 cuando el ELN y Ejército Popular de Liberación (EPL) libraron intensos combates por el control del Catatumbo. Siguiendo con disputas con los Rastrojos por el control de Cúcuta y Puerto Santander, así como enfrentamientos con disidentes de las FARC pertenecientes a la Segunda Marquetalia (SM) y al Frente 33 del Estado Mayor Central (EMC), por el control del narcotráfico.</w:t>
            </w:r>
          </w:p>
          <w:p w14:paraId="7782167C" w14:textId="77777777" w:rsidR="00C454A1" w:rsidRPr="00211504" w:rsidRDefault="00C454A1" w:rsidP="005F4A6F">
            <w:pPr>
              <w:pStyle w:val="Prrafodelista"/>
              <w:numPr>
                <w:ilvl w:val="0"/>
                <w:numId w:val="77"/>
              </w:numPr>
              <w:spacing w:after="120"/>
              <w:ind w:right="272"/>
              <w:rPr>
                <w:rFonts w:eastAsia="Times New Roman" w:cs="Times New Roman"/>
                <w:color w:val="000000" w:themeColor="text1"/>
              </w:rPr>
            </w:pPr>
            <w:r w:rsidRPr="00211504">
              <w:rPr>
                <w:rFonts w:eastAsia="Times New Roman" w:cs="Times New Roman"/>
                <w:color w:val="000000" w:themeColor="text1"/>
              </w:rPr>
              <w:t>Desde 2016 se destaca un proceso de expansión y dominio territorial creciente del Ejército de Liberación Nacional (ELN), con distintos episodios de violencia contra la población civil y enfrentamientos con grupos rivales por disputas territoriales entre actores armados que no tienen la pretensión de “tomarse el poder”, derrotar militarmente al Estado o propiciar un cambio de régimen político.</w:t>
            </w:r>
          </w:p>
          <w:p w14:paraId="54A59007" w14:textId="77777777" w:rsidR="00C454A1" w:rsidRPr="00211504" w:rsidRDefault="00C454A1" w:rsidP="005F4A6F">
            <w:pPr>
              <w:pStyle w:val="Prrafodelista"/>
              <w:numPr>
                <w:ilvl w:val="0"/>
                <w:numId w:val="77"/>
              </w:numPr>
              <w:spacing w:after="120"/>
              <w:ind w:right="272"/>
              <w:rPr>
                <w:rFonts w:eastAsia="Times New Roman" w:cs="Times New Roman"/>
                <w:color w:val="000000" w:themeColor="text1"/>
              </w:rPr>
            </w:pPr>
            <w:r w:rsidRPr="00211504">
              <w:rPr>
                <w:rFonts w:eastAsia="Times New Roman" w:cs="Times New Roman"/>
                <w:color w:val="000000" w:themeColor="text1"/>
              </w:rPr>
              <w:lastRenderedPageBreak/>
              <w:t>Al menos desde 2016 y hasta la fecha, ha habido dos episodios de violencia de alta intensidad con importantes efectos en las condiciones de orden público y la situación humanitaria de la región, pero en general al menos desde 2010, el Catatumbo mantiene niveles de violencia superiores a la media nacional y la media del resto del departamento de Norte de Santander.</w:t>
            </w:r>
          </w:p>
          <w:p w14:paraId="6E93357B" w14:textId="77777777" w:rsidR="00C454A1" w:rsidRPr="00211504" w:rsidRDefault="00C454A1" w:rsidP="005F4A6F">
            <w:pPr>
              <w:pStyle w:val="Prrafodelista"/>
              <w:numPr>
                <w:ilvl w:val="0"/>
                <w:numId w:val="77"/>
              </w:numPr>
              <w:spacing w:after="120"/>
              <w:ind w:right="272"/>
              <w:rPr>
                <w:rFonts w:eastAsia="Times New Roman" w:cs="Times New Roman"/>
                <w:color w:val="000000" w:themeColor="text1"/>
              </w:rPr>
            </w:pPr>
            <w:r w:rsidRPr="00211504">
              <w:rPr>
                <w:rFonts w:eastAsia="Times New Roman" w:cs="Times New Roman"/>
                <w:color w:val="000000" w:themeColor="text1"/>
              </w:rPr>
              <w:t>De acuerdo con cifras de la Unidad para las Víctimas, el desplazamiento forzado ha registrado considerables disminuciones desde el último episodio de violencia registrado para la región en 2018 cuando se contabilizaron 45.535 víctimas. Sin embargo, esto no implica que haya habido una reducción en el control social de grupos armados en el Catatumbo. Para el año 2023 se registró una disminución de 69,5% con 13.862 casos, cifra que tuvo una disminución de 49,4% para 2024, con 7.010 casos.</w:t>
            </w:r>
          </w:p>
          <w:p w14:paraId="2077A0D4"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color w:val="000000" w:themeColor="text1"/>
              </w:rPr>
              <w:t>Concluyó que la situación que experimentó la región en enero de 2025 no corresponde a un evento sobreviniente e imprevisible, sino a la manifestación extrema de unas condiciones estructurales y persistentes de violencia y gobernanza armada en la región, que se encuentran en transformación y transición hacia un nuevo equilibrio de fuerzas por la intención de expansión y dominio del Ejército de Liberación Nacional.</w:t>
            </w:r>
          </w:p>
          <w:p w14:paraId="2861A348"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 </w:t>
            </w:r>
          </w:p>
        </w:tc>
      </w:tr>
      <w:tr w:rsidR="00C454A1" w:rsidRPr="00236B73" w14:paraId="281BCACB" w14:textId="77777777" w:rsidTr="005F4A6F">
        <w:trPr>
          <w:trHeight w:val="300"/>
        </w:trPr>
        <w:tc>
          <w:tcPr>
            <w:tcW w:w="813" w:type="pct"/>
            <w:vAlign w:val="center"/>
          </w:tcPr>
          <w:p w14:paraId="5BA7DE0F" w14:textId="77777777" w:rsidR="00C454A1" w:rsidRPr="00211504" w:rsidRDefault="00C454A1" w:rsidP="00881E6A">
            <w:pPr>
              <w:spacing w:after="120"/>
              <w:ind w:right="272"/>
              <w:contextualSpacing/>
              <w:jc w:val="center"/>
              <w:rPr>
                <w:rFonts w:eastAsia="Times New Roman" w:cs="Times New Roman"/>
                <w:b/>
                <w:bCs/>
              </w:rPr>
            </w:pPr>
            <w:r w:rsidRPr="00211504">
              <w:rPr>
                <w:rFonts w:cs="Times New Roman"/>
                <w:b/>
              </w:rPr>
              <w:lastRenderedPageBreak/>
              <w:t>Asociación Colombiana de Minería</w:t>
            </w:r>
          </w:p>
        </w:tc>
        <w:tc>
          <w:tcPr>
            <w:tcW w:w="4187" w:type="pct"/>
          </w:tcPr>
          <w:p w14:paraId="51FEC342" w14:textId="77777777" w:rsidR="00C454A1" w:rsidRPr="00211504" w:rsidRDefault="00C454A1" w:rsidP="00881E6A">
            <w:pPr>
              <w:ind w:right="272"/>
              <w:rPr>
                <w:rFonts w:cs="Times New Roman"/>
              </w:rPr>
            </w:pPr>
            <w:r w:rsidRPr="00211504">
              <w:rPr>
                <w:rFonts w:cs="Times New Roman"/>
              </w:rPr>
              <w:t xml:space="preserve">Solicitó a la Corte declarar la </w:t>
            </w:r>
            <w:r w:rsidRPr="00211504">
              <w:rPr>
                <w:rFonts w:cs="Times New Roman"/>
                <w:i/>
                <w:iCs/>
              </w:rPr>
              <w:t xml:space="preserve">inexequibilidad </w:t>
            </w:r>
            <w:r w:rsidRPr="00211504">
              <w:rPr>
                <w:rFonts w:cs="Times New Roman"/>
              </w:rPr>
              <w:t xml:space="preserve">del Decreto Legislativo 062 de 2025 porque, a su juicio, no cumple con el </w:t>
            </w:r>
            <w:r w:rsidRPr="00211504">
              <w:rPr>
                <w:rFonts w:cs="Times New Roman"/>
                <w:i/>
              </w:rPr>
              <w:t>presupuesto valorativo</w:t>
            </w:r>
            <w:r w:rsidRPr="00211504">
              <w:rPr>
                <w:rFonts w:cs="Times New Roman"/>
              </w:rPr>
              <w:t xml:space="preserve"> ni el </w:t>
            </w:r>
            <w:r w:rsidRPr="00211504">
              <w:rPr>
                <w:rFonts w:cs="Times New Roman"/>
                <w:i/>
              </w:rPr>
              <w:t>presupuesto de insuficiencia de las prerrogativas ordinarias</w:t>
            </w:r>
            <w:r w:rsidRPr="00211504">
              <w:rPr>
                <w:rFonts w:cs="Times New Roman"/>
              </w:rPr>
              <w:t xml:space="preserve">. En relación con el presupuesto </w:t>
            </w:r>
            <w:r w:rsidRPr="00211504">
              <w:rPr>
                <w:rFonts w:cs="Times New Roman"/>
                <w:i/>
              </w:rPr>
              <w:t>fáctico</w:t>
            </w:r>
            <w:r w:rsidRPr="00211504">
              <w:rPr>
                <w:rFonts w:cs="Times New Roman"/>
              </w:rPr>
              <w:t xml:space="preserve">, indicó que se cumple porque reconoce la veracidad de los acontecimientos presentados por el </w:t>
            </w:r>
            <w:r>
              <w:rPr>
                <w:rFonts w:cs="Times New Roman"/>
              </w:rPr>
              <w:t>G</w:t>
            </w:r>
            <w:r w:rsidRPr="00211504">
              <w:rPr>
                <w:rFonts w:cs="Times New Roman"/>
              </w:rPr>
              <w:t xml:space="preserve">obierno. Sobre el </w:t>
            </w:r>
            <w:r w:rsidRPr="00211504">
              <w:rPr>
                <w:rFonts w:cs="Times New Roman"/>
                <w:i/>
                <w:iCs/>
              </w:rPr>
              <w:t>presupuesto valorativo</w:t>
            </w:r>
            <w:r w:rsidRPr="00211504">
              <w:rPr>
                <w:rFonts w:cs="Times New Roman"/>
              </w:rPr>
              <w:t xml:space="preserve">, consideró que se incumple respecto de los siguientes hechos de perturbación del orden público que dieron lugar a la declaratoria de Conmoción Interior: </w:t>
            </w:r>
          </w:p>
          <w:p w14:paraId="3595A4B4" w14:textId="77777777" w:rsidR="00C454A1" w:rsidRPr="00211504" w:rsidRDefault="00C454A1" w:rsidP="00881E6A">
            <w:pPr>
              <w:ind w:right="272"/>
              <w:rPr>
                <w:rFonts w:cs="Times New Roman"/>
              </w:rPr>
            </w:pPr>
          </w:p>
          <w:p w14:paraId="48DC4C2E" w14:textId="77777777" w:rsidR="00C454A1" w:rsidRPr="00211504" w:rsidRDefault="00C454A1" w:rsidP="005F4A6F">
            <w:pPr>
              <w:pStyle w:val="Prrafodelista"/>
              <w:numPr>
                <w:ilvl w:val="0"/>
                <w:numId w:val="78"/>
              </w:numPr>
              <w:ind w:left="545" w:right="272" w:hanging="425"/>
              <w:contextualSpacing w:val="0"/>
              <w:rPr>
                <w:rFonts w:cs="Times New Roman"/>
              </w:rPr>
            </w:pPr>
            <w:r w:rsidRPr="00211504">
              <w:rPr>
                <w:rFonts w:cs="Times New Roman"/>
                <w:i/>
                <w:iCs/>
              </w:rPr>
              <w:t>Aumento de la violencia, representada en ataques a la población civil y enfrentamientos armados</w:t>
            </w:r>
            <w:r w:rsidRPr="00211504">
              <w:rPr>
                <w:rFonts w:cs="Times New Roman"/>
              </w:rPr>
              <w:t xml:space="preserve">. Manifestó que este hecho no cumple los parámetros constitucionales para establecer su carácter de </w:t>
            </w:r>
            <w:r w:rsidRPr="00211504">
              <w:rPr>
                <w:rFonts w:cs="Times New Roman"/>
                <w:i/>
                <w:iCs/>
              </w:rPr>
              <w:t>grave</w:t>
            </w:r>
            <w:r w:rsidRPr="00211504">
              <w:rPr>
                <w:rFonts w:cs="Times New Roman"/>
              </w:rPr>
              <w:t xml:space="preserve"> y </w:t>
            </w:r>
            <w:r w:rsidRPr="00211504">
              <w:rPr>
                <w:rFonts w:cs="Times New Roman"/>
                <w:i/>
                <w:iCs/>
              </w:rPr>
              <w:t>extraordinario</w:t>
            </w:r>
            <w:r w:rsidRPr="00211504">
              <w:rPr>
                <w:rFonts w:cs="Times New Roman"/>
              </w:rPr>
              <w:t>. Además, en su criterio</w:t>
            </w:r>
            <w:r w:rsidRPr="00211504">
              <w:rPr>
                <w:rFonts w:cs="Times New Roman"/>
                <w:i/>
                <w:iCs/>
              </w:rPr>
              <w:t xml:space="preserve"> </w:t>
            </w:r>
            <w:r w:rsidRPr="00211504">
              <w:rPr>
                <w:rFonts w:cs="Times New Roman"/>
              </w:rPr>
              <w:t xml:space="preserve">no atenta de manera inminente contra la estabilidad institucional, la seguridad del Estado o la convivencia ciudadana. Considera que no es suficiente la sola referencia al conflicto sin realizar un análisis de su gravedad e inminencia, pues el </w:t>
            </w:r>
            <w:r>
              <w:rPr>
                <w:rFonts w:cs="Times New Roman"/>
              </w:rPr>
              <w:t>G</w:t>
            </w:r>
            <w:r w:rsidRPr="00211504">
              <w:rPr>
                <w:rFonts w:cs="Times New Roman"/>
              </w:rPr>
              <w:t xml:space="preserve">obierno no fundamenta su consideración en </w:t>
            </w:r>
            <w:r w:rsidRPr="00211504">
              <w:rPr>
                <w:rFonts w:cs="Times New Roman"/>
              </w:rPr>
              <w:lastRenderedPageBreak/>
              <w:t>datos o cifras concretas que muestren que las circunstancias son gravosas.</w:t>
            </w:r>
            <w:r w:rsidRPr="00211504">
              <w:rPr>
                <w:rStyle w:val="Refdenotaalpie"/>
                <w:rFonts w:cs="Times New Roman"/>
              </w:rPr>
              <w:footnoteReference w:id="1053"/>
            </w:r>
            <w:r w:rsidRPr="00211504">
              <w:rPr>
                <w:rFonts w:cs="Times New Roman"/>
              </w:rPr>
              <w:t xml:space="preserve"> Señala por medio de una gráfica</w:t>
            </w:r>
            <w:r w:rsidRPr="00211504">
              <w:rPr>
                <w:rStyle w:val="Refdenotaalpie"/>
                <w:rFonts w:cs="Times New Roman"/>
              </w:rPr>
              <w:footnoteReference w:id="1054"/>
            </w:r>
            <w:r w:rsidRPr="00211504">
              <w:rPr>
                <w:rFonts w:cs="Times New Roman"/>
              </w:rPr>
              <w:t>, que el promedio diario de homicidios y lesiones personales por mes durante los últimos 24 meses en la región del Catatumbo es mayor en comparación al mes de enero del presente año. Muestra que la ponderación no apunta a una grave alteración del orden público y lo mismo sucede respecto de las cifras de lesiones personales</w:t>
            </w:r>
            <w:r w:rsidRPr="00211504">
              <w:rPr>
                <w:rStyle w:val="Refdenotaalpie"/>
                <w:rFonts w:cs="Times New Roman"/>
              </w:rPr>
              <w:footnoteReference w:id="1055"/>
            </w:r>
            <w:r w:rsidRPr="00211504">
              <w:rPr>
                <w:rFonts w:cs="Times New Roman"/>
              </w:rPr>
              <w:t>.</w:t>
            </w:r>
          </w:p>
          <w:p w14:paraId="466362CB" w14:textId="77777777" w:rsidR="00C454A1" w:rsidRPr="00211504" w:rsidRDefault="00C454A1" w:rsidP="00881E6A">
            <w:pPr>
              <w:ind w:right="272"/>
              <w:rPr>
                <w:rFonts w:cs="Times New Roman"/>
                <w:noProof/>
                <w:sz w:val="21"/>
                <w:szCs w:val="21"/>
              </w:rPr>
            </w:pPr>
          </w:p>
          <w:p w14:paraId="6DD1D6AB" w14:textId="77777777" w:rsidR="00C454A1" w:rsidRPr="00211504" w:rsidRDefault="00C454A1" w:rsidP="00881E6A">
            <w:pPr>
              <w:ind w:right="272"/>
              <w:rPr>
                <w:rFonts w:cs="Times New Roman"/>
                <w:sz w:val="21"/>
                <w:szCs w:val="21"/>
              </w:rPr>
            </w:pPr>
            <w:r w:rsidRPr="00211504">
              <w:rPr>
                <w:rFonts w:cs="Times New Roman"/>
                <w:noProof/>
                <w:sz w:val="21"/>
                <w:szCs w:val="21"/>
                <w:lang w:val="en-US"/>
              </w:rPr>
              <w:drawing>
                <wp:anchor distT="0" distB="0" distL="114300" distR="114300" simplePos="0" relativeHeight="251662848" behindDoc="0" locked="0" layoutInCell="1" allowOverlap="1" wp14:anchorId="26588848" wp14:editId="2D70E735">
                  <wp:simplePos x="0" y="0"/>
                  <wp:positionH relativeFrom="column">
                    <wp:posOffset>4505960</wp:posOffset>
                  </wp:positionH>
                  <wp:positionV relativeFrom="paragraph">
                    <wp:posOffset>21590</wp:posOffset>
                  </wp:positionV>
                  <wp:extent cx="3106420" cy="1847850"/>
                  <wp:effectExtent l="0" t="0" r="0" b="0"/>
                  <wp:wrapNone/>
                  <wp:docPr id="19967604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5-03-07 at 4.55.20 PM.png"/>
                          <pic:cNvPicPr/>
                        </pic:nvPicPr>
                        <pic:blipFill rotWithShape="1">
                          <a:blip r:embed="rId25" cstate="print">
                            <a:extLst>
                              <a:ext uri="{28A0092B-C50C-407E-A947-70E740481C1C}">
                                <a14:useLocalDpi xmlns:a14="http://schemas.microsoft.com/office/drawing/2010/main" val="0"/>
                              </a:ext>
                            </a:extLst>
                          </a:blip>
                          <a:srcRect b="4308"/>
                          <a:stretch/>
                        </pic:blipFill>
                        <pic:spPr bwMode="auto">
                          <a:xfrm>
                            <a:off x="0" y="0"/>
                            <a:ext cx="3106420" cy="184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1504">
              <w:rPr>
                <w:rFonts w:cs="Times New Roman"/>
                <w:noProof/>
                <w:sz w:val="21"/>
                <w:szCs w:val="21"/>
                <w:lang w:val="en-US"/>
              </w:rPr>
              <w:drawing>
                <wp:anchor distT="0" distB="0" distL="114300" distR="114300" simplePos="0" relativeHeight="251661824" behindDoc="0" locked="0" layoutInCell="1" allowOverlap="1" wp14:anchorId="5F62A6CE" wp14:editId="66A622C5">
                  <wp:simplePos x="0" y="0"/>
                  <wp:positionH relativeFrom="column">
                    <wp:posOffset>505460</wp:posOffset>
                  </wp:positionH>
                  <wp:positionV relativeFrom="paragraph">
                    <wp:posOffset>31115</wp:posOffset>
                  </wp:positionV>
                  <wp:extent cx="3274060" cy="184785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03-07 at 4.52.44 PM.png"/>
                          <pic:cNvPicPr/>
                        </pic:nvPicPr>
                        <pic:blipFill rotWithShape="1">
                          <a:blip r:embed="rId26" cstate="print">
                            <a:extLst>
                              <a:ext uri="{28A0092B-C50C-407E-A947-70E740481C1C}">
                                <a14:useLocalDpi xmlns:a14="http://schemas.microsoft.com/office/drawing/2010/main" val="0"/>
                              </a:ext>
                            </a:extLst>
                          </a:blip>
                          <a:srcRect b="3961"/>
                          <a:stretch/>
                        </pic:blipFill>
                        <pic:spPr bwMode="auto">
                          <a:xfrm>
                            <a:off x="0" y="0"/>
                            <a:ext cx="3274060" cy="184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253E8E" w14:textId="77777777" w:rsidR="00C454A1" w:rsidRPr="00211504" w:rsidRDefault="00C454A1" w:rsidP="00881E6A">
            <w:pPr>
              <w:ind w:right="272"/>
              <w:rPr>
                <w:rFonts w:cs="Times New Roman"/>
              </w:rPr>
            </w:pPr>
          </w:p>
          <w:p w14:paraId="7DDD9EBB" w14:textId="77777777" w:rsidR="00C454A1" w:rsidRPr="00211504" w:rsidRDefault="00C454A1" w:rsidP="00881E6A">
            <w:pPr>
              <w:ind w:right="272"/>
              <w:rPr>
                <w:rFonts w:cs="Times New Roman"/>
              </w:rPr>
            </w:pPr>
          </w:p>
          <w:p w14:paraId="3A1F6146" w14:textId="77777777" w:rsidR="00C454A1" w:rsidRPr="00211504" w:rsidRDefault="00C454A1" w:rsidP="00881E6A">
            <w:pPr>
              <w:ind w:right="272"/>
              <w:rPr>
                <w:rFonts w:cs="Times New Roman"/>
              </w:rPr>
            </w:pPr>
          </w:p>
          <w:p w14:paraId="60E37F49" w14:textId="77777777" w:rsidR="00C454A1" w:rsidRPr="00211504" w:rsidRDefault="00C454A1" w:rsidP="00881E6A">
            <w:pPr>
              <w:ind w:right="272"/>
              <w:rPr>
                <w:rFonts w:cs="Times New Roman"/>
              </w:rPr>
            </w:pPr>
          </w:p>
          <w:p w14:paraId="129710F4" w14:textId="77777777" w:rsidR="00C454A1" w:rsidRPr="00211504" w:rsidRDefault="00C454A1" w:rsidP="00881E6A">
            <w:pPr>
              <w:ind w:right="272"/>
              <w:rPr>
                <w:rFonts w:cs="Times New Roman"/>
              </w:rPr>
            </w:pPr>
          </w:p>
          <w:p w14:paraId="487216AA" w14:textId="77777777" w:rsidR="00C454A1" w:rsidRPr="00211504" w:rsidRDefault="00C454A1" w:rsidP="00881E6A">
            <w:pPr>
              <w:ind w:right="272"/>
              <w:rPr>
                <w:rFonts w:cs="Times New Roman"/>
              </w:rPr>
            </w:pPr>
          </w:p>
          <w:p w14:paraId="5BDC502C" w14:textId="77777777" w:rsidR="00C454A1" w:rsidRPr="00211504" w:rsidRDefault="00C454A1" w:rsidP="00881E6A">
            <w:pPr>
              <w:ind w:right="272"/>
              <w:rPr>
                <w:rFonts w:cs="Times New Roman"/>
              </w:rPr>
            </w:pPr>
          </w:p>
          <w:p w14:paraId="2DFC8EB6" w14:textId="77777777" w:rsidR="00C454A1" w:rsidRPr="00211504" w:rsidRDefault="00C454A1" w:rsidP="00881E6A">
            <w:pPr>
              <w:ind w:right="272"/>
              <w:rPr>
                <w:rFonts w:cs="Times New Roman"/>
              </w:rPr>
            </w:pPr>
            <w:r w:rsidRPr="00211504">
              <w:rPr>
                <w:rFonts w:cs="Times New Roman"/>
              </w:rPr>
              <w:t xml:space="preserve"> </w:t>
            </w:r>
          </w:p>
          <w:p w14:paraId="4CFBB714" w14:textId="77777777" w:rsidR="00C454A1" w:rsidRPr="00211504" w:rsidRDefault="00C454A1" w:rsidP="00881E6A">
            <w:pPr>
              <w:ind w:right="272"/>
              <w:rPr>
                <w:rFonts w:cs="Times New Roman"/>
              </w:rPr>
            </w:pPr>
          </w:p>
          <w:p w14:paraId="6FAB67BC" w14:textId="77777777" w:rsidR="00C454A1" w:rsidRPr="00211504" w:rsidRDefault="00C454A1" w:rsidP="00881E6A">
            <w:pPr>
              <w:ind w:right="272"/>
              <w:rPr>
                <w:rFonts w:cs="Times New Roman"/>
              </w:rPr>
            </w:pPr>
          </w:p>
          <w:p w14:paraId="1DB77F99" w14:textId="77777777" w:rsidR="00C454A1" w:rsidRPr="00211504" w:rsidRDefault="00C454A1" w:rsidP="00881E6A">
            <w:pPr>
              <w:ind w:left="538" w:right="272"/>
              <w:rPr>
                <w:rFonts w:cs="Times New Roman"/>
              </w:rPr>
            </w:pPr>
            <w:r w:rsidRPr="00211504">
              <w:rPr>
                <w:rFonts w:cs="Times New Roman"/>
              </w:rPr>
              <w:t>Indica que han existido alertas constantes desde hace más de 7 años, lo que “es indicativo de que estamos en circunstancias crónicas, que se deben ser conjuradas con medidas ordinarias”</w:t>
            </w:r>
            <w:r w:rsidRPr="00211504">
              <w:rPr>
                <w:rStyle w:val="Refdenotaalpie"/>
                <w:rFonts w:cs="Times New Roman"/>
              </w:rPr>
              <w:footnoteReference w:id="1056"/>
            </w:r>
            <w:r w:rsidRPr="00211504">
              <w:rPr>
                <w:rFonts w:cs="Times New Roman"/>
              </w:rPr>
              <w:t xml:space="preserve">. </w:t>
            </w:r>
          </w:p>
          <w:p w14:paraId="23A6E46E" w14:textId="77777777" w:rsidR="00C454A1" w:rsidRPr="00211504" w:rsidRDefault="00C454A1" w:rsidP="00881E6A">
            <w:pPr>
              <w:ind w:right="272"/>
              <w:rPr>
                <w:rFonts w:cs="Times New Roman"/>
              </w:rPr>
            </w:pPr>
          </w:p>
          <w:p w14:paraId="54960D40" w14:textId="77777777" w:rsidR="00C454A1" w:rsidRPr="00211504" w:rsidRDefault="00C454A1" w:rsidP="005F4A6F">
            <w:pPr>
              <w:pStyle w:val="Prrafodelista"/>
              <w:numPr>
                <w:ilvl w:val="0"/>
                <w:numId w:val="78"/>
              </w:numPr>
              <w:ind w:left="545" w:right="272" w:hanging="545"/>
              <w:contextualSpacing w:val="0"/>
              <w:rPr>
                <w:rFonts w:cs="Times New Roman"/>
              </w:rPr>
            </w:pPr>
            <w:r w:rsidRPr="00211504">
              <w:rPr>
                <w:rFonts w:cs="Times New Roman"/>
                <w:i/>
                <w:iCs/>
              </w:rPr>
              <w:t>Perturbación del orden público por la crisis humanitaria representada en desplazamiento forzado y confinamiento</w:t>
            </w:r>
            <w:r w:rsidRPr="00211504">
              <w:rPr>
                <w:rFonts w:cs="Times New Roman"/>
              </w:rPr>
              <w:t xml:space="preserve">. Consideró que no cumple con el carácter de </w:t>
            </w:r>
            <w:r w:rsidRPr="00211504">
              <w:rPr>
                <w:rFonts w:cs="Times New Roman"/>
                <w:i/>
                <w:iCs/>
              </w:rPr>
              <w:t>grave</w:t>
            </w:r>
            <w:r w:rsidRPr="00211504">
              <w:rPr>
                <w:rFonts w:cs="Times New Roman"/>
              </w:rPr>
              <w:t xml:space="preserve">, </w:t>
            </w:r>
            <w:r w:rsidRPr="00211504">
              <w:rPr>
                <w:rFonts w:cs="Times New Roman"/>
                <w:i/>
                <w:iCs/>
              </w:rPr>
              <w:t>extraordinario</w:t>
            </w:r>
            <w:r w:rsidRPr="00211504">
              <w:rPr>
                <w:rFonts w:cs="Times New Roman"/>
              </w:rPr>
              <w:t xml:space="preserve">, ni atenta de manera </w:t>
            </w:r>
            <w:r w:rsidRPr="00211504">
              <w:rPr>
                <w:rFonts w:cs="Times New Roman"/>
                <w:i/>
                <w:iCs/>
              </w:rPr>
              <w:lastRenderedPageBreak/>
              <w:t>inminente</w:t>
            </w:r>
            <w:r w:rsidRPr="00211504">
              <w:rPr>
                <w:rFonts w:cs="Times New Roman"/>
              </w:rPr>
              <w:t xml:space="preserve"> contra la seguridad del Estado. Indica que un informe de la Oficina de Naciones Unidas para la Coordinación Asuntos Humanitarios pone en evidencia cómo la problemática del desplazamiento ha sido un constante a lo largo de los años, incluso en 2012, 2013, 2022 y 2023 la situación estuvo más acentuada que la actual, lo que se evidencia en la siguiente imagen</w:t>
            </w:r>
            <w:r w:rsidRPr="00211504">
              <w:rPr>
                <w:rStyle w:val="Refdenotaalpie"/>
                <w:rFonts w:cs="Times New Roman"/>
              </w:rPr>
              <w:footnoteReference w:id="1057"/>
            </w:r>
            <w:r w:rsidRPr="00211504">
              <w:rPr>
                <w:rFonts w:cs="Times New Roman"/>
              </w:rPr>
              <w:t xml:space="preserve"> que expone en su informe:</w:t>
            </w:r>
          </w:p>
          <w:p w14:paraId="1B87406C" w14:textId="77777777" w:rsidR="00C454A1" w:rsidRPr="00211504" w:rsidRDefault="00C454A1" w:rsidP="00881E6A">
            <w:pPr>
              <w:pStyle w:val="Prrafodelista"/>
              <w:ind w:left="545" w:right="272"/>
              <w:contextualSpacing w:val="0"/>
              <w:rPr>
                <w:rFonts w:cs="Times New Roman"/>
                <w:sz w:val="16"/>
                <w:szCs w:val="16"/>
              </w:rPr>
            </w:pPr>
            <w:r w:rsidRPr="00211504">
              <w:rPr>
                <w:rFonts w:cs="Times New Roman"/>
              </w:rPr>
              <w:t xml:space="preserve">  </w:t>
            </w:r>
          </w:p>
          <w:p w14:paraId="2EBF1F7D" w14:textId="77777777" w:rsidR="00C454A1" w:rsidRPr="00211504" w:rsidRDefault="00C454A1" w:rsidP="00881E6A">
            <w:pPr>
              <w:ind w:right="272"/>
              <w:rPr>
                <w:rFonts w:cs="Times New Roman"/>
              </w:rPr>
            </w:pPr>
            <w:r w:rsidRPr="00211504">
              <w:rPr>
                <w:rFonts w:cs="Times New Roman"/>
                <w:noProof/>
                <w:sz w:val="21"/>
                <w:szCs w:val="21"/>
                <w:lang w:val="en-US"/>
              </w:rPr>
              <w:drawing>
                <wp:anchor distT="0" distB="0" distL="114300" distR="114300" simplePos="0" relativeHeight="251659776" behindDoc="0" locked="0" layoutInCell="1" allowOverlap="1" wp14:anchorId="0E90DC07" wp14:editId="6655A0B4">
                  <wp:simplePos x="0" y="0"/>
                  <wp:positionH relativeFrom="column">
                    <wp:posOffset>1506438</wp:posOffset>
                  </wp:positionH>
                  <wp:positionV relativeFrom="paragraph">
                    <wp:posOffset>9108</wp:posOffset>
                  </wp:positionV>
                  <wp:extent cx="5394325" cy="532263"/>
                  <wp:effectExtent l="0" t="0" r="0" b="1270"/>
                  <wp:wrapNone/>
                  <wp:docPr id="17663303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3-07 at 4.10.29 PM.png"/>
                          <pic:cNvPicPr/>
                        </pic:nvPicPr>
                        <pic:blipFill rotWithShape="1">
                          <a:blip r:embed="rId27">
                            <a:extLst>
                              <a:ext uri="{28A0092B-C50C-407E-A947-70E740481C1C}">
                                <a14:useLocalDpi xmlns:a14="http://schemas.microsoft.com/office/drawing/2010/main" val="0"/>
                              </a:ext>
                            </a:extLst>
                          </a:blip>
                          <a:srcRect t="6517" b="8696"/>
                          <a:stretch/>
                        </pic:blipFill>
                        <pic:spPr bwMode="auto">
                          <a:xfrm>
                            <a:off x="0" y="0"/>
                            <a:ext cx="5394325" cy="5322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27D759" w14:textId="77777777" w:rsidR="00C454A1" w:rsidRPr="00211504" w:rsidRDefault="00C454A1" w:rsidP="00881E6A">
            <w:pPr>
              <w:ind w:right="272"/>
              <w:rPr>
                <w:rFonts w:cs="Times New Roman"/>
              </w:rPr>
            </w:pPr>
          </w:p>
          <w:p w14:paraId="147D627A" w14:textId="77777777" w:rsidR="00C454A1" w:rsidRPr="00211504" w:rsidRDefault="00C454A1" w:rsidP="00881E6A">
            <w:pPr>
              <w:ind w:right="272"/>
              <w:rPr>
                <w:rFonts w:cs="Times New Roman"/>
              </w:rPr>
            </w:pPr>
          </w:p>
          <w:p w14:paraId="2937A096" w14:textId="77777777" w:rsidR="00C454A1" w:rsidRPr="00211504" w:rsidRDefault="00C454A1" w:rsidP="00881E6A">
            <w:pPr>
              <w:ind w:right="272"/>
              <w:rPr>
                <w:rFonts w:cs="Times New Roman"/>
                <w:sz w:val="16"/>
                <w:szCs w:val="16"/>
              </w:rPr>
            </w:pPr>
          </w:p>
          <w:p w14:paraId="56187228" w14:textId="77777777" w:rsidR="00C454A1" w:rsidRPr="00211504" w:rsidRDefault="00C454A1" w:rsidP="00881E6A">
            <w:pPr>
              <w:ind w:left="545" w:right="272"/>
              <w:rPr>
                <w:rFonts w:cs="Times New Roman"/>
              </w:rPr>
            </w:pPr>
            <w:r w:rsidRPr="00211504">
              <w:rPr>
                <w:rFonts w:cs="Times New Roman"/>
              </w:rPr>
              <w:t>Menciona que el conflicto armado ha tenido como consecuencia el desplazamiento forzado de más de 400.000 personas en el caso particular y alrededor de 8.000.000 a nivel nacional</w:t>
            </w:r>
            <w:r w:rsidRPr="00211504">
              <w:rPr>
                <w:rStyle w:val="Refdenotaalpie"/>
                <w:rFonts w:cs="Times New Roman"/>
              </w:rPr>
              <w:footnoteReference w:id="1058"/>
            </w:r>
            <w:r w:rsidRPr="00211504">
              <w:rPr>
                <w:rFonts w:cs="Times New Roman"/>
              </w:rPr>
              <w:t xml:space="preserve">. Por lo tanto, no es un evento extraordinario. </w:t>
            </w:r>
          </w:p>
          <w:p w14:paraId="02E0564E" w14:textId="77777777" w:rsidR="00C454A1" w:rsidRPr="00211504" w:rsidRDefault="00C454A1" w:rsidP="00881E6A">
            <w:pPr>
              <w:ind w:right="272"/>
              <w:rPr>
                <w:rFonts w:cs="Times New Roman"/>
              </w:rPr>
            </w:pPr>
          </w:p>
          <w:p w14:paraId="735BA5C8" w14:textId="77777777" w:rsidR="00C454A1" w:rsidRPr="00211504" w:rsidRDefault="00C454A1" w:rsidP="005F4A6F">
            <w:pPr>
              <w:pStyle w:val="Prrafodelista"/>
              <w:numPr>
                <w:ilvl w:val="0"/>
                <w:numId w:val="78"/>
              </w:numPr>
              <w:ind w:left="545" w:right="272" w:hanging="545"/>
              <w:contextualSpacing w:val="0"/>
              <w:rPr>
                <w:rFonts w:cs="Times New Roman"/>
              </w:rPr>
            </w:pPr>
            <w:r w:rsidRPr="00211504">
              <w:rPr>
                <w:rFonts w:cs="Times New Roman"/>
                <w:i/>
              </w:rPr>
              <w:t>Perturbación del orden público representada en amenazas y daños a la infraestructura crítica y bienes ambientales</w:t>
            </w:r>
            <w:r w:rsidRPr="00211504">
              <w:rPr>
                <w:rFonts w:cs="Times New Roman"/>
              </w:rPr>
              <w:t>. Manifestó que no es grave, extraordinario, ni atenta de manera inminente la estabilidad institucional, la seguridad del Estado o la convivencia ciudadana. Reiteró los mismos argumentos expuestos y, adicionalmente, señaló que, respecto a los delitos en contra del medio ambiente, la situación en 2025 no es distinta a lo ocurrido en agosto, septiembre o los primeros meses de 2024, de acuerdo a la siguiente gráfica</w:t>
            </w:r>
            <w:r w:rsidRPr="00211504">
              <w:rPr>
                <w:rStyle w:val="Refdenotaalpie"/>
                <w:rFonts w:cs="Times New Roman"/>
              </w:rPr>
              <w:footnoteReference w:id="1059"/>
            </w:r>
            <w:r w:rsidRPr="00211504">
              <w:rPr>
                <w:rFonts w:cs="Times New Roman"/>
              </w:rPr>
              <w:t xml:space="preserve">;  </w:t>
            </w:r>
          </w:p>
          <w:p w14:paraId="1DF3D363" w14:textId="77777777" w:rsidR="00C454A1" w:rsidRPr="00211504" w:rsidRDefault="00C454A1" w:rsidP="00881E6A">
            <w:pPr>
              <w:ind w:right="272"/>
              <w:rPr>
                <w:rFonts w:cs="Times New Roman"/>
                <w:sz w:val="16"/>
                <w:szCs w:val="16"/>
              </w:rPr>
            </w:pPr>
            <w:r w:rsidRPr="00211504">
              <w:rPr>
                <w:rFonts w:cs="Times New Roman"/>
                <w:noProof/>
                <w:sz w:val="21"/>
                <w:szCs w:val="21"/>
                <w:lang w:val="en-US"/>
              </w:rPr>
              <w:drawing>
                <wp:anchor distT="0" distB="0" distL="114300" distR="114300" simplePos="0" relativeHeight="251660800" behindDoc="0" locked="0" layoutInCell="1" allowOverlap="1" wp14:anchorId="7E030103" wp14:editId="544AD84F">
                  <wp:simplePos x="0" y="0"/>
                  <wp:positionH relativeFrom="column">
                    <wp:posOffset>2239009</wp:posOffset>
                  </wp:positionH>
                  <wp:positionV relativeFrom="paragraph">
                    <wp:posOffset>102870</wp:posOffset>
                  </wp:positionV>
                  <wp:extent cx="2864851" cy="14573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5-03-07 at 4.29.47 PM.png"/>
                          <pic:cNvPicPr/>
                        </pic:nvPicPr>
                        <pic:blipFill rotWithShape="1">
                          <a:blip r:embed="rId28" cstate="print">
                            <a:extLst>
                              <a:ext uri="{28A0092B-C50C-407E-A947-70E740481C1C}">
                                <a14:useLocalDpi xmlns:a14="http://schemas.microsoft.com/office/drawing/2010/main" val="0"/>
                              </a:ext>
                            </a:extLst>
                          </a:blip>
                          <a:srcRect t="3989" b="3534"/>
                          <a:stretch/>
                        </pic:blipFill>
                        <pic:spPr bwMode="auto">
                          <a:xfrm>
                            <a:off x="0" y="0"/>
                            <a:ext cx="2872400" cy="1461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012C65" w14:textId="77777777" w:rsidR="00C454A1" w:rsidRPr="00211504" w:rsidRDefault="00C454A1" w:rsidP="00881E6A">
            <w:pPr>
              <w:ind w:right="272"/>
              <w:rPr>
                <w:rFonts w:cs="Times New Roman"/>
                <w:noProof/>
                <w:sz w:val="21"/>
                <w:szCs w:val="21"/>
              </w:rPr>
            </w:pPr>
          </w:p>
          <w:p w14:paraId="7E10F7B4" w14:textId="77777777" w:rsidR="00C454A1" w:rsidRPr="00211504" w:rsidRDefault="00C454A1" w:rsidP="00881E6A">
            <w:pPr>
              <w:ind w:right="272"/>
              <w:rPr>
                <w:rFonts w:cs="Times New Roman"/>
                <w:sz w:val="21"/>
                <w:szCs w:val="21"/>
              </w:rPr>
            </w:pPr>
          </w:p>
          <w:p w14:paraId="6BFBAC80" w14:textId="77777777" w:rsidR="00C454A1" w:rsidRPr="00211504" w:rsidRDefault="00C454A1" w:rsidP="00881E6A">
            <w:pPr>
              <w:ind w:right="272"/>
              <w:rPr>
                <w:rFonts w:cs="Times New Roman"/>
              </w:rPr>
            </w:pPr>
          </w:p>
          <w:p w14:paraId="31158AEF" w14:textId="77777777" w:rsidR="00C454A1" w:rsidRPr="00211504" w:rsidRDefault="00C454A1" w:rsidP="00881E6A">
            <w:pPr>
              <w:ind w:right="272"/>
              <w:rPr>
                <w:rFonts w:cs="Times New Roman"/>
              </w:rPr>
            </w:pPr>
          </w:p>
          <w:p w14:paraId="227FC3F9" w14:textId="77777777" w:rsidR="00C454A1" w:rsidRPr="00211504" w:rsidRDefault="00C454A1" w:rsidP="00881E6A">
            <w:pPr>
              <w:ind w:right="272"/>
              <w:rPr>
                <w:rFonts w:cs="Times New Roman"/>
              </w:rPr>
            </w:pPr>
          </w:p>
          <w:p w14:paraId="1A8DF66F" w14:textId="77777777" w:rsidR="00C454A1" w:rsidRPr="00211504" w:rsidRDefault="00C454A1" w:rsidP="00881E6A">
            <w:pPr>
              <w:ind w:right="272"/>
              <w:rPr>
                <w:rFonts w:cs="Times New Roman"/>
              </w:rPr>
            </w:pPr>
          </w:p>
          <w:p w14:paraId="5333C508" w14:textId="77777777" w:rsidR="00C454A1" w:rsidRPr="00211504" w:rsidRDefault="00C454A1" w:rsidP="00881E6A">
            <w:pPr>
              <w:ind w:right="272"/>
              <w:rPr>
                <w:rFonts w:cs="Times New Roman"/>
              </w:rPr>
            </w:pPr>
          </w:p>
          <w:p w14:paraId="041AB367" w14:textId="77777777" w:rsidR="00C454A1" w:rsidRPr="00211504" w:rsidRDefault="00C454A1" w:rsidP="00881E6A">
            <w:pPr>
              <w:ind w:right="272"/>
              <w:rPr>
                <w:rFonts w:cs="Times New Roman"/>
              </w:rPr>
            </w:pPr>
          </w:p>
          <w:p w14:paraId="0F6134B0" w14:textId="77777777" w:rsidR="00C454A1" w:rsidRPr="00211504" w:rsidRDefault="00C454A1" w:rsidP="00881E6A">
            <w:pPr>
              <w:ind w:right="272"/>
              <w:rPr>
                <w:rFonts w:cs="Times New Roman"/>
              </w:rPr>
            </w:pPr>
          </w:p>
          <w:p w14:paraId="1F2EF53E" w14:textId="77777777" w:rsidR="00C454A1" w:rsidRPr="00211504" w:rsidRDefault="00C454A1" w:rsidP="005F4A6F">
            <w:pPr>
              <w:pStyle w:val="Prrafodelista"/>
              <w:numPr>
                <w:ilvl w:val="0"/>
                <w:numId w:val="78"/>
              </w:numPr>
              <w:ind w:left="545" w:right="272" w:hanging="545"/>
              <w:contextualSpacing w:val="0"/>
              <w:rPr>
                <w:rFonts w:cs="Times New Roman"/>
              </w:rPr>
            </w:pPr>
            <w:r w:rsidRPr="00211504">
              <w:rPr>
                <w:rFonts w:cs="Times New Roman"/>
                <w:i/>
                <w:iCs/>
              </w:rPr>
              <w:t>Perturbación del orden público representada en el desbordamiento de capacidades institucionales</w:t>
            </w:r>
            <w:r w:rsidRPr="00211504">
              <w:rPr>
                <w:rFonts w:cs="Times New Roman"/>
              </w:rPr>
              <w:t>.  Expresa que no es grave ni extraordinaria porque indica que la parte motiva del Decreto no arroja datos o razones suficientes para sustentar la afirmación citada.</w:t>
            </w:r>
            <w:r w:rsidRPr="00211504">
              <w:rPr>
                <w:rStyle w:val="Refdenotaalpie"/>
                <w:rFonts w:cs="Times New Roman"/>
              </w:rPr>
              <w:footnoteReference w:id="1060"/>
            </w:r>
            <w:r w:rsidRPr="00211504">
              <w:rPr>
                <w:rFonts w:cs="Times New Roman"/>
              </w:rPr>
              <w:t xml:space="preserve"> </w:t>
            </w:r>
          </w:p>
          <w:p w14:paraId="678312EE" w14:textId="77777777" w:rsidR="00C454A1" w:rsidRPr="00211504" w:rsidRDefault="00C454A1" w:rsidP="00881E6A">
            <w:pPr>
              <w:pStyle w:val="Prrafodelista"/>
              <w:ind w:left="545" w:right="272"/>
              <w:contextualSpacing w:val="0"/>
              <w:rPr>
                <w:rFonts w:cs="Times New Roman"/>
              </w:rPr>
            </w:pPr>
          </w:p>
          <w:p w14:paraId="2A7A1246" w14:textId="77777777" w:rsidR="00C454A1" w:rsidRPr="00211504" w:rsidRDefault="00C454A1" w:rsidP="00881E6A">
            <w:pPr>
              <w:ind w:right="272"/>
              <w:rPr>
                <w:rFonts w:eastAsia="Times New Roman" w:cs="Times New Roman"/>
                <w:color w:val="000000" w:themeColor="text1"/>
              </w:rPr>
            </w:pPr>
            <w:r w:rsidRPr="00211504">
              <w:rPr>
                <w:rFonts w:cs="Times New Roman"/>
              </w:rPr>
              <w:t xml:space="preserve">Respecto del requisito de </w:t>
            </w:r>
            <w:r w:rsidRPr="00211504">
              <w:rPr>
                <w:rFonts w:cs="Times New Roman"/>
                <w:i/>
                <w:iCs/>
              </w:rPr>
              <w:t>suficiencia</w:t>
            </w:r>
            <w:r w:rsidRPr="00211504">
              <w:rPr>
                <w:rFonts w:cs="Times New Roman"/>
              </w:rPr>
              <w:t>, adujo que se incumplió porque “no se requieren medidas extraordinarias dado que la perturbación al orden público no es grave, extraordinario ni inminente”</w:t>
            </w:r>
            <w:r w:rsidRPr="00211504">
              <w:rPr>
                <w:rStyle w:val="Refdenotaalpie"/>
                <w:rFonts w:cs="Times New Roman"/>
              </w:rPr>
              <w:footnoteReference w:id="1061"/>
            </w:r>
            <w:r w:rsidRPr="00211504">
              <w:rPr>
                <w:rFonts w:cs="Times New Roman"/>
              </w:rPr>
              <w:t>. Indicó que el Decreto 062 de 2025 reconoce que las atribuciones ordinarias han surtido efectos. Manifestó que, ante una situación de violencia histórica, las medidas que se deben tomar deben ser permanentes y no temporales como sucede en la declaratoria de un Estado de Conmoción Interior</w:t>
            </w:r>
            <w:r w:rsidRPr="00211504">
              <w:rPr>
                <w:rStyle w:val="Refdenotaalpie"/>
                <w:rFonts w:cs="Times New Roman"/>
              </w:rPr>
              <w:footnoteReference w:id="1062"/>
            </w:r>
            <w:r w:rsidRPr="00211504">
              <w:rPr>
                <w:rFonts w:cs="Times New Roman"/>
              </w:rPr>
              <w:t>.</w:t>
            </w:r>
            <w:r w:rsidRPr="00211504">
              <w:rPr>
                <w:rStyle w:val="Refdenotaalpie"/>
                <w:rFonts w:cs="Times New Roman"/>
              </w:rPr>
              <w:t xml:space="preserve"> </w:t>
            </w:r>
            <w:r w:rsidRPr="00211504">
              <w:rPr>
                <w:rFonts w:cs="Times New Roman"/>
              </w:rPr>
              <w:t>Por lo demás, advirtió que la Ley y la Constitución le han otorgado al presidente las facultades necesarias para atender el Catatumbo, pero esto no fue analizado en el Decreto 062</w:t>
            </w:r>
            <w:r w:rsidRPr="00211504">
              <w:rPr>
                <w:rStyle w:val="Refdenotaalpie"/>
                <w:rFonts w:cs="Times New Roman"/>
              </w:rPr>
              <w:footnoteReference w:id="1063"/>
            </w:r>
            <w:r w:rsidRPr="00211504">
              <w:rPr>
                <w:rFonts w:cs="Times New Roman"/>
              </w:rPr>
              <w:t xml:space="preserve">. </w:t>
            </w:r>
          </w:p>
        </w:tc>
      </w:tr>
      <w:tr w:rsidR="00C454A1" w:rsidRPr="00F8202F" w14:paraId="6625B806" w14:textId="77777777" w:rsidTr="005F4A6F">
        <w:trPr>
          <w:trHeight w:val="300"/>
        </w:trPr>
        <w:tc>
          <w:tcPr>
            <w:tcW w:w="813" w:type="pct"/>
            <w:vAlign w:val="center"/>
          </w:tcPr>
          <w:p w14:paraId="4D3F8C89" w14:textId="77777777" w:rsidR="00C454A1" w:rsidRPr="00211504" w:rsidRDefault="00C454A1" w:rsidP="00881E6A">
            <w:pPr>
              <w:spacing w:after="120"/>
              <w:ind w:right="272"/>
              <w:contextualSpacing/>
              <w:jc w:val="center"/>
              <w:rPr>
                <w:rFonts w:cs="Times New Roman"/>
                <w:b/>
              </w:rPr>
            </w:pPr>
            <w:r w:rsidRPr="00211504">
              <w:rPr>
                <w:rFonts w:cs="Times New Roman"/>
                <w:b/>
                <w:bCs/>
              </w:rPr>
              <w:lastRenderedPageBreak/>
              <w:t>Paloma Susana Valencia Laserna</w:t>
            </w:r>
          </w:p>
        </w:tc>
        <w:tc>
          <w:tcPr>
            <w:tcW w:w="4187" w:type="pct"/>
          </w:tcPr>
          <w:p w14:paraId="19FF45DA" w14:textId="77777777" w:rsidR="00C454A1" w:rsidRPr="00211504" w:rsidRDefault="00C454A1" w:rsidP="00881E6A">
            <w:pPr>
              <w:ind w:right="272"/>
              <w:rPr>
                <w:rFonts w:cs="Times New Roman"/>
              </w:rPr>
            </w:pPr>
            <w:r w:rsidRPr="00211504">
              <w:rPr>
                <w:rFonts w:cs="Times New Roman"/>
              </w:rPr>
              <w:t>Solicitó a la Corte declarar “la inexequibilidad del Decreto Legislativo 62 de 2025”</w:t>
            </w:r>
            <w:r w:rsidRPr="00211504">
              <w:rPr>
                <w:rStyle w:val="Refdenotaalpie"/>
                <w:rFonts w:cs="Times New Roman"/>
              </w:rPr>
              <w:footnoteReference w:id="1064"/>
            </w:r>
            <w:r w:rsidRPr="00211504">
              <w:rPr>
                <w:rFonts w:cs="Times New Roman"/>
              </w:rPr>
              <w:t>. Lo anterior, principalmente, por cuanto consideró que el decreto “no cumple el presupuesto material de insuficiencia de las medidas ordinarias”, a pesar de que la Corte Constitucional, en especial desde la sentencia C-070 de 2009, exige que la “parte motiva” de un decreto de conmoción interior justifique la necesidad de dotar al ejecutivo de poderes excepcionales y la insuficiencia de los ordinarios</w:t>
            </w:r>
            <w:r w:rsidRPr="00211504">
              <w:rPr>
                <w:rStyle w:val="Refdenotaalpie"/>
                <w:rFonts w:cs="Times New Roman"/>
              </w:rPr>
              <w:footnoteReference w:id="1065"/>
            </w:r>
            <w:r w:rsidRPr="00211504">
              <w:rPr>
                <w:rFonts w:cs="Times New Roman"/>
              </w:rPr>
              <w:t xml:space="preserve">. La interviniente hizo una referencia general a los requisitos materiales fáctico, valorativo y de suficiencia que ha establecido la jurisprudencia constitucional para facultar al </w:t>
            </w:r>
            <w:r w:rsidRPr="00211504">
              <w:rPr>
                <w:rFonts w:cs="Times New Roman"/>
              </w:rPr>
              <w:lastRenderedPageBreak/>
              <w:t>presidente de la República a decretar el estado de conmoción interior</w:t>
            </w:r>
            <w:r w:rsidRPr="00211504">
              <w:rPr>
                <w:rStyle w:val="Refdenotaalpie"/>
                <w:rFonts w:cs="Times New Roman"/>
              </w:rPr>
              <w:footnoteReference w:id="1066"/>
            </w:r>
            <w:r w:rsidRPr="00211504">
              <w:rPr>
                <w:rFonts w:cs="Times New Roman"/>
              </w:rPr>
              <w:t xml:space="preserve">. Respecto del presupuesto valorativo, la interviniente advirtió brevemente que el Gobierno </w:t>
            </w:r>
            <w:r>
              <w:rPr>
                <w:rFonts w:cs="Times New Roman"/>
              </w:rPr>
              <w:t>n</w:t>
            </w:r>
            <w:r w:rsidRPr="00211504">
              <w:rPr>
                <w:rFonts w:cs="Times New Roman"/>
              </w:rPr>
              <w:t>acional no “mencionó” la Alerta Temprana 026 del 15 de noviembre de 2024 —emitida en un “marco ordinario”—, que “identificó el recrudecimiento de la situación de violencia en la región del Catatumbo”, y debía tener en cuenta el Gobierno para preservar el orden público y prevenir la crisis</w:t>
            </w:r>
            <w:r w:rsidRPr="00211504">
              <w:rPr>
                <w:rStyle w:val="Refdenotaalpie"/>
                <w:rFonts w:cs="Times New Roman"/>
              </w:rPr>
              <w:footnoteReference w:id="1067"/>
            </w:r>
            <w:r w:rsidRPr="00211504">
              <w:rPr>
                <w:rFonts w:cs="Times New Roman"/>
              </w:rPr>
              <w:t>.</w:t>
            </w:r>
          </w:p>
          <w:p w14:paraId="71278D1D" w14:textId="77777777" w:rsidR="00C454A1" w:rsidRPr="00211504" w:rsidRDefault="00C454A1" w:rsidP="00881E6A">
            <w:pPr>
              <w:ind w:right="272"/>
              <w:rPr>
                <w:rFonts w:cs="Times New Roman"/>
              </w:rPr>
            </w:pPr>
          </w:p>
          <w:p w14:paraId="155D9856" w14:textId="77777777" w:rsidR="00C454A1" w:rsidRPr="00211504" w:rsidRDefault="00C454A1" w:rsidP="00881E6A">
            <w:pPr>
              <w:ind w:right="272"/>
              <w:rPr>
                <w:rFonts w:cs="Times New Roman"/>
              </w:rPr>
            </w:pPr>
            <w:r w:rsidRPr="00211504">
              <w:rPr>
                <w:rFonts w:cs="Times New Roman"/>
              </w:rPr>
              <w:t xml:space="preserve">Argumentó que el decreto </w:t>
            </w:r>
            <w:r w:rsidRPr="00211504">
              <w:rPr>
                <w:rFonts w:cs="Times New Roman"/>
                <w:i/>
                <w:iCs/>
              </w:rPr>
              <w:t>sub examine</w:t>
            </w:r>
            <w:r w:rsidRPr="00211504">
              <w:rPr>
                <w:rFonts w:cs="Times New Roman"/>
              </w:rPr>
              <w:t xml:space="preserve"> no satisfizo el requisito de </w:t>
            </w:r>
            <w:r w:rsidRPr="00211504">
              <w:rPr>
                <w:rFonts w:cs="Times New Roman"/>
                <w:i/>
                <w:iCs/>
              </w:rPr>
              <w:t>suficiencia</w:t>
            </w:r>
            <w:r w:rsidRPr="00211504">
              <w:rPr>
                <w:rFonts w:cs="Times New Roman"/>
              </w:rPr>
              <w:t xml:space="preserve"> porque adolece de una “déficit en la argumentación”. Esto, porque acude a “afirmaciones generales de que los mecanismos previstos en la legislación ordinaria son insuficientes para solucionar la problemática” del Catatumbo</w:t>
            </w:r>
            <w:r w:rsidRPr="00211504">
              <w:rPr>
                <w:rStyle w:val="Refdenotaalpie"/>
                <w:rFonts w:cs="Times New Roman"/>
              </w:rPr>
              <w:footnoteReference w:id="1068"/>
            </w:r>
            <w:r w:rsidRPr="00211504">
              <w:rPr>
                <w:rFonts w:cs="Times New Roman"/>
              </w:rPr>
              <w:t xml:space="preserve">. Mencionó que control de constitucionalidad respecto de este presupuesto se circunscribe a analizar la valoración que realizó el Gobierno </w:t>
            </w:r>
            <w:r>
              <w:rPr>
                <w:rFonts w:cs="Times New Roman"/>
              </w:rPr>
              <w:t>n</w:t>
            </w:r>
            <w:r w:rsidRPr="00211504">
              <w:rPr>
                <w:rFonts w:cs="Times New Roman"/>
              </w:rPr>
              <w:t xml:space="preserve">acional sobre la insuficiencia de los medios legislativos ordinarios y las facultades reconocidas al presidente en ejercicio del poder de policía, lo cual no ocurrió en el caso sub examine. En particular, señaló que el decreto </w:t>
            </w:r>
            <w:r w:rsidRPr="00211504">
              <w:rPr>
                <w:rFonts w:cs="Times New Roman"/>
                <w:i/>
                <w:iCs/>
              </w:rPr>
              <w:t xml:space="preserve">sub examine (i) </w:t>
            </w:r>
            <w:r w:rsidRPr="00211504">
              <w:rPr>
                <w:rFonts w:cs="Times New Roman"/>
              </w:rPr>
              <w:t xml:space="preserve">no identificó cuáles son las normas que regulan la conducta del Gobierno en relación con el orden público, como las leyes 418 de 1997, 906 de 2004, 1708 de 2014, 1908 de 2018, y 2197 de 2022, </w:t>
            </w:r>
            <w:r w:rsidRPr="00211504">
              <w:rPr>
                <w:rFonts w:cs="Times New Roman"/>
                <w:i/>
                <w:iCs/>
              </w:rPr>
              <w:t xml:space="preserve">(ii) </w:t>
            </w:r>
            <w:r w:rsidRPr="00211504">
              <w:rPr>
                <w:rFonts w:cs="Times New Roman"/>
              </w:rPr>
              <w:t xml:space="preserve">tampoco justificó por qué motivos estas disposiciones no serían suficientes para resolver la crisis de orden público del Catatumbo, en especial tras la Alerta Temprana 026 de 2024. En particular, el Gobierno no justificó por qué para mejorar el control del espacio aéreo y los servicios de inteligencia del Estado era indispensable recurrir a facultades extraordinarias en virtud de un estado de conmoción interior y </w:t>
            </w:r>
            <w:r w:rsidRPr="00211504">
              <w:rPr>
                <w:rFonts w:cs="Times New Roman"/>
                <w:i/>
                <w:iCs/>
              </w:rPr>
              <w:t xml:space="preserve">(iii) </w:t>
            </w:r>
            <w:r w:rsidRPr="00211504">
              <w:rPr>
                <w:rFonts w:cs="Times New Roman"/>
              </w:rPr>
              <w:t xml:space="preserve">no explicó de qué forma las facultades extraordinarias del Gobierno </w:t>
            </w:r>
            <w:r>
              <w:rPr>
                <w:rFonts w:cs="Times New Roman"/>
              </w:rPr>
              <w:t>n</w:t>
            </w:r>
            <w:r w:rsidRPr="00211504">
              <w:rPr>
                <w:rFonts w:cs="Times New Roman"/>
              </w:rPr>
              <w:t>acional lograrían “mejorar” los factores de orden público en la región</w:t>
            </w:r>
            <w:r w:rsidRPr="00211504">
              <w:rPr>
                <w:rStyle w:val="Refdenotaalpie"/>
                <w:rFonts w:cs="Times New Roman"/>
              </w:rPr>
              <w:footnoteReference w:id="1069"/>
            </w:r>
            <w:r w:rsidRPr="00211504">
              <w:rPr>
                <w:rFonts w:cs="Times New Roman"/>
              </w:rPr>
              <w:t xml:space="preserve">. En </w:t>
            </w:r>
            <w:r w:rsidRPr="00211504">
              <w:rPr>
                <w:rFonts w:cs="Times New Roman"/>
              </w:rPr>
              <w:lastRenderedPageBreak/>
              <w:t>particular, la interviniente sostuvo que el Gobierno no explicó por qué esta vez es necesario incorporar nuevos recursos al presupuesto para mantener el orden público, a pesar de que “el sector defensa sufrió reducciones presupuestales por decisión del Gobierno Nacional”</w:t>
            </w:r>
            <w:r w:rsidRPr="00211504">
              <w:rPr>
                <w:rStyle w:val="Refdenotaalpie"/>
                <w:rFonts w:cs="Times New Roman"/>
              </w:rPr>
              <w:footnoteReference w:id="1070"/>
            </w:r>
            <w:r w:rsidRPr="00211504">
              <w:rPr>
                <w:rFonts w:cs="Times New Roman"/>
              </w:rPr>
              <w:t xml:space="preserve">, particularmente desde 2023 y por medio de los decretos 1522 de 2024 y 069 de 2025. Así mismo, señaló el </w:t>
            </w:r>
            <w:r>
              <w:rPr>
                <w:rFonts w:cs="Times New Roman"/>
              </w:rPr>
              <w:t>G</w:t>
            </w:r>
            <w:r w:rsidRPr="00211504">
              <w:rPr>
                <w:rFonts w:cs="Times New Roman"/>
              </w:rPr>
              <w:t>obierno no aclaró por qué no tramitó una ley con “mensaje de urgencia” para facilitar el “uso de los recursos del Sistema General de Participaciones y el Sistema General de Regalías”</w:t>
            </w:r>
            <w:r w:rsidRPr="00211504">
              <w:rPr>
                <w:rStyle w:val="Refdenotaalpie"/>
                <w:rFonts w:cs="Times New Roman"/>
              </w:rPr>
              <w:footnoteReference w:id="1071"/>
            </w:r>
            <w:r w:rsidRPr="00211504">
              <w:rPr>
                <w:rFonts w:cs="Times New Roman"/>
              </w:rPr>
              <w:t>.</w:t>
            </w:r>
          </w:p>
          <w:p w14:paraId="42A9C607" w14:textId="77777777" w:rsidR="00C454A1" w:rsidRPr="00211504" w:rsidRDefault="00C454A1" w:rsidP="00881E6A">
            <w:pPr>
              <w:ind w:right="272"/>
              <w:rPr>
                <w:rFonts w:cs="Times New Roman"/>
              </w:rPr>
            </w:pPr>
          </w:p>
          <w:p w14:paraId="061EC985" w14:textId="77777777" w:rsidR="00C454A1" w:rsidRPr="00211504" w:rsidRDefault="00C454A1" w:rsidP="00881E6A">
            <w:pPr>
              <w:ind w:right="272"/>
              <w:rPr>
                <w:rFonts w:cs="Times New Roman"/>
              </w:rPr>
            </w:pPr>
            <w:r w:rsidRPr="00211504">
              <w:rPr>
                <w:rFonts w:cs="Times New Roman"/>
              </w:rPr>
              <w:t>Advirtió que entre 2022 y 2024, Colombia registró las cifras más altas de extorsión y secuestro en los últimos 15 años, un récord en la siembra de cultivos de uso ilícito, 16.767 hombres “en armas”, y una expansión territorial de los grupos armados organizados al margen de la ley hasta el 71% de todo el territorio nacional.</w:t>
            </w:r>
          </w:p>
        </w:tc>
      </w:tr>
      <w:tr w:rsidR="00C454A1" w:rsidRPr="00F8202F" w14:paraId="2990131C" w14:textId="77777777" w:rsidTr="005F4A6F">
        <w:trPr>
          <w:trHeight w:val="300"/>
        </w:trPr>
        <w:tc>
          <w:tcPr>
            <w:tcW w:w="813" w:type="pct"/>
            <w:vAlign w:val="center"/>
          </w:tcPr>
          <w:p w14:paraId="5011ADAC" w14:textId="77777777" w:rsidR="00C454A1" w:rsidRPr="00211504" w:rsidRDefault="00C454A1" w:rsidP="00881E6A">
            <w:pPr>
              <w:spacing w:after="120"/>
              <w:ind w:right="272"/>
              <w:contextualSpacing/>
              <w:jc w:val="center"/>
              <w:rPr>
                <w:rFonts w:cs="Times New Roman"/>
                <w:b/>
                <w:bCs/>
              </w:rPr>
            </w:pPr>
            <w:bookmarkStart w:id="252" w:name="_Hlk195277741"/>
            <w:r w:rsidRPr="00211504">
              <w:rPr>
                <w:rFonts w:cs="Times New Roman"/>
                <w:b/>
              </w:rPr>
              <w:lastRenderedPageBreak/>
              <w:t xml:space="preserve">Carolina Jiménez Bellicia y otros funcionarios del </w:t>
            </w:r>
            <w:r w:rsidRPr="00211504">
              <w:rPr>
                <w:rFonts w:cs="Times New Roman"/>
                <w:b/>
              </w:rPr>
              <w:lastRenderedPageBreak/>
              <w:t>Gobierno Nacional</w:t>
            </w:r>
            <w:bookmarkEnd w:id="252"/>
            <w:r w:rsidRPr="00211504">
              <w:rPr>
                <w:rFonts w:cs="Times New Roman"/>
                <w:b/>
                <w:vertAlign w:val="superscript"/>
              </w:rPr>
              <w:footnoteReference w:id="1072"/>
            </w:r>
          </w:p>
        </w:tc>
        <w:tc>
          <w:tcPr>
            <w:tcW w:w="4187" w:type="pct"/>
          </w:tcPr>
          <w:p w14:paraId="5140841D" w14:textId="77777777" w:rsidR="00C454A1" w:rsidRPr="00211504" w:rsidRDefault="00C454A1" w:rsidP="00881E6A">
            <w:pPr>
              <w:spacing w:after="120"/>
              <w:ind w:right="272"/>
              <w:contextualSpacing/>
              <w:rPr>
                <w:rFonts w:cs="Times New Roman"/>
              </w:rPr>
            </w:pPr>
            <w:r w:rsidRPr="00211504">
              <w:rPr>
                <w:rFonts w:cs="Times New Roman"/>
              </w:rPr>
              <w:lastRenderedPageBreak/>
              <w:t>Solicitaron a la Corte declarar la</w:t>
            </w:r>
            <w:r w:rsidRPr="00211504">
              <w:rPr>
                <w:rFonts w:cs="Times New Roman"/>
                <w:i/>
                <w:iCs/>
              </w:rPr>
              <w:t xml:space="preserve"> exequibilidad</w:t>
            </w:r>
            <w:r w:rsidRPr="00211504">
              <w:rPr>
                <w:rFonts w:cs="Times New Roman"/>
              </w:rPr>
              <w:t xml:space="preserve"> del Decreto Legislativo 062 de 2025</w:t>
            </w:r>
            <w:r w:rsidRPr="00211504">
              <w:rPr>
                <w:rFonts w:cs="Times New Roman"/>
                <w:vertAlign w:val="superscript"/>
              </w:rPr>
              <w:footnoteReference w:id="1073"/>
            </w:r>
            <w:r w:rsidRPr="00211504">
              <w:rPr>
                <w:rFonts w:cs="Times New Roman"/>
              </w:rPr>
              <w:t xml:space="preserve">. Sobre los requisitos formales, los intervinientes sostuvieron que “el Decreto 62 de 2025: </w:t>
            </w:r>
            <w:r w:rsidRPr="00211504">
              <w:rPr>
                <w:rFonts w:cs="Times New Roman"/>
                <w:i/>
              </w:rPr>
              <w:t xml:space="preserve">(i) </w:t>
            </w:r>
            <w:r w:rsidRPr="00211504">
              <w:rPr>
                <w:rFonts w:cs="Times New Roman"/>
              </w:rPr>
              <w:t xml:space="preserve">fue suscrito por el presidente de la República y todos los ministros; </w:t>
            </w:r>
            <w:r w:rsidRPr="00211504">
              <w:rPr>
                <w:rFonts w:cs="Times New Roman"/>
                <w:i/>
              </w:rPr>
              <w:t xml:space="preserve">(ii) </w:t>
            </w:r>
            <w:r w:rsidRPr="00211504">
              <w:rPr>
                <w:rFonts w:cs="Times New Roman"/>
              </w:rPr>
              <w:t xml:space="preserve">está suficientemente motivado; </w:t>
            </w:r>
            <w:r w:rsidRPr="00211504">
              <w:rPr>
                <w:rFonts w:cs="Times New Roman"/>
                <w:i/>
              </w:rPr>
              <w:t xml:space="preserve">(iii) </w:t>
            </w:r>
            <w:r w:rsidRPr="00211504">
              <w:rPr>
                <w:rFonts w:cs="Times New Roman"/>
              </w:rPr>
              <w:t xml:space="preserve">indica el ámbito territorial en el que rige el estado de conmoción interior; </w:t>
            </w:r>
            <w:r w:rsidRPr="00211504">
              <w:rPr>
                <w:rFonts w:cs="Times New Roman"/>
                <w:i/>
              </w:rPr>
              <w:t xml:space="preserve">(iv) </w:t>
            </w:r>
            <w:r w:rsidRPr="00211504">
              <w:rPr>
                <w:rFonts w:cs="Times New Roman"/>
              </w:rPr>
              <w:t xml:space="preserve">indica el ámbito temporal de la declaratoria de conmoción interior y </w:t>
            </w:r>
            <w:r w:rsidRPr="00211504">
              <w:rPr>
                <w:rFonts w:cs="Times New Roman"/>
                <w:i/>
              </w:rPr>
              <w:t>(iv)</w:t>
            </w:r>
            <w:r w:rsidRPr="00211504">
              <w:rPr>
                <w:rFonts w:cs="Times New Roman"/>
              </w:rPr>
              <w:t xml:space="preserve"> esta declaratoria se informó a la Organización de Estados Americanos y a la Organización de las Naciones Unidas”</w:t>
            </w:r>
            <w:r w:rsidRPr="00211504">
              <w:rPr>
                <w:rFonts w:cs="Times New Roman"/>
                <w:vertAlign w:val="superscript"/>
              </w:rPr>
              <w:footnoteReference w:id="1074"/>
            </w:r>
            <w:r w:rsidRPr="00211504">
              <w:rPr>
                <w:rFonts w:cs="Times New Roman"/>
              </w:rPr>
              <w:t>.</w:t>
            </w:r>
          </w:p>
          <w:p w14:paraId="33192434" w14:textId="77777777" w:rsidR="00C454A1" w:rsidRPr="00211504" w:rsidRDefault="00C454A1" w:rsidP="00881E6A">
            <w:pPr>
              <w:spacing w:after="120"/>
              <w:ind w:right="272"/>
              <w:contextualSpacing/>
              <w:rPr>
                <w:rFonts w:cs="Times New Roman"/>
              </w:rPr>
            </w:pPr>
          </w:p>
          <w:p w14:paraId="668EA64C" w14:textId="77777777" w:rsidR="00C454A1" w:rsidRPr="00211504" w:rsidRDefault="00C454A1" w:rsidP="00881E6A">
            <w:pPr>
              <w:spacing w:after="120"/>
              <w:ind w:right="272"/>
              <w:contextualSpacing/>
              <w:rPr>
                <w:rFonts w:cs="Times New Roman"/>
              </w:rPr>
            </w:pPr>
            <w:r w:rsidRPr="00211504">
              <w:rPr>
                <w:rFonts w:cs="Times New Roman"/>
              </w:rPr>
              <w:t xml:space="preserve">Señalaron que el decreto </w:t>
            </w:r>
            <w:r w:rsidRPr="00211504">
              <w:rPr>
                <w:rFonts w:cs="Times New Roman"/>
                <w:i/>
                <w:iCs/>
              </w:rPr>
              <w:t>sub examine</w:t>
            </w:r>
            <w:r w:rsidRPr="00211504">
              <w:rPr>
                <w:rFonts w:cs="Times New Roman"/>
              </w:rPr>
              <w:t xml:space="preserve"> cumple los presupuestos materiales para su constitucionalidad. Respecto del presupuesto fáctico, señalaron que </w:t>
            </w:r>
            <w:r w:rsidRPr="00211504">
              <w:rPr>
                <w:rFonts w:cs="Times New Roman"/>
                <w:i/>
              </w:rPr>
              <w:t xml:space="preserve">(i) </w:t>
            </w:r>
            <w:r w:rsidRPr="00211504">
              <w:rPr>
                <w:rFonts w:cs="Times New Roman"/>
              </w:rPr>
              <w:t xml:space="preserve">los grupos armados como el ELN, la “Estructura 33”, el Clan del Golfo y los Pelusos, extendieron su presencia en el Catatumbo, perpetraron actos violentos y delictivos, e incrementaron sustancialmente los cultivos de uso ilícito, de lo que darían cuenta diversos documentos que aportó el Gobierno </w:t>
            </w:r>
            <w:r>
              <w:rPr>
                <w:rFonts w:cs="Times New Roman"/>
              </w:rPr>
              <w:t>n</w:t>
            </w:r>
            <w:r w:rsidRPr="00211504">
              <w:rPr>
                <w:rFonts w:cs="Times New Roman"/>
              </w:rPr>
              <w:t xml:space="preserve">acional como anexos a la radicación del decreto de conmoción interior, como los resultados de los ACCAM 38 </w:t>
            </w:r>
            <w:r w:rsidRPr="00211504">
              <w:rPr>
                <w:rFonts w:cs="Times New Roman"/>
              </w:rPr>
              <w:lastRenderedPageBreak/>
              <w:t>a 43 y la información que remitió la dirección de planificación estratégica del Ministerio de Defensa Nacional</w:t>
            </w:r>
            <w:r w:rsidRPr="00211504">
              <w:rPr>
                <w:rFonts w:cs="Times New Roman"/>
                <w:vertAlign w:val="superscript"/>
              </w:rPr>
              <w:footnoteReference w:id="1075"/>
            </w:r>
            <w:r w:rsidRPr="00211504">
              <w:rPr>
                <w:rFonts w:cs="Times New Roman"/>
              </w:rPr>
              <w:t xml:space="preserve">, </w:t>
            </w:r>
            <w:r w:rsidRPr="00211504">
              <w:rPr>
                <w:rFonts w:cs="Times New Roman"/>
                <w:i/>
              </w:rPr>
              <w:t xml:space="preserve">(ii) </w:t>
            </w:r>
            <w:r w:rsidRPr="00211504">
              <w:rPr>
                <w:rFonts w:cs="Times New Roman"/>
              </w:rPr>
              <w:t>hubo un incremento de los cultivos de uso ilícito en la región del Catatumbo, como evidenciarían documentos del Ministerio de Justicia y del Derecho, de la UNODC, y de la Policía Nacional referidos a períodos, especialmente, entre 2020 y 2024</w:t>
            </w:r>
            <w:r w:rsidRPr="00211504">
              <w:rPr>
                <w:rFonts w:cs="Times New Roman"/>
                <w:vertAlign w:val="superscript"/>
              </w:rPr>
              <w:footnoteReference w:id="1076"/>
            </w:r>
            <w:r w:rsidRPr="00211504">
              <w:rPr>
                <w:rFonts w:cs="Times New Roman"/>
              </w:rPr>
              <w:t xml:space="preserve">, </w:t>
            </w:r>
            <w:r w:rsidRPr="00211504">
              <w:rPr>
                <w:rFonts w:cs="Times New Roman"/>
                <w:i/>
              </w:rPr>
              <w:t xml:space="preserve">(iii) </w:t>
            </w:r>
            <w:r w:rsidRPr="00211504">
              <w:rPr>
                <w:rFonts w:cs="Times New Roman"/>
              </w:rPr>
              <w:t>surgieron nuevas dinámicas en el conflicto armado, con un incremento importante del desplazamiento y confinamiento forzados y ataques contra la población civil, como lo demostraría la alerta de situación humanitaria de la Oficina de las Naciones Unidas para la Coordinación de Asuntos Humanitarios</w:t>
            </w:r>
            <w:r w:rsidRPr="00211504">
              <w:rPr>
                <w:rFonts w:cs="Times New Roman"/>
                <w:vertAlign w:val="superscript"/>
              </w:rPr>
              <w:footnoteReference w:id="1077"/>
            </w:r>
            <w:r w:rsidRPr="00211504">
              <w:rPr>
                <w:rFonts w:cs="Times New Roman"/>
              </w:rPr>
              <w:t xml:space="preserve">, </w:t>
            </w:r>
            <w:r w:rsidRPr="00211504">
              <w:rPr>
                <w:rFonts w:cs="Times New Roman"/>
                <w:i/>
              </w:rPr>
              <w:t xml:space="preserve">(iv) </w:t>
            </w:r>
            <w:r w:rsidRPr="00211504">
              <w:rPr>
                <w:rFonts w:cs="Times New Roman"/>
              </w:rPr>
              <w:t>aparecieron bloqueos institucionales que impiden la protección de líderes sociales</w:t>
            </w:r>
            <w:r w:rsidRPr="00211504">
              <w:rPr>
                <w:rFonts w:cs="Times New Roman"/>
                <w:vertAlign w:val="superscript"/>
              </w:rPr>
              <w:footnoteReference w:id="1078"/>
            </w:r>
            <w:r w:rsidRPr="00211504">
              <w:rPr>
                <w:rFonts w:cs="Times New Roman"/>
              </w:rPr>
              <w:t xml:space="preserve">, </w:t>
            </w:r>
            <w:r w:rsidRPr="00211504">
              <w:rPr>
                <w:rFonts w:cs="Times New Roman"/>
                <w:i/>
              </w:rPr>
              <w:t xml:space="preserve">(v) </w:t>
            </w:r>
            <w:r w:rsidRPr="00211504">
              <w:rPr>
                <w:rFonts w:cs="Times New Roman"/>
              </w:rPr>
              <w:t>los esquemas de protección a cargo de la UNP incrementaron significativamente</w:t>
            </w:r>
            <w:r w:rsidRPr="00211504">
              <w:rPr>
                <w:rFonts w:cs="Times New Roman"/>
                <w:vertAlign w:val="superscript"/>
              </w:rPr>
              <w:footnoteReference w:id="1079"/>
            </w:r>
            <w:r w:rsidRPr="00211504">
              <w:rPr>
                <w:rFonts w:cs="Times New Roman"/>
              </w:rPr>
              <w:t xml:space="preserve">, </w:t>
            </w:r>
            <w:r w:rsidRPr="00211504">
              <w:rPr>
                <w:rFonts w:cs="Times New Roman"/>
                <w:i/>
              </w:rPr>
              <w:t xml:space="preserve">(vi) </w:t>
            </w:r>
            <w:r w:rsidRPr="00211504">
              <w:rPr>
                <w:rFonts w:cs="Times New Roman"/>
              </w:rPr>
              <w:t>los índices de homicidios contra firmantes de paz incrementaron y son altos</w:t>
            </w:r>
            <w:r w:rsidRPr="00211504">
              <w:rPr>
                <w:rFonts w:cs="Times New Roman"/>
                <w:vertAlign w:val="superscript"/>
              </w:rPr>
              <w:footnoteReference w:id="1080"/>
            </w:r>
            <w:r w:rsidRPr="00211504">
              <w:rPr>
                <w:rFonts w:cs="Times New Roman"/>
              </w:rPr>
              <w:t xml:space="preserve">, </w:t>
            </w:r>
            <w:r w:rsidRPr="00211504">
              <w:rPr>
                <w:rFonts w:cs="Times New Roman"/>
                <w:i/>
              </w:rPr>
              <w:t xml:space="preserve">(vi) </w:t>
            </w:r>
            <w:r w:rsidRPr="00211504">
              <w:rPr>
                <w:rFonts w:cs="Times New Roman"/>
              </w:rPr>
              <w:t xml:space="preserve">tropas de grupos ilegales comenzaron a movilizarse para llevar a cabo acciones criminales, y </w:t>
            </w:r>
            <w:r w:rsidRPr="00211504">
              <w:rPr>
                <w:rFonts w:cs="Times New Roman"/>
                <w:i/>
              </w:rPr>
              <w:t xml:space="preserve">(vii) </w:t>
            </w:r>
            <w:r w:rsidRPr="00211504">
              <w:rPr>
                <w:rFonts w:cs="Times New Roman"/>
              </w:rPr>
              <w:t>la crisis de orden público desde el 16 de enero de 2025</w:t>
            </w:r>
            <w:r w:rsidRPr="00211504">
              <w:rPr>
                <w:rFonts w:cs="Times New Roman"/>
                <w:vertAlign w:val="superscript"/>
              </w:rPr>
              <w:footnoteReference w:id="1081"/>
            </w:r>
            <w:r w:rsidRPr="00211504">
              <w:rPr>
                <w:rFonts w:cs="Times New Roman"/>
              </w:rPr>
              <w:t xml:space="preserve"> se </w:t>
            </w:r>
            <w:r w:rsidRPr="00211504">
              <w:rPr>
                <w:rFonts w:cs="Times New Roman"/>
              </w:rPr>
              <w:lastRenderedPageBreak/>
              <w:t>intensificó, por ejemplo, con un incremento sustancial de homicidios, las lesiones personales y las desapariciones forzadas. Además, en este período surgió la necesidad urgente de evacuar población en riesgo y la dificultad para recoger e identificar cuerpos. En particular, los intervinientes se refirieron al desbordamiento institucional del que dio cuenta Migración Colombia, al afirmar que “el volumen de personas que requieren atención supera significativamente los recursos […] disponibles”</w:t>
            </w:r>
            <w:r w:rsidRPr="00211504">
              <w:rPr>
                <w:rFonts w:cs="Times New Roman"/>
                <w:vertAlign w:val="superscript"/>
              </w:rPr>
              <w:footnoteReference w:id="1082"/>
            </w:r>
            <w:r w:rsidRPr="00211504">
              <w:rPr>
                <w:rFonts w:cs="Times New Roman"/>
              </w:rPr>
              <w:t>.</w:t>
            </w:r>
          </w:p>
          <w:p w14:paraId="098E8F6C" w14:textId="77777777" w:rsidR="00C454A1" w:rsidRPr="00211504" w:rsidRDefault="00C454A1" w:rsidP="00881E6A">
            <w:pPr>
              <w:spacing w:after="120"/>
              <w:ind w:right="272"/>
              <w:contextualSpacing/>
              <w:rPr>
                <w:rFonts w:cs="Times New Roman"/>
              </w:rPr>
            </w:pPr>
          </w:p>
          <w:p w14:paraId="3D20E598" w14:textId="77777777" w:rsidR="00C454A1" w:rsidRPr="00211504" w:rsidRDefault="00C454A1" w:rsidP="00881E6A">
            <w:pPr>
              <w:spacing w:after="120"/>
              <w:ind w:right="272"/>
              <w:contextualSpacing/>
              <w:rPr>
                <w:rFonts w:cs="Times New Roman"/>
              </w:rPr>
            </w:pPr>
            <w:r w:rsidRPr="00211504">
              <w:rPr>
                <w:rFonts w:cs="Times New Roman"/>
              </w:rPr>
              <w:t xml:space="preserve">Sobre el presupuesto </w:t>
            </w:r>
            <w:r w:rsidRPr="00211504">
              <w:rPr>
                <w:rFonts w:cs="Times New Roman"/>
                <w:i/>
                <w:iCs/>
              </w:rPr>
              <w:t>valorativo</w:t>
            </w:r>
            <w:r w:rsidRPr="00211504">
              <w:rPr>
                <w:rFonts w:cs="Times New Roman"/>
              </w:rPr>
              <w:t>, argumentaron que la “intensificación de ciertos hechos de violencia” preexistentes, como los ocurridos en el Catatumbo, es suficiente para acreditar los elementos de gravedad e inminencia de la perturbación del orden público para efectos de declarar el estado de conmoción interior</w:t>
            </w:r>
            <w:r w:rsidRPr="00211504">
              <w:rPr>
                <w:rFonts w:cs="Times New Roman"/>
                <w:vertAlign w:val="superscript"/>
              </w:rPr>
              <w:footnoteReference w:id="1083"/>
            </w:r>
            <w:r w:rsidRPr="00211504">
              <w:rPr>
                <w:rFonts w:cs="Times New Roman"/>
              </w:rPr>
              <w:t>. En especial, sostuvieron que el Decreto 062 de 2025 cumplió el presupuesto valorativo, pues tuvo lugar “</w:t>
            </w:r>
            <w:r w:rsidRPr="00211504">
              <w:rPr>
                <w:rFonts w:cs="Times New Roman"/>
                <w:i/>
              </w:rPr>
              <w:t xml:space="preserve">(i) </w:t>
            </w:r>
            <w:r w:rsidRPr="00211504">
              <w:rPr>
                <w:rFonts w:cs="Times New Roman"/>
              </w:rPr>
              <w:t xml:space="preserve">un agravamiento en la perturbación del orden público; </w:t>
            </w:r>
            <w:r w:rsidRPr="00211504">
              <w:rPr>
                <w:rFonts w:cs="Times New Roman"/>
                <w:i/>
              </w:rPr>
              <w:t xml:space="preserve">(ii) </w:t>
            </w:r>
            <w:r w:rsidRPr="00211504">
              <w:rPr>
                <w:rFonts w:cs="Times New Roman"/>
              </w:rPr>
              <w:t xml:space="preserve">causado, entre otros factores, por la intensificación de hechos o situaciones de violencia previamente existentes —hechos excepcionales o extraordinarios—, y </w:t>
            </w:r>
            <w:r w:rsidRPr="00211504">
              <w:rPr>
                <w:rFonts w:cs="Times New Roman"/>
                <w:i/>
              </w:rPr>
              <w:t xml:space="preserve">(iii) </w:t>
            </w:r>
            <w:r w:rsidRPr="00211504">
              <w:rPr>
                <w:rFonts w:cs="Times New Roman"/>
              </w:rPr>
              <w:t>cuando tales hechos tienen la virtualidad de atentar de manera inminente contra la estabilidad institucional, la seguridad del Estado o la convivencia ciudadana”</w:t>
            </w:r>
            <w:r w:rsidRPr="00211504">
              <w:rPr>
                <w:rFonts w:cs="Times New Roman"/>
                <w:vertAlign w:val="superscript"/>
              </w:rPr>
              <w:footnoteReference w:id="1084"/>
            </w:r>
            <w:r w:rsidRPr="00211504">
              <w:rPr>
                <w:rFonts w:cs="Times New Roman"/>
              </w:rPr>
              <w:t>. Los intervinientes esgrimieron que a inicios de 2025 se desató una fuerte confrontación entre varios grupos organizados en el Catatumbo, en la que el ELN desató “una imprevisible y violenta ofensiva contra la población civil líderes sociales y, especialmente, contra los firmantes del acuerdo final de paz en la región”</w:t>
            </w:r>
            <w:r w:rsidRPr="00211504">
              <w:rPr>
                <w:rFonts w:cs="Times New Roman"/>
                <w:vertAlign w:val="superscript"/>
              </w:rPr>
              <w:footnoteReference w:id="1085"/>
            </w:r>
            <w:r w:rsidRPr="00211504">
              <w:rPr>
                <w:rFonts w:cs="Times New Roman"/>
              </w:rPr>
              <w:t xml:space="preserve"> (énfasis propio). En especial, señalaron que este carácter imprevisible e </w:t>
            </w:r>
            <w:r w:rsidRPr="00211504">
              <w:rPr>
                <w:rFonts w:cs="Times New Roman"/>
              </w:rPr>
              <w:lastRenderedPageBreak/>
              <w:t xml:space="preserve">inusual se revela en que: </w:t>
            </w:r>
            <w:r w:rsidRPr="00211504">
              <w:rPr>
                <w:rFonts w:cs="Times New Roman"/>
                <w:i/>
              </w:rPr>
              <w:t xml:space="preserve">(i) </w:t>
            </w:r>
            <w:r w:rsidRPr="00211504">
              <w:rPr>
                <w:rFonts w:cs="Times New Roman"/>
              </w:rPr>
              <w:t xml:space="preserve">después de tres años de calma, en solo 19 días los grupos armados presentaron 12 enfrentamientos, </w:t>
            </w:r>
            <w:r w:rsidRPr="00211504">
              <w:rPr>
                <w:rFonts w:cs="Times New Roman"/>
                <w:i/>
              </w:rPr>
              <w:t xml:space="preserve">(ii) </w:t>
            </w:r>
            <w:r w:rsidRPr="00211504">
              <w:rPr>
                <w:rFonts w:cs="Times New Roman"/>
              </w:rPr>
              <w:t xml:space="preserve">entre el 1 de enero de 2025 y la declaración del estado de conmoción interior, hubo ataques contra 6 firmantes de paz, </w:t>
            </w:r>
            <w:r w:rsidRPr="00211504">
              <w:rPr>
                <w:rFonts w:cs="Times New Roman"/>
                <w:i/>
              </w:rPr>
              <w:t xml:space="preserve">(iii) </w:t>
            </w:r>
            <w:r w:rsidRPr="00211504">
              <w:rPr>
                <w:rFonts w:cs="Times New Roman"/>
              </w:rPr>
              <w:t>70 homicidios tuvieron lugar hasta febrero de 2025, junto a cerca de 54.000 desplazamientos y 24.000 confinamientos</w:t>
            </w:r>
            <w:r w:rsidRPr="00211504">
              <w:rPr>
                <w:rFonts w:cs="Times New Roman"/>
                <w:vertAlign w:val="superscript"/>
              </w:rPr>
              <w:footnoteReference w:id="1086"/>
            </w:r>
            <w:r w:rsidRPr="00211504">
              <w:rPr>
                <w:rFonts w:cs="Times New Roman"/>
              </w:rPr>
              <w:t>. Por ende, a pesar de la presencia histórica de grupos armados en el Catatumbo, “no se registraba un nivel de violencia contra la población civil como el ocurrido a partir del 15 de enero de 2025, materializado —cabe reiterarlo una vez más— en homicidios, desaparecimientos, desplazamiento masivo, resguardo y confinamientos”</w:t>
            </w:r>
            <w:r w:rsidRPr="00211504">
              <w:rPr>
                <w:rFonts w:cs="Times New Roman"/>
                <w:vertAlign w:val="superscript"/>
              </w:rPr>
              <w:footnoteReference w:id="1087"/>
            </w:r>
            <w:r w:rsidRPr="00211504">
              <w:rPr>
                <w:rFonts w:cs="Times New Roman"/>
              </w:rPr>
              <w:t>. Por otro lado, los intervinientes alegaron que la crisis de orden público en el Catatumbo ha afectado la infraestructura y perjudicado la prestación de servicios públicos, al tiempo que ha supuesto un riesgo significativo para la gestión de las reservas de gas y petróleo de la Nación</w:t>
            </w:r>
            <w:r w:rsidRPr="00211504">
              <w:rPr>
                <w:rFonts w:cs="Times New Roman"/>
                <w:vertAlign w:val="superscript"/>
              </w:rPr>
              <w:footnoteReference w:id="1088"/>
            </w:r>
            <w:r w:rsidRPr="00211504">
              <w:rPr>
                <w:rFonts w:cs="Times New Roman"/>
              </w:rPr>
              <w:t>. Aseguraron que, “durante los últimos años, los grupos armados ilegales, y en particular el ELN, han venido incrementando su capacidad militar para realizar ataques coordinados como los ocurridos a partir del 15 de enero de 2025”</w:t>
            </w:r>
            <w:r w:rsidRPr="00211504">
              <w:rPr>
                <w:rFonts w:cs="Times New Roman"/>
                <w:vertAlign w:val="superscript"/>
              </w:rPr>
              <w:footnoteReference w:id="1089"/>
            </w:r>
            <w:r w:rsidRPr="00211504">
              <w:rPr>
                <w:rFonts w:cs="Times New Roman"/>
              </w:rPr>
              <w:t>.</w:t>
            </w:r>
          </w:p>
          <w:p w14:paraId="3214DD60" w14:textId="77777777" w:rsidR="00C454A1" w:rsidRPr="00211504" w:rsidRDefault="00C454A1" w:rsidP="00881E6A">
            <w:pPr>
              <w:spacing w:after="120"/>
              <w:ind w:right="272"/>
              <w:contextualSpacing/>
              <w:rPr>
                <w:rFonts w:cs="Times New Roman"/>
              </w:rPr>
            </w:pPr>
          </w:p>
          <w:p w14:paraId="657D6797" w14:textId="77777777" w:rsidR="00C454A1" w:rsidRPr="00211504" w:rsidRDefault="00C454A1" w:rsidP="00881E6A">
            <w:pPr>
              <w:spacing w:after="120"/>
              <w:ind w:right="272"/>
              <w:contextualSpacing/>
              <w:rPr>
                <w:rFonts w:cs="Times New Roman"/>
              </w:rPr>
            </w:pPr>
            <w:r w:rsidRPr="00211504">
              <w:rPr>
                <w:rFonts w:cs="Times New Roman"/>
              </w:rPr>
              <w:t xml:space="preserve">Sobre el presupuesto </w:t>
            </w:r>
            <w:r w:rsidRPr="00211504">
              <w:rPr>
                <w:rFonts w:cs="Times New Roman"/>
                <w:i/>
                <w:iCs/>
              </w:rPr>
              <w:t>suficiencia</w:t>
            </w:r>
            <w:r w:rsidRPr="00211504">
              <w:rPr>
                <w:rFonts w:cs="Times New Roman"/>
              </w:rPr>
              <w:t>, en su concepto este juicio supone “ponderar objetivamente y de manera general” si la apreciación sobre la insuficiencia de medidas ordinarias “es arbitraria o si es producto de un error manifiesto sobre, por ejemplo, la gravedad de los hechos”</w:t>
            </w:r>
            <w:r w:rsidRPr="00211504">
              <w:rPr>
                <w:rStyle w:val="Refdenotaalpie"/>
                <w:rFonts w:cs="Times New Roman"/>
              </w:rPr>
              <w:footnoteReference w:id="1090"/>
            </w:r>
            <w:r w:rsidRPr="00211504">
              <w:rPr>
                <w:rFonts w:cs="Times New Roman"/>
              </w:rPr>
              <w:t>. Por lo anterior, este juicio no supone un análisis de “cada una de las medidas que se anuncian en el decreto para ser adoptadas posteriormente”</w:t>
            </w:r>
            <w:r w:rsidRPr="00211504">
              <w:rPr>
                <w:rStyle w:val="Refdenotaalpie"/>
                <w:rFonts w:cs="Times New Roman"/>
              </w:rPr>
              <w:footnoteReference w:id="1091"/>
            </w:r>
            <w:r w:rsidRPr="00211504">
              <w:rPr>
                <w:rFonts w:cs="Times New Roman"/>
              </w:rPr>
              <w:t>. En este sentido, los intervinientes aseguraron que el decreto de conmoción interior satisfizo el requisito de suficiencia, pues al margen de “problemas estructurales que deben atenderse con políticas públicas ordinarias”, el agravamiento de la violencia en la región desbordó las capacidades institucionales ordinarias</w:t>
            </w:r>
            <w:r w:rsidRPr="00211504">
              <w:rPr>
                <w:rStyle w:val="Refdenotaalpie"/>
                <w:rFonts w:cs="Times New Roman"/>
              </w:rPr>
              <w:footnoteReference w:id="1092"/>
            </w:r>
            <w:r w:rsidRPr="00211504">
              <w:rPr>
                <w:rFonts w:cs="Times New Roman"/>
              </w:rPr>
              <w:t xml:space="preserve">. Según los intervinientes, las medidas que </w:t>
            </w:r>
            <w:r w:rsidRPr="00211504">
              <w:rPr>
                <w:rFonts w:cs="Times New Roman"/>
              </w:rPr>
              <w:lastRenderedPageBreak/>
              <w:t xml:space="preserve">adoptó el Gobierno </w:t>
            </w:r>
            <w:r>
              <w:rPr>
                <w:rFonts w:cs="Times New Roman"/>
              </w:rPr>
              <w:t>n</w:t>
            </w:r>
            <w:r w:rsidRPr="00211504">
              <w:rPr>
                <w:rFonts w:cs="Times New Roman"/>
              </w:rPr>
              <w:t>acional incluyeron las actividades de la Policía Nacional, de la Policía Judicial, las operaciones defensivas y ofensivas de las Fuerzas Militares, la recuperación y protección de 500 personas civiles amenazadas, la focalización del PNIS para la región, las inversiones, los proyectos y las políticas públicas para la región, y los esfuerzos interinstitucionales de la Fuerza Pública y las autoridades locales para estabilizar la región.</w:t>
            </w:r>
          </w:p>
          <w:p w14:paraId="16FC0325" w14:textId="77777777" w:rsidR="00C454A1" w:rsidRPr="00211504" w:rsidRDefault="00C454A1" w:rsidP="00881E6A">
            <w:pPr>
              <w:spacing w:after="120"/>
              <w:ind w:right="272"/>
              <w:contextualSpacing/>
              <w:rPr>
                <w:rFonts w:cs="Times New Roman"/>
              </w:rPr>
            </w:pPr>
          </w:p>
          <w:p w14:paraId="5D115C82" w14:textId="77777777" w:rsidR="00C454A1" w:rsidRPr="00211504" w:rsidRDefault="00C454A1" w:rsidP="00881E6A">
            <w:pPr>
              <w:spacing w:after="120"/>
              <w:ind w:right="272"/>
              <w:contextualSpacing/>
              <w:rPr>
                <w:rFonts w:cs="Times New Roman"/>
              </w:rPr>
            </w:pPr>
            <w:r w:rsidRPr="00211504">
              <w:rPr>
                <w:rFonts w:cs="Times New Roman"/>
              </w:rPr>
              <w:t>Sin embargo, como señaló el decreto, no ha sido posible detener el agravamiento de la situación, la cual ha supuesto un “giro cualitativo” inusitado que agravó súbita y perjudicialmente el conflicto que, desde 2016, había comenzado a ceder</w:t>
            </w:r>
            <w:r w:rsidRPr="00211504">
              <w:rPr>
                <w:rStyle w:val="Refdenotaalpie"/>
                <w:rFonts w:cs="Times New Roman"/>
              </w:rPr>
              <w:footnoteReference w:id="1093"/>
            </w:r>
            <w:r w:rsidRPr="00211504">
              <w:rPr>
                <w:rFonts w:cs="Times New Roman"/>
              </w:rPr>
              <w:t xml:space="preserve">. Por ende, es necesario </w:t>
            </w:r>
            <w:r w:rsidRPr="00211504">
              <w:rPr>
                <w:rFonts w:cs="Times New Roman"/>
                <w:i/>
                <w:iCs/>
              </w:rPr>
              <w:t xml:space="preserve">(i) </w:t>
            </w:r>
            <w:r w:rsidRPr="00211504">
              <w:rPr>
                <w:rFonts w:cs="Times New Roman"/>
              </w:rPr>
              <w:t xml:space="preserve">reforzar las acciones de la Fuerza Pública para llevar a cabo labores de inteligencia, recuperar el control del territorio y del espacio aéreo, así como para evacuar a personas bajo amenaza, </w:t>
            </w:r>
            <w:r w:rsidRPr="00211504">
              <w:rPr>
                <w:rFonts w:cs="Times New Roman"/>
                <w:i/>
                <w:iCs/>
              </w:rPr>
              <w:t xml:space="preserve">(ii) </w:t>
            </w:r>
            <w:r w:rsidRPr="00211504">
              <w:rPr>
                <w:rFonts w:cs="Times New Roman"/>
              </w:rPr>
              <w:t xml:space="preserve">superar la “imposibilidad” de las autoridades para recolectar e identificar víctimas mortales en el territorio, </w:t>
            </w:r>
            <w:r w:rsidRPr="00211504">
              <w:rPr>
                <w:rFonts w:cs="Times New Roman"/>
                <w:i/>
                <w:iCs/>
              </w:rPr>
              <w:t xml:space="preserve">(iii) </w:t>
            </w:r>
            <w:r w:rsidRPr="00211504">
              <w:rPr>
                <w:rFonts w:cs="Times New Roman"/>
              </w:rPr>
              <w:t xml:space="preserve">apoyar a las autoridades locales para atender a las personas desplazadas, en especial, a sujetos de especial protección en medio de la crisis humanitaria, </w:t>
            </w:r>
            <w:r w:rsidRPr="00211504">
              <w:rPr>
                <w:rFonts w:cs="Times New Roman"/>
                <w:i/>
                <w:iCs/>
              </w:rPr>
              <w:t xml:space="preserve">(iv) </w:t>
            </w:r>
            <w:r w:rsidRPr="00211504">
              <w:rPr>
                <w:rFonts w:cs="Times New Roman"/>
              </w:rPr>
              <w:t xml:space="preserve">contribuir al control de los desplazamientos transfronterizos hacia Venezuela, y </w:t>
            </w:r>
            <w:r w:rsidRPr="00211504">
              <w:rPr>
                <w:rFonts w:cs="Times New Roman"/>
                <w:i/>
                <w:iCs/>
              </w:rPr>
              <w:t xml:space="preserve">(v) </w:t>
            </w:r>
            <w:r w:rsidRPr="00211504">
              <w:rPr>
                <w:rFonts w:cs="Times New Roman"/>
              </w:rPr>
              <w:t>asegurar la protección del medio ambiente, el cumplimiento del PNIS, la adecuada contratación pública, la satisfacción de los compromisos de paz, y la destinación extraordinaria de recursos del Presupuesto General de la Nación, Sistema General de Participaciones y del Sistema General de Regalías para superar la crisis. Por todo lo anterior, los intervinientes concluyeron que las facultades extraordinarias “no resultan arbitrarias ni son consecuencia de un error manifiesto [del Presidente] en su apreciación”</w:t>
            </w:r>
            <w:r w:rsidRPr="00211504">
              <w:rPr>
                <w:rStyle w:val="Refdenotaalpie"/>
                <w:rFonts w:cs="Times New Roman"/>
              </w:rPr>
              <w:footnoteReference w:id="1094"/>
            </w:r>
            <w:r w:rsidRPr="00211504">
              <w:rPr>
                <w:rFonts w:cs="Times New Roman"/>
              </w:rPr>
              <w:t>.</w:t>
            </w:r>
          </w:p>
          <w:p w14:paraId="7E16DEA9" w14:textId="77777777" w:rsidR="00C454A1" w:rsidRPr="00211504" w:rsidRDefault="00C454A1" w:rsidP="00881E6A">
            <w:pPr>
              <w:spacing w:after="120"/>
              <w:ind w:right="272"/>
              <w:contextualSpacing/>
              <w:rPr>
                <w:rFonts w:cs="Times New Roman"/>
              </w:rPr>
            </w:pPr>
          </w:p>
          <w:p w14:paraId="4E68E7C3" w14:textId="77777777" w:rsidR="00C454A1" w:rsidRPr="00211504" w:rsidRDefault="00C454A1" w:rsidP="00881E6A">
            <w:pPr>
              <w:spacing w:after="120"/>
              <w:ind w:right="272"/>
              <w:contextualSpacing/>
              <w:rPr>
                <w:rFonts w:cs="Times New Roman"/>
              </w:rPr>
            </w:pPr>
            <w:r w:rsidRPr="00211504">
              <w:rPr>
                <w:rFonts w:cs="Times New Roman"/>
              </w:rPr>
              <w:t>Los intervinientes solicitaron “a la honorable Corte Constitucional que requiera” a la Dirección Nacional de Inteligencia información sobre la movilización de tropas para emprender acciones criminales, puesto que esta “es reservada y la resguarda, de manera exclusiva” tal entidad</w:t>
            </w:r>
            <w:r w:rsidRPr="00211504">
              <w:rPr>
                <w:rStyle w:val="Refdenotaalpie"/>
                <w:rFonts w:cs="Times New Roman"/>
              </w:rPr>
              <w:footnoteReference w:id="1095"/>
            </w:r>
            <w:r w:rsidRPr="00211504">
              <w:rPr>
                <w:rFonts w:cs="Times New Roman"/>
              </w:rPr>
              <w:t>.</w:t>
            </w:r>
          </w:p>
        </w:tc>
      </w:tr>
      <w:tr w:rsidR="00C454A1" w:rsidRPr="00F8202F" w14:paraId="6E94F29A" w14:textId="77777777" w:rsidTr="005F4A6F">
        <w:trPr>
          <w:trHeight w:val="300"/>
        </w:trPr>
        <w:tc>
          <w:tcPr>
            <w:tcW w:w="813" w:type="pct"/>
            <w:vAlign w:val="center"/>
          </w:tcPr>
          <w:p w14:paraId="1739E8E6" w14:textId="77777777" w:rsidR="00C454A1" w:rsidRPr="00211504" w:rsidRDefault="00C454A1" w:rsidP="00881E6A">
            <w:pPr>
              <w:spacing w:after="120"/>
              <w:ind w:right="272"/>
              <w:contextualSpacing/>
              <w:jc w:val="center"/>
              <w:rPr>
                <w:rFonts w:cs="Times New Roman"/>
                <w:b/>
              </w:rPr>
            </w:pPr>
            <w:r w:rsidRPr="00211504">
              <w:rPr>
                <w:rFonts w:cs="Times New Roman"/>
                <w:b/>
                <w:bCs/>
              </w:rPr>
              <w:lastRenderedPageBreak/>
              <w:t xml:space="preserve">Federación Nacional de </w:t>
            </w:r>
            <w:r w:rsidRPr="00211504">
              <w:rPr>
                <w:rFonts w:cs="Times New Roman"/>
                <w:b/>
                <w:bCs/>
              </w:rPr>
              <w:lastRenderedPageBreak/>
              <w:t>Comerciantes Empresarios - FENALCO</w:t>
            </w:r>
          </w:p>
        </w:tc>
        <w:tc>
          <w:tcPr>
            <w:tcW w:w="4187" w:type="pct"/>
          </w:tcPr>
          <w:p w14:paraId="23A87D39" w14:textId="77777777" w:rsidR="00C454A1" w:rsidRPr="00211504" w:rsidRDefault="00C454A1" w:rsidP="00881E6A">
            <w:pPr>
              <w:ind w:right="272"/>
              <w:contextualSpacing/>
              <w:rPr>
                <w:rFonts w:eastAsia="Times New Roman" w:cs="Times New Roman"/>
              </w:rPr>
            </w:pPr>
            <w:r w:rsidRPr="00211504">
              <w:rPr>
                <w:rFonts w:eastAsia="Times New Roman" w:cs="Times New Roman"/>
              </w:rPr>
              <w:lastRenderedPageBreak/>
              <w:t xml:space="preserve">Solicitó a la Corte declarar la </w:t>
            </w:r>
            <w:r w:rsidRPr="00211504">
              <w:rPr>
                <w:rFonts w:eastAsia="Times New Roman" w:cs="Times New Roman"/>
                <w:i/>
              </w:rPr>
              <w:t>inexequibilidad</w:t>
            </w:r>
            <w:r w:rsidRPr="00211504">
              <w:rPr>
                <w:rFonts w:eastAsia="Times New Roman" w:cs="Times New Roman"/>
              </w:rPr>
              <w:t xml:space="preserve"> del Decreto 062 de 2025 porque, en su criterio, no cumple con los presupuestos </w:t>
            </w:r>
            <w:r w:rsidRPr="00211504">
              <w:rPr>
                <w:rFonts w:eastAsia="Times New Roman" w:cs="Times New Roman"/>
                <w:i/>
              </w:rPr>
              <w:t>fáctico</w:t>
            </w:r>
            <w:r w:rsidRPr="00211504">
              <w:rPr>
                <w:rFonts w:eastAsia="Times New Roman" w:cs="Times New Roman"/>
              </w:rPr>
              <w:t xml:space="preserve">, </w:t>
            </w:r>
            <w:r w:rsidRPr="00211504">
              <w:rPr>
                <w:rFonts w:eastAsia="Times New Roman" w:cs="Times New Roman"/>
                <w:i/>
              </w:rPr>
              <w:t xml:space="preserve">valorativo </w:t>
            </w:r>
            <w:r w:rsidRPr="00211504">
              <w:rPr>
                <w:rFonts w:eastAsia="Times New Roman" w:cs="Times New Roman"/>
                <w:iCs/>
              </w:rPr>
              <w:t>y de</w:t>
            </w:r>
            <w:r w:rsidRPr="00211504">
              <w:rPr>
                <w:rFonts w:eastAsia="Times New Roman" w:cs="Times New Roman"/>
              </w:rPr>
              <w:t xml:space="preserve"> </w:t>
            </w:r>
            <w:r w:rsidRPr="00211504">
              <w:rPr>
                <w:rFonts w:eastAsia="Times New Roman" w:cs="Times New Roman"/>
                <w:i/>
              </w:rPr>
              <w:t>insuficiencia de las prerrogativas ordinarias</w:t>
            </w:r>
            <w:r w:rsidRPr="00211504">
              <w:rPr>
                <w:rFonts w:eastAsia="Times New Roman" w:cs="Times New Roman"/>
              </w:rPr>
              <w:t xml:space="preserve">. </w:t>
            </w:r>
          </w:p>
          <w:p w14:paraId="11D8B9FE" w14:textId="77777777" w:rsidR="00C454A1" w:rsidRPr="00211504" w:rsidRDefault="00C454A1" w:rsidP="00881E6A">
            <w:pPr>
              <w:ind w:right="272"/>
              <w:contextualSpacing/>
              <w:rPr>
                <w:rFonts w:eastAsia="Times New Roman" w:cs="Times New Roman"/>
              </w:rPr>
            </w:pPr>
          </w:p>
          <w:p w14:paraId="42640749" w14:textId="77777777" w:rsidR="00C454A1" w:rsidRPr="00211504" w:rsidRDefault="00C454A1" w:rsidP="005F4A6F">
            <w:pPr>
              <w:pStyle w:val="Prrafodelista"/>
              <w:numPr>
                <w:ilvl w:val="0"/>
                <w:numId w:val="79"/>
              </w:numPr>
              <w:ind w:left="544" w:right="272" w:hanging="567"/>
              <w:rPr>
                <w:rFonts w:eastAsia="Times New Roman" w:cs="Times New Roman"/>
              </w:rPr>
            </w:pPr>
            <w:r w:rsidRPr="00211504">
              <w:rPr>
                <w:rFonts w:eastAsia="Times New Roman" w:cs="Times New Roman"/>
                <w:i/>
                <w:iCs/>
              </w:rPr>
              <w:t>Incumplimiento del presupuesto fáctico</w:t>
            </w:r>
            <w:r w:rsidRPr="00211504">
              <w:rPr>
                <w:rFonts w:eastAsia="Times New Roman" w:cs="Times New Roman"/>
                <w:i/>
              </w:rPr>
              <w:t xml:space="preserve">. </w:t>
            </w:r>
            <w:r w:rsidRPr="00211504">
              <w:rPr>
                <w:rFonts w:eastAsia="Times New Roman" w:cs="Times New Roman"/>
              </w:rPr>
              <w:t>Señaló que, si bien, los asesinatos, las desapariciones y los desplazamientos forzados, constituyen hechos de evidente gravedad que exigen la atención inmediata del Estado, en todo caso son situaciones que “no cumplen con el requisito constitucional de ser sobrevinientes y extraordinarias”. Esto, porque “tanto la declaratoria de estado inconstitucional de cosas, de la sentencia SU-020, como la Aletra Temprana, del 15 de noviembre de 2024 advirtieron sobre la alta posibilidad de que se materializaran las situaciones allí advertidas”</w:t>
            </w:r>
            <w:r w:rsidRPr="00211504">
              <w:rPr>
                <w:rStyle w:val="Refdenotaalpie"/>
                <w:rFonts w:eastAsia="Times New Roman" w:cs="Times New Roman"/>
              </w:rPr>
              <w:footnoteReference w:id="1096"/>
            </w:r>
            <w:r w:rsidRPr="00211504">
              <w:rPr>
                <w:rFonts w:eastAsia="Times New Roman" w:cs="Times New Roman"/>
              </w:rPr>
              <w:t xml:space="preserve">. Consideró que, “[s]alta a la vista que de actuar con diligencia, conocida como era la situación del Catatumbo, en el período comprendido entre el 15 de noviembre de 2024 y el 31 de diciembre del mismo año, el trámite legislativo hubiera permitido la aprobación de estos tributos o su negativa”. Además, llamó la atención frente a que el </w:t>
            </w:r>
            <w:r>
              <w:rPr>
                <w:rFonts w:eastAsia="Times New Roman" w:cs="Times New Roman"/>
              </w:rPr>
              <w:t>G</w:t>
            </w:r>
            <w:r w:rsidRPr="00211504">
              <w:rPr>
                <w:rFonts w:eastAsia="Times New Roman" w:cs="Times New Roman"/>
              </w:rPr>
              <w:t>obierno</w:t>
            </w:r>
            <w:r w:rsidRPr="00211504">
              <w:rPr>
                <w:rStyle w:val="Refdenotaalpie"/>
                <w:rFonts w:eastAsia="Times New Roman" w:cs="Times New Roman"/>
              </w:rPr>
              <w:footnoteReference w:id="1097"/>
            </w:r>
            <w:r w:rsidRPr="00211504">
              <w:rPr>
                <w:rFonts w:eastAsia="Times New Roman" w:cs="Times New Roman"/>
              </w:rPr>
              <w:t xml:space="preserve"> califica al Acuerdo Final para la Terminación del Conflicto y la Construcción de una Paz Estable y Duradera como una </w:t>
            </w:r>
            <w:r w:rsidRPr="00211504">
              <w:rPr>
                <w:rFonts w:eastAsia="Times New Roman" w:cs="Times New Roman"/>
                <w:iCs/>
              </w:rPr>
              <w:t>“Declaración Unilateral de Estado” que genera “</w:t>
            </w:r>
            <w:r w:rsidRPr="00211504">
              <w:rPr>
                <w:rFonts w:eastAsia="Times New Roman" w:cs="Times New Roman"/>
              </w:rPr>
              <w:t>compromisos vinculantes en el contexto internacional para garantizar el cumplimiento de las obligaciones derivadas de dicho instrumento”. Señaló que dicha caracterización es indebida porque dicho alcance vinculante “</w:t>
            </w:r>
            <w:r w:rsidRPr="00211504">
              <w:rPr>
                <w:rFonts w:cs="Times New Roman"/>
              </w:rPr>
              <w:t>sólo es aplicable a los tratados entre Estados” y, en todo caso, su eventual incumplimiento, “</w:t>
            </w:r>
            <w:r w:rsidRPr="00211504">
              <w:rPr>
                <w:rFonts w:eastAsia="Times New Roman" w:cs="Times New Roman"/>
              </w:rPr>
              <w:t>no es admisible como hecho que fundamente la declaratoria del estado de conmoción interior”</w:t>
            </w:r>
            <w:r w:rsidRPr="00211504">
              <w:rPr>
                <w:rStyle w:val="Refdenotaalpie"/>
                <w:rFonts w:eastAsia="Times New Roman" w:cs="Times New Roman"/>
              </w:rPr>
              <w:footnoteReference w:id="1098"/>
            </w:r>
            <w:r w:rsidRPr="00211504">
              <w:rPr>
                <w:rFonts w:eastAsia="Times New Roman" w:cs="Times New Roman"/>
              </w:rPr>
              <w:t xml:space="preserve">. </w:t>
            </w:r>
          </w:p>
          <w:p w14:paraId="12785656" w14:textId="77777777" w:rsidR="00C454A1" w:rsidRPr="00211504" w:rsidRDefault="00C454A1" w:rsidP="00881E6A">
            <w:pPr>
              <w:pStyle w:val="Prrafodelista"/>
              <w:ind w:left="544" w:right="272"/>
              <w:rPr>
                <w:rFonts w:eastAsia="Times New Roman" w:cs="Times New Roman"/>
              </w:rPr>
            </w:pPr>
          </w:p>
          <w:p w14:paraId="2D94DA6A" w14:textId="77777777" w:rsidR="00C454A1" w:rsidRPr="00211504" w:rsidRDefault="00C454A1" w:rsidP="005F4A6F">
            <w:pPr>
              <w:pStyle w:val="Prrafodelista"/>
              <w:numPr>
                <w:ilvl w:val="0"/>
                <w:numId w:val="79"/>
              </w:numPr>
              <w:ind w:left="544" w:right="272" w:hanging="567"/>
              <w:rPr>
                <w:rFonts w:eastAsia="Times New Roman" w:cs="Times New Roman"/>
              </w:rPr>
            </w:pPr>
            <w:r w:rsidRPr="00211504">
              <w:rPr>
                <w:rFonts w:eastAsia="Times New Roman" w:cs="Times New Roman"/>
                <w:i/>
                <w:iCs/>
              </w:rPr>
              <w:t>Incumplimiento del presupuesto valorativo</w:t>
            </w:r>
            <w:r w:rsidRPr="00211504">
              <w:rPr>
                <w:rFonts w:eastAsia="Times New Roman" w:cs="Times New Roman"/>
                <w:i/>
              </w:rPr>
              <w:t xml:space="preserve">. </w:t>
            </w:r>
            <w:r w:rsidRPr="00211504">
              <w:rPr>
                <w:rFonts w:eastAsia="Times New Roman" w:cs="Times New Roman"/>
              </w:rPr>
              <w:t xml:space="preserve">Indicó que el </w:t>
            </w:r>
            <w:r>
              <w:rPr>
                <w:rFonts w:eastAsia="Times New Roman" w:cs="Times New Roman"/>
              </w:rPr>
              <w:t>G</w:t>
            </w:r>
            <w:r w:rsidRPr="00211504">
              <w:rPr>
                <w:rFonts w:eastAsia="Times New Roman" w:cs="Times New Roman"/>
              </w:rPr>
              <w:t xml:space="preserve">obierno </w:t>
            </w:r>
            <w:r>
              <w:rPr>
                <w:rFonts w:eastAsia="Times New Roman" w:cs="Times New Roman"/>
              </w:rPr>
              <w:t xml:space="preserve">nacional </w:t>
            </w:r>
            <w:r w:rsidRPr="00211504">
              <w:rPr>
                <w:rFonts w:eastAsia="Times New Roman" w:cs="Times New Roman"/>
              </w:rPr>
              <w:t xml:space="preserve">“más allá de llevar a cabo un juicio de valor sobre la gravedad de la situación, adicionó nuevos hechos”. A modo de ejemplo, argumentó que el </w:t>
            </w:r>
            <w:r>
              <w:rPr>
                <w:rFonts w:eastAsia="Times New Roman" w:cs="Times New Roman"/>
              </w:rPr>
              <w:t>G</w:t>
            </w:r>
            <w:r w:rsidRPr="00211504">
              <w:rPr>
                <w:rFonts w:eastAsia="Times New Roman" w:cs="Times New Roman"/>
              </w:rPr>
              <w:t>obierno expuso como razones para la declaratoria de estado de conmoción interior una supuesta “crisis alimentaria que le atribuye al ‘descenso en los precios de la hoja de coca’, sin brindar sustento alguno para tal afirmación”</w:t>
            </w:r>
            <w:r w:rsidRPr="00211504">
              <w:rPr>
                <w:rStyle w:val="Refdenotaalpie"/>
                <w:rFonts w:eastAsia="Times New Roman" w:cs="Times New Roman"/>
              </w:rPr>
              <w:footnoteReference w:id="1099"/>
            </w:r>
            <w:r w:rsidRPr="00211504">
              <w:rPr>
                <w:rFonts w:eastAsia="Times New Roman" w:cs="Times New Roman"/>
              </w:rPr>
              <w:t xml:space="preserve">. En el mismo sentido, aludió ausencia de conexidad entre la situación de orden público en la región y las supuestas afectaciones </w:t>
            </w:r>
            <w:r w:rsidRPr="00211504">
              <w:rPr>
                <w:rFonts w:eastAsia="Times New Roman" w:cs="Times New Roman"/>
                <w:i/>
                <w:iCs/>
              </w:rPr>
              <w:t xml:space="preserve">(i) </w:t>
            </w:r>
            <w:r w:rsidRPr="00211504">
              <w:rPr>
                <w:rFonts w:eastAsia="Times New Roman" w:cs="Times New Roman"/>
              </w:rPr>
              <w:t xml:space="preserve">del sector de hidrocarburos; </w:t>
            </w:r>
            <w:r w:rsidRPr="00211504">
              <w:rPr>
                <w:rFonts w:eastAsia="Times New Roman" w:cs="Times New Roman"/>
                <w:i/>
                <w:iCs/>
              </w:rPr>
              <w:t>(ii)</w:t>
            </w:r>
            <w:r w:rsidRPr="00211504">
              <w:rPr>
                <w:rFonts w:eastAsia="Times New Roman" w:cs="Times New Roman"/>
              </w:rPr>
              <w:t xml:space="preserve"> del sistema interconectado </w:t>
            </w:r>
            <w:r w:rsidRPr="00211504">
              <w:rPr>
                <w:rFonts w:eastAsia="Times New Roman" w:cs="Times New Roman"/>
              </w:rPr>
              <w:lastRenderedPageBreak/>
              <w:t xml:space="preserve">nacional; y </w:t>
            </w:r>
            <w:r w:rsidRPr="00211504">
              <w:rPr>
                <w:rFonts w:eastAsia="Times New Roman" w:cs="Times New Roman"/>
                <w:i/>
                <w:iCs/>
              </w:rPr>
              <w:t xml:space="preserve">(iii) </w:t>
            </w:r>
            <w:r w:rsidRPr="00211504">
              <w:rPr>
                <w:rFonts w:eastAsia="Times New Roman" w:cs="Times New Roman"/>
              </w:rPr>
              <w:t xml:space="preserve">el peligro que corren los funcionarios de las autoridades ambientales. Por lo tanto, concluyó que el </w:t>
            </w:r>
            <w:r>
              <w:rPr>
                <w:rFonts w:eastAsia="Times New Roman" w:cs="Times New Roman"/>
              </w:rPr>
              <w:t>G</w:t>
            </w:r>
            <w:r w:rsidRPr="00211504">
              <w:rPr>
                <w:rFonts w:eastAsia="Times New Roman" w:cs="Times New Roman"/>
              </w:rPr>
              <w:t xml:space="preserve">obierno no realizó un juicio de valor sobre la gravedad de la situación, sino que adicionó nuevos hechos que carecen de razones precisas. </w:t>
            </w:r>
          </w:p>
          <w:p w14:paraId="428BDEB0" w14:textId="77777777" w:rsidR="00C454A1" w:rsidRPr="00211504" w:rsidRDefault="00C454A1" w:rsidP="00881E6A">
            <w:pPr>
              <w:pStyle w:val="Prrafodelista"/>
              <w:ind w:right="272"/>
              <w:rPr>
                <w:rFonts w:eastAsia="Times New Roman" w:cs="Times New Roman"/>
                <w:i/>
                <w:iCs/>
              </w:rPr>
            </w:pPr>
          </w:p>
          <w:p w14:paraId="0AEAD909" w14:textId="77777777" w:rsidR="00C454A1" w:rsidRPr="00211504" w:rsidRDefault="00C454A1" w:rsidP="005F4A6F">
            <w:pPr>
              <w:pStyle w:val="Prrafodelista"/>
              <w:numPr>
                <w:ilvl w:val="0"/>
                <w:numId w:val="79"/>
              </w:numPr>
              <w:ind w:left="544" w:right="272" w:hanging="567"/>
              <w:rPr>
                <w:rFonts w:eastAsia="Times New Roman" w:cs="Times New Roman"/>
              </w:rPr>
            </w:pPr>
            <w:r w:rsidRPr="00211504">
              <w:rPr>
                <w:rFonts w:eastAsia="Times New Roman" w:cs="Times New Roman"/>
                <w:i/>
                <w:iCs/>
              </w:rPr>
              <w:t xml:space="preserve">Incumplimiento del </w:t>
            </w:r>
            <w:r w:rsidRPr="00211504">
              <w:rPr>
                <w:rFonts w:eastAsia="Times New Roman" w:cs="Times New Roman"/>
                <w:i/>
              </w:rPr>
              <w:t xml:space="preserve">presupuesto de necesidad e insuficiencia de las medidas ordinarias. </w:t>
            </w:r>
            <w:r w:rsidRPr="00211504">
              <w:rPr>
                <w:rFonts w:eastAsia="Times New Roman" w:cs="Times New Roman"/>
              </w:rPr>
              <w:t xml:space="preserve">Consideró que el </w:t>
            </w:r>
            <w:r>
              <w:rPr>
                <w:rFonts w:eastAsia="Times New Roman" w:cs="Times New Roman"/>
              </w:rPr>
              <w:t>G</w:t>
            </w:r>
            <w:r w:rsidRPr="00211504">
              <w:rPr>
                <w:rFonts w:eastAsia="Times New Roman" w:cs="Times New Roman"/>
              </w:rPr>
              <w:t>obierno no demostró las razones por las cuales las atribuciones ordinarias</w:t>
            </w:r>
            <w:r w:rsidRPr="00211504">
              <w:rPr>
                <w:rFonts w:ascii="Lora" w:hAnsi="Lora" w:cs="Lora"/>
                <w:color w:val="000000"/>
                <w:sz w:val="23"/>
                <w:szCs w:val="23"/>
              </w:rPr>
              <w:t xml:space="preserve"> </w:t>
            </w:r>
            <w:r w:rsidRPr="00211504">
              <w:rPr>
                <w:rFonts w:eastAsia="Times New Roman" w:cs="Times New Roman"/>
              </w:rPr>
              <w:t xml:space="preserve">de la fuerza pública y de las autoridades de policía no son suficientes ni oportunas para prevenir nuevos hechos de violencia y para conjurar la grave perturbación del orden público. Esta carencia de razones, a su juicio, también se presenta frente a la supuesta insuficiencia de las medidas ordinarias </w:t>
            </w:r>
            <w:r w:rsidRPr="00211504">
              <w:rPr>
                <w:rFonts w:eastAsia="Times New Roman" w:cs="Times New Roman"/>
                <w:i/>
                <w:iCs/>
              </w:rPr>
              <w:t>(i)</w:t>
            </w:r>
            <w:r w:rsidRPr="00211504">
              <w:rPr>
                <w:rFonts w:eastAsia="Times New Roman" w:cs="Times New Roman"/>
              </w:rPr>
              <w:t xml:space="preserve"> para “impedir la comercialización y transporte de servicios, bienes e insumos utilizados para el financiamiento de actividades criminales”; </w:t>
            </w:r>
            <w:r w:rsidRPr="00211504">
              <w:rPr>
                <w:rFonts w:eastAsia="Times New Roman" w:cs="Times New Roman"/>
                <w:i/>
                <w:iCs/>
              </w:rPr>
              <w:t xml:space="preserve">(ii) </w:t>
            </w:r>
            <w:r w:rsidRPr="00211504">
              <w:rPr>
                <w:rFonts w:cs="Times New Roman"/>
              </w:rPr>
              <w:t xml:space="preserve">para “asegurar la atención humanitaria y la prestación de los servicios de administración de justicia”; </w:t>
            </w:r>
            <w:r w:rsidRPr="00211504">
              <w:rPr>
                <w:rFonts w:cs="Times New Roman"/>
                <w:i/>
              </w:rPr>
              <w:t>(iii)</w:t>
            </w:r>
            <w:r w:rsidRPr="00211504">
              <w:rPr>
                <w:rFonts w:cs="Times New Roman"/>
              </w:rPr>
              <w:t xml:space="preserve"> para la “sustitución de cultivos ilícitos”; y </w:t>
            </w:r>
            <w:r w:rsidRPr="00211504">
              <w:rPr>
                <w:rFonts w:cs="Times New Roman"/>
                <w:i/>
              </w:rPr>
              <w:t>(iv)</w:t>
            </w:r>
            <w:r w:rsidRPr="00211504">
              <w:rPr>
                <w:rFonts w:cs="Times New Roman"/>
              </w:rPr>
              <w:t xml:space="preserve"> para la</w:t>
            </w:r>
            <w:r w:rsidRPr="00211504">
              <w:rPr>
                <w:rFonts w:eastAsia="Times New Roman" w:cs="Times New Roman"/>
              </w:rPr>
              <w:t xml:space="preserve"> “inversión adicional en la región”</w:t>
            </w:r>
            <w:r w:rsidRPr="00211504">
              <w:rPr>
                <w:rStyle w:val="Refdenotaalpie"/>
                <w:rFonts w:eastAsia="Times New Roman" w:cs="Times New Roman"/>
              </w:rPr>
              <w:footnoteReference w:id="1100"/>
            </w:r>
            <w:r w:rsidRPr="00211504">
              <w:rPr>
                <w:rFonts w:eastAsia="Times New Roman" w:cs="Times New Roman"/>
              </w:rPr>
              <w:t xml:space="preserve">.  </w:t>
            </w:r>
          </w:p>
        </w:tc>
      </w:tr>
      <w:tr w:rsidR="00C454A1" w:rsidRPr="00F8202F" w14:paraId="39F539D3" w14:textId="77777777" w:rsidTr="005F4A6F">
        <w:trPr>
          <w:trHeight w:val="300"/>
        </w:trPr>
        <w:tc>
          <w:tcPr>
            <w:tcW w:w="813" w:type="pct"/>
            <w:vAlign w:val="center"/>
          </w:tcPr>
          <w:p w14:paraId="632BF0F5" w14:textId="77777777" w:rsidR="00C454A1" w:rsidRPr="00211504" w:rsidRDefault="00C454A1" w:rsidP="00881E6A">
            <w:pPr>
              <w:spacing w:after="120"/>
              <w:ind w:right="272"/>
              <w:contextualSpacing/>
              <w:jc w:val="center"/>
              <w:rPr>
                <w:rFonts w:cs="Times New Roman"/>
                <w:b/>
                <w:bCs/>
              </w:rPr>
            </w:pPr>
            <w:r w:rsidRPr="00211504">
              <w:rPr>
                <w:rFonts w:cs="Times New Roman"/>
                <w:b/>
                <w:bCs/>
              </w:rPr>
              <w:lastRenderedPageBreak/>
              <w:t>Asociación Nacional de Empresarios de Colombia - ANDI</w:t>
            </w:r>
            <w:r w:rsidRPr="00211504">
              <w:rPr>
                <w:rStyle w:val="Refdenotaalpie"/>
                <w:rFonts w:cs="Times New Roman"/>
                <w:b/>
                <w:bCs/>
              </w:rPr>
              <w:footnoteReference w:id="1101"/>
            </w:r>
          </w:p>
        </w:tc>
        <w:tc>
          <w:tcPr>
            <w:tcW w:w="4187" w:type="pct"/>
          </w:tcPr>
          <w:p w14:paraId="27C7E051"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 xml:space="preserve">Solicitó a la Corte declarar la </w:t>
            </w:r>
            <w:r w:rsidRPr="00211504">
              <w:rPr>
                <w:rFonts w:eastAsia="Times New Roman" w:cs="Times New Roman"/>
                <w:i/>
              </w:rPr>
              <w:t>inexequibilidad</w:t>
            </w:r>
            <w:r w:rsidRPr="00211504">
              <w:rPr>
                <w:rFonts w:eastAsia="Times New Roman" w:cs="Times New Roman"/>
              </w:rPr>
              <w:t xml:space="preserve"> del Decreto 062 de 2025 porque, a su juicio, no se cumple el requisito de necesidad. Considera que “hay falta de justificación de la insuficiencia de las atribuciones ordinarias”</w:t>
            </w:r>
            <w:r w:rsidRPr="00211504">
              <w:rPr>
                <w:rStyle w:val="Refdenotaalpie"/>
                <w:rFonts w:eastAsia="Times New Roman" w:cs="Times New Roman"/>
              </w:rPr>
              <w:footnoteReference w:id="1102"/>
            </w:r>
            <w:r w:rsidRPr="00211504">
              <w:rPr>
                <w:rFonts w:eastAsia="Times New Roman" w:cs="Times New Roman"/>
              </w:rPr>
              <w:t>.</w:t>
            </w:r>
            <w:r w:rsidRPr="00211504">
              <w:rPr>
                <w:rFonts w:eastAsia="Times New Roman" w:cs="Times New Roman"/>
                <w:i/>
              </w:rPr>
              <w:t xml:space="preserve"> </w:t>
            </w:r>
            <w:r w:rsidRPr="00211504">
              <w:rPr>
                <w:rFonts w:eastAsia="Times New Roman" w:cs="Times New Roman"/>
              </w:rPr>
              <w:t>Señaló que en las consideraciones del Decreto 062 de 2025 se identifican afirmaciones que carecen de análisis. Específicamente, señaló que no es posible hacer el juicio de necesidad para evaluar la suficiencia de las medidas ordinarias porque no se explicó cuáles facultades ordinarias se han ejercido para fortalecer el control del espacio aéreo, las capacidades de los servicios de inteligencia y policía judicial, el funcionamiento de la rama judicial y la recuperación en control territorial</w:t>
            </w:r>
            <w:r w:rsidRPr="00211504">
              <w:rPr>
                <w:rStyle w:val="Refdenotaalpie"/>
                <w:rFonts w:eastAsia="Times New Roman" w:cs="Times New Roman"/>
              </w:rPr>
              <w:footnoteReference w:id="1103"/>
            </w:r>
            <w:r w:rsidRPr="00211504">
              <w:rPr>
                <w:rFonts w:eastAsia="Times New Roman" w:cs="Times New Roman"/>
              </w:rPr>
              <w:t xml:space="preserve">. Además, indicó que en las consideraciones del decreto no se estimaron los recursos adicionales que serían requeridos. En concreto, respecto de las capacidades de las fuerzas militares y de policía en la zona del Catatumbo, consideró que el </w:t>
            </w:r>
            <w:r>
              <w:rPr>
                <w:rFonts w:eastAsia="Times New Roman" w:cs="Times New Roman"/>
              </w:rPr>
              <w:t>G</w:t>
            </w:r>
            <w:r w:rsidRPr="00211504">
              <w:rPr>
                <w:rFonts w:eastAsia="Times New Roman" w:cs="Times New Roman"/>
              </w:rPr>
              <w:t xml:space="preserve">obierno no justificó “por qué esas medidas resultaron </w:t>
            </w:r>
            <w:r w:rsidRPr="00211504">
              <w:rPr>
                <w:rFonts w:eastAsia="Times New Roman" w:cs="Times New Roman"/>
              </w:rPr>
              <w:lastRenderedPageBreak/>
              <w:t>insuficientes”, ni “cuáles son aquellas medidas extraordinarias que resultarían conducentes para paliar la crisis”</w:t>
            </w:r>
            <w:r w:rsidRPr="00211504">
              <w:rPr>
                <w:rStyle w:val="Refdenotaalpie"/>
                <w:rFonts w:eastAsia="Times New Roman" w:cs="Times New Roman"/>
              </w:rPr>
              <w:footnoteReference w:id="1104"/>
            </w:r>
            <w:r w:rsidRPr="00211504">
              <w:rPr>
                <w:rFonts w:eastAsia="Times New Roman" w:cs="Times New Roman"/>
              </w:rPr>
              <w:t>.</w:t>
            </w:r>
          </w:p>
        </w:tc>
      </w:tr>
      <w:tr w:rsidR="00C454A1" w:rsidRPr="00F8202F" w14:paraId="18667687" w14:textId="77777777" w:rsidTr="005F4A6F">
        <w:trPr>
          <w:trHeight w:val="300"/>
        </w:trPr>
        <w:tc>
          <w:tcPr>
            <w:tcW w:w="813" w:type="pct"/>
            <w:vAlign w:val="center"/>
          </w:tcPr>
          <w:p w14:paraId="0FB8288D" w14:textId="77777777" w:rsidR="00C454A1" w:rsidRPr="00211504" w:rsidRDefault="00C454A1" w:rsidP="00881E6A">
            <w:pPr>
              <w:spacing w:after="120"/>
              <w:ind w:right="272"/>
              <w:contextualSpacing/>
              <w:jc w:val="center"/>
              <w:rPr>
                <w:rFonts w:cs="Times New Roman"/>
                <w:b/>
                <w:bCs/>
              </w:rPr>
            </w:pPr>
            <w:r w:rsidRPr="00211504">
              <w:rPr>
                <w:rFonts w:cs="Times New Roman"/>
                <w:b/>
                <w:bCs/>
              </w:rPr>
              <w:lastRenderedPageBreak/>
              <w:t>Comité Permanente por la Defensa de los Derechos Humanos</w:t>
            </w:r>
          </w:p>
        </w:tc>
        <w:tc>
          <w:tcPr>
            <w:tcW w:w="4187" w:type="pct"/>
          </w:tcPr>
          <w:p w14:paraId="26F854FC" w14:textId="77777777" w:rsidR="00C454A1" w:rsidRPr="00211504" w:rsidRDefault="00C454A1" w:rsidP="00881E6A">
            <w:pPr>
              <w:ind w:right="272"/>
              <w:contextualSpacing/>
              <w:rPr>
                <w:rFonts w:eastAsia="Times New Roman" w:cs="Times New Roman"/>
              </w:rPr>
            </w:pPr>
            <w:r w:rsidRPr="00211504">
              <w:rPr>
                <w:rFonts w:eastAsia="Times New Roman" w:cs="Times New Roman"/>
              </w:rPr>
              <w:t xml:space="preserve">El comité solicitó a la Corte declarar la </w:t>
            </w:r>
            <w:r w:rsidRPr="00211504">
              <w:rPr>
                <w:rFonts w:eastAsia="Times New Roman" w:cs="Times New Roman"/>
                <w:i/>
                <w:iCs/>
              </w:rPr>
              <w:t>exequibilidad</w:t>
            </w:r>
            <w:r w:rsidRPr="00211504">
              <w:rPr>
                <w:rFonts w:eastAsia="Times New Roman" w:cs="Times New Roman"/>
              </w:rPr>
              <w:t xml:space="preserve"> del Decreto Legislativo 062 de 2025. El comité considera que el decreto permite a “la subregión del Catatumbo, Cúcuta y su área metropolitana y [a] los municipios de Río de Oro y Gonzales departamento del Cesar” prevenir, proteger y garantizar, en el término establecido constitucionalmente, la recuperación del orden territorial y el mejoramiento de calidad de vida la población que desarrolla su proyecto de vida</w:t>
            </w:r>
            <w:r w:rsidRPr="00211504">
              <w:rPr>
                <w:rStyle w:val="Refdenotaalpie"/>
                <w:rFonts w:eastAsia="Times New Roman" w:cs="Times New Roman"/>
              </w:rPr>
              <w:footnoteReference w:id="1105"/>
            </w:r>
            <w:r w:rsidRPr="00211504">
              <w:rPr>
                <w:rFonts w:eastAsia="Times New Roman" w:cs="Times New Roman"/>
              </w:rPr>
              <w:t>.</w:t>
            </w:r>
          </w:p>
          <w:p w14:paraId="1FE0FE06" w14:textId="77777777" w:rsidR="00C454A1" w:rsidRPr="00211504" w:rsidRDefault="00C454A1" w:rsidP="00881E6A">
            <w:pPr>
              <w:ind w:right="272"/>
              <w:contextualSpacing/>
              <w:rPr>
                <w:rFonts w:eastAsia="Times New Roman" w:cs="Times New Roman"/>
              </w:rPr>
            </w:pPr>
          </w:p>
          <w:p w14:paraId="157DE1AE" w14:textId="77777777" w:rsidR="00C454A1" w:rsidRPr="00211504" w:rsidRDefault="00C454A1" w:rsidP="00881E6A">
            <w:pPr>
              <w:ind w:right="272"/>
              <w:contextualSpacing/>
              <w:rPr>
                <w:rFonts w:eastAsia="Times New Roman" w:cs="Times New Roman"/>
              </w:rPr>
            </w:pPr>
            <w:r w:rsidRPr="00211504">
              <w:rPr>
                <w:rFonts w:eastAsia="Times New Roman" w:cs="Times New Roman"/>
                <w:i/>
                <w:iCs/>
              </w:rPr>
              <w:t>Presupuesto fáctico.</w:t>
            </w:r>
            <w:r w:rsidRPr="00211504">
              <w:rPr>
                <w:rFonts w:eastAsia="Times New Roman" w:cs="Times New Roman"/>
              </w:rPr>
              <w:t xml:space="preserve"> Por un lado, sostuvo que la Defensoría del Pueblo expuso el grave riesgo en el que se encuentran las comunidades de los municipios que conforman la subregión del Catatumbo, y el sur del Cesar, con ocasión de las nuevas dinámicas que ha adquirido el conflicto armado interno. Esto, mediante la Alerta Temprana de Inminencia núm. 026 del 2024.  Al respecto, sostuvo que dicha alerta puso de presente los siguientes acontecimientos: (i) el aumento de la escalada de violencia proporcionado por el Ejército de Liberación Nacional (ELN), que ha afectado en gran medida a la población civil de las zonas rurales del territorio; (ii) la reorganización y reacomodo estratégico del Ejército Popular de Liberación (EPL) o “Pelusos”, (iii) el rápido crecimiento y fortalecimiento del grupo disidente del frente 33 de Farc – Estado Mayor de Bloques- EMB, que opera en el Catatumbo hacia los municipios del sur del Cesar y Santander y (iv) el incumplimiento del cese al fuego constituido en ataques a los bienes protegidos como escuelas rurales, casas de la población civil que desarrolla su vida en ámbitos rurales</w:t>
            </w:r>
            <w:r w:rsidRPr="00211504">
              <w:rPr>
                <w:rStyle w:val="Refdenotaalpie"/>
                <w:rFonts w:eastAsia="Times New Roman" w:cs="Times New Roman"/>
              </w:rPr>
              <w:footnoteReference w:id="1106"/>
            </w:r>
            <w:r w:rsidRPr="00211504">
              <w:rPr>
                <w:rFonts w:eastAsia="Times New Roman" w:cs="Times New Roman"/>
              </w:rPr>
              <w:t>.</w:t>
            </w:r>
          </w:p>
          <w:p w14:paraId="19479E37" w14:textId="77777777" w:rsidR="00C454A1" w:rsidRPr="00211504" w:rsidRDefault="00C454A1" w:rsidP="00881E6A">
            <w:pPr>
              <w:ind w:right="272"/>
              <w:contextualSpacing/>
              <w:rPr>
                <w:rFonts w:eastAsia="Times New Roman" w:cs="Times New Roman"/>
              </w:rPr>
            </w:pPr>
          </w:p>
          <w:p w14:paraId="6B8D5AD3" w14:textId="77777777" w:rsidR="00C454A1" w:rsidRPr="00211504" w:rsidRDefault="00C454A1" w:rsidP="00881E6A">
            <w:pPr>
              <w:ind w:right="272"/>
              <w:contextualSpacing/>
              <w:rPr>
                <w:rFonts w:eastAsia="Times New Roman" w:cs="Times New Roman"/>
              </w:rPr>
            </w:pPr>
            <w:r w:rsidRPr="00211504">
              <w:rPr>
                <w:rFonts w:eastAsia="Times New Roman" w:cs="Times New Roman"/>
              </w:rPr>
              <w:t xml:space="preserve">Por el otro, sostuvo que la Defensoría del Pueblo, mediante la Alerta Temprana Estructural núm. 027 del 2024, expuso el aumento de control y expansión territorial por parte del Ejército de Liberación Nacional (ELN) en los municipios fronterizos de San José́ de Cúcuta y Puerto Santander, el aumento de la criminalidad organizada con las bandas de crimen organizado, la presencia del ejército Gaitanista de Colombia EGC con su estructura Luis </w:t>
            </w:r>
            <w:r w:rsidRPr="00211504">
              <w:rPr>
                <w:rFonts w:eastAsia="Times New Roman" w:cs="Times New Roman"/>
              </w:rPr>
              <w:lastRenderedPageBreak/>
              <w:t>Orlando Padierna Peña, las acciones disidentes de las antiguas FARC -EP, con las denominadas disidencias de las antiguas FARC-EP.</w:t>
            </w:r>
          </w:p>
          <w:p w14:paraId="28E24F5C" w14:textId="77777777" w:rsidR="00C454A1" w:rsidRPr="00211504" w:rsidRDefault="00C454A1" w:rsidP="00881E6A">
            <w:pPr>
              <w:ind w:right="272"/>
              <w:contextualSpacing/>
              <w:rPr>
                <w:rFonts w:eastAsia="Times New Roman" w:cs="Times New Roman"/>
              </w:rPr>
            </w:pPr>
          </w:p>
          <w:p w14:paraId="0D0B35E5" w14:textId="77777777" w:rsidR="00C454A1" w:rsidRPr="00211504" w:rsidRDefault="00C454A1" w:rsidP="00881E6A">
            <w:pPr>
              <w:ind w:right="272"/>
              <w:contextualSpacing/>
              <w:rPr>
                <w:rFonts w:eastAsia="Times New Roman" w:cs="Times New Roman"/>
              </w:rPr>
            </w:pPr>
            <w:r w:rsidRPr="00211504">
              <w:rPr>
                <w:rFonts w:eastAsia="Times New Roman" w:cs="Times New Roman"/>
              </w:rPr>
              <w:t>Manifestó que tras el cierre de las vías internacionales que conectan los dos países en el año 2015 y el aumento de aperturas de pasos ilegales, llamados comúnmente como “trochas”, se vienen presentando tres escenarios que vienen agudizando el conflicto armado y determinan la causa de la crisis humanitaria que vive el área metropolitana de Cúcuta y el Catatumbo. Primero, el fortalecimiento de los grupos armados y el crimen organizado nacional y transnacional, el narcotráfico, la trata de personas en su mayoría con fines de explotación sexual, el contrabando de gasolina, carbón, oro y alimentos. Segundo, la debilidad institucional y el congelamiento de relaciones diplomáticas con el Estado venezolano durante 9 años. Tercero, la baja financiación de los programas que deben afrontar estas situaciones de manera integral e interinstitucional y los altos escenarios de riesgo principalmente para los NNA por el alto reclutamiento forzado, la instrumentalización para cumplir objetivos delictivos y el aumento de consumo de sustancias psicoactivas y alucinógenas. Asimismo, las mujeres y la población trans, a través de las violencias basadas en género, han sido víctimas de extorciones, amenazas y feminicidios, y las organizaciones sociales, de carácter comunal, campesinas y de derechos humanos, son constantemente señaladas, amenazadas, hostigadas y desplazadas de manera forzada de sus territorios.</w:t>
            </w:r>
          </w:p>
          <w:p w14:paraId="021F51E2" w14:textId="77777777" w:rsidR="00C454A1" w:rsidRPr="00211504" w:rsidRDefault="00C454A1" w:rsidP="00881E6A">
            <w:pPr>
              <w:ind w:right="272"/>
              <w:contextualSpacing/>
              <w:rPr>
                <w:rFonts w:eastAsia="Times New Roman" w:cs="Times New Roman"/>
              </w:rPr>
            </w:pPr>
          </w:p>
          <w:p w14:paraId="06950DB7" w14:textId="77777777" w:rsidR="00C454A1" w:rsidRPr="00211504" w:rsidRDefault="00C454A1" w:rsidP="00881E6A">
            <w:pPr>
              <w:ind w:right="272"/>
              <w:contextualSpacing/>
              <w:rPr>
                <w:rFonts w:eastAsia="Times New Roman" w:cs="Times New Roman"/>
              </w:rPr>
            </w:pPr>
            <w:r w:rsidRPr="00211504">
              <w:rPr>
                <w:rFonts w:eastAsia="Times New Roman" w:cs="Times New Roman"/>
              </w:rPr>
              <w:t>Sumado a lo anterior, el comité informó los siguientes datos:</w:t>
            </w:r>
          </w:p>
          <w:p w14:paraId="1F3BEB51" w14:textId="77777777" w:rsidR="00C454A1" w:rsidRPr="00211504" w:rsidRDefault="00C454A1" w:rsidP="00881E6A">
            <w:pPr>
              <w:ind w:right="272"/>
              <w:contextualSpacing/>
              <w:rPr>
                <w:rFonts w:eastAsia="Times New Roman" w:cs="Times New Roman"/>
              </w:rPr>
            </w:pPr>
          </w:p>
          <w:p w14:paraId="58BF57FC" w14:textId="77777777" w:rsidR="00C454A1" w:rsidRPr="00211504" w:rsidRDefault="00C454A1" w:rsidP="005F4A6F">
            <w:pPr>
              <w:pStyle w:val="Prrafodelista"/>
              <w:numPr>
                <w:ilvl w:val="0"/>
                <w:numId w:val="82"/>
              </w:numPr>
              <w:ind w:right="272"/>
              <w:rPr>
                <w:rFonts w:eastAsia="Times New Roman" w:cs="Times New Roman"/>
              </w:rPr>
            </w:pPr>
            <w:r w:rsidRPr="00211504">
              <w:rPr>
                <w:rFonts w:eastAsia="Times New Roman" w:cs="Times New Roman"/>
              </w:rPr>
              <w:t xml:space="preserve">Con fecha del 26 de febrero del 2025, se reportan 71 homicidios subdivididos de la siguiente manera: 6 firmantes de paz, 3 líderes sociales, 58 particulares (sin especificar género), 4 menores de edad. Dichas cifras están distribuidas en los siguientes municipios: 32 homicidios en Tibú, 22 homicidios en Teorama, </w:t>
            </w:r>
            <w:r w:rsidRPr="00211504">
              <w:rPr>
                <w:rFonts w:eastAsia="Times New Roman" w:cs="Times New Roman"/>
              </w:rPr>
              <w:lastRenderedPageBreak/>
              <w:t>10 Homicidios en el Tarra, 1 Homicidio en Hacarí, 1 Homicidio en San Calixto, 1 en Ocaña, 1 en el Carmen y 3 en Convención</w:t>
            </w:r>
            <w:r w:rsidRPr="00211504">
              <w:rPr>
                <w:rStyle w:val="Refdenotaalpie"/>
                <w:rFonts w:eastAsia="Times New Roman" w:cs="Times New Roman"/>
              </w:rPr>
              <w:footnoteReference w:id="1107"/>
            </w:r>
            <w:r w:rsidRPr="00211504">
              <w:rPr>
                <w:rFonts w:eastAsia="Times New Roman" w:cs="Times New Roman"/>
              </w:rPr>
              <w:t>.</w:t>
            </w:r>
          </w:p>
          <w:p w14:paraId="3F9F39C6" w14:textId="77777777" w:rsidR="00C454A1" w:rsidRPr="00211504" w:rsidRDefault="00C454A1" w:rsidP="005F4A6F">
            <w:pPr>
              <w:pStyle w:val="Prrafodelista"/>
              <w:numPr>
                <w:ilvl w:val="0"/>
                <w:numId w:val="82"/>
              </w:numPr>
              <w:ind w:right="272"/>
              <w:rPr>
                <w:rFonts w:eastAsia="Times New Roman" w:cs="Times New Roman"/>
              </w:rPr>
            </w:pPr>
            <w:r w:rsidRPr="00211504">
              <w:rPr>
                <w:rFonts w:eastAsia="Times New Roman" w:cs="Times New Roman"/>
                <w:i/>
                <w:iCs/>
              </w:rPr>
              <w:t>Desapariciones forzadas.</w:t>
            </w:r>
            <w:r w:rsidRPr="00211504">
              <w:rPr>
                <w:rFonts w:eastAsia="Times New Roman" w:cs="Times New Roman"/>
              </w:rPr>
              <w:t xml:space="preserve"> Se reportan nueve desapariciones forzadas en contra firmantes del acuerdo de Paz en los siguientes municipios: 4 en Teorama, 2 en Tibú, 2 en Tarra y 1 en Convención</w:t>
            </w:r>
            <w:r w:rsidRPr="00211504">
              <w:rPr>
                <w:rStyle w:val="Refdenotaalpie"/>
                <w:rFonts w:eastAsia="Times New Roman" w:cs="Times New Roman"/>
              </w:rPr>
              <w:footnoteReference w:id="1108"/>
            </w:r>
            <w:r w:rsidRPr="00211504">
              <w:rPr>
                <w:rFonts w:eastAsia="Times New Roman" w:cs="Times New Roman"/>
              </w:rPr>
              <w:t xml:space="preserve">. </w:t>
            </w:r>
          </w:p>
          <w:p w14:paraId="5A782D35" w14:textId="77777777" w:rsidR="00C454A1" w:rsidRPr="00211504" w:rsidRDefault="00C454A1" w:rsidP="005F4A6F">
            <w:pPr>
              <w:pStyle w:val="Prrafodelista"/>
              <w:numPr>
                <w:ilvl w:val="0"/>
                <w:numId w:val="82"/>
              </w:numPr>
              <w:ind w:right="272"/>
              <w:rPr>
                <w:rFonts w:eastAsia="Times New Roman" w:cs="Times New Roman"/>
              </w:rPr>
            </w:pPr>
            <w:r w:rsidRPr="00211504">
              <w:rPr>
                <w:rFonts w:eastAsia="Times New Roman" w:cs="Times New Roman"/>
                <w:i/>
                <w:iCs/>
              </w:rPr>
              <w:t>Desplazamientos forzados.</w:t>
            </w:r>
            <w:r w:rsidRPr="00211504">
              <w:rPr>
                <w:rFonts w:eastAsia="Times New Roman" w:cs="Times New Roman"/>
              </w:rPr>
              <w:t xml:space="preserve"> A la fecha se reportan 54.989 personas desplazadas forzadamente. Las ciudades receptoras, principalmente, son Cúcuta con 28.142, Ocaña con 12.050 personas, y Tibú 8.596 personas. Confinadas 23.860 personas, principalmente en los municipios de Teorama con 9.000 personas, Tibú con 8.516 personas, el Carmen con 3.500 personas y Abrego con 1545 personas</w:t>
            </w:r>
            <w:r w:rsidRPr="00211504">
              <w:rPr>
                <w:rStyle w:val="Refdenotaalpie"/>
                <w:rFonts w:eastAsia="Times New Roman" w:cs="Times New Roman"/>
              </w:rPr>
              <w:footnoteReference w:id="1109"/>
            </w:r>
            <w:r w:rsidRPr="00211504">
              <w:rPr>
                <w:rFonts w:eastAsia="Times New Roman" w:cs="Times New Roman"/>
              </w:rPr>
              <w:t xml:space="preserve">. </w:t>
            </w:r>
          </w:p>
          <w:p w14:paraId="4F6B20A5" w14:textId="77777777" w:rsidR="00C454A1" w:rsidRPr="00211504" w:rsidRDefault="00C454A1" w:rsidP="005F4A6F">
            <w:pPr>
              <w:pStyle w:val="Prrafodelista"/>
              <w:numPr>
                <w:ilvl w:val="0"/>
                <w:numId w:val="82"/>
              </w:numPr>
              <w:ind w:right="272"/>
              <w:rPr>
                <w:rFonts w:eastAsia="Times New Roman" w:cs="Times New Roman"/>
              </w:rPr>
            </w:pPr>
            <w:r w:rsidRPr="00211504">
              <w:rPr>
                <w:rFonts w:eastAsia="Times New Roman" w:cs="Times New Roman"/>
                <w:i/>
                <w:iCs/>
              </w:rPr>
              <w:t xml:space="preserve">Comunidad educativa. </w:t>
            </w:r>
            <w:r w:rsidRPr="00211504">
              <w:rPr>
                <w:rFonts w:eastAsia="Times New Roman" w:cs="Times New Roman"/>
              </w:rPr>
              <w:t xml:space="preserve">Se reportan </w:t>
            </w:r>
            <w:r w:rsidRPr="00211504">
              <w:rPr>
                <w:rFonts w:eastAsia="Times New Roman" w:cs="Times New Roman"/>
                <w:i/>
                <w:iCs/>
              </w:rPr>
              <w:t>43</w:t>
            </w:r>
            <w:r w:rsidRPr="00211504">
              <w:rPr>
                <w:rFonts w:eastAsia="Times New Roman" w:cs="Times New Roman"/>
              </w:rPr>
              <w:t xml:space="preserve"> docentes rurales del municipio de Tibú que fueron víctimas de desplazamiento forzado</w:t>
            </w:r>
            <w:r w:rsidRPr="00211504">
              <w:rPr>
                <w:rStyle w:val="Refdenotaalpie"/>
                <w:rFonts w:eastAsia="Times New Roman" w:cs="Times New Roman"/>
              </w:rPr>
              <w:footnoteReference w:id="1110"/>
            </w:r>
            <w:r w:rsidRPr="00211504">
              <w:rPr>
                <w:rFonts w:eastAsia="Times New Roman" w:cs="Times New Roman"/>
              </w:rPr>
              <w:t>.</w:t>
            </w:r>
          </w:p>
          <w:p w14:paraId="5BD04457" w14:textId="77777777" w:rsidR="00C454A1" w:rsidRPr="00211504" w:rsidRDefault="00C454A1" w:rsidP="005F4A6F">
            <w:pPr>
              <w:pStyle w:val="Prrafodelista"/>
              <w:numPr>
                <w:ilvl w:val="0"/>
                <w:numId w:val="82"/>
              </w:numPr>
              <w:ind w:right="272"/>
              <w:rPr>
                <w:rFonts w:eastAsia="Times New Roman" w:cs="Times New Roman"/>
              </w:rPr>
            </w:pPr>
            <w:r w:rsidRPr="00211504">
              <w:rPr>
                <w:rFonts w:eastAsia="Times New Roman" w:cs="Times New Roman"/>
                <w:i/>
                <w:iCs/>
              </w:rPr>
              <w:t xml:space="preserve">Comunidad de mujeres y poblacion lgtbiq+ veedora. </w:t>
            </w:r>
            <w:r w:rsidRPr="00211504">
              <w:rPr>
                <w:rFonts w:eastAsia="Times New Roman" w:cs="Times New Roman"/>
              </w:rPr>
              <w:t>Se reportan, entre otros, los siguientes casos. Primero, la presidenta de la veeduría del municipio de Tibú fue amenazada y fue víctima junto con su familia de desplazamiento forzado. Segundo, la hija de. la secretaría de la veeduría del municipio de Tibu, de 13 años de edad, fue agredida sexualmente por un actor armado ilegal. Tercero, la veedora por población LGTBI+ fue amenazada junto con su familia y fue víctima de desplazamiento forzado. Cuarto, la secretaria de la veeduría del municipio de sardinata fue amenazada por un grupo armado ilegal y sus hijos menores de edad tuvieron que ser acogidos por una organización no gubernamental por estar en riesgo de reclutamiento forzado</w:t>
            </w:r>
            <w:r w:rsidRPr="00211504">
              <w:rPr>
                <w:rStyle w:val="Refdenotaalpie"/>
                <w:rFonts w:eastAsia="Times New Roman" w:cs="Times New Roman"/>
              </w:rPr>
              <w:footnoteReference w:id="1111"/>
            </w:r>
            <w:r w:rsidRPr="00211504">
              <w:rPr>
                <w:rFonts w:eastAsia="Times New Roman" w:cs="Times New Roman"/>
              </w:rPr>
              <w:t>.</w:t>
            </w:r>
          </w:p>
          <w:p w14:paraId="5FDA94BF" w14:textId="77777777" w:rsidR="00C454A1" w:rsidRPr="00211504" w:rsidRDefault="00C454A1" w:rsidP="005F4A6F">
            <w:pPr>
              <w:pStyle w:val="Prrafodelista"/>
              <w:numPr>
                <w:ilvl w:val="0"/>
                <w:numId w:val="82"/>
              </w:numPr>
              <w:ind w:right="272"/>
              <w:rPr>
                <w:rFonts w:eastAsia="Times New Roman" w:cs="Times New Roman"/>
              </w:rPr>
            </w:pPr>
            <w:r w:rsidRPr="00211504">
              <w:rPr>
                <w:rFonts w:eastAsia="Times New Roman" w:cs="Times New Roman"/>
                <w:i/>
                <w:iCs/>
              </w:rPr>
              <w:lastRenderedPageBreak/>
              <w:t>Organizaciones campesinas.</w:t>
            </w:r>
            <w:r w:rsidRPr="00211504">
              <w:rPr>
                <w:rFonts w:eastAsia="Times New Roman" w:cs="Times New Roman"/>
              </w:rPr>
              <w:t xml:space="preserve"> Se reporta que de la organización Asociación por la Unidad Campesina del Catatumbo (ASUNCAT) hay 16 casos de lideres que fueron amenazados y fueron víctimas de desplazamiento forzado</w:t>
            </w:r>
            <w:r w:rsidRPr="00211504">
              <w:rPr>
                <w:rStyle w:val="Refdenotaalpie"/>
                <w:rFonts w:eastAsia="Times New Roman" w:cs="Times New Roman"/>
              </w:rPr>
              <w:footnoteReference w:id="1112"/>
            </w:r>
            <w:r w:rsidRPr="00211504">
              <w:rPr>
                <w:rFonts w:eastAsia="Times New Roman" w:cs="Times New Roman"/>
              </w:rPr>
              <w:t>.</w:t>
            </w:r>
          </w:p>
          <w:p w14:paraId="5F8946BD" w14:textId="77777777" w:rsidR="00C454A1" w:rsidRPr="00211504" w:rsidRDefault="00C454A1" w:rsidP="005F4A6F">
            <w:pPr>
              <w:pStyle w:val="Prrafodelista"/>
              <w:numPr>
                <w:ilvl w:val="0"/>
                <w:numId w:val="82"/>
              </w:numPr>
              <w:ind w:right="272"/>
              <w:rPr>
                <w:rFonts w:eastAsia="Times New Roman" w:cs="Times New Roman"/>
              </w:rPr>
            </w:pPr>
            <w:r w:rsidRPr="00211504">
              <w:rPr>
                <w:rFonts w:eastAsia="Times New Roman" w:cs="Times New Roman"/>
                <w:i/>
                <w:iCs/>
              </w:rPr>
              <w:t>Revictimización hacia integrantes y representantes del partido político de la Unión Patriótica</w:t>
            </w:r>
            <w:r w:rsidRPr="00211504">
              <w:rPr>
                <w:rFonts w:eastAsia="Times New Roman" w:cs="Times New Roman"/>
              </w:rPr>
              <w:t>. Se reportan “15 líderes de la Unión Patriótica, dentro de los cuales se encuentra el excandidato a la alcaldía de Tibú, el presidente de la Junta Municipal de Tibú, el secuestro de dos integrantes en el municipio del Tarra y el despojo de sus fincas, la desaparición forzada de un dirigente en el municipio de Teorama"</w:t>
            </w:r>
            <w:r w:rsidRPr="00211504">
              <w:rPr>
                <w:rStyle w:val="Refdenotaalpie"/>
                <w:rFonts w:eastAsia="Times New Roman" w:cs="Times New Roman"/>
              </w:rPr>
              <w:footnoteReference w:id="1113"/>
            </w:r>
            <w:r w:rsidRPr="00211504">
              <w:rPr>
                <w:rFonts w:eastAsia="Times New Roman" w:cs="Times New Roman"/>
              </w:rPr>
              <w:t>.</w:t>
            </w:r>
          </w:p>
          <w:p w14:paraId="306BBB52" w14:textId="77777777" w:rsidR="00C454A1" w:rsidRPr="00211504" w:rsidRDefault="00C454A1" w:rsidP="005F4A6F">
            <w:pPr>
              <w:pStyle w:val="Prrafodelista"/>
              <w:numPr>
                <w:ilvl w:val="0"/>
                <w:numId w:val="82"/>
              </w:numPr>
              <w:ind w:right="272"/>
              <w:rPr>
                <w:rFonts w:eastAsia="Times New Roman" w:cs="Times New Roman"/>
              </w:rPr>
            </w:pPr>
            <w:r w:rsidRPr="00211504">
              <w:rPr>
                <w:rFonts w:eastAsia="Times New Roman" w:cs="Times New Roman"/>
                <w:i/>
                <w:iCs/>
              </w:rPr>
              <w:t>Firmantes de paz.</w:t>
            </w:r>
            <w:r w:rsidRPr="00211504">
              <w:rPr>
                <w:rFonts w:eastAsia="Times New Roman" w:cs="Times New Roman"/>
                <w:b/>
                <w:bCs/>
              </w:rPr>
              <w:t xml:space="preserve"> </w:t>
            </w:r>
            <w:r w:rsidRPr="00211504">
              <w:rPr>
                <w:rFonts w:eastAsia="Times New Roman" w:cs="Times New Roman"/>
              </w:rPr>
              <w:t>Se realizó un proceso de interlocución con el Ministerio de Defensa y la Defensoría del Pueblo que permitió trasladar de los municipios de Tibú y El Tarra, aproximadamente, a 150 firmantes de paz con sus núcleos familiares. Adicionalmente, (i) se solicitó al referido ministerio para que ellos y sus familias fueran protegidos en bases militares y policiales, (ii) se presentaron 10 denuncias públicas y (iii) se solicitó la activación de rutas de protección ante la Defensoría del Pueblo</w:t>
            </w:r>
            <w:r w:rsidRPr="00211504">
              <w:rPr>
                <w:rStyle w:val="Refdenotaalpie"/>
                <w:rFonts w:eastAsia="Times New Roman" w:cs="Times New Roman"/>
              </w:rPr>
              <w:footnoteReference w:id="1114"/>
            </w:r>
            <w:r w:rsidRPr="00211504">
              <w:rPr>
                <w:rFonts w:eastAsia="Times New Roman" w:cs="Times New Roman"/>
              </w:rPr>
              <w:t>.</w:t>
            </w:r>
          </w:p>
          <w:p w14:paraId="2FFDF987" w14:textId="77777777" w:rsidR="00C454A1" w:rsidRPr="00211504" w:rsidRDefault="00C454A1" w:rsidP="00881E6A">
            <w:pPr>
              <w:pStyle w:val="Prrafodelista"/>
              <w:ind w:right="272"/>
              <w:rPr>
                <w:rFonts w:eastAsia="Times New Roman" w:cs="Times New Roman"/>
              </w:rPr>
            </w:pPr>
          </w:p>
          <w:p w14:paraId="3D5A877C" w14:textId="77777777" w:rsidR="00C454A1" w:rsidRPr="00211504" w:rsidRDefault="00C454A1" w:rsidP="00881E6A">
            <w:pPr>
              <w:ind w:left="680" w:right="272"/>
              <w:contextualSpacing/>
              <w:rPr>
                <w:rFonts w:eastAsia="Times New Roman" w:cs="Times New Roman"/>
              </w:rPr>
            </w:pPr>
            <w:r w:rsidRPr="00211504">
              <w:rPr>
                <w:rFonts w:eastAsia="Times New Roman" w:cs="Times New Roman"/>
              </w:rPr>
              <w:t>Adicionalmente, reportó (i) la existencia de estigmatización y persecución a líderes sociales y comunitarios, (ii) la desconexión con las entidades territoriales y el gobierno local, (iii) la falta de acceso a espacios seguros para la participación de mujeres, (iv) la deficiencia en la formación y capacitación de líderesas y lideres, (v) la falta de apoyo psicosocial y de manejo ambiental</w:t>
            </w:r>
            <w:r w:rsidRPr="00211504">
              <w:rPr>
                <w:rStyle w:val="Refdenotaalpie"/>
                <w:rFonts w:eastAsia="Times New Roman" w:cs="Times New Roman"/>
              </w:rPr>
              <w:footnoteReference w:id="1115"/>
            </w:r>
            <w:r w:rsidRPr="00211504">
              <w:rPr>
                <w:rFonts w:eastAsia="Times New Roman" w:cs="Times New Roman"/>
              </w:rPr>
              <w:t>.</w:t>
            </w:r>
          </w:p>
          <w:p w14:paraId="550C78E9" w14:textId="77777777" w:rsidR="00C454A1" w:rsidRPr="00211504" w:rsidRDefault="00C454A1" w:rsidP="00881E6A">
            <w:pPr>
              <w:ind w:right="272"/>
              <w:contextualSpacing/>
              <w:rPr>
                <w:rFonts w:eastAsia="Times New Roman" w:cs="Times New Roman"/>
              </w:rPr>
            </w:pPr>
          </w:p>
          <w:p w14:paraId="5A876CD1" w14:textId="77777777" w:rsidR="00C454A1" w:rsidRPr="00211504" w:rsidRDefault="00C454A1" w:rsidP="00881E6A">
            <w:pPr>
              <w:ind w:right="272"/>
              <w:contextualSpacing/>
              <w:rPr>
                <w:rFonts w:eastAsia="Times New Roman" w:cs="Times New Roman"/>
                <w:i/>
                <w:iCs/>
              </w:rPr>
            </w:pPr>
            <w:r w:rsidRPr="00211504">
              <w:rPr>
                <w:rFonts w:eastAsia="Times New Roman" w:cs="Times New Roman"/>
                <w:i/>
                <w:iCs/>
              </w:rPr>
              <w:t>Presupuesto valorativo.</w:t>
            </w:r>
            <w:r w:rsidRPr="00211504">
              <w:rPr>
                <w:rFonts w:eastAsia="Times New Roman" w:cs="Times New Roman"/>
              </w:rPr>
              <w:t xml:space="preserve"> El comité realizó la distinción respecto de este requisito. Sostuvo que en la subregión del Catatumbo hay 8 municipios con Plan de Desarrollo con Enfoque Territorial (PDET). Precisó que es fundamental acelerar los planes de reconversión económica, con apoyo a pequeños y medianos productores y comunidades </w:t>
            </w:r>
            <w:r w:rsidRPr="00211504">
              <w:rPr>
                <w:rFonts w:eastAsia="Times New Roman" w:cs="Times New Roman"/>
              </w:rPr>
              <w:lastRenderedPageBreak/>
              <w:t>rurales. Esto, con el fin de incentivar la producción de alimentos, la seguridad alimentaria y los sistemas agroalimentarios para el bienestar comunitario. Resaltó que ya se encuentra una hoja de ruta PDET Catatumbo, el cual ha presentado dificultades para su ejecución. La principal dificultad ha sido el conflicto armado que se agudiza en este territorio</w:t>
            </w:r>
            <w:r w:rsidRPr="00211504">
              <w:rPr>
                <w:rStyle w:val="Refdenotaalpie"/>
                <w:rFonts w:eastAsia="Times New Roman" w:cs="Times New Roman"/>
              </w:rPr>
              <w:footnoteReference w:id="1116"/>
            </w:r>
            <w:r w:rsidRPr="00211504">
              <w:rPr>
                <w:rFonts w:eastAsia="Times New Roman" w:cs="Times New Roman"/>
              </w:rPr>
              <w:t>.</w:t>
            </w:r>
          </w:p>
        </w:tc>
      </w:tr>
      <w:tr w:rsidR="00C454A1" w:rsidRPr="00E42F75" w14:paraId="7D6C3E55" w14:textId="77777777" w:rsidTr="005F4A6F">
        <w:trPr>
          <w:trHeight w:val="300"/>
        </w:trPr>
        <w:tc>
          <w:tcPr>
            <w:tcW w:w="813" w:type="pct"/>
            <w:vAlign w:val="center"/>
          </w:tcPr>
          <w:p w14:paraId="2DDDE266" w14:textId="77777777" w:rsidR="00C454A1" w:rsidRPr="00211504" w:rsidRDefault="00C454A1" w:rsidP="00881E6A">
            <w:pPr>
              <w:spacing w:after="120"/>
              <w:ind w:right="272"/>
              <w:contextualSpacing/>
              <w:jc w:val="center"/>
              <w:rPr>
                <w:rFonts w:cs="Times New Roman"/>
                <w:b/>
                <w:bCs/>
              </w:rPr>
            </w:pPr>
            <w:bookmarkStart w:id="253" w:name="_Hlk195276693"/>
            <w:r w:rsidRPr="00211504">
              <w:rPr>
                <w:rFonts w:cs="Times New Roman"/>
                <w:b/>
                <w:bCs/>
              </w:rPr>
              <w:lastRenderedPageBreak/>
              <w:t>Centro de Estudios de Derecho, Justicia y Sociedad (Dejusticia)</w:t>
            </w:r>
            <w:bookmarkEnd w:id="253"/>
          </w:p>
        </w:tc>
        <w:tc>
          <w:tcPr>
            <w:tcW w:w="4187" w:type="pct"/>
          </w:tcPr>
          <w:p w14:paraId="3443363A" w14:textId="77777777" w:rsidR="00C454A1" w:rsidRPr="00211504" w:rsidRDefault="00C454A1" w:rsidP="00881E6A">
            <w:pPr>
              <w:spacing w:after="120"/>
              <w:ind w:right="272"/>
              <w:contextualSpacing/>
              <w:rPr>
                <w:rFonts w:cs="Times New Roman"/>
              </w:rPr>
            </w:pPr>
            <w:r w:rsidRPr="00211504">
              <w:rPr>
                <w:rFonts w:cs="Times New Roman"/>
              </w:rPr>
              <w:t>Solicitó a la Corte declarar la</w:t>
            </w:r>
            <w:r w:rsidRPr="00211504">
              <w:rPr>
                <w:rFonts w:cs="Times New Roman"/>
                <w:i/>
                <w:iCs/>
              </w:rPr>
              <w:t xml:space="preserve"> exequibilidad </w:t>
            </w:r>
            <w:r w:rsidRPr="00211504">
              <w:rPr>
                <w:rFonts w:cs="Times New Roman"/>
              </w:rPr>
              <w:t xml:space="preserve">del Decreto Legislativo 062 de 2025. En relación con el presupuesto fáctico, indicó que los hechos señalados en el Decreto son perceptibles, </w:t>
            </w:r>
            <w:bookmarkStart w:id="254" w:name="_Hlk195118024"/>
            <w:r w:rsidRPr="00211504">
              <w:rPr>
                <w:rFonts w:cs="Times New Roman"/>
              </w:rPr>
              <w:t>verificables</w:t>
            </w:r>
            <w:bookmarkEnd w:id="254"/>
            <w:r w:rsidRPr="00211504">
              <w:rPr>
                <w:rFonts w:cs="Times New Roman"/>
              </w:rPr>
              <w:t xml:space="preserve"> y “generan una alteración de las condiciones de seguridad y tranquilidad requeridas para el ejercicio de los derechos”</w:t>
            </w:r>
            <w:r w:rsidRPr="00211504">
              <w:rPr>
                <w:rStyle w:val="Refdenotaalpie"/>
                <w:rFonts w:cs="Times New Roman"/>
              </w:rPr>
              <w:footnoteReference w:id="1117"/>
            </w:r>
            <w:r w:rsidRPr="00211504">
              <w:rPr>
                <w:rFonts w:cs="Times New Roman"/>
              </w:rPr>
              <w:t xml:space="preserve">. En particular, destacó que existe una grave situación de seguridad, alteración del orden público y graves violaciones a los derechos humanos en la región del Catatumbo. Sobre el presupuesto </w:t>
            </w:r>
            <w:r w:rsidRPr="00211504">
              <w:rPr>
                <w:rFonts w:cs="Times New Roman"/>
                <w:i/>
                <w:iCs/>
              </w:rPr>
              <w:t>valorativo</w:t>
            </w:r>
            <w:r w:rsidRPr="00211504">
              <w:rPr>
                <w:rFonts w:cs="Times New Roman"/>
              </w:rPr>
              <w:t xml:space="preserve">, </w:t>
            </w:r>
            <w:bookmarkStart w:id="255" w:name="_Hlk195118845"/>
            <w:r w:rsidRPr="00211504">
              <w:rPr>
                <w:rFonts w:cs="Times New Roman"/>
              </w:rPr>
              <w:t>manifestó que, aunque la región ha vivido el conflicto armado por muchos años, el nivel de victimización que "ha experimentado la población civil en los dos primeros meses del 2025 configura una crisis humanitaria con alcances preocupantes”</w:t>
            </w:r>
            <w:r w:rsidRPr="00211504">
              <w:rPr>
                <w:rStyle w:val="Refdenotaalpie"/>
                <w:rFonts w:cs="Times New Roman"/>
              </w:rPr>
              <w:footnoteReference w:id="1118"/>
            </w:r>
            <w:r w:rsidRPr="00211504">
              <w:rPr>
                <w:rFonts w:cs="Times New Roman"/>
              </w:rPr>
              <w:t>.</w:t>
            </w:r>
            <w:bookmarkEnd w:id="255"/>
            <w:r w:rsidRPr="00211504">
              <w:rPr>
                <w:rFonts w:cs="Times New Roman"/>
              </w:rPr>
              <w:t xml:space="preserve"> Expuso que en 2025 las cifras de desplazamiento forzado han incrementado de manera exponencial, al tiempo que la situación del conflicto armado se agrava cada vez más. Por lo tanto, la alteración del orden público "provocada por los enfrentamientos entre distintos actores armados con intereses de control territorial y económico, pone en riesgo la estabilidad institucional y es la causa de una crisis humanitaria que ha generado desplazamientos masivos y graves violaciones de derechos contra las comunidades del territorio”</w:t>
            </w:r>
            <w:r w:rsidRPr="00211504">
              <w:rPr>
                <w:rStyle w:val="Refdenotaalpie"/>
                <w:rFonts w:cs="Times New Roman"/>
              </w:rPr>
              <w:footnoteReference w:id="1119"/>
            </w:r>
            <w:r w:rsidRPr="00211504">
              <w:rPr>
                <w:rFonts w:cs="Times New Roman"/>
              </w:rPr>
              <w:t>.</w:t>
            </w:r>
          </w:p>
          <w:p w14:paraId="11841A60" w14:textId="77777777" w:rsidR="00C454A1" w:rsidRPr="00211504" w:rsidRDefault="00C454A1" w:rsidP="00881E6A">
            <w:pPr>
              <w:spacing w:after="120"/>
              <w:ind w:right="272"/>
              <w:contextualSpacing/>
              <w:rPr>
                <w:rFonts w:cs="Times New Roman"/>
              </w:rPr>
            </w:pPr>
          </w:p>
          <w:p w14:paraId="13F49D69" w14:textId="77777777" w:rsidR="00C454A1" w:rsidRPr="00211504" w:rsidRDefault="00C454A1" w:rsidP="00881E6A">
            <w:pPr>
              <w:spacing w:after="120"/>
              <w:ind w:right="272"/>
              <w:contextualSpacing/>
              <w:rPr>
                <w:rFonts w:cs="Times New Roman"/>
              </w:rPr>
            </w:pPr>
            <w:r w:rsidRPr="00211504">
              <w:rPr>
                <w:rFonts w:cs="Times New Roman"/>
              </w:rPr>
              <w:t xml:space="preserve">Respecto del requisito de </w:t>
            </w:r>
            <w:r w:rsidRPr="00211504">
              <w:rPr>
                <w:rFonts w:cs="Times New Roman"/>
                <w:i/>
                <w:iCs/>
              </w:rPr>
              <w:t>suficiencia</w:t>
            </w:r>
            <w:r w:rsidRPr="00211504">
              <w:rPr>
                <w:rFonts w:cs="Times New Roman"/>
              </w:rPr>
              <w:t xml:space="preserve">, adujo que el Decreto deja algunos vacíos en relación con la necesidad de la adopción de algunas medidas extraordinarias. Por un lado, señaló que las medidas presupuestales, fiscales y contractuales son necesarias para atender la situación, debido a que “las inflexibilidades presupuestales, el bajo nivel de recaudo del último año, las limitaciones para emplear recursos del Sistema General de Participaciones y </w:t>
            </w:r>
            <w:r w:rsidRPr="00211504">
              <w:rPr>
                <w:rFonts w:cs="Times New Roman"/>
              </w:rPr>
              <w:lastRenderedPageBreak/>
              <w:t>del Sistema General de Regalías, así como la imposibilidad de emplear los fondos que gestiona la [UNGRD] dan cuenta de la insuficiencia de las medidas presupuestales ordinarias para adoptar las medidas que se requieren para enfrentar la grave crisis de orden público”</w:t>
            </w:r>
            <w:r w:rsidRPr="00211504">
              <w:rPr>
                <w:rStyle w:val="Refdenotaalpie"/>
                <w:rFonts w:cs="Times New Roman"/>
              </w:rPr>
              <w:footnoteReference w:id="1120"/>
            </w:r>
            <w:r w:rsidRPr="00211504">
              <w:rPr>
                <w:rFonts w:cs="Times New Roman"/>
              </w:rPr>
              <w:t>. De igual forma, argumentó que la magnitud de la crisis humanitaria desborda la capacidad de respuesta institucional, por lo que la inyección de recursos adicionales y la destinación de capacidad humana es fundamental para dar respuesta a la crisis</w:t>
            </w:r>
          </w:p>
          <w:p w14:paraId="2A477207" w14:textId="77777777" w:rsidR="00C454A1" w:rsidRPr="00211504" w:rsidRDefault="00C454A1" w:rsidP="00881E6A">
            <w:pPr>
              <w:spacing w:after="120"/>
              <w:ind w:right="272"/>
              <w:contextualSpacing/>
              <w:rPr>
                <w:rFonts w:cs="Times New Roman"/>
              </w:rPr>
            </w:pPr>
          </w:p>
          <w:p w14:paraId="11EE48D1" w14:textId="77777777" w:rsidR="00C454A1" w:rsidRPr="00211504" w:rsidRDefault="00C454A1" w:rsidP="00881E6A">
            <w:pPr>
              <w:spacing w:after="120"/>
              <w:ind w:right="272"/>
              <w:contextualSpacing/>
              <w:rPr>
                <w:rFonts w:cs="Times New Roman"/>
              </w:rPr>
            </w:pPr>
            <w:r w:rsidRPr="00211504">
              <w:rPr>
                <w:rFonts w:cs="Times New Roman"/>
              </w:rPr>
              <w:t>Por otro lado, indicó que el Gobierno nacional no sustentó de forma adecuada la insuficiencia de las facultades ordinarias de la Fuerza Pública ni las atribuciones extraordinarias para robustecer la respuesta institucional. Asimismo, el Decreto no hizo mención a las medidas ordinarias para frenar el daño ambiental y la pérdida de biodiversidad ni a las atribuciones de las autoridades administrativas para impulsar la sustitución de cultivos de uso ilícito en los municipios de la región. A pesar de tales falencias, el interviniente sostuvo que la situación que enfrenta la región del Catatumbo demanda una respuesta efectiva e integral del Estado, por lo que la Corte debe demandar “una mayor carga argumentativa al momento de analizar la constitucionalidad del [D]ecreto”</w:t>
            </w:r>
            <w:r w:rsidRPr="00211504">
              <w:rPr>
                <w:rStyle w:val="Refdenotaalpie"/>
                <w:rFonts w:cs="Times New Roman"/>
              </w:rPr>
              <w:footnoteReference w:id="1121"/>
            </w:r>
            <w:r w:rsidRPr="00211504">
              <w:rPr>
                <w:rFonts w:cs="Times New Roman"/>
              </w:rPr>
              <w:t>.</w:t>
            </w:r>
          </w:p>
        </w:tc>
      </w:tr>
      <w:tr w:rsidR="00C454A1" w:rsidRPr="00E42F75" w14:paraId="6AB5A277" w14:textId="77777777" w:rsidTr="005F4A6F">
        <w:trPr>
          <w:trHeight w:val="300"/>
        </w:trPr>
        <w:tc>
          <w:tcPr>
            <w:tcW w:w="813" w:type="pct"/>
            <w:vAlign w:val="center"/>
          </w:tcPr>
          <w:p w14:paraId="3CA03CDD" w14:textId="77777777" w:rsidR="00C454A1" w:rsidRPr="00211504" w:rsidRDefault="00C454A1" w:rsidP="00881E6A">
            <w:pPr>
              <w:spacing w:after="120"/>
              <w:ind w:right="272"/>
              <w:contextualSpacing/>
              <w:jc w:val="center"/>
              <w:rPr>
                <w:rFonts w:cs="Times New Roman"/>
                <w:b/>
                <w:bCs/>
              </w:rPr>
            </w:pPr>
            <w:bookmarkStart w:id="256" w:name="_Hlk192834313"/>
            <w:r w:rsidRPr="00211504">
              <w:rPr>
                <w:rFonts w:cs="Times New Roman"/>
                <w:b/>
                <w:bCs/>
              </w:rPr>
              <w:lastRenderedPageBreak/>
              <w:t>Colectivo de Abogadas y Abogados José Alvear Restrepo - CAJAR</w:t>
            </w:r>
            <w:bookmarkEnd w:id="256"/>
            <w:r w:rsidRPr="00211504">
              <w:rPr>
                <w:rStyle w:val="Refdenotaalpie"/>
                <w:rFonts w:cs="Times New Roman"/>
                <w:b/>
                <w:bCs/>
              </w:rPr>
              <w:footnoteReference w:id="1122"/>
            </w:r>
          </w:p>
        </w:tc>
        <w:tc>
          <w:tcPr>
            <w:tcW w:w="4187" w:type="pct"/>
          </w:tcPr>
          <w:p w14:paraId="6A4BB908" w14:textId="77777777" w:rsidR="00C454A1" w:rsidRPr="00211504" w:rsidRDefault="00C454A1" w:rsidP="00881E6A">
            <w:pPr>
              <w:ind w:right="272"/>
              <w:rPr>
                <w:rFonts w:eastAsia="Times New Roman" w:cs="Times New Roman"/>
              </w:rPr>
            </w:pPr>
            <w:r w:rsidRPr="00211504">
              <w:rPr>
                <w:rFonts w:eastAsia="Times New Roman" w:cs="Times New Roman"/>
              </w:rPr>
              <w:t xml:space="preserve">Solicitó a la Corte declarar la </w:t>
            </w:r>
            <w:r w:rsidRPr="00211504">
              <w:rPr>
                <w:rFonts w:eastAsia="Times New Roman" w:cs="Times New Roman"/>
                <w:i/>
                <w:iCs/>
              </w:rPr>
              <w:t xml:space="preserve">inexequbilidad </w:t>
            </w:r>
            <w:r w:rsidRPr="00211504">
              <w:rPr>
                <w:rFonts w:eastAsia="Times New Roman" w:cs="Times New Roman"/>
              </w:rPr>
              <w:t xml:space="preserve">del Decreto 062 de 2025 porque, a su juicio, no se cumplen los presupuestos </w:t>
            </w:r>
            <w:r w:rsidRPr="00211504">
              <w:rPr>
                <w:rFonts w:eastAsia="Times New Roman" w:cs="Times New Roman"/>
                <w:i/>
                <w:iCs/>
              </w:rPr>
              <w:t xml:space="preserve">fáctico, valorativo </w:t>
            </w:r>
            <w:r w:rsidRPr="00211504">
              <w:rPr>
                <w:rFonts w:eastAsia="Times New Roman" w:cs="Times New Roman"/>
              </w:rPr>
              <w:t xml:space="preserve">y </w:t>
            </w:r>
            <w:r w:rsidRPr="00211504">
              <w:rPr>
                <w:rFonts w:eastAsia="Times New Roman" w:cs="Times New Roman"/>
                <w:i/>
                <w:iCs/>
              </w:rPr>
              <w:t>necesidad</w:t>
            </w:r>
            <w:r w:rsidRPr="00211504">
              <w:rPr>
                <w:rFonts w:eastAsia="Times New Roman" w:cs="Times New Roman"/>
              </w:rPr>
              <w:t>, en la medida en que “los hechos alegados no constituyen una perturbación sobreviniente e imprevisible del orden público, sino una problemática estructural y prolongada que debe ser atendida con los mecanismos ordinarios del Estado”</w:t>
            </w:r>
            <w:r w:rsidRPr="00211504">
              <w:rPr>
                <w:rStyle w:val="Refdenotaalpie"/>
                <w:rFonts w:eastAsia="Times New Roman" w:cs="Times New Roman"/>
              </w:rPr>
              <w:footnoteReference w:id="1123"/>
            </w:r>
            <w:r w:rsidRPr="00211504">
              <w:rPr>
                <w:rFonts w:eastAsia="Times New Roman" w:cs="Times New Roman"/>
              </w:rPr>
              <w:t>.</w:t>
            </w:r>
          </w:p>
          <w:p w14:paraId="7606646F" w14:textId="77777777" w:rsidR="00C454A1" w:rsidRPr="00211504" w:rsidRDefault="00C454A1" w:rsidP="00881E6A">
            <w:pPr>
              <w:ind w:right="272"/>
              <w:rPr>
                <w:rFonts w:eastAsia="Times New Roman" w:cs="Times New Roman"/>
                <w:i/>
                <w:iCs/>
              </w:rPr>
            </w:pPr>
          </w:p>
          <w:p w14:paraId="6E47F22E" w14:textId="77777777" w:rsidR="00C454A1" w:rsidRPr="00211504" w:rsidRDefault="00C454A1" w:rsidP="005F4A6F">
            <w:pPr>
              <w:pStyle w:val="Prrafodelista"/>
              <w:numPr>
                <w:ilvl w:val="0"/>
                <w:numId w:val="81"/>
              </w:numPr>
              <w:ind w:left="545" w:right="272" w:hanging="425"/>
              <w:contextualSpacing w:val="0"/>
              <w:rPr>
                <w:rFonts w:eastAsia="Times New Roman" w:cs="Times New Roman"/>
              </w:rPr>
            </w:pPr>
            <w:r w:rsidRPr="00211504">
              <w:rPr>
                <w:rFonts w:eastAsia="Times New Roman" w:cs="Times New Roman"/>
                <w:i/>
                <w:iCs/>
              </w:rPr>
              <w:t>Incumplimiento del presupuesto fáctico.</w:t>
            </w:r>
            <w:r w:rsidRPr="00211504">
              <w:rPr>
                <w:rFonts w:eastAsia="Times New Roman" w:cs="Times New Roman"/>
              </w:rPr>
              <w:t xml:space="preserve"> Indicó que los hechos que presentó el Gobierno </w:t>
            </w:r>
            <w:r>
              <w:rPr>
                <w:rFonts w:eastAsia="Times New Roman" w:cs="Times New Roman"/>
              </w:rPr>
              <w:t>n</w:t>
            </w:r>
            <w:r w:rsidRPr="00211504">
              <w:rPr>
                <w:rFonts w:eastAsia="Times New Roman" w:cs="Times New Roman"/>
              </w:rPr>
              <w:t xml:space="preserve">acional para fundamentar la declaratoria de conmoción interior no son sobrevinientes porque habían sido alertados por la </w:t>
            </w:r>
            <w:r w:rsidRPr="00211504">
              <w:rPr>
                <w:rFonts w:eastAsia="Times New Roman" w:cs="Times New Roman"/>
              </w:rPr>
              <w:lastRenderedPageBreak/>
              <w:t>Defensoría del Pueblo</w:t>
            </w:r>
            <w:r w:rsidRPr="00211504">
              <w:rPr>
                <w:rStyle w:val="Refdenotaalpie"/>
                <w:rFonts w:eastAsia="Times New Roman" w:cs="Times New Roman"/>
              </w:rPr>
              <w:footnoteReference w:id="1124"/>
            </w:r>
            <w:r w:rsidRPr="00211504">
              <w:rPr>
                <w:rFonts w:eastAsia="Times New Roman" w:cs="Times New Roman"/>
              </w:rPr>
              <w:t xml:space="preserve">. Si bien reconoció la existencia de la crisis humanitaria en la subregión del Catatumbo, conforme a los hechos y cifras invocados por el Gobierno </w:t>
            </w:r>
            <w:r>
              <w:rPr>
                <w:rFonts w:eastAsia="Times New Roman" w:cs="Times New Roman"/>
              </w:rPr>
              <w:t>n</w:t>
            </w:r>
            <w:r w:rsidRPr="00211504">
              <w:rPr>
                <w:rFonts w:eastAsia="Times New Roman" w:cs="Times New Roman"/>
              </w:rPr>
              <w:t>acional</w:t>
            </w:r>
            <w:r w:rsidRPr="00211504">
              <w:rPr>
                <w:rStyle w:val="Refdenotaalpie"/>
                <w:rFonts w:eastAsia="Times New Roman" w:cs="Times New Roman"/>
              </w:rPr>
              <w:footnoteReference w:id="1125"/>
            </w:r>
            <w:r w:rsidRPr="00211504">
              <w:rPr>
                <w:rFonts w:eastAsia="Times New Roman" w:cs="Times New Roman"/>
              </w:rPr>
              <w:t>, resaltó expresamente las siguientes alertas tempranas presentadas por la Defensoría del Pueblo</w:t>
            </w:r>
            <w:r w:rsidRPr="00211504">
              <w:rPr>
                <w:rStyle w:val="Refdenotaalpie"/>
                <w:rFonts w:eastAsia="Times New Roman" w:cs="Times New Roman"/>
              </w:rPr>
              <w:footnoteReference w:id="1126"/>
            </w:r>
            <w:r w:rsidRPr="00211504">
              <w:rPr>
                <w:rFonts w:eastAsia="Times New Roman" w:cs="Times New Roman"/>
              </w:rPr>
              <w:t xml:space="preserve">: </w:t>
            </w:r>
          </w:p>
          <w:p w14:paraId="5922B24A" w14:textId="77777777" w:rsidR="00C454A1" w:rsidRPr="00211504" w:rsidRDefault="00C454A1" w:rsidP="00881E6A">
            <w:pPr>
              <w:pStyle w:val="Prrafodelista"/>
              <w:ind w:left="545" w:right="272"/>
              <w:contextualSpacing w:val="0"/>
              <w:rPr>
                <w:rFonts w:eastAsia="Times New Roman" w:cs="Times New Roman"/>
              </w:rPr>
            </w:pPr>
          </w:p>
          <w:p w14:paraId="231EAA29" w14:textId="77777777" w:rsidR="00C454A1" w:rsidRPr="00211504" w:rsidRDefault="00C454A1" w:rsidP="005F4A6F">
            <w:pPr>
              <w:pStyle w:val="Prrafodelista"/>
              <w:numPr>
                <w:ilvl w:val="0"/>
                <w:numId w:val="80"/>
              </w:numPr>
              <w:ind w:left="829" w:right="272" w:hanging="284"/>
              <w:contextualSpacing w:val="0"/>
              <w:rPr>
                <w:rFonts w:eastAsia="Times New Roman" w:cs="Times New Roman"/>
              </w:rPr>
            </w:pPr>
            <w:r w:rsidRPr="00211504">
              <w:rPr>
                <w:rFonts w:eastAsia="Times New Roman" w:cs="Times New Roman"/>
                <w:b/>
                <w:bCs/>
              </w:rPr>
              <w:t>No. 006 de 2023</w:t>
            </w:r>
            <w:r w:rsidRPr="00211504">
              <w:rPr>
                <w:rFonts w:eastAsia="Times New Roman" w:cs="Times New Roman"/>
              </w:rPr>
              <w:t xml:space="preserve"> sobre las amenazas de las Autodefensas Gaitanistas de Colombia contra la población del municipio de la Esperanza.</w:t>
            </w:r>
          </w:p>
          <w:p w14:paraId="6A72A23C" w14:textId="77777777" w:rsidR="00C454A1" w:rsidRPr="00211504" w:rsidRDefault="00C454A1" w:rsidP="005F4A6F">
            <w:pPr>
              <w:pStyle w:val="Prrafodelista"/>
              <w:numPr>
                <w:ilvl w:val="0"/>
                <w:numId w:val="80"/>
              </w:numPr>
              <w:ind w:left="829" w:right="272" w:hanging="284"/>
              <w:contextualSpacing w:val="0"/>
              <w:rPr>
                <w:rFonts w:eastAsia="Times New Roman" w:cs="Times New Roman"/>
              </w:rPr>
            </w:pPr>
            <w:r w:rsidRPr="00211504">
              <w:rPr>
                <w:rFonts w:eastAsia="Times New Roman" w:cs="Times New Roman"/>
                <w:b/>
                <w:bCs/>
              </w:rPr>
              <w:t>No. 026 de 2023</w:t>
            </w:r>
            <w:r w:rsidRPr="00211504">
              <w:rPr>
                <w:rFonts w:eastAsia="Times New Roman" w:cs="Times New Roman"/>
              </w:rPr>
              <w:t xml:space="preserve"> que hizo referencia a la persistencia del conflicto armado y sus riesgos sobre los defensores de derechos humanos, líderes sociales, víctimas, funcionarios públicos y, en general, la población civil del municipio de Ábrego.</w:t>
            </w:r>
          </w:p>
          <w:p w14:paraId="4AC6D29B" w14:textId="77777777" w:rsidR="00C454A1" w:rsidRPr="00211504" w:rsidRDefault="00C454A1" w:rsidP="005F4A6F">
            <w:pPr>
              <w:pStyle w:val="Prrafodelista"/>
              <w:numPr>
                <w:ilvl w:val="0"/>
                <w:numId w:val="80"/>
              </w:numPr>
              <w:ind w:left="829" w:right="272" w:hanging="284"/>
              <w:contextualSpacing w:val="0"/>
              <w:rPr>
                <w:rFonts w:eastAsia="Times New Roman" w:cs="Times New Roman"/>
              </w:rPr>
            </w:pPr>
            <w:r w:rsidRPr="00211504">
              <w:rPr>
                <w:rFonts w:eastAsia="Times New Roman" w:cs="Times New Roman"/>
                <w:b/>
                <w:bCs/>
              </w:rPr>
              <w:t>No. 021 de 2024</w:t>
            </w:r>
            <w:r w:rsidRPr="00211504">
              <w:rPr>
                <w:rFonts w:eastAsia="Times New Roman" w:cs="Times New Roman"/>
              </w:rPr>
              <w:t xml:space="preserve"> que advirtió los riesgos derivados de la continuidad del conflicto armado y la expansión territorial del Frente 33 de las Disidencias de las FARC-EP.</w:t>
            </w:r>
          </w:p>
          <w:p w14:paraId="488A52FC" w14:textId="77777777" w:rsidR="00C454A1" w:rsidRPr="00211504" w:rsidRDefault="00C454A1" w:rsidP="005F4A6F">
            <w:pPr>
              <w:pStyle w:val="Prrafodelista"/>
              <w:numPr>
                <w:ilvl w:val="0"/>
                <w:numId w:val="80"/>
              </w:numPr>
              <w:ind w:left="829" w:right="272" w:hanging="284"/>
              <w:contextualSpacing w:val="0"/>
              <w:rPr>
                <w:rFonts w:eastAsia="Times New Roman" w:cs="Times New Roman"/>
              </w:rPr>
            </w:pPr>
            <w:r w:rsidRPr="00211504">
              <w:rPr>
                <w:rFonts w:eastAsia="Times New Roman" w:cs="Times New Roman"/>
                <w:b/>
                <w:bCs/>
              </w:rPr>
              <w:t>No. 26 de 2024</w:t>
            </w:r>
            <w:r w:rsidRPr="00211504">
              <w:rPr>
                <w:rFonts w:eastAsia="Times New Roman" w:cs="Times New Roman"/>
              </w:rPr>
              <w:t xml:space="preserve"> que alertó sobre el incremento de las acciones militares del ELN y las disputas territoriales con otras GAO y GDO de la región. </w:t>
            </w:r>
          </w:p>
          <w:p w14:paraId="7D9E5CBE" w14:textId="77777777" w:rsidR="00C454A1" w:rsidRPr="00211504" w:rsidRDefault="00C454A1" w:rsidP="00881E6A">
            <w:pPr>
              <w:ind w:left="545" w:right="272"/>
              <w:rPr>
                <w:rFonts w:eastAsia="Times New Roman" w:cs="Times New Roman"/>
              </w:rPr>
            </w:pPr>
          </w:p>
          <w:p w14:paraId="3F58E500" w14:textId="77777777" w:rsidR="00C454A1" w:rsidRPr="00211504" w:rsidRDefault="00C454A1" w:rsidP="00881E6A">
            <w:pPr>
              <w:ind w:left="545" w:right="272"/>
              <w:rPr>
                <w:rFonts w:eastAsia="Times New Roman" w:cs="Times New Roman"/>
              </w:rPr>
            </w:pPr>
            <w:r w:rsidRPr="00211504">
              <w:rPr>
                <w:rFonts w:eastAsia="Times New Roman" w:cs="Times New Roman"/>
              </w:rPr>
              <w:t xml:space="preserve">Asimismo, consideró que los hechos esgrimidos por el </w:t>
            </w:r>
            <w:r>
              <w:rPr>
                <w:rFonts w:eastAsia="Times New Roman" w:cs="Times New Roman"/>
              </w:rPr>
              <w:t>G</w:t>
            </w:r>
            <w:r w:rsidRPr="00211504">
              <w:rPr>
                <w:rFonts w:eastAsia="Times New Roman" w:cs="Times New Roman"/>
              </w:rPr>
              <w:t>obierno como fundamento para el estado de excepción “se encuentran relacionadas con condiciones estructurales que median las dinámicas del territorio como lo son la ubicación geoestratégica para el control de rutas de narcotráfico y de economías ilegales, la existencia de un nodo de producción cocalero, deficiencias en la infraestructura vial y de atención en bienes y servicios básicos por parte del estado, entre otras, que configuran a este territorio en un epicentro de desprotección y de control social y territorial por parte de actores armados ilegales”</w:t>
            </w:r>
            <w:r w:rsidRPr="00211504">
              <w:rPr>
                <w:rStyle w:val="Refdenotaalpie"/>
                <w:rFonts w:eastAsia="Times New Roman" w:cs="Times New Roman"/>
              </w:rPr>
              <w:footnoteReference w:id="1127"/>
            </w:r>
            <w:r w:rsidRPr="00211504">
              <w:rPr>
                <w:rFonts w:eastAsia="Times New Roman" w:cs="Times New Roman"/>
              </w:rPr>
              <w:t>.</w:t>
            </w:r>
          </w:p>
          <w:p w14:paraId="50561421" w14:textId="77777777" w:rsidR="00C454A1" w:rsidRPr="00211504" w:rsidRDefault="00C454A1" w:rsidP="00881E6A">
            <w:pPr>
              <w:ind w:right="272"/>
              <w:rPr>
                <w:rFonts w:eastAsia="Times New Roman" w:cs="Times New Roman"/>
              </w:rPr>
            </w:pPr>
          </w:p>
          <w:p w14:paraId="114F1BBE" w14:textId="77777777" w:rsidR="00C454A1" w:rsidRPr="00211504" w:rsidRDefault="00C454A1" w:rsidP="005F4A6F">
            <w:pPr>
              <w:pStyle w:val="Prrafodelista"/>
              <w:numPr>
                <w:ilvl w:val="0"/>
                <w:numId w:val="81"/>
              </w:numPr>
              <w:ind w:left="545" w:right="272" w:hanging="545"/>
              <w:contextualSpacing w:val="0"/>
              <w:rPr>
                <w:rFonts w:eastAsia="Times New Roman" w:cs="Times New Roman"/>
              </w:rPr>
            </w:pPr>
            <w:r w:rsidRPr="00211504">
              <w:rPr>
                <w:rFonts w:eastAsia="Times New Roman" w:cs="Times New Roman"/>
                <w:i/>
                <w:iCs/>
              </w:rPr>
              <w:lastRenderedPageBreak/>
              <w:t>Incumplimiento del presupuesto valorativo</w:t>
            </w:r>
            <w:r w:rsidRPr="00211504">
              <w:rPr>
                <w:rFonts w:eastAsia="Times New Roman" w:cs="Times New Roman"/>
              </w:rPr>
              <w:t>: Estimó que “si bien los hechos invocados por el Gobierno para declarar la conmoción interior son graves, esta situación no alude a circunstancias repentinas, sobrevinientes o extraordinarias que fueran imprevisibles e irresistibles por distintas razones que pasan tanto por la estructuralidad que adquiere el conflicto armado interno en Colombia sustentado en las distintas alertas tempranas emitidas por la Defensoría del Pueblo como por las deficiencias observadas en la respuesta institucional frente a una crisis que se ha reproducido durante décadas”</w:t>
            </w:r>
            <w:r w:rsidRPr="00211504">
              <w:rPr>
                <w:rStyle w:val="Refdenotaalpie"/>
                <w:rFonts w:eastAsia="Times New Roman" w:cs="Times New Roman"/>
              </w:rPr>
              <w:footnoteReference w:id="1128"/>
            </w:r>
            <w:r w:rsidRPr="00211504">
              <w:rPr>
                <w:rFonts w:eastAsia="Times New Roman" w:cs="Times New Roman"/>
              </w:rPr>
              <w:t>. En tal sentido, específicamente sobre la existencia de cultivos de uso ilícito y el procesamiento la región del Catatumbo, hizo referencia a la Sentencia SU-545 de 2023 de la Corte Constitucional, para señalar que estas circunstancias “no pueden considerarse como excepcionales, dado que son una situación conocida y preexistente, para lo cual el Estado ya cuenta con un marco normativo y programas diseñados para su atención”</w:t>
            </w:r>
            <w:r w:rsidRPr="00211504">
              <w:rPr>
                <w:rStyle w:val="Refdenotaalpie"/>
                <w:rFonts w:eastAsia="Times New Roman" w:cs="Times New Roman"/>
              </w:rPr>
              <w:footnoteReference w:id="1129"/>
            </w:r>
            <w:r w:rsidRPr="00211504">
              <w:rPr>
                <w:rFonts w:eastAsia="Times New Roman" w:cs="Times New Roman"/>
              </w:rPr>
              <w:t>. Por otra parte, señaló que, de acuerdo con la SU-546 de 2023, los defensores de DDHH, los líderes sociales y la población civil de la región del Catatumbo han sido objeto de “un persistente contexto de agresiones sistemáticas, incluyendo homicidios, amenazas, desplazamientos forzados y estigmatización”</w:t>
            </w:r>
            <w:r w:rsidRPr="00211504">
              <w:rPr>
                <w:rStyle w:val="Refdenotaalpie"/>
                <w:rFonts w:eastAsia="Times New Roman" w:cs="Times New Roman"/>
              </w:rPr>
              <w:footnoteReference w:id="1130"/>
            </w:r>
            <w:r w:rsidRPr="00211504">
              <w:rPr>
                <w:rFonts w:eastAsia="Times New Roman" w:cs="Times New Roman"/>
              </w:rPr>
              <w:t>. Respecto de los ataques a los firmantes del Acuerdo de Paz, indicó que se han incrementado los riesgos por la “falta de implementación de una política efectiva de desmantelamiento de estructuras criminales ha permitido que estos grupos sigan operando con impunidad”</w:t>
            </w:r>
            <w:r w:rsidRPr="00211504">
              <w:rPr>
                <w:rStyle w:val="Refdenotaalpie"/>
                <w:rFonts w:eastAsia="Times New Roman" w:cs="Times New Roman"/>
              </w:rPr>
              <w:footnoteReference w:id="1131"/>
            </w:r>
            <w:r w:rsidRPr="00211504">
              <w:rPr>
                <w:rFonts w:eastAsia="Times New Roman" w:cs="Times New Roman"/>
              </w:rPr>
              <w:t>; lo cual tiene una estrecha relación con la “falta de implementación de una política efectiva de desmantelamiento de estructuras criminales ha permitido que estos grupos sigan operando con impunidad.”</w:t>
            </w:r>
            <w:r w:rsidRPr="00211504">
              <w:rPr>
                <w:rStyle w:val="Refdenotaalpie"/>
                <w:rFonts w:eastAsia="Times New Roman" w:cs="Times New Roman"/>
              </w:rPr>
              <w:footnoteReference w:id="1132"/>
            </w:r>
            <w:r w:rsidRPr="00211504">
              <w:rPr>
                <w:rFonts w:eastAsia="Times New Roman" w:cs="Times New Roman"/>
              </w:rPr>
              <w:t>. Por estas razones, concluyó que el presupuesto valorativo no se satisface debido a la “desatención estructural de las obligaciones ordinarias del Estado, en particular del Gobierno Nacional”.</w:t>
            </w:r>
            <w:r w:rsidRPr="00211504">
              <w:rPr>
                <w:rStyle w:val="Refdenotaalpie"/>
                <w:rFonts w:eastAsia="Times New Roman" w:cs="Times New Roman"/>
              </w:rPr>
              <w:footnoteReference w:id="1133"/>
            </w:r>
            <w:r w:rsidRPr="00211504">
              <w:rPr>
                <w:rFonts w:eastAsia="Times New Roman" w:cs="Times New Roman"/>
              </w:rPr>
              <w:t xml:space="preserve"> </w:t>
            </w:r>
          </w:p>
          <w:p w14:paraId="22E81520" w14:textId="77777777" w:rsidR="00C454A1" w:rsidRPr="00211504" w:rsidRDefault="00C454A1" w:rsidP="00881E6A">
            <w:pPr>
              <w:pStyle w:val="Prrafodelista"/>
              <w:ind w:left="545" w:right="272"/>
              <w:contextualSpacing w:val="0"/>
              <w:rPr>
                <w:rFonts w:eastAsia="Times New Roman" w:cs="Times New Roman"/>
              </w:rPr>
            </w:pPr>
          </w:p>
          <w:p w14:paraId="3C7F42F1" w14:textId="77777777" w:rsidR="00C454A1" w:rsidRPr="00211504" w:rsidRDefault="00C454A1" w:rsidP="005F4A6F">
            <w:pPr>
              <w:pStyle w:val="Prrafodelista"/>
              <w:numPr>
                <w:ilvl w:val="0"/>
                <w:numId w:val="81"/>
              </w:numPr>
              <w:ind w:left="545" w:right="272" w:hanging="545"/>
              <w:contextualSpacing w:val="0"/>
              <w:rPr>
                <w:rFonts w:eastAsia="Times New Roman" w:cs="Times New Roman"/>
              </w:rPr>
            </w:pPr>
            <w:r w:rsidRPr="00211504">
              <w:rPr>
                <w:rFonts w:eastAsia="Times New Roman" w:cs="Times New Roman"/>
                <w:i/>
                <w:iCs/>
              </w:rPr>
              <w:lastRenderedPageBreak/>
              <w:t xml:space="preserve">Incumplimiento del presupuesto de necesidad: </w:t>
            </w:r>
            <w:r w:rsidRPr="00211504">
              <w:rPr>
                <w:rFonts w:eastAsia="Times New Roman" w:cs="Times New Roman"/>
              </w:rPr>
              <w:t>Argumentó que “declarar la conmoción interior sin explorar plenamente otras opciones puede abrir la puerta a abusos y restricciones arbitrarias de derechos fundamentales”</w:t>
            </w:r>
            <w:r w:rsidRPr="00211504">
              <w:rPr>
                <w:rStyle w:val="Refdenotaalpie"/>
                <w:rFonts w:eastAsia="Times New Roman" w:cs="Times New Roman"/>
              </w:rPr>
              <w:footnoteReference w:id="1134"/>
            </w:r>
            <w:r w:rsidRPr="00211504">
              <w:rPr>
                <w:rFonts w:eastAsia="Times New Roman" w:cs="Times New Roman"/>
              </w:rPr>
              <w:t xml:space="preserve">. Asimismo, señaló que el Gobierno </w:t>
            </w:r>
            <w:r>
              <w:rPr>
                <w:rFonts w:eastAsia="Times New Roman" w:cs="Times New Roman"/>
              </w:rPr>
              <w:t>n</w:t>
            </w:r>
            <w:r w:rsidRPr="00211504">
              <w:rPr>
                <w:rFonts w:eastAsia="Times New Roman" w:cs="Times New Roman"/>
              </w:rPr>
              <w:t>acional dispone de un amplio margen de acción para hacer frente a la crisis de violencia en la región del Catatumbo</w:t>
            </w:r>
            <w:r w:rsidRPr="00211504">
              <w:rPr>
                <w:rStyle w:val="Refdenotaalpie"/>
                <w:rFonts w:eastAsia="Times New Roman" w:cs="Times New Roman"/>
              </w:rPr>
              <w:footnoteReference w:id="1135"/>
            </w:r>
            <w:r w:rsidRPr="00211504">
              <w:rPr>
                <w:rFonts w:eastAsia="Times New Roman" w:cs="Times New Roman"/>
              </w:rPr>
              <w:t>. En ese sentido, hizo referencia la sesión técnica del estado de cosas inconstitucional declarado en la sentencia SU-020 de 2022 sobre garantías de seguridad a firmantes de paz, llevado a cabo el 3 de febrero de 2025 ante esta Corporación</w:t>
            </w:r>
            <w:r w:rsidRPr="00211504">
              <w:rPr>
                <w:rStyle w:val="Refdenotaalpie"/>
                <w:rFonts w:eastAsia="Times New Roman" w:cs="Times New Roman"/>
              </w:rPr>
              <w:footnoteReference w:id="1136"/>
            </w:r>
            <w:r w:rsidRPr="00211504">
              <w:rPr>
                <w:rFonts w:eastAsia="Times New Roman" w:cs="Times New Roman"/>
              </w:rPr>
              <w:t>, en la cual varios funcionarios del Gobierno nacional expusieron sus avances en la implementación de las medidas de protección para las personas en proceso de reincorporación en las zonas del país principalmente afectadas, entre ellas la región del Catatumbo. Particularmente, resaltó las siguientes intervenciones:</w:t>
            </w:r>
          </w:p>
          <w:p w14:paraId="7937FAFA" w14:textId="77777777" w:rsidR="00C454A1" w:rsidRPr="00211504" w:rsidRDefault="00C454A1" w:rsidP="00881E6A">
            <w:pPr>
              <w:pStyle w:val="Prrafodelista"/>
              <w:ind w:left="545" w:right="272"/>
              <w:contextualSpacing w:val="0"/>
              <w:rPr>
                <w:rFonts w:eastAsia="Times New Roman" w:cs="Times New Roman"/>
                <w:i/>
                <w:iCs/>
              </w:rPr>
            </w:pPr>
          </w:p>
          <w:p w14:paraId="73A44A72"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rPr>
              <w:t xml:space="preserve">El </w:t>
            </w:r>
            <w:r w:rsidRPr="00211504">
              <w:rPr>
                <w:rFonts w:eastAsia="Times New Roman" w:cs="Times New Roman"/>
                <w:b/>
                <w:bCs/>
              </w:rPr>
              <w:t>ministro del Interior</w:t>
            </w:r>
            <w:r w:rsidRPr="00211504">
              <w:rPr>
                <w:rFonts w:eastAsia="Times New Roman" w:cs="Times New Roman"/>
              </w:rPr>
              <w:t xml:space="preserve"> ha trabajado en el Plan de Choque para acelerar la implementación del Acuerdo Final, que consiste en una “política pública de desmantelamiento de organizaciones criminales que atentan contra la construcción de paz”, cuyo presupuesto “se ha cuadruplicado en los últimos 8 años, pasando de 700 mil millones a 2,8 billones, así como se ha duplicado el número de protegidos en los últimos años”</w:t>
            </w:r>
            <w:r w:rsidRPr="00211504">
              <w:rPr>
                <w:rStyle w:val="Refdenotaalpie"/>
                <w:rFonts w:eastAsia="Times New Roman" w:cs="Times New Roman"/>
              </w:rPr>
              <w:footnoteReference w:id="1137"/>
            </w:r>
            <w:r w:rsidRPr="00211504">
              <w:rPr>
                <w:rFonts w:eastAsia="Times New Roman" w:cs="Times New Roman"/>
              </w:rPr>
              <w:t>.</w:t>
            </w:r>
          </w:p>
          <w:p w14:paraId="00C8DA8C"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rPr>
              <w:t xml:space="preserve">El </w:t>
            </w:r>
            <w:r w:rsidRPr="00211504">
              <w:rPr>
                <w:rFonts w:eastAsia="Times New Roman" w:cs="Times New Roman"/>
                <w:b/>
                <w:bCs/>
              </w:rPr>
              <w:t>ministro de Defensa</w:t>
            </w:r>
            <w:r w:rsidRPr="00211504">
              <w:rPr>
                <w:rFonts w:eastAsia="Times New Roman" w:cs="Times New Roman"/>
              </w:rPr>
              <w:t xml:space="preserve"> ha seguido las recomendaciones de la Defensoría del Pueblo, al concentrar las delegaciones ante las instancias de protección, “creando centros integrados de información para la seguridad de firmantes con la Fiscalía y la ARN para la identificación de riesgos”</w:t>
            </w:r>
            <w:r w:rsidRPr="00211504">
              <w:rPr>
                <w:rStyle w:val="Refdenotaalpie"/>
                <w:rFonts w:eastAsia="Times New Roman" w:cs="Times New Roman"/>
              </w:rPr>
              <w:footnoteReference w:id="1138"/>
            </w:r>
            <w:r w:rsidRPr="00211504">
              <w:rPr>
                <w:rFonts w:eastAsia="Times New Roman" w:cs="Times New Roman"/>
              </w:rPr>
              <w:t xml:space="preserve">. </w:t>
            </w:r>
          </w:p>
          <w:p w14:paraId="3474EC53"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rPr>
              <w:t xml:space="preserve">El </w:t>
            </w:r>
            <w:r w:rsidRPr="00211504">
              <w:rPr>
                <w:rFonts w:eastAsia="Times New Roman" w:cs="Times New Roman"/>
                <w:b/>
                <w:bCs/>
              </w:rPr>
              <w:t xml:space="preserve">director general de la Policía Nacional </w:t>
            </w:r>
            <w:r w:rsidRPr="00211504">
              <w:rPr>
                <w:rFonts w:eastAsia="Times New Roman" w:cs="Times New Roman"/>
              </w:rPr>
              <w:t>informó que “actualmente se desarrolla un plan para la vinculación de 16.000 unidades en las Fuerzas Militares y 20.000 efectivos para la Policía Nacional, de los cuales ya han sido incorporados para esta última institución 4.000 nuevos uniformados”</w:t>
            </w:r>
            <w:r w:rsidRPr="00211504">
              <w:rPr>
                <w:rStyle w:val="Refdenotaalpie"/>
                <w:rFonts w:eastAsia="Times New Roman" w:cs="Times New Roman"/>
              </w:rPr>
              <w:footnoteReference w:id="1139"/>
            </w:r>
            <w:r w:rsidRPr="00211504">
              <w:rPr>
                <w:rFonts w:eastAsia="Times New Roman" w:cs="Times New Roman"/>
              </w:rPr>
              <w:t>.</w:t>
            </w:r>
          </w:p>
          <w:p w14:paraId="049B003A"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rPr>
              <w:t>El c</w:t>
            </w:r>
            <w:r w:rsidRPr="00211504">
              <w:rPr>
                <w:rFonts w:eastAsia="Times New Roman" w:cs="Times New Roman"/>
                <w:b/>
                <w:bCs/>
              </w:rPr>
              <w:t>omando general de las Fuerzas Militares</w:t>
            </w:r>
            <w:r w:rsidRPr="00211504">
              <w:rPr>
                <w:rFonts w:eastAsia="Times New Roman" w:cs="Times New Roman"/>
              </w:rPr>
              <w:t xml:space="preserve"> resaltó el “Plan de Campaña Estratégico Conjunto Ayacucho Plus, que prevé el desarrollo de operaciones militares conjuntas de toda la Fuerza Pública, cuyo objetivo es </w:t>
            </w:r>
            <w:r w:rsidRPr="00211504">
              <w:rPr>
                <w:rFonts w:eastAsia="Times New Roman" w:cs="Times New Roman"/>
              </w:rPr>
              <w:lastRenderedPageBreak/>
              <w:t>proteger a la población civil dedicada a la construcción de la paz total, teniendo para ello la disposición de 1.084 efectivos para la protección de los 23 AETCR”.</w:t>
            </w:r>
          </w:p>
          <w:p w14:paraId="49646868" w14:textId="77777777" w:rsidR="00C454A1" w:rsidRPr="00211504" w:rsidRDefault="00C454A1" w:rsidP="00881E6A">
            <w:pPr>
              <w:ind w:left="360" w:right="272"/>
              <w:rPr>
                <w:rFonts w:eastAsia="Times New Roman" w:cs="Times New Roman"/>
              </w:rPr>
            </w:pPr>
          </w:p>
          <w:p w14:paraId="2C0629DF" w14:textId="77777777" w:rsidR="00C454A1" w:rsidRPr="00211504" w:rsidRDefault="00C454A1" w:rsidP="00881E6A">
            <w:pPr>
              <w:ind w:left="360" w:right="272"/>
              <w:rPr>
                <w:rFonts w:eastAsia="Times New Roman" w:cs="Times New Roman"/>
              </w:rPr>
            </w:pPr>
            <w:r w:rsidRPr="00211504">
              <w:rPr>
                <w:rFonts w:eastAsia="Times New Roman" w:cs="Times New Roman"/>
              </w:rPr>
              <w:t xml:space="preserve">En consideración a lo anterior, consideró que “las distintas autoridades del Gobierno </w:t>
            </w:r>
            <w:r>
              <w:rPr>
                <w:rFonts w:eastAsia="Times New Roman" w:cs="Times New Roman"/>
              </w:rPr>
              <w:t>n</w:t>
            </w:r>
            <w:r w:rsidRPr="00211504">
              <w:rPr>
                <w:rFonts w:eastAsia="Times New Roman" w:cs="Times New Roman"/>
              </w:rPr>
              <w:t>acional que validaron esta declaratoria, ya contaban con medidas ordinarias que habían venido implementando para el mejoramiento de las condiciones de seguridad, no solamente en la región del Catatumbo, sino en las distintas zonas del país donde la situación de violencia es permanentemente grave”</w:t>
            </w:r>
            <w:r w:rsidRPr="00211504">
              <w:rPr>
                <w:rStyle w:val="Refdenotaalpie"/>
                <w:rFonts w:eastAsia="Times New Roman" w:cs="Times New Roman"/>
              </w:rPr>
              <w:footnoteReference w:id="1140"/>
            </w:r>
            <w:r w:rsidRPr="00211504">
              <w:rPr>
                <w:rFonts w:eastAsia="Times New Roman" w:cs="Times New Roman"/>
              </w:rPr>
              <w:t xml:space="preserve">. Finalmente, concluyó que “la declaratoria de conmoción interior decretada por el Gobierno </w:t>
            </w:r>
            <w:r>
              <w:rPr>
                <w:rFonts w:eastAsia="Times New Roman" w:cs="Times New Roman"/>
              </w:rPr>
              <w:t>n</w:t>
            </w:r>
            <w:r w:rsidRPr="00211504">
              <w:rPr>
                <w:rFonts w:eastAsia="Times New Roman" w:cs="Times New Roman"/>
              </w:rPr>
              <w:t>acional para atender la situación humanitaria que se vive en la región del Catatumbo, resulta abiertamente innecesaria a la luz del amplio espectro de medidas con las que cuenta la institucionalidad para la transformación de las condiciones estructurales de la violencia”</w:t>
            </w:r>
            <w:r w:rsidRPr="00211504">
              <w:rPr>
                <w:rStyle w:val="Refdenotaalpie"/>
                <w:rFonts w:eastAsia="Times New Roman" w:cs="Times New Roman"/>
              </w:rPr>
              <w:footnoteReference w:id="1141"/>
            </w:r>
            <w:r w:rsidRPr="00211504">
              <w:rPr>
                <w:rFonts w:eastAsia="Times New Roman" w:cs="Times New Roman"/>
              </w:rPr>
              <w:t>.</w:t>
            </w:r>
          </w:p>
          <w:p w14:paraId="03812822" w14:textId="77777777" w:rsidR="00C454A1" w:rsidRPr="00211504" w:rsidRDefault="00C454A1" w:rsidP="00881E6A">
            <w:pPr>
              <w:ind w:left="360" w:right="272"/>
              <w:rPr>
                <w:rFonts w:eastAsia="Times New Roman" w:cs="Times New Roman"/>
              </w:rPr>
            </w:pPr>
          </w:p>
          <w:p w14:paraId="0CED44D8" w14:textId="77777777" w:rsidR="00C454A1" w:rsidRPr="00211504" w:rsidRDefault="00C454A1" w:rsidP="00881E6A">
            <w:pPr>
              <w:ind w:right="272"/>
              <w:rPr>
                <w:rFonts w:eastAsia="Times New Roman" w:cs="Times New Roman"/>
              </w:rPr>
            </w:pPr>
            <w:r w:rsidRPr="00211504">
              <w:rPr>
                <w:rFonts w:eastAsia="Times New Roman" w:cs="Times New Roman"/>
              </w:rPr>
              <w:t>Finalmente, solicitó a la Corte exhortar a las siguientes autoridades para implementar las acciones urgentes en el Catatumbo, en el marco de sus medidas ordinarias:</w:t>
            </w:r>
          </w:p>
          <w:p w14:paraId="0576D78E" w14:textId="77777777" w:rsidR="00C454A1" w:rsidRPr="00211504" w:rsidRDefault="00C454A1" w:rsidP="00881E6A">
            <w:pPr>
              <w:ind w:right="272"/>
              <w:rPr>
                <w:rFonts w:eastAsia="Times New Roman" w:cs="Times New Roman"/>
              </w:rPr>
            </w:pPr>
          </w:p>
          <w:p w14:paraId="3B382832"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i/>
                <w:iCs/>
              </w:rPr>
              <w:t>Oficina del Comisionado Consejero para la Paz</w:t>
            </w:r>
            <w:r w:rsidRPr="00211504">
              <w:rPr>
                <w:rFonts w:eastAsia="Times New Roman" w:cs="Times New Roman"/>
              </w:rPr>
              <w:t xml:space="preserve">. Solicitó que se le exhorte para que articule un espacio de diálogo con las organizaciones sociales y la Mesa Humanitaria del Catatumbo para impulsar un mecanismo que permita garantizar la construcción de paz, la protección de derechos humanos y el desarrollo sostenible en la región. </w:t>
            </w:r>
          </w:p>
          <w:p w14:paraId="746AD62F"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i/>
                <w:iCs/>
              </w:rPr>
              <w:t>Ministerio de Hacienda</w:t>
            </w:r>
            <w:r w:rsidRPr="00211504">
              <w:rPr>
                <w:rFonts w:eastAsia="Times New Roman" w:cs="Times New Roman"/>
              </w:rPr>
              <w:t xml:space="preserve">. Solicitó que se le exhorte para que, en coordinación con el Ministerio de Interior, de Defensa, de Transporte y el Departamento Nacional de Planeación, se gestione fondos dentro del presupuesto existente y presentar al Congreso de manera urgente un proyecto de adición presupuestal para la superación de la crisis. </w:t>
            </w:r>
          </w:p>
          <w:p w14:paraId="41A7C8FA"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i/>
                <w:iCs/>
              </w:rPr>
              <w:t>Congreso de la República</w:t>
            </w:r>
            <w:r w:rsidRPr="00211504">
              <w:rPr>
                <w:rFonts w:eastAsia="Times New Roman" w:cs="Times New Roman"/>
              </w:rPr>
              <w:t xml:space="preserve">. Solicitó que se le exhorte para que tramite un proyecto de ley que destine partidas presupuestales específicas para atender la emergencia del Catatumbo. </w:t>
            </w:r>
          </w:p>
          <w:p w14:paraId="5CD5FB0E"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i/>
              </w:rPr>
              <w:lastRenderedPageBreak/>
              <w:t>Comisiones de Paz y Derecho Humanos</w:t>
            </w:r>
            <w:r w:rsidRPr="00211504">
              <w:rPr>
                <w:rFonts w:eastAsia="Times New Roman" w:cs="Times New Roman"/>
              </w:rPr>
              <w:t xml:space="preserve">. Solicitó que se le exhorte para que rinda informes que sirvan de base para la asignación de recursos y el trámite del proyecto de urgencia (…) para atender la situación del Catatumbo”. </w:t>
            </w:r>
          </w:p>
          <w:p w14:paraId="180D38EE"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i/>
                <w:iCs/>
              </w:rPr>
              <w:t>Fiscalía General de la Nación</w:t>
            </w:r>
            <w:r w:rsidRPr="00211504">
              <w:rPr>
                <w:rFonts w:eastAsia="Times New Roman" w:cs="Times New Roman"/>
              </w:rPr>
              <w:t xml:space="preserve">. Solicitó que se le exhorte para que investigue y judicialice a los responsables de la violencia en la región y la implementación de una estrategia de desmantelamiento y no repetición. </w:t>
            </w:r>
          </w:p>
          <w:p w14:paraId="4E4DCB11"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i/>
                <w:iCs/>
              </w:rPr>
              <w:t>Defensoría del Pueblo</w:t>
            </w:r>
            <w:r w:rsidRPr="00211504">
              <w:rPr>
                <w:rFonts w:eastAsia="Times New Roman" w:cs="Times New Roman"/>
              </w:rPr>
              <w:t xml:space="preserve">. Solicitó que se le exhorte para que coordine con las autoridades competentes la activación de planes de prevención, promover acuerdos humanitarios y realizar un seguimiento riguroso de las acciones recomendadas. </w:t>
            </w:r>
          </w:p>
          <w:p w14:paraId="19742564"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i/>
                <w:iCs/>
              </w:rPr>
              <w:t>Procuraduría General de la Nación</w:t>
            </w:r>
            <w:r w:rsidRPr="00211504">
              <w:rPr>
                <w:rFonts w:eastAsia="Times New Roman" w:cs="Times New Roman"/>
              </w:rPr>
              <w:t xml:space="preserve">. Solicitó que se le exhorte para que presente informes sobre: </w:t>
            </w:r>
            <w:r w:rsidRPr="00211504">
              <w:rPr>
                <w:rFonts w:eastAsia="Times New Roman" w:cs="Times New Roman"/>
                <w:i/>
                <w:iCs/>
              </w:rPr>
              <w:t>(i)</w:t>
            </w:r>
            <w:r w:rsidRPr="00211504">
              <w:rPr>
                <w:rFonts w:eastAsia="Times New Roman" w:cs="Times New Roman"/>
              </w:rPr>
              <w:t xml:space="preserve"> las investigaciones disciplinarias “por la omisión de autoridades públicas sobre las graves violaciones de derechos humanos e infracciones al DIH cometidas en la región del Catatumbo desde el inicio de las mesas de negociación entre el ELN y el EMCFB”; </w:t>
            </w:r>
            <w:r w:rsidRPr="00211504">
              <w:rPr>
                <w:rFonts w:eastAsia="Times New Roman" w:cs="Times New Roman"/>
                <w:i/>
                <w:iCs/>
              </w:rPr>
              <w:t>(ii)</w:t>
            </w:r>
            <w:r w:rsidRPr="00211504">
              <w:t xml:space="preserve"> </w:t>
            </w:r>
            <w:r w:rsidRPr="00211504">
              <w:rPr>
                <w:rFonts w:eastAsia="Times New Roman" w:cs="Times New Roman"/>
              </w:rPr>
              <w:t xml:space="preserve">“los impactos y efectos de la declaratoria de conmoción interior e incumplimiento del Acuerdo de Paz en la región”; </w:t>
            </w:r>
            <w:r w:rsidRPr="00211504">
              <w:rPr>
                <w:rFonts w:eastAsia="Times New Roman" w:cs="Times New Roman"/>
                <w:i/>
                <w:iCs/>
              </w:rPr>
              <w:t>(iii)</w:t>
            </w:r>
            <w:r w:rsidRPr="00211504">
              <w:rPr>
                <w:rFonts w:eastAsia="Times New Roman" w:cs="Times New Roman"/>
              </w:rPr>
              <w:t xml:space="preserve"> “las rutas de atención y protección para líderes y lideresas”.</w:t>
            </w:r>
          </w:p>
          <w:p w14:paraId="17CB3B7B" w14:textId="77777777" w:rsidR="00C454A1" w:rsidRPr="00211504" w:rsidRDefault="00C454A1" w:rsidP="005F4A6F">
            <w:pPr>
              <w:pStyle w:val="Prrafodelista"/>
              <w:numPr>
                <w:ilvl w:val="0"/>
                <w:numId w:val="80"/>
              </w:numPr>
              <w:ind w:right="272"/>
              <w:contextualSpacing w:val="0"/>
              <w:rPr>
                <w:rFonts w:eastAsia="Times New Roman" w:cs="Times New Roman"/>
              </w:rPr>
            </w:pPr>
            <w:r w:rsidRPr="00211504">
              <w:rPr>
                <w:rFonts w:eastAsia="Times New Roman" w:cs="Times New Roman"/>
                <w:i/>
                <w:iCs/>
              </w:rPr>
              <w:t>Unidad para la Atención y Reparación Integral de las Víctimas (UARIV)</w:t>
            </w:r>
            <w:r w:rsidRPr="00211504">
              <w:rPr>
                <w:rFonts w:eastAsia="Times New Roman" w:cs="Times New Roman"/>
              </w:rPr>
              <w:t xml:space="preserve">. Solicitó que se le exhorte para que: </w:t>
            </w:r>
            <w:r w:rsidRPr="00211504">
              <w:rPr>
                <w:rFonts w:eastAsia="Times New Roman" w:cs="Times New Roman"/>
                <w:i/>
                <w:iCs/>
              </w:rPr>
              <w:t>(i)</w:t>
            </w:r>
            <w:r w:rsidRPr="00211504">
              <w:rPr>
                <w:rFonts w:eastAsia="Times New Roman" w:cs="Times New Roman"/>
              </w:rPr>
              <w:t xml:space="preserve"> coordine, articule y gestiones “la entrega ayuda humanitaria inmediata y emergencia”; </w:t>
            </w:r>
            <w:r w:rsidRPr="00211504">
              <w:rPr>
                <w:rFonts w:eastAsia="Times New Roman" w:cs="Times New Roman"/>
                <w:i/>
                <w:iCs/>
              </w:rPr>
              <w:t>(ii)</w:t>
            </w:r>
            <w:r w:rsidRPr="00211504">
              <w:rPr>
                <w:rFonts w:eastAsia="Times New Roman" w:cs="Times New Roman"/>
              </w:rPr>
              <w:t xml:space="preserve"> documente “casos de violaciones DDHH Y DIH, especialmente mujeres, NNA”; </w:t>
            </w:r>
            <w:r w:rsidRPr="00211504">
              <w:rPr>
                <w:rFonts w:eastAsia="Times New Roman" w:cs="Times New Roman"/>
                <w:i/>
                <w:iCs/>
              </w:rPr>
              <w:t xml:space="preserve">(iii) </w:t>
            </w:r>
            <w:r w:rsidRPr="00211504">
              <w:rPr>
                <w:rFonts w:eastAsia="Times New Roman" w:cs="Times New Roman"/>
              </w:rPr>
              <w:t>adelante</w:t>
            </w:r>
            <w:r w:rsidRPr="00211504">
              <w:rPr>
                <w:rFonts w:eastAsia="Times New Roman" w:cs="Times New Roman"/>
                <w:i/>
                <w:iCs/>
              </w:rPr>
              <w:t xml:space="preserve"> </w:t>
            </w:r>
            <w:r w:rsidRPr="00211504">
              <w:rPr>
                <w:rFonts w:eastAsia="Times New Roman" w:cs="Times New Roman"/>
              </w:rPr>
              <w:t xml:space="preserve">“acciones de atención psicosocial mujeres, NNA, lideresas y líderes sociales”; </w:t>
            </w:r>
            <w:r w:rsidRPr="00211504">
              <w:rPr>
                <w:rFonts w:eastAsia="Times New Roman" w:cs="Times New Roman"/>
                <w:i/>
                <w:iCs/>
              </w:rPr>
              <w:t>(iii)</w:t>
            </w:r>
            <w:r w:rsidRPr="00211504">
              <w:rPr>
                <w:rFonts w:eastAsia="Times New Roman" w:cs="Times New Roman"/>
              </w:rPr>
              <w:t xml:space="preserve"> establezca “mecanismos idóneos para informar sobre la ruta para los retornos y reubicaciones individuales, comunitarios y de reintegración local para que las víctimas en el Catatumbo pueda acceder efectivamente a las mismas”; </w:t>
            </w:r>
            <w:r w:rsidRPr="00211504">
              <w:rPr>
                <w:rFonts w:eastAsia="Times New Roman" w:cs="Times New Roman"/>
                <w:i/>
                <w:iCs/>
              </w:rPr>
              <w:t>(iv)</w:t>
            </w:r>
            <w:r w:rsidRPr="00211504">
              <w:rPr>
                <w:rFonts w:eastAsia="Times New Roman" w:cs="Times New Roman"/>
              </w:rPr>
              <w:t xml:space="preserve"> informe “sobre el avance de la Reparación Individual y Reparación Colectiva para el Catatumbo”; y </w:t>
            </w:r>
            <w:r w:rsidRPr="00211504">
              <w:rPr>
                <w:rFonts w:eastAsia="Times New Roman" w:cs="Times New Roman"/>
                <w:i/>
                <w:iCs/>
              </w:rPr>
              <w:t>(v)</w:t>
            </w:r>
            <w:r w:rsidRPr="00211504">
              <w:rPr>
                <w:rFonts w:eastAsia="Times New Roman" w:cs="Times New Roman"/>
              </w:rPr>
              <w:t xml:space="preserve"> recolecte “</w:t>
            </w:r>
            <w:r w:rsidRPr="00211504">
              <w:rPr>
                <w:rFonts w:cs="Times New Roman"/>
              </w:rPr>
              <w:t>las comunidades, familias, lideresas y líderes y 5.Identificar de impactos y efectos relacionados con las medidas tomadas por el Gobierno Nacional en la región”</w:t>
            </w:r>
            <w:r w:rsidRPr="00211504">
              <w:rPr>
                <w:rStyle w:val="Refdenotaalpie"/>
                <w:rFonts w:cs="Times New Roman"/>
              </w:rPr>
              <w:footnoteReference w:id="1142"/>
            </w:r>
            <w:r w:rsidRPr="00211504">
              <w:rPr>
                <w:rFonts w:cs="Times New Roman"/>
              </w:rPr>
              <w:t>.</w:t>
            </w:r>
          </w:p>
        </w:tc>
      </w:tr>
      <w:tr w:rsidR="00C454A1" w:rsidRPr="00E42F75" w14:paraId="6531D359" w14:textId="77777777" w:rsidTr="005F4A6F">
        <w:trPr>
          <w:trHeight w:val="300"/>
        </w:trPr>
        <w:tc>
          <w:tcPr>
            <w:tcW w:w="813" w:type="pct"/>
            <w:vAlign w:val="center"/>
          </w:tcPr>
          <w:p w14:paraId="5526A5B1" w14:textId="77777777" w:rsidR="00C454A1" w:rsidRPr="00211504" w:rsidRDefault="00C454A1" w:rsidP="00881E6A">
            <w:pPr>
              <w:spacing w:after="120"/>
              <w:ind w:right="272"/>
              <w:contextualSpacing/>
              <w:jc w:val="center"/>
              <w:rPr>
                <w:rFonts w:cs="Times New Roman"/>
                <w:b/>
                <w:bCs/>
              </w:rPr>
            </w:pPr>
            <w:r w:rsidRPr="00211504">
              <w:rPr>
                <w:rFonts w:cs="Times New Roman"/>
                <w:b/>
                <w:bCs/>
              </w:rPr>
              <w:lastRenderedPageBreak/>
              <w:t>Fiscalía General de la Nación – Subdirección de Política Criminal y Articulación</w:t>
            </w:r>
          </w:p>
        </w:tc>
        <w:tc>
          <w:tcPr>
            <w:tcW w:w="4187" w:type="pct"/>
          </w:tcPr>
          <w:p w14:paraId="46AF57CF" w14:textId="77777777" w:rsidR="00C454A1" w:rsidRPr="00211504" w:rsidRDefault="00C454A1" w:rsidP="00881E6A">
            <w:pPr>
              <w:spacing w:after="120"/>
              <w:ind w:right="272"/>
              <w:contextualSpacing/>
              <w:rPr>
                <w:rFonts w:eastAsia="Times New Roman" w:cs="Times New Roman"/>
                <w:color w:val="000000" w:themeColor="text1"/>
              </w:rPr>
            </w:pPr>
            <w:r w:rsidRPr="00211504">
              <w:rPr>
                <w:rFonts w:eastAsia="Times New Roman" w:cs="Times New Roman"/>
                <w:color w:val="000000" w:themeColor="text1"/>
              </w:rPr>
              <w:t>La Subdirección de Política Criminal y Articulación de la Fiscalía solicitó a la Corte declarar la</w:t>
            </w:r>
            <w:r w:rsidRPr="00211504">
              <w:rPr>
                <w:rFonts w:eastAsia="Times New Roman" w:cs="Times New Roman"/>
                <w:i/>
                <w:iCs/>
                <w:color w:val="000000" w:themeColor="text1"/>
              </w:rPr>
              <w:t xml:space="preserve"> exequibilidad </w:t>
            </w:r>
            <w:r w:rsidRPr="00211504">
              <w:rPr>
                <w:rFonts w:eastAsia="Times New Roman" w:cs="Times New Roman"/>
                <w:color w:val="000000" w:themeColor="text1"/>
              </w:rPr>
              <w:t>del Decreto Legislativo 062 de 2025. Señaló que, existen “condiciones excepcionales de seguridad y orden público en la región de Catatumbo que exige del Estado colombiano una intervención integral en el territorio”</w:t>
            </w:r>
            <w:r w:rsidRPr="00211504">
              <w:rPr>
                <w:rStyle w:val="Refdenotaalpie"/>
                <w:rFonts w:eastAsia="Times New Roman" w:cs="Times New Roman"/>
                <w:color w:val="000000" w:themeColor="text1"/>
              </w:rPr>
              <w:footnoteReference w:id="1143"/>
            </w:r>
            <w:r w:rsidRPr="00211504">
              <w:rPr>
                <w:rFonts w:eastAsia="Times New Roman" w:cs="Times New Roman"/>
                <w:color w:val="000000" w:themeColor="text1"/>
              </w:rPr>
              <w:t>. Agregó que el 21 de enero solicitaron a la Presidencia de la República que “se tomen las medidas de seguridad necesarias en la región de El Catatumbo, que permitan el retorno de los funcionarios de la entidad”, en el entendido que por las condiciones de seguridad, no hay despachos de la fiscalía en El Tarra, Teorama y Tibú desde 2021, pues estos tuvieron que ser desplazados a Ocaña y Cúcuta, por los eventos de violencia hacia los funcionarios.</w:t>
            </w:r>
          </w:p>
          <w:p w14:paraId="4FC8783D" w14:textId="77777777" w:rsidR="00C454A1" w:rsidRPr="00211504" w:rsidRDefault="00C454A1" w:rsidP="00881E6A">
            <w:pPr>
              <w:spacing w:after="120"/>
              <w:ind w:right="272"/>
              <w:contextualSpacing/>
              <w:rPr>
                <w:rFonts w:eastAsia="Times New Roman" w:cs="Times New Roman"/>
              </w:rPr>
            </w:pPr>
          </w:p>
          <w:p w14:paraId="58B9A668" w14:textId="77777777" w:rsidR="00C454A1" w:rsidRPr="00211504" w:rsidRDefault="00C454A1" w:rsidP="00881E6A">
            <w:pPr>
              <w:spacing w:after="120"/>
              <w:ind w:right="272"/>
              <w:contextualSpacing/>
              <w:rPr>
                <w:rFonts w:eastAsia="Times New Roman" w:cs="Times New Roman"/>
              </w:rPr>
            </w:pPr>
            <w:r w:rsidRPr="00211504">
              <w:rPr>
                <w:rFonts w:eastAsia="Times New Roman" w:cs="Times New Roman"/>
              </w:rPr>
              <w:t>Por último, señaló que el 24 de enero de 2025, en virtud del Decreto de Conmoción Interior, se creó un grupo de tareas especiales para la investigación y judicialización de los hechos en la región del Catatumbo</w:t>
            </w:r>
            <w:r w:rsidRPr="00211504">
              <w:rPr>
                <w:rStyle w:val="Refdenotaalpie"/>
                <w:rFonts w:eastAsia="Times New Roman" w:cs="Times New Roman"/>
              </w:rPr>
              <w:footnoteReference w:id="1144"/>
            </w:r>
            <w:r w:rsidRPr="00211504">
              <w:rPr>
                <w:rFonts w:eastAsia="Times New Roman" w:cs="Times New Roman"/>
              </w:rPr>
              <w:t xml:space="preserve"> en razón a que desde el 16 de enero se han registrado 41 homicidios y 13426 desplazamientos forzados</w:t>
            </w:r>
            <w:r w:rsidRPr="00211504">
              <w:rPr>
                <w:rStyle w:val="Refdenotaalpie"/>
                <w:rFonts w:eastAsia="Times New Roman" w:cs="Times New Roman"/>
              </w:rPr>
              <w:footnoteReference w:id="1145"/>
            </w:r>
            <w:r w:rsidRPr="00211504">
              <w:rPr>
                <w:rFonts w:eastAsia="Times New Roman" w:cs="Times New Roman"/>
              </w:rPr>
              <w:t xml:space="preserve"> como consecuencia de la ola de violencia que desató el ELN. </w:t>
            </w:r>
          </w:p>
        </w:tc>
      </w:tr>
      <w:bookmarkEnd w:id="243"/>
    </w:tbl>
    <w:p w14:paraId="0345C603" w14:textId="64612556" w:rsidR="00C454A1" w:rsidRDefault="00C454A1" w:rsidP="00881E6A">
      <w:pPr>
        <w:ind w:right="272"/>
        <w:rPr>
          <w:rFonts w:cs="Times New Roman"/>
          <w:lang w:val="es-ES"/>
        </w:rPr>
      </w:pPr>
    </w:p>
    <w:p w14:paraId="7DE237E5" w14:textId="6D0FB95E" w:rsidR="000D3A33" w:rsidRDefault="000D3A33" w:rsidP="00881E6A">
      <w:pPr>
        <w:ind w:right="272"/>
        <w:rPr>
          <w:rFonts w:cs="Times New Roman"/>
          <w:lang w:val="es-ES"/>
        </w:rPr>
      </w:pPr>
    </w:p>
    <w:p w14:paraId="0F47394C" w14:textId="77777777" w:rsidR="000D3A33" w:rsidRDefault="000D3A33" w:rsidP="00881E6A">
      <w:pPr>
        <w:ind w:right="272"/>
        <w:rPr>
          <w:rFonts w:cs="Times New Roman"/>
          <w:lang w:val="es-ES"/>
        </w:rPr>
      </w:pPr>
    </w:p>
    <w:p w14:paraId="642D3C30" w14:textId="77777777" w:rsidR="00CA442E" w:rsidRPr="00833016" w:rsidRDefault="00CA442E" w:rsidP="00881E6A">
      <w:pPr>
        <w:ind w:right="272"/>
        <w:rPr>
          <w:rFonts w:cs="Times New Roman"/>
          <w:lang w:val="es-ES"/>
        </w:rPr>
      </w:pPr>
    </w:p>
    <w:p w14:paraId="48464088" w14:textId="77777777" w:rsidR="000D3A33" w:rsidRDefault="000D3A33">
      <w:pPr>
        <w:spacing w:after="160" w:line="278" w:lineRule="auto"/>
        <w:jc w:val="left"/>
        <w:rPr>
          <w:rFonts w:cs="Times New Roman"/>
          <w:szCs w:val="28"/>
          <w:lang w:val="es-ES"/>
        </w:rPr>
        <w:sectPr w:rsidR="000D3A33" w:rsidSect="00C454A1">
          <w:type w:val="continuous"/>
          <w:pgSz w:w="18700" w:h="12242" w:orient="landscape"/>
          <w:pgMar w:top="1701" w:right="1276" w:bottom="1701" w:left="1701" w:header="737" w:footer="709" w:gutter="0"/>
          <w:cols w:space="708"/>
          <w:titlePg/>
          <w:docGrid w:linePitch="360"/>
        </w:sectPr>
      </w:pPr>
    </w:p>
    <w:p w14:paraId="3F746418" w14:textId="75FEBA84" w:rsidR="001F3006" w:rsidRDefault="001F3006">
      <w:pPr>
        <w:spacing w:after="160" w:line="278" w:lineRule="auto"/>
        <w:jc w:val="left"/>
        <w:rPr>
          <w:rFonts w:cs="Times New Roman"/>
          <w:szCs w:val="28"/>
          <w:lang w:val="es-ES"/>
        </w:rPr>
      </w:pPr>
    </w:p>
    <w:p w14:paraId="30A9F72B" w14:textId="77777777" w:rsidR="001F3006" w:rsidRPr="001F3006" w:rsidRDefault="001F3006" w:rsidP="001F3006">
      <w:pPr>
        <w:widowControl w:val="0"/>
        <w:overflowPunct w:val="0"/>
        <w:autoSpaceDE w:val="0"/>
        <w:autoSpaceDN w:val="0"/>
        <w:adjustRightInd w:val="0"/>
        <w:jc w:val="center"/>
        <w:textAlignment w:val="baseline"/>
        <w:rPr>
          <w:rFonts w:eastAsia="SimSun" w:cs="Times New Roman"/>
          <w:b/>
          <w:bCs/>
          <w:kern w:val="0"/>
          <w:szCs w:val="28"/>
          <w:lang w:eastAsia="zh-CN"/>
          <w14:ligatures w14:val="none"/>
        </w:rPr>
      </w:pPr>
      <w:bookmarkStart w:id="257" w:name="_GoBack"/>
      <w:bookmarkEnd w:id="257"/>
      <w:r w:rsidRPr="001F3006">
        <w:rPr>
          <w:rFonts w:eastAsia="SimSun" w:cs="Times New Roman"/>
          <w:b/>
          <w:bCs/>
          <w:kern w:val="0"/>
          <w:szCs w:val="28"/>
          <w:lang w:eastAsia="zh-CN"/>
          <w14:ligatures w14:val="none"/>
        </w:rPr>
        <w:t xml:space="preserve">SALVAMENTO DE VOTO DEL MAGISTRADA </w:t>
      </w:r>
    </w:p>
    <w:p w14:paraId="037BF528" w14:textId="77777777" w:rsidR="001F3006" w:rsidRPr="001F3006" w:rsidRDefault="001F3006" w:rsidP="001F3006">
      <w:pPr>
        <w:widowControl w:val="0"/>
        <w:overflowPunct w:val="0"/>
        <w:autoSpaceDE w:val="0"/>
        <w:autoSpaceDN w:val="0"/>
        <w:adjustRightInd w:val="0"/>
        <w:jc w:val="center"/>
        <w:textAlignment w:val="baseline"/>
        <w:rPr>
          <w:rFonts w:eastAsia="SimSun" w:cs="Times New Roman"/>
          <w:b/>
          <w:bCs/>
          <w:kern w:val="0"/>
          <w:szCs w:val="28"/>
          <w:lang w:eastAsia="zh-CN"/>
          <w14:ligatures w14:val="none"/>
        </w:rPr>
      </w:pPr>
      <w:r w:rsidRPr="001F3006">
        <w:rPr>
          <w:rFonts w:eastAsia="SimSun" w:cs="Times New Roman"/>
          <w:b/>
          <w:bCs/>
          <w:kern w:val="0"/>
          <w:szCs w:val="28"/>
          <w:lang w:eastAsia="zh-CN"/>
          <w14:ligatures w14:val="none"/>
        </w:rPr>
        <w:t xml:space="preserve">PAOLA ANDREA MENESES MOSQUERA </w:t>
      </w:r>
    </w:p>
    <w:p w14:paraId="4578AC6A" w14:textId="77777777" w:rsidR="001F3006" w:rsidRPr="001F3006" w:rsidRDefault="001F3006" w:rsidP="001F3006">
      <w:pPr>
        <w:widowControl w:val="0"/>
        <w:overflowPunct w:val="0"/>
        <w:autoSpaceDE w:val="0"/>
        <w:autoSpaceDN w:val="0"/>
        <w:adjustRightInd w:val="0"/>
        <w:ind w:right="335"/>
        <w:jc w:val="center"/>
        <w:textAlignment w:val="baseline"/>
        <w:rPr>
          <w:rFonts w:eastAsia="SimSun" w:cs="Times New Roman"/>
          <w:b/>
          <w:bCs/>
          <w:kern w:val="0"/>
          <w:szCs w:val="28"/>
          <w:lang w:eastAsia="zh-CN"/>
          <w14:ligatures w14:val="none"/>
        </w:rPr>
      </w:pPr>
    </w:p>
    <w:p w14:paraId="417B30C8" w14:textId="77777777" w:rsidR="001F3006" w:rsidRPr="001F3006" w:rsidRDefault="001F3006" w:rsidP="001F3006">
      <w:pPr>
        <w:widowControl w:val="0"/>
        <w:overflowPunct w:val="0"/>
        <w:autoSpaceDE w:val="0"/>
        <w:autoSpaceDN w:val="0"/>
        <w:adjustRightInd w:val="0"/>
        <w:ind w:right="335"/>
        <w:jc w:val="center"/>
        <w:textAlignment w:val="baseline"/>
        <w:rPr>
          <w:rFonts w:eastAsia="SimSun" w:cs="Times New Roman"/>
          <w:b/>
          <w:bCs/>
          <w:kern w:val="0"/>
          <w:szCs w:val="28"/>
          <w:lang w:eastAsia="zh-CN"/>
          <w14:ligatures w14:val="none"/>
        </w:rPr>
      </w:pPr>
    </w:p>
    <w:p w14:paraId="2E0B2D11" w14:textId="77777777" w:rsidR="001F3006" w:rsidRPr="001F3006" w:rsidRDefault="001F3006" w:rsidP="001F3006">
      <w:pPr>
        <w:ind w:left="3969"/>
        <w:rPr>
          <w:rFonts w:eastAsia="Calibri" w:cs="Times New Roman"/>
          <w:bCs/>
          <w:kern w:val="0"/>
          <w:szCs w:val="28"/>
          <w14:ligatures w14:val="none"/>
        </w:rPr>
      </w:pPr>
      <w:r w:rsidRPr="001F3006">
        <w:rPr>
          <w:rFonts w:eastAsia="Calibri" w:cs="Times New Roman"/>
          <w:bCs/>
          <w:kern w:val="0"/>
          <w:szCs w:val="28"/>
          <w14:ligatures w14:val="none"/>
        </w:rPr>
        <w:t>Referencia: sentencia C-148 de 2025</w:t>
      </w:r>
    </w:p>
    <w:p w14:paraId="7DCCB8CB" w14:textId="77777777" w:rsidR="001F3006" w:rsidRPr="001F3006" w:rsidRDefault="001F3006" w:rsidP="001F3006">
      <w:pPr>
        <w:ind w:left="3969"/>
        <w:rPr>
          <w:rFonts w:eastAsia="Calibri" w:cs="Times New Roman"/>
          <w:bCs/>
          <w:kern w:val="0"/>
          <w:szCs w:val="28"/>
          <w14:ligatures w14:val="none"/>
        </w:rPr>
      </w:pPr>
    </w:p>
    <w:p w14:paraId="31DA38DC" w14:textId="77777777" w:rsidR="001F3006" w:rsidRPr="001F3006" w:rsidRDefault="001F3006" w:rsidP="001F3006">
      <w:pPr>
        <w:ind w:left="3969"/>
        <w:rPr>
          <w:rFonts w:eastAsia="Calibri" w:cs="Times New Roman"/>
          <w:bCs/>
          <w:kern w:val="0"/>
          <w:szCs w:val="28"/>
          <w:lang w:val="es-ES"/>
          <w14:ligatures w14:val="none"/>
        </w:rPr>
      </w:pPr>
      <w:r w:rsidRPr="001F3006">
        <w:rPr>
          <w:rFonts w:eastAsia="Calibri" w:cs="Times New Roman"/>
          <w:bCs/>
          <w:kern w:val="0"/>
          <w:szCs w:val="28"/>
          <w14:ligatures w14:val="none"/>
        </w:rPr>
        <w:t xml:space="preserve">Expediente: </w:t>
      </w:r>
      <w:r w:rsidRPr="001F3006">
        <w:rPr>
          <w:rFonts w:eastAsia="Calibri" w:cs="Times New Roman"/>
          <w:bCs/>
          <w:kern w:val="0"/>
          <w:szCs w:val="28"/>
          <w:lang w:val="es-ES"/>
          <w14:ligatures w14:val="none"/>
        </w:rPr>
        <w:t>RE-361</w:t>
      </w:r>
    </w:p>
    <w:p w14:paraId="1BC4262B" w14:textId="77777777" w:rsidR="001F3006" w:rsidRPr="001F3006" w:rsidRDefault="001F3006" w:rsidP="001F3006">
      <w:pPr>
        <w:ind w:left="3969"/>
        <w:rPr>
          <w:rFonts w:eastAsia="Calibri" w:cs="Times New Roman"/>
          <w:bCs/>
          <w:kern w:val="0"/>
          <w:szCs w:val="28"/>
          <w14:ligatures w14:val="none"/>
        </w:rPr>
      </w:pPr>
    </w:p>
    <w:p w14:paraId="4EF8F5B8" w14:textId="77777777" w:rsidR="001F3006" w:rsidRPr="001F3006" w:rsidRDefault="001F3006" w:rsidP="001F3006">
      <w:pPr>
        <w:ind w:left="3969"/>
        <w:rPr>
          <w:rFonts w:eastAsia="Calibri" w:cs="Times New Roman"/>
          <w:bCs/>
          <w:kern w:val="0"/>
          <w:szCs w:val="28"/>
          <w14:ligatures w14:val="none"/>
        </w:rPr>
      </w:pPr>
      <w:r w:rsidRPr="001F3006">
        <w:rPr>
          <w:rFonts w:eastAsia="Calibri" w:cs="Times New Roman"/>
          <w:bCs/>
          <w:kern w:val="0"/>
          <w:szCs w:val="28"/>
          <w14:ligatures w14:val="none"/>
        </w:rPr>
        <w:t xml:space="preserve">Magistradas ponentes: </w:t>
      </w:r>
      <w:r w:rsidRPr="001F3006">
        <w:rPr>
          <w:rFonts w:eastAsia="Calibri" w:cs="Times New Roman"/>
          <w:bCs/>
          <w:kern w:val="0"/>
          <w:szCs w:val="28"/>
          <w:lang w:val="es-ES"/>
          <w14:ligatures w14:val="none"/>
        </w:rPr>
        <w:t xml:space="preserve">Natalia Ángel Cabo y </w:t>
      </w:r>
      <w:r w:rsidRPr="001F3006">
        <w:rPr>
          <w:rFonts w:eastAsia="Calibri" w:cs="Times New Roman"/>
          <w:bCs/>
          <w:kern w:val="0"/>
          <w:szCs w:val="28"/>
          <w14:ligatures w14:val="none"/>
        </w:rPr>
        <w:t>Cristina Pardo Schlesinger</w:t>
      </w:r>
    </w:p>
    <w:p w14:paraId="3FF7733A" w14:textId="77777777" w:rsidR="001F3006" w:rsidRPr="001F3006" w:rsidRDefault="001F3006" w:rsidP="001F3006">
      <w:pPr>
        <w:rPr>
          <w:rFonts w:eastAsia="Calibri" w:cs="Times New Roman"/>
          <w:kern w:val="0"/>
          <w:szCs w:val="28"/>
          <w14:ligatures w14:val="none"/>
        </w:rPr>
      </w:pPr>
    </w:p>
    <w:p w14:paraId="130C5AAE" w14:textId="77777777" w:rsidR="001F3006" w:rsidRPr="001F3006" w:rsidRDefault="001F3006" w:rsidP="001F3006">
      <w:pPr>
        <w:rPr>
          <w:rFonts w:eastAsia="Calibri" w:cs="Times New Roman"/>
          <w:kern w:val="0"/>
          <w:szCs w:val="28"/>
          <w14:ligatures w14:val="none"/>
        </w:rPr>
      </w:pPr>
    </w:p>
    <w:p w14:paraId="5BFF7A2F"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Con el debido respeto por las decisiones adoptadas por la Sala Plena, presento salvamento voto en relación con la sentencia de C-148 de 2025. Estoy de acuerdo con el resolutivo segundo de la sentencia que declara la </w:t>
      </w:r>
      <w:proofErr w:type="spellStart"/>
      <w:r w:rsidRPr="001F3006">
        <w:rPr>
          <w:rFonts w:eastAsia="Calibri" w:cs="Times New Roman"/>
          <w:kern w:val="0"/>
          <w:szCs w:val="28"/>
          <w14:ligatures w14:val="none"/>
        </w:rPr>
        <w:t>inexequibilidad</w:t>
      </w:r>
      <w:proofErr w:type="spellEnd"/>
      <w:r w:rsidRPr="001F3006">
        <w:rPr>
          <w:rFonts w:eastAsia="Calibri" w:cs="Times New Roman"/>
          <w:kern w:val="0"/>
          <w:szCs w:val="28"/>
          <w14:ligatures w14:val="none"/>
        </w:rPr>
        <w:t xml:space="preserve"> del Decreto Legislativo 62 de 2025 respecto de los hechos relacionados con (i) la presencia histórica del ELN, los GAO y GDO, (ii) la concentración de cultivos ilícitos, (iii) las deficiencias e incumplimientos en la implementación del PNIS, (iv) las necesidades básicas insatisfechas de la población por insuficiencia en la política social y (v) los daños a la infraestructura energética y vial, así como las afectaciones a las operaciones del sector de hidrocarburos. </w:t>
      </w:r>
      <w:r w:rsidRPr="001F3006">
        <w:rPr>
          <w:rFonts w:eastAsia="Calibri" w:cs="Times New Roman"/>
          <w:bCs/>
          <w:kern w:val="0"/>
          <w:szCs w:val="28"/>
          <w:lang w:val="es-ES"/>
          <w14:ligatures w14:val="none"/>
        </w:rPr>
        <w:t xml:space="preserve">Sin embargo, </w:t>
      </w:r>
      <w:r w:rsidRPr="001F3006">
        <w:rPr>
          <w:rFonts w:eastAsia="Calibri" w:cs="Times New Roman"/>
          <w:kern w:val="0"/>
          <w:szCs w:val="28"/>
          <w14:ligatures w14:val="none"/>
        </w:rPr>
        <w:t xml:space="preserve">salvo mi voto, porque difiero del resolutivo primero, que declara la </w:t>
      </w:r>
      <w:proofErr w:type="spellStart"/>
      <w:r w:rsidRPr="001F3006">
        <w:rPr>
          <w:rFonts w:eastAsia="Calibri" w:cs="Times New Roman"/>
          <w:kern w:val="0"/>
          <w:szCs w:val="28"/>
          <w14:ligatures w14:val="none"/>
        </w:rPr>
        <w:t>exequibilidad</w:t>
      </w:r>
      <w:proofErr w:type="spellEnd"/>
      <w:r w:rsidRPr="001F3006">
        <w:rPr>
          <w:rFonts w:eastAsia="Calibri" w:cs="Times New Roman"/>
          <w:kern w:val="0"/>
          <w:szCs w:val="28"/>
          <w14:ligatures w14:val="none"/>
        </w:rPr>
        <w:t xml:space="preserve"> de la declaratoria respecto de los hechos relacionados con (i) la intensificación de los enfrentamientos entre el ELN y otros GAO, así como los ataques y hostilidades dirigidos contra la población civil y los firmantes del Acuerdo Final de Paz con las FARC – AFP y (ii) la crisis humanitaria derivada de desplazamientos forzados y confinamientos masivos. En mi criterio, estos últimos dos grupos de hechos no satisfacen las exigencias del presupuesto de suficiencia para la declaratoria del Estado de Conmoción Interior, lo que implica que la Corte debía haber declarado la </w:t>
      </w:r>
      <w:proofErr w:type="spellStart"/>
      <w:r w:rsidRPr="001F3006">
        <w:rPr>
          <w:rFonts w:eastAsia="Calibri" w:cs="Times New Roman"/>
          <w:kern w:val="0"/>
          <w:szCs w:val="28"/>
          <w14:ligatures w14:val="none"/>
        </w:rPr>
        <w:t>inexequibilidad</w:t>
      </w:r>
      <w:proofErr w:type="spellEnd"/>
      <w:r w:rsidRPr="001F3006">
        <w:rPr>
          <w:rFonts w:eastAsia="Calibri" w:cs="Times New Roman"/>
          <w:kern w:val="0"/>
          <w:szCs w:val="28"/>
          <w14:ligatures w14:val="none"/>
        </w:rPr>
        <w:t xml:space="preserve"> de la totalidad del decreto declaratorio. </w:t>
      </w:r>
    </w:p>
    <w:p w14:paraId="72FF4705" w14:textId="77777777" w:rsidR="001F3006" w:rsidRPr="001F3006" w:rsidRDefault="001F3006" w:rsidP="001F3006">
      <w:pPr>
        <w:rPr>
          <w:rFonts w:eastAsia="Calibri" w:cs="Times New Roman"/>
          <w:kern w:val="0"/>
          <w:szCs w:val="28"/>
          <w14:ligatures w14:val="none"/>
        </w:rPr>
      </w:pPr>
    </w:p>
    <w:p w14:paraId="465484E0"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La situación de orden público y la crisis humanitaria en la región del Catatumbo, el área metropolitana de Cúcuta y los municipios de Río de Oro y González es crítica y alarmante. Esta situación configura, sin duda, un grave escenario de vulneración de los derechos fundamentales de las personas que habitan estos territorios y, especialmente, de las víctimas de desplazamiento forzado y confinamiento. Resalto, además, que es especialmente preocupante que la crisis afecte de forma diferenciada a grupos de sujetos de especial protección constitucional que se encuentran en situación de acentuada indefensión, tales como (i) niños, niñas y adolescentes, (ii) pueblos indígenas, (iii) firmantes del AFP, y (iv) mujeres madres cabeza de familia. La protección de los derechos de esta población es -y debe ser- prioritaria, lo que exige al Gobierno nacional y al Estado en su conjunto adoptar medidas -legislativas, administrativas y presupuestales- urgentes, céleres y eficaces para fortalecer la Fuerza Pública y brindar atención humanitaria inmediata a las víctimas. Estas medidas, habida </w:t>
      </w:r>
      <w:r w:rsidRPr="001F3006">
        <w:rPr>
          <w:rFonts w:eastAsia="Calibri" w:cs="Times New Roman"/>
          <w:kern w:val="0"/>
          <w:szCs w:val="28"/>
          <w14:ligatures w14:val="none"/>
        </w:rPr>
        <w:lastRenderedPageBreak/>
        <w:t xml:space="preserve">cuenta de la intensidad de las afectaciones y su permanencia en el tiempo, exigen respuestas institucionales que se muestren integrales y de largo aliento.  </w:t>
      </w:r>
    </w:p>
    <w:p w14:paraId="337A5B2B" w14:textId="77777777" w:rsidR="001F3006" w:rsidRPr="001F3006" w:rsidRDefault="001F3006" w:rsidP="001F3006">
      <w:pPr>
        <w:rPr>
          <w:rFonts w:eastAsia="Calibri" w:cs="Times New Roman"/>
          <w:kern w:val="0"/>
          <w:szCs w:val="28"/>
          <w:highlight w:val="yellow"/>
          <w14:ligatures w14:val="none"/>
        </w:rPr>
      </w:pPr>
    </w:p>
    <w:p w14:paraId="780859A2"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Con todo, considero que, a diferencia de lo que concluyó la mayoría, la necesidad de restablecer el orden público y brindar atención humanitaria a las víctimas, no implica una habilitación automática para la declaratoria del Estado de Conmoción Interior. El régimen constitucional de los estados de excepción se funda en una premisa fundamental de nuestra democracia: la pacificación de la sociedad colombiana es compatible con el régimen de normalidad institucional que la Constitución Política instituye. El constituyente diseñó el régimen constitucional de los estados de excepción con la voluntad clara e inequívoca de limitar la discrecionalidad del Presidente de la República y evitar una banalización e instrumentalización de la conmoción interior como mecanismo de acción gubernamental para resolver problemas estructurales o políticos. A su vez, esta misma premisa supone que la atención a las crisis de seguridad debe basarse, de forma prioritaria, en medidas adoptadas desde la normalidad institucional, de manera que la aplicación de los estados de excepción debe ser una opción límite y no la primera respuesta desde el Estado a dichas crisis. </w:t>
      </w:r>
    </w:p>
    <w:p w14:paraId="736393F5" w14:textId="77777777" w:rsidR="001F3006" w:rsidRPr="001F3006" w:rsidRDefault="001F3006" w:rsidP="001F3006">
      <w:pPr>
        <w:rPr>
          <w:rFonts w:eastAsia="Calibri" w:cs="Times New Roman"/>
          <w:kern w:val="0"/>
          <w:szCs w:val="28"/>
          <w14:ligatures w14:val="none"/>
        </w:rPr>
      </w:pPr>
    </w:p>
    <w:p w14:paraId="4E3024CD"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Con el objeto de garantizar la normalidad institucional y preservar la estabilidad política en una sociedad que, como la nuestra, está permeada por el conflicto armado, la Constitución y la Ley Estatutaria 137 de 1994 prevén un conjunto de estrictos requisitos o presupuestos materiales que condicionan la declaratoria de conmoción interior: (i) el presupuesto fáctico, (ii) el presupuesto valorativo y (iii) el presupuesto de suficiencia. De acuerdo con la jurisprudencia constitucional, si el decreto declaratorio no satisface alguno de estos presupuestos deberá ser declarado inconstitucional. La carga de probar el cumplimiento de estos requisitos recae en el Presidente de la República, en cuanto titular de la competencia constitucional de declarar el Estado de Conmoción Interior.</w:t>
      </w:r>
    </w:p>
    <w:p w14:paraId="28009D9F" w14:textId="77777777" w:rsidR="001F3006" w:rsidRPr="001F3006" w:rsidRDefault="001F3006" w:rsidP="001F3006">
      <w:pPr>
        <w:rPr>
          <w:rFonts w:eastAsia="Calibri" w:cs="Times New Roman"/>
          <w:kern w:val="0"/>
          <w:szCs w:val="28"/>
          <w14:ligatures w14:val="none"/>
        </w:rPr>
      </w:pPr>
    </w:p>
    <w:p w14:paraId="3AABABBD"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Si bien el control constitucional que lleva a la Corte debe ser sensible a las necesidades inmediatas de la población en situación de riesgo y debe evitar limitar de forma irrazonable la capacidad de respuesta de la Fuerza Pública ante situaciones graves y extraordinarias de orden público, no puede ser extremadamente débil al punto de desvirtuar la naturaleza extraordinaria y contingente de los estados de excepción. Considero que un control constitucional en exceso laxo o flexible, como el que la mayoría aplicó en este caso, convierte el control jurídico de la declaratoria que lleva a cabo la Corte Constitucional en un simple instrumento retórico de legitimación constitucional de las decisiones políticas del Gobierno Nacional, lo que es incompatible con el sistema de frenos y contrapesos. Además, ignora el carácter reglado de la declaratoria de conmoción interior, sobre la cual el constituyente fundó el régimen constitucional de los estados de excepción.</w:t>
      </w:r>
    </w:p>
    <w:p w14:paraId="66E8365E" w14:textId="77777777" w:rsidR="001F3006" w:rsidRPr="001F3006" w:rsidRDefault="001F3006" w:rsidP="001F3006">
      <w:pPr>
        <w:rPr>
          <w:rFonts w:eastAsia="Calibri" w:cs="Times New Roman"/>
          <w:kern w:val="0"/>
          <w:szCs w:val="28"/>
          <w14:ligatures w14:val="none"/>
        </w:rPr>
      </w:pPr>
    </w:p>
    <w:p w14:paraId="757AA3A4"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En este orden de ideas, considero que el Decreto 62 de 2025 es inconstitucional porque el Gobierno Nacional no acreditó el presupuesto de suficiencia, dado </w:t>
      </w:r>
      <w:r w:rsidRPr="001F3006">
        <w:rPr>
          <w:rFonts w:eastAsia="Calibri" w:cs="Times New Roman"/>
          <w:kern w:val="0"/>
          <w:szCs w:val="28"/>
          <w14:ligatures w14:val="none"/>
        </w:rPr>
        <w:lastRenderedPageBreak/>
        <w:t>que omitió demostrar que los instrumentos ordinarios dispuestos en el ordenamiento jurídico fueran insuficientes para atender la crisis en la región del Catatumbo, el área metropolitana de Cúcuta y los municipios de Río de Oro y González. A mi juicio, la mayoría de la Sala Plena adoptó una aproximación al control constitucional de la conmoción interior que es en exceso deferente, laxo y flexible con el poder Ejecutivo, lo que, desafortunadamente, constituye un precedente peligroso para nuestra democracia republicana y desdibuja la separación axiológica y semántica entre normalidad y anormalidad institucional.</w:t>
      </w:r>
    </w:p>
    <w:p w14:paraId="7CE4AF34" w14:textId="77777777" w:rsidR="001F3006" w:rsidRPr="001F3006" w:rsidRDefault="001F3006" w:rsidP="001F3006">
      <w:pPr>
        <w:rPr>
          <w:rFonts w:eastAsia="Calibri" w:cs="Times New Roman"/>
          <w:kern w:val="0"/>
          <w:szCs w:val="28"/>
          <w14:ligatures w14:val="none"/>
        </w:rPr>
      </w:pPr>
    </w:p>
    <w:p w14:paraId="6C225BFE"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Conforme al artículo 213 de la Constitución Política, el presupuesto de suficiencia exige al Presidente de la República demostrar que las atribuciones ordinarias de policía y los poderes ordinarios del Estado son insuficientes para conjurar las causas de la perturbación del orden público y sus efectos. Este presupuesto se funda en una premisa fundamental de la democracia constitucional: las instituciones de gobierno republicano y democrático, esto es, el principio de separación y colaboración armónica de poderes, la protección de los derechos fundamentales y las limitaciones al ejercicio del poder, deben ser el mecanismo principal y preferente para responder a las crisis de orden público y emergencias humanitarias. El Estado de Conmoción Interior, como régimen constitucional de excepción, es un mecanismo de última </w:t>
      </w:r>
      <w:r w:rsidRPr="001F3006">
        <w:rPr>
          <w:rFonts w:eastAsia="Calibri" w:cs="Times New Roman"/>
          <w:i/>
          <w:iCs/>
          <w:kern w:val="0"/>
          <w:szCs w:val="28"/>
          <w14:ligatures w14:val="none"/>
        </w:rPr>
        <w:t>ratio</w:t>
      </w:r>
      <w:r w:rsidRPr="001F3006">
        <w:rPr>
          <w:rFonts w:eastAsia="Calibri" w:cs="Times New Roman"/>
          <w:kern w:val="0"/>
          <w:szCs w:val="28"/>
          <w14:ligatures w14:val="none"/>
        </w:rPr>
        <w:t xml:space="preserve"> que está reservado a perturbaciones del orden público que no puedan ser atendidas por medio de los instrumentos y medidas ordinarias.</w:t>
      </w:r>
    </w:p>
    <w:p w14:paraId="7D301415" w14:textId="77777777" w:rsidR="001F3006" w:rsidRPr="001F3006" w:rsidRDefault="001F3006" w:rsidP="001F3006">
      <w:pPr>
        <w:rPr>
          <w:rFonts w:eastAsia="Calibri" w:cs="Times New Roman"/>
          <w:kern w:val="0"/>
          <w:szCs w:val="28"/>
          <w14:ligatures w14:val="none"/>
        </w:rPr>
      </w:pPr>
    </w:p>
    <w:p w14:paraId="387F70BA"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A mi juicio, contrario a lo que sostuvo la mayoría, el Decreto 62 de 2025 no cumplía con el presupuesto de suficiencia, por cinco razones: </w:t>
      </w:r>
      <w:r w:rsidRPr="001F3006">
        <w:rPr>
          <w:rFonts w:eastAsia="Calibri" w:cs="Times New Roman"/>
          <w:b/>
          <w:bCs/>
          <w:kern w:val="0"/>
          <w:szCs w:val="28"/>
          <w14:ligatures w14:val="none"/>
        </w:rPr>
        <w:t xml:space="preserve">(I) </w:t>
      </w:r>
      <w:r w:rsidRPr="001F3006">
        <w:rPr>
          <w:rFonts w:eastAsia="Calibri" w:cs="Times New Roman"/>
          <w:kern w:val="0"/>
          <w:szCs w:val="28"/>
          <w14:ligatures w14:val="none"/>
        </w:rPr>
        <w:t>la apreciación de la insuficiencia de las atribuciones, instrumentos y herramientas ordinarias contenida en el Decreto 62 de 2025 era precaria;</w:t>
      </w:r>
      <w:r w:rsidRPr="001F3006">
        <w:rPr>
          <w:rFonts w:eastAsia="Calibri" w:cs="Times New Roman"/>
          <w:b/>
          <w:bCs/>
          <w:kern w:val="0"/>
          <w:szCs w:val="28"/>
          <w14:ligatures w14:val="none"/>
        </w:rPr>
        <w:t xml:space="preserve"> (II)</w:t>
      </w:r>
      <w:r w:rsidRPr="001F3006">
        <w:rPr>
          <w:rFonts w:eastAsia="Calibri" w:cs="Times New Roman"/>
          <w:kern w:val="0"/>
          <w:szCs w:val="28"/>
          <w14:ligatures w14:val="none"/>
        </w:rPr>
        <w:t xml:space="preserve"> el estándar de valoración del presupuesto de suficiencia aplicado por la mayoría contraría la jurisprudencia constitucional; </w:t>
      </w:r>
      <w:r w:rsidRPr="001F3006">
        <w:rPr>
          <w:rFonts w:eastAsia="Calibri" w:cs="Times New Roman"/>
          <w:b/>
          <w:bCs/>
          <w:kern w:val="0"/>
          <w:szCs w:val="28"/>
          <w14:ligatures w14:val="none"/>
        </w:rPr>
        <w:t>(III)</w:t>
      </w:r>
      <w:r w:rsidRPr="001F3006">
        <w:rPr>
          <w:rFonts w:eastAsia="Calibri" w:cs="Times New Roman"/>
          <w:kern w:val="0"/>
          <w:szCs w:val="28"/>
          <w14:ligatures w14:val="none"/>
        </w:rPr>
        <w:t xml:space="preserve"> el Gobierno Nacional no demostró la insuficiencia de las medidas ordinarias para restablecer el orden público y atender a las víctimas, </w:t>
      </w:r>
      <w:r w:rsidRPr="001F3006">
        <w:rPr>
          <w:rFonts w:eastAsia="Calibri" w:cs="Times New Roman"/>
          <w:b/>
          <w:bCs/>
          <w:kern w:val="0"/>
          <w:szCs w:val="28"/>
          <w14:ligatures w14:val="none"/>
        </w:rPr>
        <w:t>(IV)</w:t>
      </w:r>
      <w:r w:rsidRPr="001F3006">
        <w:rPr>
          <w:rFonts w:eastAsia="Calibri" w:cs="Times New Roman"/>
          <w:kern w:val="0"/>
          <w:szCs w:val="28"/>
          <w14:ligatures w14:val="none"/>
        </w:rPr>
        <w:t xml:space="preserve"> el Gobierno Nacional no demostró la insuficiencia de las medidas ordinarias en materia fiscal y presupuestal y </w:t>
      </w:r>
      <w:r w:rsidRPr="001F3006">
        <w:rPr>
          <w:rFonts w:eastAsia="Calibri" w:cs="Times New Roman"/>
          <w:b/>
          <w:bCs/>
          <w:kern w:val="0"/>
          <w:szCs w:val="28"/>
          <w14:ligatures w14:val="none"/>
        </w:rPr>
        <w:t>(V)</w:t>
      </w:r>
      <w:r w:rsidRPr="001F3006">
        <w:rPr>
          <w:rFonts w:eastAsia="Calibri" w:cs="Times New Roman"/>
          <w:kern w:val="0"/>
          <w:szCs w:val="28"/>
          <w14:ligatures w14:val="none"/>
        </w:rPr>
        <w:t xml:space="preserve"> existían indicios de instrumentalización del Estado de Conmoción Interior. A continuación, desarrollo cada uno de estos puntos:  </w:t>
      </w:r>
    </w:p>
    <w:p w14:paraId="0C14563B" w14:textId="77777777" w:rsidR="001F3006" w:rsidRPr="001F3006" w:rsidRDefault="001F3006" w:rsidP="001F3006">
      <w:pPr>
        <w:rPr>
          <w:rFonts w:eastAsia="Calibri" w:cs="Times New Roman"/>
          <w:kern w:val="0"/>
          <w:szCs w:val="28"/>
          <w14:ligatures w14:val="none"/>
        </w:rPr>
      </w:pPr>
    </w:p>
    <w:p w14:paraId="033CD3EE" w14:textId="77777777" w:rsidR="001F3006" w:rsidRPr="001F3006" w:rsidRDefault="001F3006" w:rsidP="001F3006">
      <w:pPr>
        <w:numPr>
          <w:ilvl w:val="0"/>
          <w:numId w:val="86"/>
        </w:numPr>
        <w:spacing w:after="160" w:line="259" w:lineRule="auto"/>
        <w:ind w:left="709"/>
        <w:jc w:val="left"/>
        <w:rPr>
          <w:rFonts w:eastAsia="Calibri" w:cs="Times New Roman"/>
          <w:b/>
          <w:bCs/>
          <w:kern w:val="0"/>
          <w:szCs w:val="28"/>
          <w14:ligatures w14:val="none"/>
        </w:rPr>
      </w:pPr>
      <w:r w:rsidRPr="001F3006">
        <w:rPr>
          <w:rFonts w:eastAsia="Calibri" w:cs="Times New Roman"/>
          <w:b/>
          <w:bCs/>
          <w:kern w:val="0"/>
          <w:szCs w:val="28"/>
          <w14:ligatures w14:val="none"/>
        </w:rPr>
        <w:t>La apreciación de la insuficiencia de las atribuciones, instrumentos y herramientas ordinarias contenida en el Decreto 62 de 2025 era precaria</w:t>
      </w:r>
    </w:p>
    <w:p w14:paraId="4F9AF14E" w14:textId="77777777" w:rsidR="001F3006" w:rsidRPr="001F3006" w:rsidRDefault="001F3006" w:rsidP="001F3006">
      <w:pPr>
        <w:ind w:left="720"/>
        <w:rPr>
          <w:rFonts w:eastAsia="Calibri" w:cs="Times New Roman"/>
          <w:kern w:val="0"/>
          <w:szCs w:val="28"/>
          <w14:ligatures w14:val="none"/>
        </w:rPr>
      </w:pPr>
    </w:p>
    <w:p w14:paraId="06281EC0"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En la sentencia C-070 de 2009 -precedente vigente- la Corte Constitucional determinó que una evaluación así sea mínima y general, pero en todo caso expresa, de las atribuciones, instrumentos y herramientas ordinarias es una condición esencial para que este tribunal pueda efectuar el control jurídico de la declaratoria. Una declaratoria de conmoción interior que no esté precedida de una valoración expresa y razonada de la insuficiencia de los mecanismos ordinarios es inconstitucional.  </w:t>
      </w:r>
    </w:p>
    <w:p w14:paraId="4C3054F6" w14:textId="77777777" w:rsidR="001F3006" w:rsidRPr="001F3006" w:rsidRDefault="001F3006" w:rsidP="001F3006">
      <w:pPr>
        <w:rPr>
          <w:rFonts w:eastAsia="Calibri" w:cs="Times New Roman"/>
          <w:kern w:val="0"/>
          <w:szCs w:val="28"/>
          <w14:ligatures w14:val="none"/>
        </w:rPr>
      </w:pPr>
    </w:p>
    <w:p w14:paraId="75383775"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El Decreto 62 de 2025 no cumplió esta exigencia. En el acápite III de la parte motiva “Presupuesto de necesidad e insuficiencia de las medidas ordinarias”, el Gobierno Nacional se limitó a afirmar, de forma general y abstracta, que las medidas e instrumentos ordinarios eran insuficientes, pero realmente no valoró, siquiera de forma mínima, la idoneidad o eficacia de los mecanismos dispuestos por el ordenamiento jurídico de normalidad para atender la crisis de orden público y emergencias humanitarias, tales como la que actualmente tiene lugar en la región del Catatumbo, el área metropolitana de Cúcuta y los municipios de Río de Oro y González. El hecho de que la jurisprudencia y, en </w:t>
      </w:r>
      <w:proofErr w:type="gramStart"/>
      <w:r w:rsidRPr="001F3006">
        <w:rPr>
          <w:rFonts w:eastAsia="Calibri" w:cs="Times New Roman"/>
          <w:kern w:val="0"/>
          <w:szCs w:val="28"/>
          <w14:ligatures w14:val="none"/>
        </w:rPr>
        <w:t>particular  la</w:t>
      </w:r>
      <w:proofErr w:type="gramEnd"/>
      <w:r w:rsidRPr="001F3006">
        <w:rPr>
          <w:rFonts w:eastAsia="Calibri" w:cs="Times New Roman"/>
          <w:kern w:val="0"/>
          <w:szCs w:val="28"/>
          <w14:ligatures w14:val="none"/>
        </w:rPr>
        <w:t xml:space="preserve"> sentencia C-802 de 2002, haya reconocido que el análisis en el presupuesto de suficiencia debe ser global, no relevaba al Gobierno Nacional de cumplir con una carga mínima de explicación sobre la insuficiencia de las medidas ordinarias.</w:t>
      </w:r>
    </w:p>
    <w:p w14:paraId="08B47865" w14:textId="77777777" w:rsidR="001F3006" w:rsidRPr="001F3006" w:rsidRDefault="001F3006" w:rsidP="001F3006">
      <w:pPr>
        <w:rPr>
          <w:rFonts w:eastAsia="Calibri" w:cs="Times New Roman"/>
          <w:kern w:val="0"/>
          <w:szCs w:val="28"/>
          <w:highlight w:val="yellow"/>
          <w14:ligatures w14:val="none"/>
        </w:rPr>
      </w:pPr>
    </w:p>
    <w:p w14:paraId="0E7B7BF5"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Sostener lo contrario, como lo hizo la mayoría, tiene dos efectos de modificación de la jurisprudencia constitucional: (i) la flexibilización del presupuesto de suficiencia al punto de su eliminación y (ii) su indebida fusión con análisis que son propios del presupuesto valorativo. Esto resulta particularmente problemático de cara a lo previsto en el artículo 213 de la Constitución, que de manera expresa exige la evaluación sobre la insuficiencia de las medidas ordinarias como una de las condiciones para la validez del decreto declaratorio de Conmoción Interior. En otras palabras, si bien el precedente vigente no exige una evaluación pormenorizada e individual de las medidas existentes, ello no puede comprenderse como una flexibilización del estudio sobre suficiencia de las medidas ordinarias que llegue al punto de hacer nugatorio dicho análisis. </w:t>
      </w:r>
    </w:p>
    <w:p w14:paraId="324F2180" w14:textId="77777777" w:rsidR="001F3006" w:rsidRPr="001F3006" w:rsidRDefault="001F3006" w:rsidP="001F3006">
      <w:pPr>
        <w:rPr>
          <w:rFonts w:eastAsia="Calibri" w:cs="Times New Roman"/>
          <w:kern w:val="0"/>
          <w:szCs w:val="28"/>
          <w14:ligatures w14:val="none"/>
        </w:rPr>
      </w:pPr>
    </w:p>
    <w:p w14:paraId="20C4E785" w14:textId="77777777" w:rsidR="001F3006" w:rsidRPr="001F3006" w:rsidRDefault="001F3006" w:rsidP="001F3006">
      <w:pPr>
        <w:numPr>
          <w:ilvl w:val="0"/>
          <w:numId w:val="86"/>
        </w:numPr>
        <w:spacing w:after="160" w:line="259" w:lineRule="auto"/>
        <w:ind w:left="709"/>
        <w:jc w:val="left"/>
        <w:rPr>
          <w:rFonts w:eastAsia="Calibri" w:cs="Times New Roman"/>
          <w:b/>
          <w:bCs/>
          <w:kern w:val="0"/>
          <w:szCs w:val="28"/>
          <w14:ligatures w14:val="none"/>
        </w:rPr>
      </w:pPr>
      <w:r w:rsidRPr="001F3006">
        <w:rPr>
          <w:rFonts w:eastAsia="Calibri" w:cs="Times New Roman"/>
          <w:b/>
          <w:bCs/>
          <w:kern w:val="0"/>
          <w:szCs w:val="28"/>
          <w14:ligatures w14:val="none"/>
        </w:rPr>
        <w:t>El estándar de valoración del presupuesto de suficiencia aplicado por la mayoría contraría la jurisprudencia constitucional</w:t>
      </w:r>
    </w:p>
    <w:p w14:paraId="3CF29FC0" w14:textId="77777777" w:rsidR="001F3006" w:rsidRPr="001F3006" w:rsidRDefault="001F3006" w:rsidP="001F3006">
      <w:pPr>
        <w:ind w:left="709"/>
        <w:rPr>
          <w:rFonts w:eastAsia="Calibri" w:cs="Times New Roman"/>
          <w:b/>
          <w:bCs/>
          <w:kern w:val="0"/>
          <w:szCs w:val="28"/>
          <w14:ligatures w14:val="none"/>
        </w:rPr>
      </w:pPr>
      <w:r w:rsidRPr="001F3006">
        <w:rPr>
          <w:rFonts w:eastAsia="Calibri" w:cs="Times New Roman"/>
          <w:b/>
          <w:bCs/>
          <w:kern w:val="0"/>
          <w:szCs w:val="28"/>
          <w14:ligatures w14:val="none"/>
        </w:rPr>
        <w:t xml:space="preserve"> </w:t>
      </w:r>
    </w:p>
    <w:p w14:paraId="42E758B3"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lang w:val="es-ES"/>
          <w14:ligatures w14:val="none"/>
        </w:rPr>
        <w:t>En las sentencias C-802 de 2002 y C-070 de 2009 la Corte Constitucional sostuvo que, por regla general, el examen del presupuesto de suficiencia está sometido a un juicio de mera razonabilidad. En atención al margen de discrecionalidad que la Constitución reconoce al Presidente de la República, el control jurídico que efectúa la Corte Constitucional se circunscribe a determinar si la apreciación del Gobierno Nacional</w:t>
      </w:r>
      <w:r w:rsidRPr="001F3006">
        <w:rPr>
          <w:rFonts w:eastAsia="Calibri" w:cs="Times New Roman"/>
          <w:i/>
          <w:iCs/>
          <w:kern w:val="0"/>
          <w:szCs w:val="28"/>
          <w:lang w:val="es-ES"/>
          <w14:ligatures w14:val="none"/>
        </w:rPr>
        <w:t xml:space="preserve"> </w:t>
      </w:r>
      <w:r w:rsidRPr="001F3006">
        <w:rPr>
          <w:rFonts w:eastAsia="Calibri" w:cs="Times New Roman"/>
          <w:kern w:val="0"/>
          <w:szCs w:val="28"/>
          <w:lang w:val="es-ES"/>
          <w14:ligatures w14:val="none"/>
        </w:rPr>
        <w:t xml:space="preserve">sobre la suficiencia de las atribuciones de policía y poderes ordinarios del Estado fue o no arbitraria y si en ella se incurrió o no en un error </w:t>
      </w:r>
      <w:r w:rsidRPr="001F3006">
        <w:rPr>
          <w:rFonts w:eastAsia="Calibri" w:cs="Times New Roman"/>
          <w:i/>
          <w:iCs/>
          <w:kern w:val="0"/>
          <w:szCs w:val="28"/>
          <w:lang w:val="es-ES"/>
          <w14:ligatures w14:val="none"/>
        </w:rPr>
        <w:t>manifiesto</w:t>
      </w:r>
      <w:r w:rsidRPr="001F3006">
        <w:rPr>
          <w:rFonts w:eastAsia="Calibri" w:cs="Times New Roman"/>
          <w:kern w:val="0"/>
          <w:szCs w:val="28"/>
          <w:lang w:val="es-ES"/>
          <w14:ligatures w14:val="none"/>
        </w:rPr>
        <w:t xml:space="preserve"> de apreciación. Es una evaluación mínima sobre la apreciación del Presidente respecto de la insuficiencia de las atribuciones ordinarias de policía. </w:t>
      </w:r>
    </w:p>
    <w:p w14:paraId="40429D99" w14:textId="77777777" w:rsidR="001F3006" w:rsidRPr="001F3006" w:rsidRDefault="001F3006" w:rsidP="001F3006">
      <w:pPr>
        <w:rPr>
          <w:rFonts w:eastAsia="Calibri" w:cs="Times New Roman"/>
          <w:kern w:val="0"/>
          <w:szCs w:val="28"/>
          <w:lang w:val="es-ES"/>
          <w14:ligatures w14:val="none"/>
        </w:rPr>
      </w:pPr>
    </w:p>
    <w:p w14:paraId="56A4D6DD" w14:textId="77777777" w:rsidR="001F3006" w:rsidRPr="001F3006" w:rsidRDefault="001F3006" w:rsidP="001F3006">
      <w:pPr>
        <w:rPr>
          <w:rFonts w:eastAsia="Calibri" w:cs="Times New Roman"/>
          <w:kern w:val="0"/>
          <w:szCs w:val="28"/>
          <w:lang w:val="es-ES"/>
          <w14:ligatures w14:val="none"/>
        </w:rPr>
      </w:pPr>
      <w:r w:rsidRPr="001F3006">
        <w:rPr>
          <w:rFonts w:eastAsia="Calibri" w:cs="Times New Roman"/>
          <w:kern w:val="0"/>
          <w:szCs w:val="28"/>
          <w:lang w:val="es-ES"/>
          <w14:ligatures w14:val="none"/>
        </w:rPr>
        <w:t xml:space="preserve">Con todo, la jurisprudencia constitucional ha reconocido que existen casos en los que la carga argumentativa exigible al Gobierno Nacional, así como el examen del presupuesto de suficiencia a cargo de la Corte, están sometido a un estudio probatorio y demostrativo más exigente y reforzado. En concreto, la Corte Constitucional ha señalado que la carga probatoria y de justificación </w:t>
      </w:r>
      <w:r w:rsidRPr="001F3006">
        <w:rPr>
          <w:rFonts w:eastAsia="Calibri" w:cs="Times New Roman"/>
          <w:kern w:val="0"/>
          <w:szCs w:val="28"/>
          <w:lang w:val="es-ES"/>
          <w14:ligatures w14:val="none"/>
        </w:rPr>
        <w:lastRenderedPageBreak/>
        <w:t xml:space="preserve">aplicable a la demostración del presupuesto de suficiencia será más exigente y reforzada en aquellos casos en los que: (i) los mecanismos ordinarios previstos en el ordenamiento para conjurar la crisis de orden público son extensos o robustos, y (ii) se constata que el Estado o el Gobierno Nacional concurrió por acción u omisión a la crisis. En mi criterio, estas circunstancias se presentaban en este caso, por lo que la Corte </w:t>
      </w:r>
      <w:proofErr w:type="gramStart"/>
      <w:r w:rsidRPr="001F3006">
        <w:rPr>
          <w:rFonts w:eastAsia="Calibri" w:cs="Times New Roman"/>
          <w:kern w:val="0"/>
          <w:szCs w:val="28"/>
          <w:lang w:val="es-ES"/>
          <w14:ligatures w14:val="none"/>
        </w:rPr>
        <w:t>debió  valorar</w:t>
      </w:r>
      <w:proofErr w:type="gramEnd"/>
      <w:r w:rsidRPr="001F3006">
        <w:rPr>
          <w:rFonts w:eastAsia="Calibri" w:cs="Times New Roman"/>
          <w:kern w:val="0"/>
          <w:szCs w:val="28"/>
          <w:lang w:val="es-ES"/>
          <w14:ligatures w14:val="none"/>
        </w:rPr>
        <w:t xml:space="preserve"> el presupuesto de suficiencia de forma </w:t>
      </w:r>
      <w:proofErr w:type="spellStart"/>
      <w:r w:rsidRPr="001F3006">
        <w:rPr>
          <w:rFonts w:eastAsia="Calibri" w:cs="Times New Roman"/>
          <w:kern w:val="0"/>
          <w:szCs w:val="28"/>
          <w:lang w:val="es-ES"/>
          <w14:ligatures w14:val="none"/>
        </w:rPr>
        <w:t>mas</w:t>
      </w:r>
      <w:proofErr w:type="spellEnd"/>
      <w:r w:rsidRPr="001F3006">
        <w:rPr>
          <w:rFonts w:eastAsia="Calibri" w:cs="Times New Roman"/>
          <w:kern w:val="0"/>
          <w:szCs w:val="28"/>
          <w:lang w:val="es-ES"/>
          <w14:ligatures w14:val="none"/>
        </w:rPr>
        <w:t xml:space="preserve"> rigurosa:  </w:t>
      </w:r>
    </w:p>
    <w:p w14:paraId="0CD3C5CA" w14:textId="77777777" w:rsidR="001F3006" w:rsidRPr="001F3006" w:rsidRDefault="001F3006" w:rsidP="001F3006">
      <w:pPr>
        <w:rPr>
          <w:rFonts w:eastAsia="Calibri" w:cs="Times New Roman"/>
          <w:kern w:val="0"/>
          <w:szCs w:val="28"/>
          <w:lang w:val="es-ES"/>
          <w14:ligatures w14:val="none"/>
        </w:rPr>
      </w:pPr>
    </w:p>
    <w:p w14:paraId="33578045" w14:textId="77777777" w:rsidR="001F3006" w:rsidRPr="001F3006" w:rsidRDefault="001F3006" w:rsidP="00CA442E">
      <w:pPr>
        <w:numPr>
          <w:ilvl w:val="0"/>
          <w:numId w:val="87"/>
        </w:numPr>
        <w:spacing w:after="160" w:line="259" w:lineRule="auto"/>
        <w:rPr>
          <w:rFonts w:eastAsia="Calibri" w:cs="Times New Roman"/>
          <w:kern w:val="0"/>
          <w:szCs w:val="28"/>
          <w:lang w:val="es-ES"/>
          <w14:ligatures w14:val="none"/>
        </w:rPr>
      </w:pPr>
      <w:r w:rsidRPr="001F3006">
        <w:rPr>
          <w:rFonts w:eastAsia="Calibri" w:cs="Times New Roman"/>
          <w:i/>
          <w:iCs/>
          <w:kern w:val="0"/>
          <w:szCs w:val="28"/>
          <w:lang w:val="es-ES"/>
          <w14:ligatures w14:val="none"/>
        </w:rPr>
        <w:t>Primero</w:t>
      </w:r>
      <w:r w:rsidRPr="001F3006">
        <w:rPr>
          <w:rFonts w:eastAsia="Calibri" w:cs="Times New Roman"/>
          <w:kern w:val="0"/>
          <w:szCs w:val="28"/>
          <w:lang w:val="es-ES"/>
          <w14:ligatures w14:val="none"/>
        </w:rPr>
        <w:t xml:space="preserve">. El ordenamiento jurídico prevé un conjunto de atribuciones ordinarias de policía –constitucionales, legales y reglamentarias– para conjurar las perturbaciones del orden público que se deriven del accionar armado de los grupos armados al margen de la ley. Asimismo, existe una institucionalidad robusta para (a) la protección y restablecimiento del orden público, (b) la garantía de seguridad a la población firmante del AFP, (c) la atención humanitaria de las víctimas de desplazamiento forzado y confinamiento masivo, (d) la prestación de servicios públicos en situaciones de crisis o emergencia humanitaria y (e) la protección ambiental de los ecosistemas y la articulación de las autoridades que forman parte del Sector de Medio Ambiente y Desarrollo Sostenible. </w:t>
      </w:r>
    </w:p>
    <w:p w14:paraId="3EE09F26" w14:textId="77777777" w:rsidR="001F3006" w:rsidRPr="001F3006" w:rsidRDefault="001F3006" w:rsidP="00CA442E">
      <w:pPr>
        <w:numPr>
          <w:ilvl w:val="0"/>
          <w:numId w:val="87"/>
        </w:numPr>
        <w:spacing w:after="160" w:line="259" w:lineRule="auto"/>
        <w:rPr>
          <w:rFonts w:eastAsia="Calibri" w:cs="Times New Roman"/>
          <w:kern w:val="0"/>
          <w:szCs w:val="28"/>
          <w:lang w:val="es-ES"/>
          <w14:ligatures w14:val="none"/>
        </w:rPr>
      </w:pPr>
      <w:r w:rsidRPr="001F3006">
        <w:rPr>
          <w:rFonts w:eastAsia="Calibri" w:cs="Times New Roman"/>
          <w:i/>
          <w:iCs/>
          <w:kern w:val="0"/>
          <w:szCs w:val="28"/>
          <w:lang w:val="es-ES"/>
          <w14:ligatures w14:val="none"/>
        </w:rPr>
        <w:t>Segundo</w:t>
      </w:r>
      <w:r w:rsidRPr="001F3006">
        <w:rPr>
          <w:rFonts w:eastAsia="Calibri" w:cs="Times New Roman"/>
          <w:kern w:val="0"/>
          <w:szCs w:val="28"/>
          <w:lang w:val="es-ES"/>
          <w14:ligatures w14:val="none"/>
        </w:rPr>
        <w:t xml:space="preserve">. Al expediente se aportaron medios de prueba que permitían inferir, por lo menos </w:t>
      </w:r>
      <w:r w:rsidRPr="001F3006">
        <w:rPr>
          <w:rFonts w:eastAsia="Calibri" w:cs="Times New Roman"/>
          <w:i/>
          <w:iCs/>
          <w:kern w:val="0"/>
          <w:szCs w:val="28"/>
          <w:lang w:val="es-ES"/>
          <w14:ligatures w14:val="none"/>
        </w:rPr>
        <w:t>prima facie</w:t>
      </w:r>
      <w:r w:rsidRPr="001F3006">
        <w:rPr>
          <w:rFonts w:eastAsia="Calibri" w:cs="Times New Roman"/>
          <w:kern w:val="0"/>
          <w:szCs w:val="28"/>
          <w:lang w:val="es-ES"/>
          <w14:ligatures w14:val="none"/>
        </w:rPr>
        <w:t xml:space="preserve">, que el Estado y, en particular, el Gobierno Nacional pudo haber contribuido por acción u omisión a la crisis de orden público. En concreto, resalto que (a) en el decreto declaratorio el Gobierno Nacional reconoció que la grave situación de orden público en la región del Catatumbo se deriva, entre otras, de la precaria presencia institucional, el incumplimiento del PNIS y deficiencias en la prestación de servicios públicos básicos; (b) el Gobierno Nacional no atendió de forma plena las recomendaciones que la Defensoría del Pueblo había hecho mediante las alertas tempranas de inminencia; (c) durante el año 2024, el Gobierno Nacional implementó un cese al fuego con el fin de mantener un diálogo con el ELN y avanzar en las negociaciones, el cual mantuvo hasta agosto de 2024. Durante este periodo el ELN se fortaleció y su accionar armado recrudeció. Por último, (d) durante el año 2024, el Gobierno Nacional disminuyó el presupuesto de las Fuerzas Militares y la Policía. Según el Ministerio de Defensa, el presupuesto del año 2023 ascendió a 53.7 billones. Luego, en el año 2024 el presupuesto fue de 56.3 billones lo cual representa un incremento del 4.8%. Sin embargo, la inflación en el año 2024 fue del 5.2%. Por lo demás, durante el 2024 el Gobierno Nacional decretó dos aplazamientos presupuestales que redujeron el presupuesto de la Fuerza Pública. </w:t>
      </w:r>
    </w:p>
    <w:p w14:paraId="4A46449A" w14:textId="77777777" w:rsidR="001F3006" w:rsidRPr="001F3006" w:rsidRDefault="001F3006" w:rsidP="001F3006">
      <w:pPr>
        <w:rPr>
          <w:rFonts w:eastAsia="Calibri" w:cs="Times New Roman"/>
          <w:kern w:val="0"/>
          <w:szCs w:val="28"/>
          <w:lang w:val="es-ES"/>
          <w14:ligatures w14:val="none"/>
        </w:rPr>
      </w:pPr>
    </w:p>
    <w:p w14:paraId="04C2B2F2" w14:textId="77777777" w:rsidR="001F3006" w:rsidRPr="001F3006" w:rsidRDefault="001F3006" w:rsidP="001F3006">
      <w:pPr>
        <w:rPr>
          <w:rFonts w:eastAsia="Calibri" w:cs="Times New Roman"/>
          <w:kern w:val="0"/>
          <w:szCs w:val="28"/>
          <w:lang w:val="es-ES"/>
          <w14:ligatures w14:val="none"/>
        </w:rPr>
      </w:pPr>
      <w:r w:rsidRPr="001F3006">
        <w:rPr>
          <w:rFonts w:eastAsia="Calibri" w:cs="Times New Roman"/>
          <w:kern w:val="0"/>
          <w:szCs w:val="28"/>
          <w:lang w:val="es-ES"/>
          <w14:ligatures w14:val="none"/>
        </w:rPr>
        <w:t xml:space="preserve">En síntesis, concluyo que (i) los mecanismos ordinarios previstos en el ordenamiento para conjurar la crisis de orden público en la región del Catatumbo son extensos y robustos, más aún si se tiene en cuenta que la </w:t>
      </w:r>
      <w:r w:rsidRPr="001F3006">
        <w:rPr>
          <w:rFonts w:eastAsia="Calibri" w:cs="Times New Roman"/>
          <w:kern w:val="0"/>
          <w:szCs w:val="28"/>
          <w:lang w:val="es-ES"/>
          <w14:ligatures w14:val="none"/>
        </w:rPr>
        <w:lastRenderedPageBreak/>
        <w:t xml:space="preserve">desafortunada naturaleza estructural del conflicto armado en Colombia ha implicado la provisión de múltiples herramientas jurídicas e institucionales para el mantenimiento del orden público, cuya advertencia fue omitida por la Sentencia C-148 de 2025. Además, los medios de prueba aportados al expediente permiten inferir, por lo menos </w:t>
      </w:r>
      <w:r w:rsidRPr="001F3006">
        <w:rPr>
          <w:rFonts w:eastAsia="Calibri" w:cs="Times New Roman"/>
          <w:i/>
          <w:iCs/>
          <w:kern w:val="0"/>
          <w:szCs w:val="28"/>
          <w:lang w:val="es-ES"/>
          <w14:ligatures w14:val="none"/>
        </w:rPr>
        <w:t>prima facie</w:t>
      </w:r>
      <w:r w:rsidRPr="001F3006">
        <w:rPr>
          <w:rFonts w:eastAsia="Calibri" w:cs="Times New Roman"/>
          <w:kern w:val="0"/>
          <w:szCs w:val="28"/>
          <w:lang w:val="es-ES"/>
          <w14:ligatures w14:val="none"/>
        </w:rPr>
        <w:t>, que (ii) el Estado pudo haber concurrido</w:t>
      </w:r>
      <w:r w:rsidRPr="001F3006">
        <w:rPr>
          <w:rFonts w:eastAsia="Calibri" w:cs="Times New Roman"/>
          <w:i/>
          <w:iCs/>
          <w:kern w:val="0"/>
          <w:szCs w:val="28"/>
          <w:lang w:val="es-ES"/>
          <w14:ligatures w14:val="none"/>
        </w:rPr>
        <w:t xml:space="preserve"> </w:t>
      </w:r>
      <w:r w:rsidRPr="001F3006">
        <w:rPr>
          <w:rFonts w:eastAsia="Calibri" w:cs="Times New Roman"/>
          <w:kern w:val="0"/>
          <w:szCs w:val="28"/>
          <w:lang w:val="es-ES"/>
          <w14:ligatures w14:val="none"/>
        </w:rPr>
        <w:t>por acción u omisión a la crisis y que (iii) existe una “sospecha de instrumentalización”</w:t>
      </w:r>
      <w:r w:rsidRPr="001F3006">
        <w:rPr>
          <w:rFonts w:eastAsia="Calibri" w:cs="Times New Roman"/>
          <w:kern w:val="0"/>
          <w:szCs w:val="28"/>
          <w:vertAlign w:val="superscript"/>
          <w:lang w:val="es-ES"/>
          <w14:ligatures w14:val="none"/>
        </w:rPr>
        <w:footnoteReference w:id="1146"/>
      </w:r>
      <w:r w:rsidRPr="001F3006">
        <w:rPr>
          <w:rFonts w:eastAsia="Calibri" w:cs="Times New Roman"/>
          <w:kern w:val="0"/>
          <w:szCs w:val="28"/>
          <w:lang w:val="es-ES"/>
          <w14:ligatures w14:val="none"/>
        </w:rPr>
        <w:t xml:space="preserve"> del estado de excepción</w:t>
      </w:r>
      <w:r w:rsidRPr="001F3006">
        <w:rPr>
          <w:rFonts w:eastAsia="Calibri" w:cs="Times New Roman"/>
          <w:kern w:val="0"/>
          <w:szCs w:val="28"/>
          <w:vertAlign w:val="superscript"/>
          <w:lang w:val="es-ES"/>
          <w14:ligatures w14:val="none"/>
        </w:rPr>
        <w:footnoteReference w:id="1147"/>
      </w:r>
      <w:r w:rsidRPr="001F3006">
        <w:rPr>
          <w:rFonts w:eastAsia="Calibri" w:cs="Times New Roman"/>
          <w:kern w:val="0"/>
          <w:szCs w:val="28"/>
          <w:lang w:val="es-ES"/>
          <w14:ligatures w14:val="none"/>
        </w:rPr>
        <w:t>. Conforme a la jurisprudencia constitucional, estos tres elementos, en conjunto, implicaban que la carga argumentativa exigible al Gobierno Nacional, así como el estándar de escrutinio probatorio y demostrativo para examinar el cumplimiento del presupuesto de suficiencia, debían ser más exigentes y reforzados</w:t>
      </w:r>
      <w:r w:rsidRPr="001F3006">
        <w:rPr>
          <w:rFonts w:eastAsia="Calibri" w:cs="Times New Roman"/>
          <w:kern w:val="0"/>
          <w:szCs w:val="28"/>
          <w:vertAlign w:val="superscript"/>
          <w:lang w:val="es-ES"/>
          <w14:ligatures w14:val="none"/>
        </w:rPr>
        <w:footnoteReference w:id="1148"/>
      </w:r>
      <w:r w:rsidRPr="001F3006">
        <w:rPr>
          <w:rFonts w:eastAsia="Calibri" w:cs="Times New Roman"/>
          <w:kern w:val="0"/>
          <w:szCs w:val="28"/>
          <w:lang w:val="es-ES"/>
          <w14:ligatures w14:val="none"/>
        </w:rPr>
        <w:t xml:space="preserve">. </w:t>
      </w:r>
    </w:p>
    <w:p w14:paraId="3C57B014" w14:textId="77777777" w:rsidR="001F3006" w:rsidRPr="001F3006" w:rsidRDefault="001F3006" w:rsidP="001F3006">
      <w:pPr>
        <w:rPr>
          <w:rFonts w:eastAsia="Calibri" w:cs="Times New Roman"/>
          <w:kern w:val="0"/>
          <w:szCs w:val="28"/>
          <w:lang w:val="es-ES"/>
          <w14:ligatures w14:val="none"/>
        </w:rPr>
      </w:pPr>
    </w:p>
    <w:p w14:paraId="0B0AB1A8"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lang w:val="es-ES"/>
          <w14:ligatures w14:val="none"/>
        </w:rPr>
        <w:t xml:space="preserve">A pesar de lo anterior, la mayoría resolvió aplicar un examen en exceso flexible y deferente que, a mi juicio, desnaturaliza el presupuesto de suficiencia. Por lo demás este estándar de valoración </w:t>
      </w:r>
      <w:r w:rsidRPr="001F3006">
        <w:rPr>
          <w:rFonts w:eastAsia="Calibri" w:cs="Times New Roman"/>
          <w:kern w:val="0"/>
          <w:szCs w:val="28"/>
          <w14:ligatures w14:val="none"/>
        </w:rPr>
        <w:t xml:space="preserve">conduce a una inconsistencia jurisprudencial en el control constitucional de los estados de excepción. Esta inconsistencia radica en que, de acuerdo con esta sentencia, respecto del Estado de Conmoción Interior, se aplica un estar de escrutinio al presupuesto de suficiencia que es </w:t>
      </w:r>
      <w:r w:rsidRPr="001F3006">
        <w:rPr>
          <w:rFonts w:eastAsia="Calibri" w:cs="Times New Roman"/>
          <w:i/>
          <w:iCs/>
          <w:kern w:val="0"/>
          <w:szCs w:val="28"/>
          <w14:ligatures w14:val="none"/>
        </w:rPr>
        <w:t>débil</w:t>
      </w:r>
      <w:r w:rsidRPr="001F3006">
        <w:rPr>
          <w:rFonts w:eastAsia="Calibri" w:cs="Times New Roman"/>
          <w:kern w:val="0"/>
          <w:szCs w:val="28"/>
          <w14:ligatures w14:val="none"/>
        </w:rPr>
        <w:t>. En contraste, apenas dos años atrás, en la sentencia C-383 de 2023, la Corte señaló que el estándar escrutinio del presupuesto de suficiencia para la declaratoria de un Estado de Emergencia, Social y Ecológica (ESEE) debía ser “</w:t>
      </w:r>
      <w:r w:rsidRPr="001F3006">
        <w:rPr>
          <w:rFonts w:eastAsia="Calibri" w:cs="Times New Roman"/>
          <w:i/>
          <w:iCs/>
          <w:kern w:val="0"/>
          <w:szCs w:val="28"/>
          <w14:ligatures w14:val="none"/>
        </w:rPr>
        <w:t>riguroso</w:t>
      </w:r>
      <w:r w:rsidRPr="001F3006">
        <w:rPr>
          <w:rFonts w:eastAsia="Calibri" w:cs="Times New Roman"/>
          <w:kern w:val="0"/>
          <w:szCs w:val="28"/>
          <w14:ligatures w14:val="none"/>
        </w:rPr>
        <w:t xml:space="preserve">”. Considero que esta disparidad de criterios no es razonable, dado que, de acuerdo con la Constitución y la ley estatutaria, la Conmoción Interior permite que se adopten medidas que generan afectaciones más intensas a los derechos fundamentales de las personas. Esto sugeriría que el estándar de escrutinio constitucional debía ser incluso más estricto que el de los ESEE. Esta inconsistencia no sólo es argumentativamente débil e indeseable para la jurisprudencia, sino que además obra como un preocupante incentivo para que el presente y los sucesivos gobiernos utilicen los estados de excepción de forma indiscriminada para la asunción de competencias legislativas en abierto desconocimiento de la inequívoca intención del constituyente de limitarlos. Sobre este aspecto debe tenerse en cuenta que, desafortunadamente, las crisis de orden público son recurrentes en el país y, a partir de la perspectiva de análisis validada por la mayoría, en cada uno de esos casos podría ejercerse el derecho constitucional de excepción. Esto en grave detrimento del orden </w:t>
      </w:r>
      <w:r w:rsidRPr="001F3006">
        <w:rPr>
          <w:rFonts w:eastAsia="Calibri" w:cs="Times New Roman"/>
          <w:kern w:val="0"/>
          <w:szCs w:val="28"/>
          <w14:ligatures w14:val="none"/>
        </w:rPr>
        <w:lastRenderedPageBreak/>
        <w:t>democrático, las competencias del Congreso y a través de la renuncia a la normalidad institucional.</w:t>
      </w:r>
    </w:p>
    <w:p w14:paraId="344E2AF6" w14:textId="77777777" w:rsidR="001F3006" w:rsidRPr="001F3006" w:rsidRDefault="001F3006" w:rsidP="001F3006">
      <w:pPr>
        <w:rPr>
          <w:rFonts w:eastAsia="Calibri" w:cs="Times New Roman"/>
          <w:kern w:val="0"/>
          <w:szCs w:val="28"/>
          <w:lang w:val="es-ES"/>
          <w14:ligatures w14:val="none"/>
        </w:rPr>
      </w:pPr>
    </w:p>
    <w:p w14:paraId="35D2EA4C" w14:textId="77777777" w:rsidR="001F3006" w:rsidRPr="001F3006" w:rsidRDefault="001F3006" w:rsidP="001F3006">
      <w:pPr>
        <w:numPr>
          <w:ilvl w:val="0"/>
          <w:numId w:val="86"/>
        </w:numPr>
        <w:spacing w:after="160" w:line="259" w:lineRule="auto"/>
        <w:ind w:left="709" w:hanging="709"/>
        <w:jc w:val="left"/>
        <w:rPr>
          <w:rFonts w:eastAsia="Calibri" w:cs="Times New Roman"/>
          <w:b/>
          <w:bCs/>
          <w:kern w:val="0"/>
          <w:szCs w:val="28"/>
          <w:lang w:val="es-ES"/>
          <w14:ligatures w14:val="none"/>
        </w:rPr>
      </w:pPr>
      <w:r w:rsidRPr="001F3006">
        <w:rPr>
          <w:rFonts w:eastAsia="Calibri" w:cs="Times New Roman"/>
          <w:b/>
          <w:bCs/>
          <w:kern w:val="0"/>
          <w:szCs w:val="28"/>
          <w:lang w:val="es-ES"/>
          <w14:ligatures w14:val="none"/>
        </w:rPr>
        <w:t xml:space="preserve">El Gobierno Nacional no demostró la insuficiencia de las medidas ordinarias para restablecer el orden público y atender a las víctimas </w:t>
      </w:r>
    </w:p>
    <w:p w14:paraId="777331A9" w14:textId="77777777" w:rsidR="001F3006" w:rsidRPr="001F3006" w:rsidRDefault="001F3006" w:rsidP="001F3006">
      <w:pPr>
        <w:rPr>
          <w:rFonts w:eastAsia="Calibri" w:cs="Times New Roman"/>
          <w:kern w:val="0"/>
          <w:szCs w:val="28"/>
          <w:lang w:val="es-ES"/>
          <w14:ligatures w14:val="none"/>
        </w:rPr>
      </w:pPr>
    </w:p>
    <w:p w14:paraId="1945083F" w14:textId="77777777" w:rsidR="001F3006" w:rsidRPr="001F3006" w:rsidRDefault="001F3006" w:rsidP="001F3006">
      <w:pPr>
        <w:rPr>
          <w:rFonts w:eastAsia="Calibri" w:cs="Times New Roman"/>
          <w:kern w:val="0"/>
          <w:szCs w:val="28"/>
          <w:lang w:val="es-ES"/>
          <w14:ligatures w14:val="none"/>
        </w:rPr>
      </w:pPr>
      <w:r w:rsidRPr="001F3006">
        <w:rPr>
          <w:rFonts w:eastAsia="Calibri" w:cs="Times New Roman"/>
          <w:kern w:val="0"/>
          <w:szCs w:val="28"/>
          <w:lang w:val="es-ES"/>
          <w14:ligatures w14:val="none"/>
        </w:rPr>
        <w:t xml:space="preserve">Considero que, conforme a un estándar de valoración riguroso del presupuesto de suficiencia, el Gobierno Nacional no demostró la insuficiencia de las medidas ordinarias. </w:t>
      </w:r>
    </w:p>
    <w:p w14:paraId="085A2970" w14:textId="77777777" w:rsidR="001F3006" w:rsidRPr="001F3006" w:rsidRDefault="001F3006" w:rsidP="001F3006">
      <w:pPr>
        <w:rPr>
          <w:rFonts w:eastAsia="Calibri" w:cs="Times New Roman"/>
          <w:kern w:val="0"/>
          <w:szCs w:val="28"/>
          <w14:ligatures w14:val="none"/>
        </w:rPr>
      </w:pPr>
    </w:p>
    <w:p w14:paraId="05F46B48"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El ordenamiento jurídico prevé un robusto conjunto de atribuciones, instrumentos y herramientas ordinarias para responder a las graves crisis de orden público y emergencias humanitarias, el cual tiene su origen, precisamente, en las particularidades del orden público en el país. En particular, advierto que existen (i) atribuciones ordinarias robustas en materia militar y policial, (ii) una amplia política pública en materia de seguridad de los firmantes del AFP y (iii) rutas especiales de atención humanitaria para eventos masivos de desplazamiento forzado y confinamiento. Asimismo, a este régimen normativo se integraba la labor de las Salas de Seguimiento a los estados de cosas inconstitucionales en materia de desplazamiento forzado y excombatientes. Al respecto, observo lo siguiente: </w:t>
      </w:r>
    </w:p>
    <w:p w14:paraId="0CC46879" w14:textId="77777777" w:rsidR="001F3006" w:rsidRPr="001F3006" w:rsidRDefault="001F3006" w:rsidP="001F3006">
      <w:pPr>
        <w:rPr>
          <w:rFonts w:eastAsia="Calibri" w:cs="Times New Roman"/>
          <w:kern w:val="0"/>
          <w:szCs w:val="28"/>
          <w14:ligatures w14:val="none"/>
        </w:rPr>
      </w:pPr>
    </w:p>
    <w:p w14:paraId="65E8B017" w14:textId="77777777" w:rsidR="001F3006" w:rsidRPr="001F3006" w:rsidRDefault="001F3006" w:rsidP="001F3006">
      <w:pPr>
        <w:rPr>
          <w:rFonts w:eastAsia="Calibri" w:cs="Times New Roman"/>
          <w:kern w:val="0"/>
          <w:szCs w:val="28"/>
          <w:lang w:val="es-ES"/>
          <w14:ligatures w14:val="none"/>
        </w:rPr>
      </w:pPr>
      <w:r w:rsidRPr="001F3006">
        <w:rPr>
          <w:rFonts w:eastAsia="Calibri" w:cs="Times New Roman"/>
          <w:b/>
          <w:bCs/>
          <w:kern w:val="0"/>
          <w:szCs w:val="28"/>
          <w14:ligatures w14:val="none"/>
        </w:rPr>
        <w:t>1.</w:t>
      </w:r>
      <w:r w:rsidRPr="001F3006">
        <w:rPr>
          <w:rFonts w:eastAsia="Calibri" w:cs="Times New Roman"/>
          <w:kern w:val="0"/>
          <w:szCs w:val="28"/>
          <w14:ligatures w14:val="none"/>
        </w:rPr>
        <w:t xml:space="preserve"> En </w:t>
      </w:r>
      <w:r w:rsidRPr="001F3006">
        <w:rPr>
          <w:rFonts w:eastAsia="Calibri" w:cs="Times New Roman"/>
          <w:i/>
          <w:iCs/>
          <w:kern w:val="0"/>
          <w:szCs w:val="28"/>
          <w14:ligatures w14:val="none"/>
        </w:rPr>
        <w:t>materia militar y policial</w:t>
      </w:r>
      <w:r w:rsidRPr="001F3006">
        <w:rPr>
          <w:rFonts w:eastAsia="Calibri" w:cs="Times New Roman"/>
          <w:kern w:val="0"/>
          <w:szCs w:val="28"/>
          <w:lang w:val="es-ES"/>
          <w14:ligatures w14:val="none"/>
        </w:rPr>
        <w:t xml:space="preserve">, las medidas que el Decreto 62 de 2025 calificaba de “excepcionales” y que, en criterio del Gobierno Nacional, justificaban la declaratoria de conmoción interior, pueden ser implementadas en ejercicio de las atribuciones ordinarias de policía: </w:t>
      </w:r>
    </w:p>
    <w:p w14:paraId="2AB83CCC" w14:textId="77777777" w:rsidR="001F3006" w:rsidRPr="001F3006" w:rsidRDefault="001F3006" w:rsidP="001F3006">
      <w:pPr>
        <w:rPr>
          <w:rFonts w:eastAsia="Calibri" w:cs="Times New Roman"/>
          <w:kern w:val="0"/>
          <w:szCs w:val="28"/>
          <w:lang w:val="es-ES"/>
          <w14:ligatures w14:val="none"/>
        </w:rPr>
      </w:pPr>
    </w:p>
    <w:tbl>
      <w:tblPr>
        <w:tblStyle w:val="Tablaconcuadrcula9"/>
        <w:tblW w:w="0" w:type="auto"/>
        <w:jc w:val="center"/>
        <w:tblLook w:val="04A0" w:firstRow="1" w:lastRow="0" w:firstColumn="1" w:lastColumn="0" w:noHBand="0" w:noVBand="1"/>
      </w:tblPr>
      <w:tblGrid>
        <w:gridCol w:w="1750"/>
        <w:gridCol w:w="7080"/>
      </w:tblGrid>
      <w:tr w:rsidR="001F3006" w:rsidRPr="001F3006" w14:paraId="2A65FA47" w14:textId="77777777" w:rsidTr="001F3006">
        <w:trPr>
          <w:jc w:val="center"/>
        </w:trPr>
        <w:tc>
          <w:tcPr>
            <w:tcW w:w="1555" w:type="dxa"/>
            <w:shd w:val="clear" w:color="auto" w:fill="D9D9D9"/>
            <w:vAlign w:val="center"/>
          </w:tcPr>
          <w:p w14:paraId="79011ACC" w14:textId="77777777" w:rsidR="001F3006" w:rsidRPr="001F3006" w:rsidRDefault="001F3006" w:rsidP="001F3006">
            <w:pPr>
              <w:jc w:val="center"/>
              <w:rPr>
                <w:b/>
                <w:bCs/>
                <w:sz w:val="20"/>
                <w:lang w:val="es-ES"/>
              </w:rPr>
            </w:pPr>
            <w:r w:rsidRPr="001F3006">
              <w:rPr>
                <w:b/>
                <w:bCs/>
                <w:sz w:val="20"/>
                <w:lang w:val="es-ES"/>
              </w:rPr>
              <w:t>Medida</w:t>
            </w:r>
          </w:p>
        </w:tc>
        <w:tc>
          <w:tcPr>
            <w:tcW w:w="7275" w:type="dxa"/>
            <w:shd w:val="clear" w:color="auto" w:fill="D9D9D9"/>
            <w:vAlign w:val="center"/>
          </w:tcPr>
          <w:p w14:paraId="3A6E0942" w14:textId="77777777" w:rsidR="001F3006" w:rsidRPr="001F3006" w:rsidRDefault="001F3006" w:rsidP="001F3006">
            <w:pPr>
              <w:jc w:val="center"/>
              <w:rPr>
                <w:b/>
                <w:bCs/>
                <w:sz w:val="20"/>
                <w:lang w:val="es-ES"/>
              </w:rPr>
            </w:pPr>
            <w:r w:rsidRPr="001F3006">
              <w:rPr>
                <w:b/>
                <w:bCs/>
                <w:sz w:val="20"/>
                <w:lang w:val="es-ES"/>
              </w:rPr>
              <w:t>Atribución</w:t>
            </w:r>
          </w:p>
        </w:tc>
      </w:tr>
      <w:tr w:rsidR="001F3006" w:rsidRPr="001F3006" w14:paraId="02A5DA92" w14:textId="77777777" w:rsidTr="001F3006">
        <w:trPr>
          <w:jc w:val="center"/>
        </w:trPr>
        <w:tc>
          <w:tcPr>
            <w:tcW w:w="1555" w:type="dxa"/>
            <w:shd w:val="clear" w:color="auto" w:fill="D9D9D9"/>
            <w:vAlign w:val="center"/>
          </w:tcPr>
          <w:p w14:paraId="253F2C58" w14:textId="77777777" w:rsidR="001F3006" w:rsidRPr="001F3006" w:rsidRDefault="001F3006" w:rsidP="001F3006">
            <w:pPr>
              <w:jc w:val="center"/>
              <w:rPr>
                <w:b/>
                <w:bCs/>
                <w:sz w:val="20"/>
                <w:lang w:val="es-ES"/>
              </w:rPr>
            </w:pPr>
            <w:r w:rsidRPr="001F3006">
              <w:rPr>
                <w:b/>
                <w:bCs/>
                <w:sz w:val="20"/>
                <w:lang w:val="es-ES"/>
              </w:rPr>
              <w:t>Incrementar las capacidades humanas y técnicas de la Fuerza Pública y, en especial, fortalecer el control del espacio aéreo.</w:t>
            </w:r>
          </w:p>
        </w:tc>
        <w:tc>
          <w:tcPr>
            <w:tcW w:w="7275" w:type="dxa"/>
            <w:vAlign w:val="center"/>
          </w:tcPr>
          <w:p w14:paraId="0394E871" w14:textId="77777777" w:rsidR="001F3006" w:rsidRPr="001F3006" w:rsidRDefault="001F3006" w:rsidP="001F3006">
            <w:pPr>
              <w:rPr>
                <w:sz w:val="20"/>
                <w:lang w:val="es-ES"/>
              </w:rPr>
            </w:pPr>
            <w:r w:rsidRPr="001F3006">
              <w:rPr>
                <w:sz w:val="20"/>
                <w:lang w:val="es-ES"/>
              </w:rPr>
              <w:t>La Constitución Política dispone que el Presidente de la República es el Comandante Supremo de las Fuerzas Militares y ejerce esta función por conducto del Ministerio de Defensa y el CGFM. Por otro lado, el artículo 10 del Decreto 3398 de 1965, incorporado a la legislación permanente por medio de la Ley 48 de 1968, otorga al Presidente de la República la facultad de dirigir “las operaciones de guerra”, decretar la movilización y, en general, asignar a “las entidades públicas, centralizadas o descentralizadas, lo mismo que a los particulares, las misiones y funciones necesarias para la ejecución de los planes de la defensa nacional” —dar órdenes—. En virtud de estas atribuciones ordinarias, el Presidente de la República puede recurrir a instrumentos contundentes con el potencial de incrementar o intensificar sustancialmente las capacidades de la Fuerza Pública en el país: (i)</w:t>
            </w:r>
            <w:r w:rsidRPr="001F3006">
              <w:rPr>
                <w:i/>
                <w:iCs/>
                <w:sz w:val="20"/>
                <w:lang w:val="es-ES"/>
              </w:rPr>
              <w:t xml:space="preserve"> </w:t>
            </w:r>
            <w:r w:rsidRPr="001F3006">
              <w:rPr>
                <w:sz w:val="20"/>
                <w:lang w:val="es-ES"/>
              </w:rPr>
              <w:t>activar la reserva (arts. 57 y 58 de la Ley 1861 de 2017); (ii) ordenar la asistencia de la fuerza militar (art. 170 de la Ley 1801 de 2016) o (iii) convocar la movilización (art. 59 de la Ley 1861 de 2017)</w:t>
            </w:r>
            <w:r w:rsidRPr="001F3006">
              <w:rPr>
                <w:sz w:val="20"/>
                <w:vertAlign w:val="superscript"/>
                <w:lang w:val="es-ES"/>
              </w:rPr>
              <w:footnoteReference w:id="1149"/>
            </w:r>
            <w:r w:rsidRPr="001F3006">
              <w:rPr>
                <w:sz w:val="20"/>
                <w:lang w:val="es-ES"/>
              </w:rPr>
              <w:t xml:space="preserve">. Asimismo, el Presidente de la República tiene la competencia </w:t>
            </w:r>
            <w:r w:rsidRPr="001F3006">
              <w:rPr>
                <w:i/>
                <w:iCs/>
                <w:sz w:val="20"/>
                <w:lang w:val="es-ES"/>
              </w:rPr>
              <w:t>dirigir</w:t>
            </w:r>
            <w:r w:rsidRPr="001F3006">
              <w:rPr>
                <w:sz w:val="20"/>
                <w:lang w:val="es-ES"/>
              </w:rPr>
              <w:t xml:space="preserve">, </w:t>
            </w:r>
            <w:r w:rsidRPr="001F3006">
              <w:rPr>
                <w:i/>
                <w:iCs/>
                <w:sz w:val="20"/>
                <w:lang w:val="es-ES"/>
              </w:rPr>
              <w:t>disponer</w:t>
            </w:r>
            <w:r w:rsidRPr="001F3006">
              <w:rPr>
                <w:sz w:val="20"/>
                <w:lang w:val="es-ES"/>
              </w:rPr>
              <w:t xml:space="preserve">, o en general, </w:t>
            </w:r>
            <w:r w:rsidRPr="001F3006">
              <w:rPr>
                <w:i/>
                <w:iCs/>
                <w:sz w:val="20"/>
                <w:lang w:val="es-ES"/>
              </w:rPr>
              <w:t>dar órdenes</w:t>
            </w:r>
            <w:r w:rsidRPr="001F3006">
              <w:rPr>
                <w:sz w:val="20"/>
                <w:lang w:val="es-ES"/>
              </w:rPr>
              <w:t>, para redistribuir o incrementar el pie de fuerza en ciertas regiones del país, llevar a cabo operaciones concretas, incluso operaciones especiales</w:t>
            </w:r>
            <w:r w:rsidRPr="001F3006">
              <w:rPr>
                <w:sz w:val="20"/>
                <w:vertAlign w:val="superscript"/>
                <w:lang w:val="es-ES"/>
              </w:rPr>
              <w:footnoteReference w:id="1150"/>
            </w:r>
            <w:r w:rsidRPr="001F3006">
              <w:rPr>
                <w:sz w:val="20"/>
                <w:lang w:val="es-ES"/>
              </w:rPr>
              <w:t>, que permitan consolidar el poder o control del Estado sobre ciertas áreas del espacio aéreo o el territorio nacional, y convocar personas para aumentar las capacidades de la Fuerza Pública, entre otros.</w:t>
            </w:r>
          </w:p>
        </w:tc>
      </w:tr>
      <w:tr w:rsidR="001F3006" w:rsidRPr="001F3006" w14:paraId="594E8958" w14:textId="77777777" w:rsidTr="001F3006">
        <w:trPr>
          <w:jc w:val="center"/>
        </w:trPr>
        <w:tc>
          <w:tcPr>
            <w:tcW w:w="1555" w:type="dxa"/>
            <w:shd w:val="clear" w:color="auto" w:fill="D9D9D9"/>
            <w:vAlign w:val="center"/>
          </w:tcPr>
          <w:p w14:paraId="2FBECA43" w14:textId="77777777" w:rsidR="001F3006" w:rsidRPr="001F3006" w:rsidRDefault="001F3006" w:rsidP="001F3006">
            <w:pPr>
              <w:jc w:val="center"/>
              <w:rPr>
                <w:b/>
                <w:bCs/>
                <w:sz w:val="20"/>
                <w:lang w:val="es-ES"/>
              </w:rPr>
            </w:pPr>
            <w:r w:rsidRPr="001F3006">
              <w:rPr>
                <w:b/>
                <w:bCs/>
                <w:sz w:val="20"/>
                <w:lang w:val="es-ES"/>
              </w:rPr>
              <w:t xml:space="preserve">Crear un “comando </w:t>
            </w:r>
            <w:r w:rsidRPr="001F3006">
              <w:rPr>
                <w:b/>
                <w:bCs/>
                <w:sz w:val="20"/>
                <w:lang w:val="es-ES"/>
              </w:rPr>
              <w:lastRenderedPageBreak/>
              <w:t>unificado” entre las Fuerzas Armadas y la Policía Nacional en el Catatumbo</w:t>
            </w:r>
          </w:p>
        </w:tc>
        <w:tc>
          <w:tcPr>
            <w:tcW w:w="7275" w:type="dxa"/>
            <w:vAlign w:val="center"/>
          </w:tcPr>
          <w:p w14:paraId="45624129" w14:textId="77777777" w:rsidR="001F3006" w:rsidRPr="001F3006" w:rsidRDefault="001F3006" w:rsidP="001F3006">
            <w:pPr>
              <w:rPr>
                <w:sz w:val="20"/>
                <w:lang w:val="es-ES"/>
              </w:rPr>
            </w:pPr>
            <w:r w:rsidRPr="001F3006">
              <w:rPr>
                <w:sz w:val="20"/>
                <w:lang w:val="es-ES"/>
              </w:rPr>
              <w:lastRenderedPageBreak/>
              <w:t xml:space="preserve">El Presidente de la República es el Comandante de las Fuerzas Armadas, así como la máxima autoridad de policía. Por lo tanto, es competente para crear comandos </w:t>
            </w:r>
            <w:r w:rsidRPr="001F3006">
              <w:rPr>
                <w:sz w:val="20"/>
                <w:lang w:val="es-ES"/>
              </w:rPr>
              <w:lastRenderedPageBreak/>
              <w:t xml:space="preserve">unificados entre las Fuerzas Armadas y la Policía Nacional. Esta facultad está desarrollada en múltiples normas de rango legal y reglamentario: </w:t>
            </w:r>
          </w:p>
          <w:p w14:paraId="656AA40C" w14:textId="77777777" w:rsidR="001F3006" w:rsidRPr="001F3006" w:rsidRDefault="001F3006" w:rsidP="001F3006">
            <w:pPr>
              <w:numPr>
                <w:ilvl w:val="0"/>
                <w:numId w:val="83"/>
              </w:numPr>
              <w:spacing w:after="160" w:line="259" w:lineRule="auto"/>
              <w:ind w:left="360"/>
              <w:jc w:val="left"/>
              <w:rPr>
                <w:sz w:val="20"/>
                <w:lang w:val="es-ES"/>
              </w:rPr>
            </w:pPr>
            <w:r w:rsidRPr="001F3006">
              <w:rPr>
                <w:sz w:val="20"/>
                <w:lang w:val="es-ES"/>
              </w:rPr>
              <w:t>El artículo 202 de la Ley 1801 de 2016 dispone que, en casos de grave perturbación del orden público, las autoridades territoriales de policía deben coordinar con las autoridades del nivel nacional la aplicación y financiación de las medidas adoptadas, y el establecimiento de los puestos de mando unificado.</w:t>
            </w:r>
          </w:p>
          <w:p w14:paraId="47245E9D" w14:textId="77777777" w:rsidR="001F3006" w:rsidRPr="001F3006" w:rsidRDefault="001F3006" w:rsidP="001F3006">
            <w:pPr>
              <w:numPr>
                <w:ilvl w:val="0"/>
                <w:numId w:val="83"/>
              </w:numPr>
              <w:spacing w:after="160" w:line="259" w:lineRule="auto"/>
              <w:ind w:left="360"/>
              <w:jc w:val="left"/>
              <w:rPr>
                <w:sz w:val="20"/>
                <w:lang w:val="es-ES"/>
              </w:rPr>
            </w:pPr>
            <w:r w:rsidRPr="001F3006">
              <w:rPr>
                <w:sz w:val="20"/>
                <w:lang w:val="es-ES"/>
              </w:rPr>
              <w:t>La Resolución 4760 del 1º de noviembre de 2024 permite establecer comandos conjuntos entre el Ejército Nacional y la Fuerzas Aérea. Asimismo, el Decreto 2162 de 1992 establece los “criterios” de coordinación, asistencia militar y control operacional entre las Fuerzas Militares y la Policía Nacional.</w:t>
            </w:r>
          </w:p>
        </w:tc>
      </w:tr>
      <w:tr w:rsidR="001F3006" w:rsidRPr="001F3006" w14:paraId="058B34AC" w14:textId="77777777" w:rsidTr="001F3006">
        <w:trPr>
          <w:jc w:val="center"/>
        </w:trPr>
        <w:tc>
          <w:tcPr>
            <w:tcW w:w="1555" w:type="dxa"/>
            <w:shd w:val="clear" w:color="auto" w:fill="D9D9D9"/>
            <w:vAlign w:val="center"/>
          </w:tcPr>
          <w:p w14:paraId="34F7ECC8" w14:textId="77777777" w:rsidR="001F3006" w:rsidRPr="001F3006" w:rsidRDefault="001F3006" w:rsidP="001F3006">
            <w:pPr>
              <w:jc w:val="center"/>
              <w:rPr>
                <w:b/>
                <w:bCs/>
                <w:sz w:val="20"/>
                <w:lang w:val="es-ES"/>
              </w:rPr>
            </w:pPr>
            <w:r w:rsidRPr="001F3006">
              <w:rPr>
                <w:b/>
                <w:bCs/>
                <w:sz w:val="20"/>
                <w:lang w:val="es-ES"/>
              </w:rPr>
              <w:lastRenderedPageBreak/>
              <w:t>Identificar y recuperar los cuerpos de las víctimas</w:t>
            </w:r>
          </w:p>
        </w:tc>
        <w:tc>
          <w:tcPr>
            <w:tcW w:w="7275" w:type="dxa"/>
            <w:vAlign w:val="center"/>
          </w:tcPr>
          <w:p w14:paraId="26437925" w14:textId="77777777" w:rsidR="001F3006" w:rsidRPr="001F3006" w:rsidRDefault="001F3006" w:rsidP="001F3006">
            <w:pPr>
              <w:rPr>
                <w:sz w:val="20"/>
                <w:lang w:val="es-ES"/>
              </w:rPr>
            </w:pPr>
            <w:r w:rsidRPr="001F3006">
              <w:rPr>
                <w:sz w:val="20"/>
                <w:lang w:val="es-ES"/>
              </w:rPr>
              <w:t>La Policía Judicial ya tiene como parte de sus atribuciones en virtud del Código de Procedimiento Penal, sin necesidad de una autorización judicial previa, las facultades de, entre otras, (i) inspeccionar el lugar del hecho, inspeccionar cadáveres y llevar a cabo entrevistas e interrogatorios; (ii) recolectar y embalar elementos materiales probatorios y (iii)</w:t>
            </w:r>
            <w:r w:rsidRPr="001F3006">
              <w:rPr>
                <w:i/>
                <w:iCs/>
                <w:sz w:val="20"/>
                <w:lang w:val="es-ES"/>
              </w:rPr>
              <w:t xml:space="preserve"> </w:t>
            </w:r>
            <w:r w:rsidRPr="001F3006">
              <w:rPr>
                <w:sz w:val="20"/>
                <w:lang w:val="es-ES"/>
              </w:rPr>
              <w:t>exhumar, embalar técnicamente y trasladar cadáveres a la respectiva dependencia del Instituto Nacional de Medicina Legal y Ciencias Forenses o, en su defecto, a un centro médico oficial para que se realice la necropsia médico-legal</w:t>
            </w:r>
            <w:r w:rsidRPr="001F3006">
              <w:rPr>
                <w:sz w:val="20"/>
                <w:vertAlign w:val="superscript"/>
                <w:lang w:val="es-ES"/>
              </w:rPr>
              <w:footnoteReference w:id="1151"/>
            </w:r>
            <w:r w:rsidRPr="001F3006">
              <w:rPr>
                <w:sz w:val="20"/>
                <w:lang w:val="es-ES"/>
              </w:rPr>
              <w:t xml:space="preserve">. </w:t>
            </w:r>
          </w:p>
        </w:tc>
      </w:tr>
      <w:tr w:rsidR="001F3006" w:rsidRPr="001F3006" w14:paraId="2220F938" w14:textId="77777777" w:rsidTr="001F3006">
        <w:trPr>
          <w:jc w:val="center"/>
        </w:trPr>
        <w:tc>
          <w:tcPr>
            <w:tcW w:w="1555" w:type="dxa"/>
            <w:shd w:val="clear" w:color="auto" w:fill="D9D9D9"/>
            <w:vAlign w:val="center"/>
          </w:tcPr>
          <w:p w14:paraId="48704EC0" w14:textId="77777777" w:rsidR="001F3006" w:rsidRPr="001F3006" w:rsidRDefault="001F3006" w:rsidP="001F3006">
            <w:pPr>
              <w:jc w:val="center"/>
              <w:rPr>
                <w:b/>
                <w:bCs/>
                <w:sz w:val="20"/>
                <w:lang w:val="es-ES"/>
              </w:rPr>
            </w:pPr>
            <w:r w:rsidRPr="001F3006">
              <w:rPr>
                <w:b/>
                <w:bCs/>
                <w:sz w:val="20"/>
                <w:lang w:val="es-ES"/>
              </w:rPr>
              <w:t>Evacuar a la población civil afectada, especialmente, de forma aérea</w:t>
            </w:r>
          </w:p>
        </w:tc>
        <w:tc>
          <w:tcPr>
            <w:tcW w:w="7275" w:type="dxa"/>
            <w:vAlign w:val="center"/>
          </w:tcPr>
          <w:p w14:paraId="1789F24C" w14:textId="77777777" w:rsidR="001F3006" w:rsidRPr="001F3006" w:rsidRDefault="001F3006" w:rsidP="001F3006">
            <w:pPr>
              <w:rPr>
                <w:sz w:val="20"/>
                <w:lang w:val="es-ES"/>
              </w:rPr>
            </w:pPr>
            <w:r w:rsidRPr="001F3006">
              <w:rPr>
                <w:sz w:val="20"/>
                <w:lang w:val="es-ES"/>
              </w:rPr>
              <w:t>La Fuerza Aérea de Colombia tiene como función, entre otras, “liderar y coordinar las operaciones aéreas de recuperación de personal y gestión del riesgo de desastres para preservar la vida”</w:t>
            </w:r>
            <w:r w:rsidRPr="001F3006">
              <w:rPr>
                <w:sz w:val="20"/>
                <w:vertAlign w:val="superscript"/>
                <w:lang w:val="es-ES"/>
              </w:rPr>
              <w:footnoteReference w:id="1152"/>
            </w:r>
            <w:r w:rsidRPr="001F3006">
              <w:rPr>
                <w:sz w:val="20"/>
                <w:lang w:val="es-ES"/>
              </w:rPr>
              <w:t xml:space="preserve">. En este sentido, ha estandarizado terminológicamente las operaciones de “evacuación </w:t>
            </w:r>
            <w:proofErr w:type="spellStart"/>
            <w:r w:rsidRPr="001F3006">
              <w:rPr>
                <w:sz w:val="20"/>
                <w:lang w:val="es-ES"/>
              </w:rPr>
              <w:t>aeromédica</w:t>
            </w:r>
            <w:proofErr w:type="spellEnd"/>
            <w:r w:rsidRPr="001F3006">
              <w:rPr>
                <w:sz w:val="20"/>
                <w:lang w:val="es-ES"/>
              </w:rPr>
              <w:t>”, que consisten “en el transporte en aeronaves sanitarias de personal herido o enfermo, de áreas o zonas en confrontación, con una atención o facilidad médica de nivel inferior hasta un centro de recuperación o de atención especializado”. Así mismo, las operaciones de “búsqueda y rescate en combate”, las cuales son “operaciones realizadas con el fin de localizar y rescatar las tripulaciones de aeronaves y motonaves accidentadas, o derribadas por el enemigo, en territorio hostil”</w:t>
            </w:r>
            <w:r w:rsidRPr="001F3006">
              <w:rPr>
                <w:sz w:val="20"/>
                <w:vertAlign w:val="superscript"/>
                <w:lang w:val="es-ES"/>
              </w:rPr>
              <w:footnoteReference w:id="1153"/>
            </w:r>
            <w:r w:rsidRPr="001F3006">
              <w:rPr>
                <w:sz w:val="20"/>
                <w:lang w:val="es-ES"/>
              </w:rPr>
              <w:t>.</w:t>
            </w:r>
          </w:p>
        </w:tc>
      </w:tr>
      <w:tr w:rsidR="001F3006" w:rsidRPr="001F3006" w14:paraId="53B8C433" w14:textId="77777777" w:rsidTr="001F3006">
        <w:trPr>
          <w:jc w:val="center"/>
        </w:trPr>
        <w:tc>
          <w:tcPr>
            <w:tcW w:w="1555" w:type="dxa"/>
            <w:shd w:val="clear" w:color="auto" w:fill="D9D9D9"/>
            <w:vAlign w:val="center"/>
          </w:tcPr>
          <w:p w14:paraId="6605A83E" w14:textId="77777777" w:rsidR="001F3006" w:rsidRPr="001F3006" w:rsidRDefault="001F3006" w:rsidP="001F3006">
            <w:pPr>
              <w:jc w:val="center"/>
              <w:rPr>
                <w:b/>
                <w:bCs/>
                <w:sz w:val="20"/>
                <w:lang w:val="es-ES"/>
              </w:rPr>
            </w:pPr>
            <w:r w:rsidRPr="001F3006">
              <w:rPr>
                <w:b/>
                <w:bCs/>
                <w:sz w:val="20"/>
                <w:lang w:val="es-ES"/>
              </w:rPr>
              <w:t>Restringir la comercialización y transporte de servicios, bienes e insumos utilizados por los grupos armados en la región para el financiamiento de sus actividades criminales</w:t>
            </w:r>
          </w:p>
          <w:p w14:paraId="021436A2" w14:textId="77777777" w:rsidR="001F3006" w:rsidRPr="001F3006" w:rsidRDefault="001F3006" w:rsidP="001F3006">
            <w:pPr>
              <w:jc w:val="center"/>
              <w:rPr>
                <w:b/>
                <w:bCs/>
                <w:sz w:val="20"/>
                <w:lang w:val="es-ES"/>
              </w:rPr>
            </w:pPr>
          </w:p>
        </w:tc>
        <w:tc>
          <w:tcPr>
            <w:tcW w:w="7275" w:type="dxa"/>
            <w:vAlign w:val="center"/>
          </w:tcPr>
          <w:p w14:paraId="5C808BBD" w14:textId="77777777" w:rsidR="001F3006" w:rsidRPr="001F3006" w:rsidRDefault="001F3006" w:rsidP="001F3006">
            <w:pPr>
              <w:rPr>
                <w:sz w:val="20"/>
                <w:lang w:val="es-ES"/>
              </w:rPr>
            </w:pPr>
            <w:r w:rsidRPr="001F3006">
              <w:rPr>
                <w:sz w:val="20"/>
                <w:lang w:val="es-ES"/>
              </w:rPr>
              <w:t xml:space="preserve">De un lado, además de las facultades generales que la Sala Plena especificó anteriormente, subraya que, en virtud del artículo 27 del Decreto 3398 de 1965, el Gobierno Nacional puede recurrir a los recursos de “requisición y ocupación” de “bienes y servicios” para los fines de la defensa nacional. Así mismo, en virtud de los poderes de policía ordinarios que establece la Ley 1801 de 2016, la Fuerza Pública puede adoptar, entre otras, las siguientes medidas: (i) decomisos, (ii) incautaciones, y (iii) suspensiones temporales y definitivas de actividades económicas. </w:t>
            </w:r>
          </w:p>
          <w:p w14:paraId="4A7DB5EB" w14:textId="77777777" w:rsidR="001F3006" w:rsidRPr="001F3006" w:rsidRDefault="001F3006" w:rsidP="001F3006">
            <w:pPr>
              <w:rPr>
                <w:sz w:val="20"/>
                <w:lang w:val="es-ES"/>
              </w:rPr>
            </w:pPr>
            <w:r w:rsidRPr="001F3006">
              <w:rPr>
                <w:sz w:val="20"/>
                <w:lang w:val="es-ES"/>
              </w:rPr>
              <w:t xml:space="preserve">De otro lado, la Ley 1908 de 2018 faculta a los jueces de control de garantías para suspender el “pago de un objeto del sistema postal de pagos, cuando tenga inferencia razonable de que el dinero es producto directo o indirecto de la comisión de conductas punibles por parte de miembros de Grupos Delictivos Organizados y Grupos Armados Organizados”. Además, faculta a las autoridades judiciales para restringir cuentas bancarias y operaciones en efectivo respecto de personas que hayan sido beneficiarias de libertad condicional o cualquier otro mecanismo sustitutivo de la pena privativa de la libertad tras ser objeto de condenas por ciertos delitos de especial nocividad asociados a </w:t>
            </w:r>
            <w:proofErr w:type="spellStart"/>
            <w:r w:rsidRPr="001F3006">
              <w:rPr>
                <w:sz w:val="20"/>
                <w:lang w:val="es-ES"/>
              </w:rPr>
              <w:t>GDOs</w:t>
            </w:r>
            <w:proofErr w:type="spellEnd"/>
            <w:r w:rsidRPr="001F3006">
              <w:rPr>
                <w:sz w:val="20"/>
                <w:lang w:val="es-ES"/>
              </w:rPr>
              <w:t xml:space="preserve"> y </w:t>
            </w:r>
            <w:proofErr w:type="spellStart"/>
            <w:r w:rsidRPr="001F3006">
              <w:rPr>
                <w:sz w:val="20"/>
                <w:lang w:val="es-ES"/>
              </w:rPr>
              <w:t>GAOs</w:t>
            </w:r>
            <w:proofErr w:type="spellEnd"/>
            <w:r w:rsidRPr="001F3006">
              <w:rPr>
                <w:sz w:val="20"/>
                <w:lang w:val="es-ES"/>
              </w:rPr>
              <w:t>.</w:t>
            </w:r>
          </w:p>
        </w:tc>
      </w:tr>
      <w:tr w:rsidR="001F3006" w:rsidRPr="001F3006" w14:paraId="3EC6F0E3" w14:textId="77777777" w:rsidTr="001F3006">
        <w:trPr>
          <w:jc w:val="center"/>
        </w:trPr>
        <w:tc>
          <w:tcPr>
            <w:tcW w:w="1555" w:type="dxa"/>
            <w:shd w:val="clear" w:color="auto" w:fill="D9D9D9"/>
            <w:vAlign w:val="center"/>
          </w:tcPr>
          <w:p w14:paraId="724BAB78" w14:textId="77777777" w:rsidR="001F3006" w:rsidRPr="001F3006" w:rsidRDefault="001F3006" w:rsidP="001F3006">
            <w:pPr>
              <w:jc w:val="center"/>
              <w:rPr>
                <w:b/>
                <w:bCs/>
                <w:sz w:val="20"/>
                <w:lang w:val="es-ES"/>
              </w:rPr>
            </w:pPr>
            <w:r w:rsidRPr="001F3006">
              <w:rPr>
                <w:b/>
                <w:bCs/>
                <w:sz w:val="20"/>
                <w:lang w:val="es-ES"/>
              </w:rPr>
              <w:t>Toques de queda y restricciones de movilidad</w:t>
            </w:r>
          </w:p>
        </w:tc>
        <w:tc>
          <w:tcPr>
            <w:tcW w:w="7275" w:type="dxa"/>
            <w:vAlign w:val="center"/>
          </w:tcPr>
          <w:p w14:paraId="5BFE1DB8" w14:textId="77777777" w:rsidR="001F3006" w:rsidRPr="001F3006" w:rsidRDefault="001F3006" w:rsidP="001F3006">
            <w:pPr>
              <w:rPr>
                <w:sz w:val="20"/>
                <w:lang w:val="es-ES"/>
              </w:rPr>
            </w:pPr>
            <w:r w:rsidRPr="001F3006">
              <w:rPr>
                <w:sz w:val="20"/>
                <w:lang w:val="es-ES"/>
              </w:rPr>
              <w:t>El artículo 202 de la Ley 1801 de 2016 establece que, ordinariamente, los alcaldes y gobernadores cuentan con la posibilidad de decretar “el toque de queda cuando las circunstancias así lo exijan”. Asimismo, pueden ordenar “medidas restrictivas de la movilidad de medios de transporte o personas, en la zona afectada o de influencia, incluidas las de tránsito por predios privados”.</w:t>
            </w:r>
          </w:p>
        </w:tc>
      </w:tr>
      <w:tr w:rsidR="001F3006" w:rsidRPr="001F3006" w14:paraId="6029B31D" w14:textId="77777777" w:rsidTr="001F3006">
        <w:trPr>
          <w:jc w:val="center"/>
        </w:trPr>
        <w:tc>
          <w:tcPr>
            <w:tcW w:w="1555" w:type="dxa"/>
            <w:shd w:val="clear" w:color="auto" w:fill="D9D9D9"/>
            <w:vAlign w:val="center"/>
          </w:tcPr>
          <w:p w14:paraId="71141485" w14:textId="77777777" w:rsidR="001F3006" w:rsidRPr="001F3006" w:rsidRDefault="001F3006" w:rsidP="001F3006">
            <w:pPr>
              <w:jc w:val="center"/>
              <w:rPr>
                <w:b/>
                <w:bCs/>
                <w:sz w:val="20"/>
                <w:lang w:val="es-ES"/>
              </w:rPr>
            </w:pPr>
            <w:r w:rsidRPr="001F3006">
              <w:rPr>
                <w:b/>
                <w:bCs/>
                <w:sz w:val="20"/>
                <w:lang w:val="es-ES"/>
              </w:rPr>
              <w:t>Inteligencia y contrainteligencia</w:t>
            </w:r>
          </w:p>
        </w:tc>
        <w:tc>
          <w:tcPr>
            <w:tcW w:w="7275" w:type="dxa"/>
            <w:vAlign w:val="center"/>
          </w:tcPr>
          <w:p w14:paraId="2A642D46" w14:textId="77777777" w:rsidR="001F3006" w:rsidRPr="001F3006" w:rsidRDefault="001F3006" w:rsidP="001F3006">
            <w:pPr>
              <w:rPr>
                <w:sz w:val="20"/>
                <w:lang w:val="es-ES"/>
              </w:rPr>
            </w:pPr>
            <w:r w:rsidRPr="001F3006">
              <w:rPr>
                <w:sz w:val="20"/>
                <w:lang w:val="es-ES"/>
              </w:rPr>
              <w:t xml:space="preserve">La Ley Estatutaria 1621 de 2013 establece la posibilidad de, por requerimiento del Gobierno Nacional o ciertas autoridades militares y de seguridad, definir las “áreas y tareas de recolección de información de inteligencia y contrainteligencia”. Las herramientas de inteligencia y contrainteligencia militar abarcan un amplísimo abanico de posibilidades, como las formas de inteligencia (i) humana, (ii) geoespacial, (iii) de señales, (iv) técnica, (v) </w:t>
            </w:r>
            <w:proofErr w:type="spellStart"/>
            <w:r w:rsidRPr="001F3006">
              <w:rPr>
                <w:sz w:val="20"/>
                <w:lang w:val="es-ES"/>
              </w:rPr>
              <w:t>ciberinteligencia</w:t>
            </w:r>
            <w:proofErr w:type="spellEnd"/>
            <w:r w:rsidRPr="001F3006">
              <w:rPr>
                <w:sz w:val="20"/>
                <w:lang w:val="es-ES"/>
              </w:rPr>
              <w:t>, (vi) guerra electrónica, (vii) inteligencia de medidas y huellas distintivas, (viii) fuentes abiertas y (ix) inteligencia estratégica</w:t>
            </w:r>
            <w:r w:rsidRPr="001F3006">
              <w:rPr>
                <w:sz w:val="20"/>
                <w:vertAlign w:val="superscript"/>
                <w:lang w:val="es-ES"/>
              </w:rPr>
              <w:footnoteReference w:id="1154"/>
            </w:r>
            <w:r w:rsidRPr="001F3006">
              <w:rPr>
                <w:sz w:val="20"/>
                <w:lang w:val="es-ES"/>
              </w:rPr>
              <w:t>.</w:t>
            </w:r>
          </w:p>
        </w:tc>
      </w:tr>
      <w:tr w:rsidR="001F3006" w:rsidRPr="001F3006" w14:paraId="147ABF55" w14:textId="77777777" w:rsidTr="001F3006">
        <w:trPr>
          <w:jc w:val="center"/>
        </w:trPr>
        <w:tc>
          <w:tcPr>
            <w:tcW w:w="1555" w:type="dxa"/>
            <w:shd w:val="clear" w:color="auto" w:fill="D9D9D9"/>
            <w:vAlign w:val="center"/>
          </w:tcPr>
          <w:p w14:paraId="3AC953D3" w14:textId="77777777" w:rsidR="001F3006" w:rsidRPr="001F3006" w:rsidRDefault="001F3006" w:rsidP="001F3006">
            <w:pPr>
              <w:jc w:val="center"/>
              <w:rPr>
                <w:b/>
                <w:bCs/>
                <w:sz w:val="20"/>
                <w:lang w:val="es-ES"/>
              </w:rPr>
            </w:pPr>
            <w:r w:rsidRPr="001F3006">
              <w:rPr>
                <w:b/>
                <w:bCs/>
                <w:sz w:val="20"/>
                <w:lang w:val="es-ES"/>
              </w:rPr>
              <w:t>Policía judicial</w:t>
            </w:r>
          </w:p>
        </w:tc>
        <w:tc>
          <w:tcPr>
            <w:tcW w:w="7275" w:type="dxa"/>
            <w:vAlign w:val="center"/>
          </w:tcPr>
          <w:p w14:paraId="58A19BE5" w14:textId="77777777" w:rsidR="001F3006" w:rsidRPr="001F3006" w:rsidRDefault="001F3006" w:rsidP="001F3006">
            <w:pPr>
              <w:rPr>
                <w:sz w:val="20"/>
                <w:lang w:val="es-ES"/>
              </w:rPr>
            </w:pPr>
            <w:r w:rsidRPr="001F3006">
              <w:rPr>
                <w:sz w:val="20"/>
                <w:lang w:val="es-ES"/>
              </w:rPr>
              <w:t xml:space="preserve">La Ley 1908 de 2018 fortaleció la investigación y judicialización de los </w:t>
            </w:r>
            <w:proofErr w:type="spellStart"/>
            <w:r w:rsidRPr="001F3006">
              <w:rPr>
                <w:sz w:val="20"/>
                <w:lang w:val="es-ES"/>
              </w:rPr>
              <w:t>GAOs</w:t>
            </w:r>
            <w:proofErr w:type="spellEnd"/>
            <w:r w:rsidRPr="001F3006">
              <w:rPr>
                <w:sz w:val="20"/>
                <w:lang w:val="es-ES"/>
              </w:rPr>
              <w:t xml:space="preserve"> y GDO. En particular, esta ley habilita a la fiscalía para (a) interceptar mediante grabación </w:t>
            </w:r>
            <w:r w:rsidRPr="001F3006">
              <w:rPr>
                <w:sz w:val="20"/>
                <w:lang w:val="es-ES"/>
              </w:rPr>
              <w:lastRenderedPageBreak/>
              <w:t>magnetofónica o similares las comunicaciones que se cursen por cualquier red de comunicaciones, en donde curse información o haya interés para los fines de la actuación, o (b) retener, aprehender o recuperar información, datos a través de las redes de telecomunicaciones, equipos terminales, cualquier medio de almacenamiento físico o virtual, análogo o digital, dispositivos o servidores que pueda haber utilizado un GDO, o un GAO, y (c)</w:t>
            </w:r>
            <w:r w:rsidRPr="001F3006">
              <w:rPr>
                <w:i/>
                <w:iCs/>
                <w:sz w:val="20"/>
                <w:lang w:val="es-ES"/>
              </w:rPr>
              <w:t xml:space="preserve"> </w:t>
            </w:r>
            <w:r w:rsidRPr="001F3006">
              <w:rPr>
                <w:sz w:val="20"/>
                <w:lang w:val="es-ES"/>
              </w:rPr>
              <w:t xml:space="preserve">incorpora la posibilidad de llevar a cabo operaciones con agentes encubiertos, incluso a través de medios de comunicación virtuales, a fin de obtener información respecto de </w:t>
            </w:r>
            <w:proofErr w:type="spellStart"/>
            <w:r w:rsidRPr="001F3006">
              <w:rPr>
                <w:sz w:val="20"/>
                <w:lang w:val="es-ES"/>
              </w:rPr>
              <w:t>GAOs</w:t>
            </w:r>
            <w:proofErr w:type="spellEnd"/>
            <w:r w:rsidRPr="001F3006">
              <w:rPr>
                <w:sz w:val="20"/>
                <w:lang w:val="es-ES"/>
              </w:rPr>
              <w:t xml:space="preserve"> y </w:t>
            </w:r>
            <w:proofErr w:type="spellStart"/>
            <w:r w:rsidRPr="001F3006">
              <w:rPr>
                <w:sz w:val="20"/>
                <w:lang w:val="es-ES"/>
              </w:rPr>
              <w:t>GDOs</w:t>
            </w:r>
            <w:proofErr w:type="spellEnd"/>
            <w:r w:rsidRPr="001F3006">
              <w:rPr>
                <w:sz w:val="20"/>
                <w:lang w:val="es-ES"/>
              </w:rPr>
              <w:t xml:space="preserve">. </w:t>
            </w:r>
          </w:p>
          <w:p w14:paraId="4AE67CA7" w14:textId="77777777" w:rsidR="001F3006" w:rsidRPr="001F3006" w:rsidRDefault="001F3006" w:rsidP="001F3006">
            <w:pPr>
              <w:rPr>
                <w:sz w:val="20"/>
                <w:lang w:val="es-ES"/>
              </w:rPr>
            </w:pPr>
          </w:p>
          <w:p w14:paraId="0748F20E" w14:textId="77777777" w:rsidR="001F3006" w:rsidRPr="001F3006" w:rsidRDefault="001F3006" w:rsidP="001F3006">
            <w:pPr>
              <w:rPr>
                <w:sz w:val="20"/>
                <w:lang w:val="es-ES"/>
              </w:rPr>
            </w:pPr>
            <w:r w:rsidRPr="001F3006">
              <w:rPr>
                <w:sz w:val="20"/>
                <w:lang w:val="es-ES"/>
              </w:rPr>
              <w:t xml:space="preserve">Además, fortalece los instrumentos de (i) búsqueda selectiva de datos, (ii) cooperación interinstitucional, y (iii) restricción de cuentas bancarias. Asimismo, (iv) establecen una presunción de origen ilícito de los bienes que pertenecen a los miembros de los GDO y de los </w:t>
            </w:r>
            <w:proofErr w:type="spellStart"/>
            <w:r w:rsidRPr="001F3006">
              <w:rPr>
                <w:sz w:val="20"/>
                <w:lang w:val="es-ES"/>
              </w:rPr>
              <w:t>GAOs</w:t>
            </w:r>
            <w:proofErr w:type="spellEnd"/>
            <w:r w:rsidRPr="001F3006">
              <w:rPr>
                <w:sz w:val="20"/>
                <w:lang w:val="es-ES"/>
              </w:rPr>
              <w:t xml:space="preserve"> y (v) prevé un periodo más amplio dentro del cual tales miembros pueden permanecer en detención preventiva.</w:t>
            </w:r>
          </w:p>
        </w:tc>
      </w:tr>
    </w:tbl>
    <w:p w14:paraId="440AD4DA" w14:textId="77777777" w:rsidR="001F3006" w:rsidRPr="001F3006" w:rsidRDefault="001F3006" w:rsidP="001F3006">
      <w:pPr>
        <w:rPr>
          <w:rFonts w:eastAsia="Calibri" w:cs="Times New Roman"/>
          <w:kern w:val="0"/>
          <w:szCs w:val="28"/>
          <w:lang w:val="es-ES"/>
          <w14:ligatures w14:val="none"/>
        </w:rPr>
      </w:pPr>
    </w:p>
    <w:p w14:paraId="6E949924" w14:textId="77777777" w:rsidR="001F3006" w:rsidRPr="001F3006" w:rsidRDefault="001F3006" w:rsidP="001F3006">
      <w:pPr>
        <w:rPr>
          <w:rFonts w:eastAsia="Calibri" w:cs="Times New Roman"/>
          <w:kern w:val="0"/>
          <w:szCs w:val="28"/>
          <w:lang w:val="es-ES"/>
          <w14:ligatures w14:val="none"/>
        </w:rPr>
      </w:pPr>
      <w:r w:rsidRPr="001F3006">
        <w:rPr>
          <w:rFonts w:eastAsia="Calibri" w:cs="Times New Roman"/>
          <w:b/>
          <w:bCs/>
          <w:kern w:val="0"/>
          <w:szCs w:val="28"/>
          <w14:ligatures w14:val="none"/>
        </w:rPr>
        <w:t>2.</w:t>
      </w:r>
      <w:r w:rsidRPr="001F3006">
        <w:rPr>
          <w:rFonts w:eastAsia="Calibri" w:cs="Times New Roman"/>
          <w:kern w:val="0"/>
          <w:szCs w:val="28"/>
          <w14:ligatures w14:val="none"/>
        </w:rPr>
        <w:t xml:space="preserve"> En materia de </w:t>
      </w:r>
      <w:r w:rsidRPr="001F3006">
        <w:rPr>
          <w:rFonts w:eastAsia="Calibri" w:cs="Times New Roman"/>
          <w:i/>
          <w:iCs/>
          <w:kern w:val="0"/>
          <w:szCs w:val="28"/>
          <w14:ligatures w14:val="none"/>
        </w:rPr>
        <w:t>seguridad de los firmantes del AFP</w:t>
      </w:r>
      <w:r w:rsidRPr="001F3006">
        <w:rPr>
          <w:rFonts w:eastAsia="Calibri" w:cs="Times New Roman"/>
          <w:kern w:val="0"/>
          <w:szCs w:val="28"/>
          <w14:ligatures w14:val="none"/>
        </w:rPr>
        <w:t xml:space="preserve">, encuentro que </w:t>
      </w:r>
      <w:r w:rsidRPr="001F3006">
        <w:rPr>
          <w:rFonts w:eastAsia="Calibri" w:cs="Times New Roman"/>
          <w:kern w:val="0"/>
          <w:szCs w:val="28"/>
          <w:lang w:val="es-ES"/>
          <w14:ligatures w14:val="none"/>
        </w:rPr>
        <w:t xml:space="preserve">existe una política pública robusta y estructurada para garantizar la seguridad de la población firmante del AFP. Esta política contiene mecanismos de priorización que son céleres y eficaces para proteger a la población firmante en escenarios de emergencia. Además, la Sala de Seguimiento a la sentencia SU-020 de 2022 ha definido sus componentes y ejes transversales y ha ordenado al Gobierno Nacional, con antelación a la adopción del Estado de Conmoción Interior, adoptar medidas especiales para asegurar su implementación plena y efectiva, específicamente, en la región del Catatumbo. El Gobierno Nacional, sin embargo, no demostró que esta política pública fuera insuficiente para responder de forma inmediata y articulada a los riesgos extraordinarios a los que se enfrenta la población firmante del AFP en esta región. </w:t>
      </w:r>
    </w:p>
    <w:p w14:paraId="55C3F423" w14:textId="77777777" w:rsidR="001F3006" w:rsidRPr="001F3006" w:rsidRDefault="001F3006" w:rsidP="001F3006">
      <w:pPr>
        <w:rPr>
          <w:rFonts w:eastAsia="Calibri" w:cs="Times New Roman"/>
          <w:kern w:val="0"/>
          <w:szCs w:val="28"/>
          <w:lang w:val="es-ES"/>
          <w14:ligatures w14:val="none"/>
        </w:rPr>
      </w:pPr>
    </w:p>
    <w:p w14:paraId="5979B882"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lang w:val="es-ES"/>
          <w14:ligatures w14:val="none"/>
        </w:rPr>
        <w:t>En particular, destaco que el Decreto 299 de 2017 creó el Programa de Protección Especializada de Seguridad y Protección. En virtud de este programa, el Gobierno Nacional cuenta con un amplio abanico de medidas que puede utilizar a fin de garantizar la seguridad de la población firmante del AFP, como lo precisa la siguiente tabla:</w:t>
      </w:r>
    </w:p>
    <w:p w14:paraId="2DA82C3E" w14:textId="77777777" w:rsidR="001F3006" w:rsidRPr="001F3006" w:rsidRDefault="001F3006" w:rsidP="001F3006">
      <w:pPr>
        <w:rPr>
          <w:rFonts w:eastAsia="Calibri" w:cs="Times New Roman"/>
          <w:kern w:val="0"/>
          <w:szCs w:val="28"/>
          <w:lang w:val="es-ES"/>
          <w14:ligatures w14:val="none"/>
        </w:rPr>
      </w:pPr>
    </w:p>
    <w:tbl>
      <w:tblPr>
        <w:tblStyle w:val="Tablaconcuadrcula9"/>
        <w:tblW w:w="0" w:type="auto"/>
        <w:jc w:val="center"/>
        <w:tblLook w:val="04A0" w:firstRow="1" w:lastRow="0" w:firstColumn="1" w:lastColumn="0" w:noHBand="0" w:noVBand="1"/>
      </w:tblPr>
      <w:tblGrid>
        <w:gridCol w:w="8830"/>
      </w:tblGrid>
      <w:tr w:rsidR="001F3006" w:rsidRPr="001F3006" w14:paraId="0FCDEF6D" w14:textId="77777777" w:rsidTr="001F3006">
        <w:trPr>
          <w:jc w:val="center"/>
        </w:trPr>
        <w:tc>
          <w:tcPr>
            <w:tcW w:w="8830" w:type="dxa"/>
            <w:shd w:val="clear" w:color="auto" w:fill="E7E6E6"/>
          </w:tcPr>
          <w:p w14:paraId="27B61846" w14:textId="77777777" w:rsidR="001F3006" w:rsidRPr="001F3006" w:rsidRDefault="001F3006" w:rsidP="001F3006">
            <w:pPr>
              <w:jc w:val="center"/>
              <w:rPr>
                <w:b/>
                <w:bCs/>
                <w:sz w:val="20"/>
                <w:lang w:val="es-ES"/>
              </w:rPr>
            </w:pPr>
            <w:r w:rsidRPr="001F3006">
              <w:rPr>
                <w:b/>
                <w:bCs/>
                <w:sz w:val="20"/>
                <w:lang w:val="es-ES"/>
              </w:rPr>
              <w:t>Decreto 299 de 2017</w:t>
            </w:r>
          </w:p>
        </w:tc>
      </w:tr>
      <w:tr w:rsidR="001F3006" w:rsidRPr="001F3006" w14:paraId="1EB77557" w14:textId="77777777" w:rsidTr="001F3006">
        <w:trPr>
          <w:jc w:val="center"/>
        </w:trPr>
        <w:tc>
          <w:tcPr>
            <w:tcW w:w="8830" w:type="dxa"/>
          </w:tcPr>
          <w:p w14:paraId="6A66F2B3" w14:textId="77777777" w:rsidR="001F3006" w:rsidRPr="001F3006" w:rsidRDefault="001F3006" w:rsidP="001F3006">
            <w:pPr>
              <w:numPr>
                <w:ilvl w:val="0"/>
                <w:numId w:val="84"/>
              </w:numPr>
              <w:spacing w:after="160" w:line="259" w:lineRule="auto"/>
              <w:jc w:val="left"/>
              <w:rPr>
                <w:sz w:val="20"/>
                <w:lang w:val="es-ES"/>
              </w:rPr>
            </w:pPr>
            <w:r w:rsidRPr="001F3006">
              <w:rPr>
                <w:sz w:val="20"/>
                <w:lang w:val="es-ES"/>
              </w:rPr>
              <w:t>El Decreto dispone que la UNP, el Ministerio del Interior y demás entidades competentes tienen la obligación de proteger a la “población objeto de protección, a las y los integrantes, del nuevo movimiento o partido político que surja del tránsito de las FARC-EP a la actividad política legal, sus actividades y sedes, a las y los antiguos integrantes de las FARC-EP que se reincorporen a la vida civil, así como a las familias de todos los anteriores (…) [s]</w:t>
            </w:r>
            <w:proofErr w:type="spellStart"/>
            <w:r w:rsidRPr="001F3006">
              <w:rPr>
                <w:sz w:val="20"/>
                <w:lang w:val="es-ES"/>
              </w:rPr>
              <w:t>erán</w:t>
            </w:r>
            <w:proofErr w:type="spellEnd"/>
            <w:r w:rsidRPr="001F3006">
              <w:rPr>
                <w:sz w:val="20"/>
                <w:lang w:val="es-ES"/>
              </w:rPr>
              <w:t xml:space="preserve"> población objeto de protección los menores de edad que salgan de los campamentos de las FARC-EP”.</w:t>
            </w:r>
          </w:p>
          <w:p w14:paraId="0A79AF85" w14:textId="77777777" w:rsidR="001F3006" w:rsidRPr="001F3006" w:rsidRDefault="001F3006" w:rsidP="001F3006">
            <w:pPr>
              <w:numPr>
                <w:ilvl w:val="0"/>
                <w:numId w:val="84"/>
              </w:numPr>
              <w:spacing w:after="160" w:line="259" w:lineRule="auto"/>
              <w:jc w:val="left"/>
              <w:rPr>
                <w:sz w:val="20"/>
                <w:lang w:val="es-ES"/>
              </w:rPr>
            </w:pPr>
            <w:r w:rsidRPr="001F3006">
              <w:rPr>
                <w:sz w:val="20"/>
                <w:lang w:val="es-ES"/>
              </w:rPr>
              <w:t xml:space="preserve">El artículo 2.4.1.4.2 </w:t>
            </w:r>
            <w:proofErr w:type="spellStart"/>
            <w:r w:rsidRPr="001F3006">
              <w:rPr>
                <w:i/>
                <w:iCs/>
                <w:sz w:val="20"/>
                <w:lang w:val="es-ES"/>
              </w:rPr>
              <w:t>ejusdem</w:t>
            </w:r>
            <w:proofErr w:type="spellEnd"/>
            <w:r w:rsidRPr="001F3006">
              <w:rPr>
                <w:i/>
                <w:iCs/>
                <w:sz w:val="20"/>
                <w:lang w:val="es-ES"/>
              </w:rPr>
              <w:t xml:space="preserve"> </w:t>
            </w:r>
            <w:r w:rsidRPr="001F3006">
              <w:rPr>
                <w:sz w:val="20"/>
                <w:lang w:val="es-ES"/>
              </w:rPr>
              <w:t>dispone que la “Subdirección Especializada de Seguridad y Protección de la [UNP]” se encarga de la protección de la población beneficiaria del programa. Este programa incluye entre sus medidas de protección material alternativas como:</w:t>
            </w:r>
          </w:p>
          <w:p w14:paraId="794F49C5"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t>Curso de autoprotección.</w:t>
            </w:r>
          </w:p>
          <w:p w14:paraId="71CDFD34"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t>Apoyo de reubicación temporal.</w:t>
            </w:r>
          </w:p>
          <w:p w14:paraId="0677B0CD"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t>Medios de comunicación para situaciones de emergencia.</w:t>
            </w:r>
          </w:p>
          <w:p w14:paraId="38C65428"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t>Atención psicosocial.</w:t>
            </w:r>
          </w:p>
          <w:p w14:paraId="2B975867"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t>Apoyo de trasteo.</w:t>
            </w:r>
          </w:p>
          <w:p w14:paraId="68272109"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t>Blindaje de inmuebles e instalación de sistemas técnicos de seguridad.</w:t>
            </w:r>
          </w:p>
          <w:p w14:paraId="402B4A42"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lastRenderedPageBreak/>
              <w:t>Esquemas de protección, por ejemplo, con hombres o mujeres de protección, y la disposición de vehículos blindados.</w:t>
            </w:r>
          </w:p>
          <w:p w14:paraId="57CCA6B5"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t>Medios de movilización, por ejemplo, mediante tiquetes aéreos.</w:t>
            </w:r>
          </w:p>
          <w:p w14:paraId="61245AB3" w14:textId="77777777" w:rsidR="001F3006" w:rsidRPr="001F3006" w:rsidRDefault="001F3006" w:rsidP="001F3006">
            <w:pPr>
              <w:numPr>
                <w:ilvl w:val="1"/>
                <w:numId w:val="84"/>
              </w:numPr>
              <w:spacing w:after="160" w:line="259" w:lineRule="auto"/>
              <w:jc w:val="left"/>
              <w:rPr>
                <w:sz w:val="20"/>
                <w:lang w:val="es-ES"/>
              </w:rPr>
            </w:pPr>
            <w:r w:rsidRPr="001F3006">
              <w:rPr>
                <w:sz w:val="20"/>
                <w:lang w:val="es-ES"/>
              </w:rPr>
              <w:t>Apoyos de transportes terrestres o fluviales.</w:t>
            </w:r>
          </w:p>
          <w:p w14:paraId="4AB862EA" w14:textId="77777777" w:rsidR="001F3006" w:rsidRPr="001F3006" w:rsidRDefault="001F3006" w:rsidP="001F3006">
            <w:pPr>
              <w:numPr>
                <w:ilvl w:val="0"/>
                <w:numId w:val="84"/>
              </w:numPr>
              <w:spacing w:after="160" w:line="259" w:lineRule="auto"/>
              <w:jc w:val="left"/>
              <w:rPr>
                <w:sz w:val="20"/>
                <w:lang w:val="es-ES"/>
              </w:rPr>
            </w:pPr>
            <w:r w:rsidRPr="001F3006">
              <w:rPr>
                <w:sz w:val="20"/>
                <w:lang w:val="es-ES"/>
              </w:rPr>
              <w:t>El artículo 2.4.1.4.8 del Decreto 299 de 2017 establece un procedimiento especial para la implementación de tales medidas que, en principio, debería tardar solo 20 días. Tal período está distribuido entre el trámite ante la Mesa Técnica, y la efectiva implementación por parte de la UNP. Lo anterior, sin perjuicio del trámite de emergencia que establece el artículo 2.4.1.4.9, en virtud del cual es posible adoptar medidas de protección a favor de las personas beneficiarias del programa de protección especial que prevé el Decreto 299 de 2017 inmediatamente, sin previo concepto de la Mesa Técnica.</w:t>
            </w:r>
          </w:p>
        </w:tc>
      </w:tr>
    </w:tbl>
    <w:p w14:paraId="7F1D4545" w14:textId="77777777" w:rsidR="001F3006" w:rsidRPr="001F3006" w:rsidRDefault="001F3006" w:rsidP="001F3006">
      <w:pPr>
        <w:rPr>
          <w:rFonts w:eastAsia="Calibri" w:cs="Times New Roman"/>
          <w:kern w:val="0"/>
          <w:szCs w:val="28"/>
          <w:lang w:val="es-ES"/>
          <w14:ligatures w14:val="none"/>
        </w:rPr>
      </w:pPr>
    </w:p>
    <w:p w14:paraId="20F770E3" w14:textId="77777777" w:rsidR="001F3006" w:rsidRPr="001F3006" w:rsidRDefault="001F3006" w:rsidP="001F3006">
      <w:pPr>
        <w:rPr>
          <w:rFonts w:eastAsia="Calibri" w:cs="Times New Roman"/>
          <w:kern w:val="0"/>
          <w:szCs w:val="28"/>
          <w:lang w:val="es-ES"/>
          <w14:ligatures w14:val="none"/>
        </w:rPr>
      </w:pPr>
      <w:r w:rsidRPr="001F3006">
        <w:rPr>
          <w:rFonts w:eastAsia="Calibri" w:cs="Times New Roman"/>
          <w:b/>
          <w:bCs/>
          <w:kern w:val="0"/>
          <w:szCs w:val="28"/>
          <w:lang w:val="es-ES"/>
          <w14:ligatures w14:val="none"/>
        </w:rPr>
        <w:t>3</w:t>
      </w:r>
      <w:r w:rsidRPr="001F3006">
        <w:rPr>
          <w:rFonts w:eastAsia="Calibri" w:cs="Times New Roman"/>
          <w:kern w:val="0"/>
          <w:szCs w:val="28"/>
          <w:lang w:val="es-ES"/>
          <w14:ligatures w14:val="none"/>
        </w:rPr>
        <w:t xml:space="preserve">. Por último, en relación con la </w:t>
      </w:r>
      <w:r w:rsidRPr="001F3006">
        <w:rPr>
          <w:rFonts w:eastAsia="Calibri" w:cs="Times New Roman"/>
          <w:i/>
          <w:iCs/>
          <w:kern w:val="0"/>
          <w:szCs w:val="28"/>
          <w14:ligatures w14:val="none"/>
        </w:rPr>
        <w:t>atención humanitaria</w:t>
      </w:r>
      <w:r w:rsidRPr="001F3006">
        <w:rPr>
          <w:rFonts w:eastAsia="Calibri" w:cs="Times New Roman"/>
          <w:kern w:val="0"/>
          <w:szCs w:val="28"/>
          <w14:ligatures w14:val="none"/>
        </w:rPr>
        <w:t xml:space="preserve"> para eventos masivos de desplazamiento forzado y confinamiento,</w:t>
      </w:r>
      <w:r w:rsidRPr="001F3006">
        <w:rPr>
          <w:rFonts w:eastAsia="Calibri" w:cs="Times New Roman"/>
          <w:kern w:val="0"/>
          <w:szCs w:val="28"/>
          <w:lang w:val="es-ES"/>
          <w14:ligatures w14:val="none"/>
        </w:rPr>
        <w:t xml:space="preserve"> el ordenamiento jurídico prevé un robusto conjunto de instrumentos ordinarios que permiten flexibilizar la activación de los mecanismos de apoyo subsidiario a cargo de la UARIV en casos de crisis humanitarias masivas que desborden las capacidades institucionales de las entidades territoriales. En este sentido, contrario a lo que sostuvo la mayoría de la Sala Plena, el desbordamiento de capacidades institucionales no es un hecho que, por sí mismo, acredite el presupuesto de suficiencia y habilite la declaratoria de un estado de excepción. Esto es así por una razón fundamental: el ordenamiento jurídico ordinario prevé mecanismos para solventar escenarios de desbordamiento institucional de este tipo desde la normalidad institucional, lo que sugiere que para declarar una conmoción interior no basta con comprobar el desbordamiento institucional. El Gobierno Nacional, sin embargo, no demostró, si quiera de forma mínima, la insuficiencia jurídico-normativa de estos mecanismos. </w:t>
      </w:r>
    </w:p>
    <w:p w14:paraId="4FB28204" w14:textId="77777777" w:rsidR="001F3006" w:rsidRPr="001F3006" w:rsidRDefault="001F3006" w:rsidP="001F3006">
      <w:pPr>
        <w:rPr>
          <w:rFonts w:eastAsia="Calibri" w:cs="Times New Roman"/>
          <w:kern w:val="0"/>
          <w:szCs w:val="28"/>
          <w:lang w:val="es-ES"/>
          <w14:ligatures w14:val="none"/>
        </w:rPr>
      </w:pPr>
    </w:p>
    <w:p w14:paraId="0E32AD38" w14:textId="77777777" w:rsidR="001F3006" w:rsidRPr="001F3006" w:rsidRDefault="001F3006" w:rsidP="001F3006">
      <w:pPr>
        <w:rPr>
          <w:rFonts w:eastAsia="Calibri" w:cs="Times New Roman"/>
          <w:kern w:val="0"/>
          <w:szCs w:val="28"/>
          <w:lang w:val="es-ES"/>
          <w14:ligatures w14:val="none"/>
        </w:rPr>
      </w:pPr>
      <w:r w:rsidRPr="001F3006">
        <w:rPr>
          <w:rFonts w:eastAsia="Calibri" w:cs="Times New Roman"/>
          <w:kern w:val="0"/>
          <w:szCs w:val="28"/>
          <w:lang w:val="es-ES"/>
          <w14:ligatures w14:val="none"/>
        </w:rPr>
        <w:t>Por otra parte, resalto que, contrario a lo que sostuvo la mayoría, la ampliación de la cobertura y periodicidad de la atención humanitaria podía implementarse por medio de decretos reglamentarios y no requería del ejercicio de facultades legislativas o excepcionales. La siguiente tabla sintetiza este punto:</w:t>
      </w:r>
    </w:p>
    <w:p w14:paraId="492C080C" w14:textId="77777777" w:rsidR="001F3006" w:rsidRPr="001F3006" w:rsidRDefault="001F3006" w:rsidP="001F3006">
      <w:pPr>
        <w:rPr>
          <w:rFonts w:eastAsia="Calibri" w:cs="Times New Roman"/>
          <w:kern w:val="0"/>
          <w:szCs w:val="28"/>
          <w14:ligatures w14:val="none"/>
        </w:rPr>
      </w:pPr>
    </w:p>
    <w:tbl>
      <w:tblPr>
        <w:tblStyle w:val="Tablaconcuadrcula9"/>
        <w:tblW w:w="0" w:type="auto"/>
        <w:tblInd w:w="137" w:type="dxa"/>
        <w:tblLook w:val="04A0" w:firstRow="1" w:lastRow="0" w:firstColumn="1" w:lastColumn="0" w:noHBand="0" w:noVBand="1"/>
      </w:tblPr>
      <w:tblGrid>
        <w:gridCol w:w="1689"/>
        <w:gridCol w:w="7004"/>
      </w:tblGrid>
      <w:tr w:rsidR="001F3006" w:rsidRPr="001F3006" w14:paraId="451D3488" w14:textId="77777777" w:rsidTr="001F3006">
        <w:tc>
          <w:tcPr>
            <w:tcW w:w="1701" w:type="dxa"/>
            <w:shd w:val="clear" w:color="auto" w:fill="D9D9D9"/>
            <w:vAlign w:val="center"/>
          </w:tcPr>
          <w:p w14:paraId="393D91DF" w14:textId="77777777" w:rsidR="001F3006" w:rsidRPr="001F3006" w:rsidRDefault="001F3006" w:rsidP="001F3006">
            <w:pPr>
              <w:jc w:val="center"/>
              <w:rPr>
                <w:b/>
                <w:bCs/>
                <w:sz w:val="20"/>
                <w:lang w:val="es-ES"/>
              </w:rPr>
            </w:pPr>
            <w:r w:rsidRPr="001F3006">
              <w:rPr>
                <w:b/>
                <w:bCs/>
                <w:sz w:val="20"/>
                <w:lang w:val="es-ES"/>
              </w:rPr>
              <w:t>Desplazamiento forzado</w:t>
            </w:r>
          </w:p>
        </w:tc>
        <w:tc>
          <w:tcPr>
            <w:tcW w:w="7556" w:type="dxa"/>
          </w:tcPr>
          <w:p w14:paraId="0A11E5DE" w14:textId="77777777" w:rsidR="001F3006" w:rsidRPr="001F3006" w:rsidRDefault="001F3006" w:rsidP="001F3006">
            <w:pPr>
              <w:numPr>
                <w:ilvl w:val="0"/>
                <w:numId w:val="85"/>
              </w:numPr>
              <w:spacing w:after="160" w:line="259" w:lineRule="auto"/>
              <w:ind w:left="298"/>
              <w:jc w:val="left"/>
              <w:rPr>
                <w:sz w:val="20"/>
                <w:lang w:val="es-ES"/>
              </w:rPr>
            </w:pPr>
            <w:r w:rsidRPr="001F3006">
              <w:rPr>
                <w:i/>
                <w:iCs/>
                <w:sz w:val="20"/>
                <w:lang w:val="es-ES"/>
              </w:rPr>
              <w:t>Desplazamiento forzado interno</w:t>
            </w:r>
            <w:r w:rsidRPr="001F3006">
              <w:rPr>
                <w:sz w:val="20"/>
                <w:lang w:val="es-ES"/>
              </w:rPr>
              <w:t xml:space="preserve">. La Ley 1448 de 2011 no restringe el alcance y periodicidad de la Atención Humanitaria Inmediata y la Atención Humanitaria de Emergencia para las víctimas de desplazamiento forzado que se encuentren en “situación de gravedad y urgencia”. El alcance y periodicidad están reguladas en actos administrativos. El Gobierno Nacional no explicó las razones por las cuales, en ejercicio de la potestad reglamentaria ordinaria, no es posible modificar estas normas para ampliar su periodicidad o alcance. </w:t>
            </w:r>
          </w:p>
          <w:p w14:paraId="6BAC1E8F" w14:textId="77777777" w:rsidR="001F3006" w:rsidRPr="001F3006" w:rsidRDefault="001F3006" w:rsidP="001F3006">
            <w:pPr>
              <w:numPr>
                <w:ilvl w:val="0"/>
                <w:numId w:val="85"/>
              </w:numPr>
              <w:spacing w:after="160" w:line="259" w:lineRule="auto"/>
              <w:ind w:left="298"/>
              <w:jc w:val="left"/>
              <w:rPr>
                <w:sz w:val="20"/>
                <w:lang w:val="es-ES"/>
              </w:rPr>
            </w:pPr>
            <w:r w:rsidRPr="001F3006">
              <w:rPr>
                <w:i/>
                <w:iCs/>
                <w:sz w:val="20"/>
                <w:lang w:val="es-ES"/>
              </w:rPr>
              <w:t>Desplazamiento forzado transfronterizo</w:t>
            </w:r>
            <w:r w:rsidRPr="001F3006">
              <w:rPr>
                <w:sz w:val="20"/>
                <w:lang w:val="es-ES"/>
              </w:rPr>
              <w:t xml:space="preserve">.  El artículo 68B de la Ley 1448 de 2011 ordenó al Gobierno Nacional expedir un decreto reglamentario en el que regulara la atención humanitaria de las víctimas en el exterior, categoría que cobija las víctimas de desplazamiento transfronterizo. En tales términos, para regular la atención humanitaria de las víctimas de desplazamiento forzado el Gobierno Nacional no requiere de facultades legislativas. Por el contrario, sólo es necesario que cumpla con el deber de reglamentación que el legislador le impuso.  </w:t>
            </w:r>
          </w:p>
        </w:tc>
      </w:tr>
      <w:tr w:rsidR="001F3006" w:rsidRPr="001F3006" w14:paraId="481D8CAF" w14:textId="77777777" w:rsidTr="001F3006">
        <w:tc>
          <w:tcPr>
            <w:tcW w:w="1701" w:type="dxa"/>
            <w:shd w:val="clear" w:color="auto" w:fill="D9D9D9"/>
            <w:vAlign w:val="center"/>
          </w:tcPr>
          <w:p w14:paraId="0C75247E" w14:textId="77777777" w:rsidR="001F3006" w:rsidRPr="001F3006" w:rsidRDefault="001F3006" w:rsidP="001F3006">
            <w:pPr>
              <w:rPr>
                <w:b/>
                <w:bCs/>
                <w:sz w:val="20"/>
                <w:lang w:val="es-ES"/>
              </w:rPr>
            </w:pPr>
            <w:r w:rsidRPr="001F3006">
              <w:rPr>
                <w:b/>
                <w:bCs/>
                <w:sz w:val="20"/>
                <w:lang w:val="es-ES"/>
              </w:rPr>
              <w:t>Confinamiento</w:t>
            </w:r>
          </w:p>
        </w:tc>
        <w:tc>
          <w:tcPr>
            <w:tcW w:w="7556" w:type="dxa"/>
          </w:tcPr>
          <w:p w14:paraId="0505BC82" w14:textId="77777777" w:rsidR="001F3006" w:rsidRPr="001F3006" w:rsidRDefault="001F3006" w:rsidP="001F3006">
            <w:pPr>
              <w:rPr>
                <w:sz w:val="20"/>
                <w:lang w:val="es-ES"/>
              </w:rPr>
            </w:pPr>
            <w:r w:rsidRPr="001F3006">
              <w:rPr>
                <w:sz w:val="20"/>
                <w:lang w:val="es-ES"/>
              </w:rPr>
              <w:t xml:space="preserve">La Ley 1448 de 2011 no restringe el alcance y periodicidad de la Atención Humanitaria Inmediata y la Atención Humanitaria de Emergencia para las víctimas de confinamiento que se encuentren en situación de gravedad y urgencia. Por el contrario, el artículo 68A de la Ley 1448 de 2011 señala que el Gobierno Nacional </w:t>
            </w:r>
            <w:r w:rsidRPr="001F3006">
              <w:rPr>
                <w:sz w:val="20"/>
                <w:lang w:val="es-ES"/>
              </w:rPr>
              <w:lastRenderedPageBreak/>
              <w:t xml:space="preserve">deberá reglamentar esta materia, así como la ruta de atención para esta población. Por lo demás, los requisitos de la atención humanitaria para víctimas distintas al desplazamiento, la cual actualmente cobija a las víctimas de confinamiento, también están previstos en decretos reglamentarios. Por ende, su ampliación no requiere del ejercicio de facultades legislativas.  </w:t>
            </w:r>
          </w:p>
        </w:tc>
      </w:tr>
    </w:tbl>
    <w:p w14:paraId="30AAFE07" w14:textId="77777777" w:rsidR="001F3006" w:rsidRPr="001F3006" w:rsidRDefault="001F3006" w:rsidP="001F3006">
      <w:pPr>
        <w:rPr>
          <w:rFonts w:eastAsia="Calibri" w:cs="Times New Roman"/>
          <w:kern w:val="0"/>
          <w:szCs w:val="28"/>
          <w14:ligatures w14:val="none"/>
        </w:rPr>
      </w:pPr>
    </w:p>
    <w:p w14:paraId="2AE00DF6"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Nuevamente, el Gobierno Nacional no demostró, siquiera de forma mínima, la insuficiencia jurídico-normativa y fáctica de estos instrumentos para atender la crisis en la región del Catatumbo, el área metropolitana de Cúcuta y los municipios de Río de Oro y González. Tampoco probó haberlos utilizado, ni que su fortalecimiento requiriera de modificaciones de rango legal, mediante el ejercicio de facultades legislativas excepcionales. Reitero que la Constitución Política y la LEEE imponen al Presidente de la República el deber constitucional y estatutario de normalizar el tratamiento de los problemas de orden público y de evitar, hasta donde sea posible, el recurso al estado de excepción. Las facultades excepcionales que se derivan de la declaratoria se desvalorizan y pierden</w:t>
      </w:r>
      <w:r w:rsidRPr="001F3006">
        <w:rPr>
          <w:rFonts w:ascii="Calibri" w:eastAsia="Calibri" w:hAnsi="Calibri" w:cs="Times New Roman"/>
          <w:kern w:val="0"/>
          <w:sz w:val="22"/>
          <w:szCs w:val="22"/>
          <w14:ligatures w14:val="none"/>
        </w:rPr>
        <w:t xml:space="preserve"> </w:t>
      </w:r>
      <w:r w:rsidRPr="001F3006">
        <w:rPr>
          <w:rFonts w:eastAsia="Calibri" w:cs="Times New Roman"/>
          <w:kern w:val="0"/>
          <w:szCs w:val="28"/>
          <w14:ligatures w14:val="none"/>
        </w:rPr>
        <w:t>eficacia cuando su uso emula o sustituye indebidamente el conjunto de instrumentos que el Estado puede desplegar ordinariamente.</w:t>
      </w:r>
    </w:p>
    <w:p w14:paraId="708471C7" w14:textId="77777777" w:rsidR="001F3006" w:rsidRPr="001F3006" w:rsidRDefault="001F3006" w:rsidP="001F3006">
      <w:pPr>
        <w:rPr>
          <w:rFonts w:eastAsia="Calibri" w:cs="Times New Roman"/>
          <w:kern w:val="0"/>
          <w:szCs w:val="28"/>
          <w14:ligatures w14:val="none"/>
        </w:rPr>
      </w:pPr>
    </w:p>
    <w:p w14:paraId="240DD036" w14:textId="77777777" w:rsidR="001F3006" w:rsidRPr="001F3006" w:rsidRDefault="001F3006" w:rsidP="001F3006">
      <w:pPr>
        <w:numPr>
          <w:ilvl w:val="0"/>
          <w:numId w:val="86"/>
        </w:numPr>
        <w:spacing w:after="160" w:line="259" w:lineRule="auto"/>
        <w:ind w:left="709"/>
        <w:jc w:val="left"/>
        <w:rPr>
          <w:rFonts w:eastAsia="Calibri" w:cs="Times New Roman"/>
          <w:b/>
          <w:bCs/>
          <w:kern w:val="0"/>
          <w:szCs w:val="28"/>
          <w14:ligatures w14:val="none"/>
        </w:rPr>
      </w:pPr>
      <w:r w:rsidRPr="001F3006">
        <w:rPr>
          <w:rFonts w:eastAsia="Calibri" w:cs="Times New Roman"/>
          <w:b/>
          <w:bCs/>
          <w:kern w:val="0"/>
          <w:szCs w:val="28"/>
          <w14:ligatures w14:val="none"/>
        </w:rPr>
        <w:t xml:space="preserve">El Gobierno Nacional no demostró la insuficiencia de las medidas ordinarias en materia fiscal y presupuestal </w:t>
      </w:r>
    </w:p>
    <w:p w14:paraId="40F97744" w14:textId="77777777" w:rsidR="001F3006" w:rsidRPr="001F3006" w:rsidRDefault="001F3006" w:rsidP="001F3006">
      <w:pPr>
        <w:ind w:left="1080"/>
        <w:rPr>
          <w:rFonts w:eastAsia="Calibri" w:cs="Times New Roman"/>
          <w:b/>
          <w:bCs/>
          <w:kern w:val="0"/>
          <w:szCs w:val="28"/>
          <w14:ligatures w14:val="none"/>
        </w:rPr>
      </w:pPr>
    </w:p>
    <w:p w14:paraId="3D6148C4" w14:textId="77777777" w:rsidR="001F3006" w:rsidRPr="001F3006" w:rsidRDefault="001F3006" w:rsidP="001F3006">
      <w:pPr>
        <w:rPr>
          <w:rFonts w:eastAsia="Calibri" w:cs="Times New Roman"/>
          <w:kern w:val="0"/>
          <w:szCs w:val="28"/>
          <w:lang w:val="es-ES"/>
          <w14:ligatures w14:val="none"/>
        </w:rPr>
      </w:pPr>
      <w:r w:rsidRPr="001F3006">
        <w:rPr>
          <w:rFonts w:eastAsia="Calibri" w:cs="Times New Roman"/>
          <w:kern w:val="0"/>
          <w:szCs w:val="28"/>
          <w14:ligatures w14:val="none"/>
        </w:rPr>
        <w:t xml:space="preserve">El Gobierno Nacional no demostró que el fortalecimiento presupuestal y financiero de los mecanismos ordinarios para atender la crisis requiriera la declaratoria del Estado de Conmoción Interior. En el Decreto 62 de 2025, el Gobierno Nacional anunció que era necesario adoptar medidas tributarias y presupuestales. Sin embargo, no estimó, siquiera de forma mínima, el </w:t>
      </w:r>
      <w:r w:rsidRPr="001F3006">
        <w:rPr>
          <w:rFonts w:eastAsia="Calibri" w:cs="Times New Roman"/>
          <w:i/>
          <w:iCs/>
          <w:kern w:val="0"/>
          <w:szCs w:val="28"/>
          <w14:ligatures w14:val="none"/>
        </w:rPr>
        <w:t>monto</w:t>
      </w:r>
      <w:r w:rsidRPr="001F3006">
        <w:rPr>
          <w:rFonts w:eastAsia="Calibri" w:cs="Times New Roman"/>
          <w:kern w:val="0"/>
          <w:szCs w:val="28"/>
          <w14:ligatures w14:val="none"/>
        </w:rPr>
        <w:t xml:space="preserve"> de los recursos que requería para atender la crisis. En mi criterio, esta omisión de motivación es muy problemática porque </w:t>
      </w:r>
      <w:r w:rsidRPr="001F3006">
        <w:rPr>
          <w:rFonts w:eastAsia="Calibri" w:cs="Times New Roman"/>
          <w:kern w:val="0"/>
          <w:szCs w:val="28"/>
          <w:lang w:val="es-ES"/>
          <w14:ligatures w14:val="none"/>
        </w:rPr>
        <w:t>la Corte Constitucional ha considerado que una estimación de los recursos que se requieren para conjurar las causas que motivan la declaratoria de un estado de excepción es un criterio relevante para examinar la suficiencia presupuestal o financiera de las atribuciones ordinarias. En efecto, la valoración de suficiencia de los mecanismos presupuestales ordinarios depende, necesariamente, del monto de los recursos adicionales que se requieran para atender la crisis.</w:t>
      </w:r>
      <w:r w:rsidRPr="001F3006">
        <w:rPr>
          <w:rFonts w:eastAsia="Calibri" w:cs="Times New Roman"/>
          <w:lang w:val="es-ES"/>
        </w:rPr>
        <w:t xml:space="preserve"> </w:t>
      </w:r>
      <w:r w:rsidRPr="001F3006">
        <w:rPr>
          <w:rFonts w:eastAsia="Calibri" w:cs="Times New Roman"/>
          <w:kern w:val="0"/>
          <w:szCs w:val="28"/>
          <w:lang w:val="es-ES"/>
          <w14:ligatures w14:val="none"/>
        </w:rPr>
        <w:t xml:space="preserve">En este sentido, la falta de estimación de los recursos permite que, </w:t>
      </w:r>
      <w:r w:rsidRPr="001F3006">
        <w:rPr>
          <w:rFonts w:eastAsia="Calibri" w:cs="Times New Roman"/>
          <w:i/>
          <w:iCs/>
          <w:kern w:val="0"/>
          <w:szCs w:val="28"/>
          <w:lang w:val="es-ES"/>
          <w14:ligatures w14:val="none"/>
        </w:rPr>
        <w:t>de facto</w:t>
      </w:r>
      <w:r w:rsidRPr="001F3006">
        <w:rPr>
          <w:rFonts w:eastAsia="Calibri" w:cs="Times New Roman"/>
          <w:kern w:val="0"/>
          <w:szCs w:val="28"/>
          <w:lang w:val="es-ES"/>
          <w14:ligatures w14:val="none"/>
        </w:rPr>
        <w:t xml:space="preserve">, (i) el Presidente de la República se auto habilite para crear tributos y adicionar el presupuesto y (ii) la proporcionalidad y necesidad de las medidas tributarias y presupuestales quede desprovista de cualquier control constitucional material. Al respecto pueden consultarse, entre otras, las sentencias C-156 de 2011, C-386 de 2017 y C-145 de 2020 las cuales, sin embargo, no fueron referidas ni tenidas en cuenta por la mayoría. </w:t>
      </w:r>
    </w:p>
    <w:p w14:paraId="5831519B" w14:textId="77777777" w:rsidR="001F3006" w:rsidRPr="001F3006" w:rsidRDefault="001F3006" w:rsidP="001F3006">
      <w:pPr>
        <w:rPr>
          <w:rFonts w:eastAsia="Calibri" w:cs="Times New Roman"/>
          <w:kern w:val="0"/>
          <w:szCs w:val="28"/>
          <w14:ligatures w14:val="none"/>
        </w:rPr>
      </w:pPr>
    </w:p>
    <w:p w14:paraId="77148F4E"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Ahora bien, al margen de la falta de motivación en cuanto a la estimación, reconozco que, habida cuenta de su magnitud, la atención de la atención de la crisis de orden público y la emergencia humanitaria en la región del Catatumbo ciertamente requiere de un incremento de los recursos presupuestales y financieros de las entidades del orden nacional y territorial. Sin embargo, la </w:t>
      </w:r>
      <w:r w:rsidRPr="001F3006">
        <w:rPr>
          <w:rFonts w:eastAsia="Calibri" w:cs="Times New Roman"/>
          <w:kern w:val="0"/>
          <w:szCs w:val="28"/>
          <w14:ligatures w14:val="none"/>
        </w:rPr>
        <w:lastRenderedPageBreak/>
        <w:t>simple de necesidad de recursos en el corto, mediano y largo plazo, no acredita el presupuesto de suficiencia. Esto, porque el ordenamiento jurídico de normalidad prevé múltiples fondos y atribuciones presupuestales que permiten incrementar los recursos en el corto, mediano y largo plazo.</w:t>
      </w:r>
    </w:p>
    <w:p w14:paraId="6ACAA808" w14:textId="77777777" w:rsidR="001F3006" w:rsidRPr="001F3006" w:rsidRDefault="001F3006" w:rsidP="001F3006">
      <w:pPr>
        <w:rPr>
          <w:rFonts w:eastAsia="Calibri" w:cs="Times New Roman"/>
          <w:kern w:val="0"/>
          <w:szCs w:val="28"/>
          <w14:ligatures w14:val="none"/>
        </w:rPr>
      </w:pPr>
    </w:p>
    <w:p w14:paraId="7B9D2F1E"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En particular, advierto que, en el </w:t>
      </w:r>
      <w:r w:rsidRPr="001F3006">
        <w:rPr>
          <w:rFonts w:eastAsia="Calibri" w:cs="Times New Roman"/>
          <w:i/>
          <w:iCs/>
          <w:kern w:val="0"/>
          <w:szCs w:val="28"/>
          <w14:ligatures w14:val="none"/>
        </w:rPr>
        <w:t>corto plazo</w:t>
      </w:r>
      <w:r w:rsidRPr="001F3006">
        <w:rPr>
          <w:rFonts w:eastAsia="Calibri" w:cs="Times New Roman"/>
          <w:kern w:val="0"/>
          <w:szCs w:val="28"/>
          <w14:ligatures w14:val="none"/>
        </w:rPr>
        <w:t xml:space="preserve">, el Gobierno Nacional tenía a su disposición, entre otros, los recursos del Fondo de Compensación Interministerial, de los Fondos de Seguridad y Convivencia Ciudadana y de otros fondos especiales. Asimismo, podía hacer uso de los traslados internos y las distribuciones. No obstante, el Gobierno Nacional omitió exponer las razones por las cuales estos fondos y atribuciones eran insuficientes para incrementar los recursos presupuestales que la atención de la crisis demandaba en el corto plazo. Es razonable inferir que, en el </w:t>
      </w:r>
      <w:r w:rsidRPr="001F3006">
        <w:rPr>
          <w:rFonts w:eastAsia="Calibri" w:cs="Times New Roman"/>
          <w:i/>
          <w:iCs/>
          <w:kern w:val="0"/>
          <w:szCs w:val="28"/>
          <w14:ligatures w14:val="none"/>
        </w:rPr>
        <w:t>mediano y largo plazo</w:t>
      </w:r>
      <w:r w:rsidRPr="001F3006">
        <w:rPr>
          <w:rFonts w:eastAsia="Calibri" w:cs="Times New Roman"/>
          <w:kern w:val="0"/>
          <w:szCs w:val="28"/>
          <w14:ligatures w14:val="none"/>
        </w:rPr>
        <w:t>, el restablecimiento del orden público en la región del Catatumbo y la atención de las víctimas podría demandar recursos adicionales, y la consecución de estos recursos requeriría adiciones presupuestales durante esta vigencia fiscal, así como modificaciones al SGR y el SGP. No obstante, el Presidente de la República también omitió demostrar que, para cubrir esta demanda adicional de recursos en el mediano y largo plazo, la radicación de un proyecto de ley con mensaje de urgencia fuera insuficiente o inidónea. Lo anterior, pese a que la jurisprudencia constitucional reciente -C/383 de 2023- ha exigido demostrar la falta de idoneidad y eficacia del ejercicio de la iniciativa legislativa como condición de cumplimiento del presupuesto de suficiencia.</w:t>
      </w:r>
    </w:p>
    <w:p w14:paraId="5825879C" w14:textId="77777777" w:rsidR="001F3006" w:rsidRPr="001F3006" w:rsidRDefault="001F3006" w:rsidP="001F3006">
      <w:pPr>
        <w:rPr>
          <w:rFonts w:eastAsia="Calibri" w:cs="Times New Roman"/>
          <w:kern w:val="0"/>
          <w:szCs w:val="28"/>
          <w14:ligatures w14:val="none"/>
        </w:rPr>
      </w:pPr>
    </w:p>
    <w:p w14:paraId="32D0534D" w14:textId="77777777" w:rsidR="001F3006" w:rsidRPr="001F3006" w:rsidRDefault="001F3006" w:rsidP="001F3006">
      <w:pPr>
        <w:numPr>
          <w:ilvl w:val="0"/>
          <w:numId w:val="86"/>
        </w:numPr>
        <w:spacing w:after="160" w:line="259" w:lineRule="auto"/>
        <w:ind w:left="709"/>
        <w:jc w:val="left"/>
        <w:rPr>
          <w:rFonts w:eastAsia="Calibri" w:cs="Times New Roman"/>
          <w:b/>
          <w:bCs/>
          <w:kern w:val="0"/>
          <w:szCs w:val="28"/>
          <w14:ligatures w14:val="none"/>
        </w:rPr>
      </w:pPr>
      <w:r w:rsidRPr="001F3006">
        <w:rPr>
          <w:rFonts w:eastAsia="Calibri" w:cs="Times New Roman"/>
          <w:b/>
          <w:bCs/>
          <w:kern w:val="0"/>
          <w:szCs w:val="28"/>
          <w14:ligatures w14:val="none"/>
        </w:rPr>
        <w:t xml:space="preserve">Existían indicios de instrumentalización del Estado de Conmoción Interior </w:t>
      </w:r>
    </w:p>
    <w:p w14:paraId="7D186C76" w14:textId="77777777" w:rsidR="001F3006" w:rsidRPr="001F3006" w:rsidRDefault="001F3006" w:rsidP="001F3006">
      <w:pPr>
        <w:rPr>
          <w:rFonts w:eastAsia="Calibri" w:cs="Times New Roman"/>
          <w:kern w:val="0"/>
          <w:szCs w:val="28"/>
          <w14:ligatures w14:val="none"/>
        </w:rPr>
      </w:pPr>
    </w:p>
    <w:p w14:paraId="2D05F39D"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Advierto con preocupación que, en atención a las falencias de motivación del decreto, la Corte pudo haber habilitado una instrumentalización el Estado de Conmoción Interior para resolver problemáticas estructurales derivadas el déficit fiscal por la falta de aprobación de la ley de financiamiento y la insuficiencia de recursos para la implementación del denominado “Pacto del Catatumbo”, asuntos que no corresponden en su integridad a la afectación del orden público en la región y, antes bien, están vinculados a problemáticas de índole estructural y extendidas en el tiempo. Al respecto, encuentro que el Gobierno Nacional aportó como anexo al Decreto 062 de 2025 el documento titulado “Informe - soporte documental respecto del Decreto que declara el Estado de Conmoción Interior en la región del Catatumbo”. En este documento, el Departamento Nacional de Planeación señaló:</w:t>
      </w:r>
    </w:p>
    <w:p w14:paraId="585F948B" w14:textId="77777777" w:rsidR="001F3006" w:rsidRPr="001F3006" w:rsidRDefault="001F3006" w:rsidP="001F3006">
      <w:pPr>
        <w:rPr>
          <w:rFonts w:eastAsia="Calibri" w:cs="Times New Roman"/>
          <w:kern w:val="0"/>
          <w:szCs w:val="28"/>
          <w14:ligatures w14:val="none"/>
        </w:rPr>
      </w:pPr>
    </w:p>
    <w:p w14:paraId="65D26F69" w14:textId="77777777" w:rsidR="001F3006" w:rsidRPr="001F3006" w:rsidRDefault="001F3006" w:rsidP="001F3006">
      <w:pPr>
        <w:ind w:left="283" w:right="283"/>
        <w:rPr>
          <w:rFonts w:eastAsia="Calibri" w:cs="Times New Roman"/>
          <w:kern w:val="0"/>
          <w:sz w:val="24"/>
          <w14:ligatures w14:val="none"/>
        </w:rPr>
      </w:pPr>
      <w:r w:rsidRPr="001F3006">
        <w:rPr>
          <w:rFonts w:eastAsia="Calibri" w:cs="Times New Roman"/>
          <w:kern w:val="0"/>
          <w:sz w:val="24"/>
          <w14:ligatures w14:val="none"/>
        </w:rPr>
        <w:t xml:space="preserve">“Que el Catatumbo ha presentado de manera prolongada afectaciones en materia social, que se reflejan en las tasas de desempleo, en la reducción de la oferta educativa y en la propagación de cultivos ilícitos, </w:t>
      </w:r>
      <w:r w:rsidRPr="001F3006">
        <w:rPr>
          <w:rFonts w:eastAsia="Calibri" w:cs="Times New Roman"/>
          <w:kern w:val="0"/>
          <w:sz w:val="24"/>
          <w:u w:val="single"/>
          <w14:ligatures w14:val="none"/>
        </w:rPr>
        <w:t>pero que debido a la situación fiscal</w:t>
      </w:r>
      <w:r w:rsidRPr="001F3006">
        <w:rPr>
          <w:rFonts w:ascii="Calibri" w:eastAsia="Calibri" w:hAnsi="Calibri" w:cs="Times New Roman"/>
          <w:kern w:val="0"/>
          <w:sz w:val="20"/>
          <w:szCs w:val="20"/>
          <w:u w:val="single"/>
          <w14:ligatures w14:val="none"/>
        </w:rPr>
        <w:t xml:space="preserve"> </w:t>
      </w:r>
      <w:r w:rsidRPr="001F3006">
        <w:rPr>
          <w:rFonts w:eastAsia="Calibri" w:cs="Times New Roman"/>
          <w:kern w:val="0"/>
          <w:sz w:val="24"/>
          <w:u w:val="single"/>
          <w14:ligatures w14:val="none"/>
        </w:rPr>
        <w:t xml:space="preserve">actual del país, como consecuencia del sobrendeudamiento de los gobiernos anteriores, de una estructura tributaria regresiva y de la no aprobación en el Congreso de la República de la ley de financiamiento en diciembre de 2024, esta crisis social y económica se ha agudizado en tal magnitud que se proyecta que los recursos que se dejarían de invertir para la vigencia de 2025 en el departamento de Norte de Santander ascienden a </w:t>
      </w:r>
      <w:r w:rsidRPr="001F3006">
        <w:rPr>
          <w:rFonts w:eastAsia="Calibri" w:cs="Times New Roman"/>
          <w:kern w:val="0"/>
          <w:sz w:val="24"/>
          <w:u w:val="single"/>
          <w14:ligatures w14:val="none"/>
        </w:rPr>
        <w:lastRenderedPageBreak/>
        <w:t>$263.234 millones, lo que supone una medida urgente y extraordinaria de inversión en el territorio.</w:t>
      </w:r>
    </w:p>
    <w:p w14:paraId="550903F5" w14:textId="77777777" w:rsidR="001F3006" w:rsidRPr="001F3006" w:rsidRDefault="001F3006" w:rsidP="001F3006">
      <w:pPr>
        <w:ind w:left="283" w:right="283"/>
        <w:rPr>
          <w:rFonts w:eastAsia="Calibri" w:cs="Times New Roman"/>
          <w:kern w:val="0"/>
          <w:sz w:val="24"/>
          <w14:ligatures w14:val="none"/>
        </w:rPr>
      </w:pPr>
    </w:p>
    <w:p w14:paraId="55E9AEA9" w14:textId="77777777" w:rsidR="001F3006" w:rsidRPr="001F3006" w:rsidRDefault="001F3006" w:rsidP="001F3006">
      <w:pPr>
        <w:ind w:left="283" w:right="283"/>
        <w:rPr>
          <w:rFonts w:eastAsia="Calibri" w:cs="Times New Roman"/>
          <w:kern w:val="0"/>
          <w:sz w:val="24"/>
          <w14:ligatures w14:val="none"/>
        </w:rPr>
      </w:pPr>
      <w:r w:rsidRPr="001F3006">
        <w:rPr>
          <w:rFonts w:eastAsia="Calibri" w:cs="Times New Roman"/>
          <w:kern w:val="0"/>
          <w:sz w:val="24"/>
          <w14:ligatures w14:val="none"/>
        </w:rPr>
        <w:t>Que esta restricción presupuestal imposibilita que la oferta institucional llegue a la región del Catatumbo, agravando la situación en atención a que perturba la adopción de habilitadores estructurales como lo son un sistema de protección social universal y adaptativo; una infraestructura física y digital para la vida y el buen vivir; la justicia como bien y servicio que asegure la universalidad y primacía de un conjunto de derechos y libertades fundamentales; y la seguridad y defensa integral de los territorios, las comunidades y las poblaciones. Sin cumplir estos presupuestos por falta de inyección de presupuesto, se presenta el fenómeno de una inseguridad humana, que supera los porcentajes críticos de diagnóstico en la región, evitando la superación de las privaciones de la población pobre y vulnerable, así como la expansión de sus capacidades.</w:t>
      </w:r>
    </w:p>
    <w:p w14:paraId="00DE6F60" w14:textId="77777777" w:rsidR="001F3006" w:rsidRPr="001F3006" w:rsidRDefault="001F3006" w:rsidP="001F3006">
      <w:pPr>
        <w:ind w:left="283" w:right="283"/>
        <w:rPr>
          <w:rFonts w:eastAsia="Calibri" w:cs="Times New Roman"/>
          <w:kern w:val="0"/>
          <w:sz w:val="24"/>
          <w14:ligatures w14:val="none"/>
        </w:rPr>
      </w:pPr>
    </w:p>
    <w:p w14:paraId="70637184" w14:textId="77777777" w:rsidR="001F3006" w:rsidRPr="001F3006" w:rsidRDefault="001F3006" w:rsidP="001F3006">
      <w:pPr>
        <w:ind w:left="283" w:right="283"/>
        <w:rPr>
          <w:rFonts w:eastAsia="Calibri" w:cs="Times New Roman"/>
          <w:kern w:val="0"/>
          <w:sz w:val="24"/>
          <w:u w:val="single"/>
          <w14:ligatures w14:val="none"/>
        </w:rPr>
      </w:pPr>
      <w:r w:rsidRPr="001F3006">
        <w:rPr>
          <w:rFonts w:eastAsia="Calibri" w:cs="Times New Roman"/>
          <w:kern w:val="0"/>
          <w:sz w:val="24"/>
          <w:u w:val="single"/>
          <w14:ligatures w14:val="none"/>
        </w:rPr>
        <w:t>Que el Pacto de Catatumbo fue realizado con el fin de enfrentar la crisis presentada en la región, con una serie de partidas presupuestales para cubrir cada una de las acciones dispuestas. No obstante, ante la inflexibilidad presupuestal que se presenta actualmente, este instrumento carece de financiamiento y, en consecuencia, agrava la necesidad de atender la emergencia social diagnosticada, encontrándose amenazada la garantía de la dignidad humana, el ejercicio de las libertades y el desarrollo de las capacidades necesarias para que las personas y los hogares puedan llevar a cabo el plan de vida proyectado.</w:t>
      </w:r>
    </w:p>
    <w:p w14:paraId="3206C546" w14:textId="77777777" w:rsidR="001F3006" w:rsidRPr="001F3006" w:rsidRDefault="001F3006" w:rsidP="001F3006">
      <w:pPr>
        <w:ind w:left="283" w:right="283"/>
        <w:rPr>
          <w:rFonts w:eastAsia="Calibri" w:cs="Times New Roman"/>
          <w:kern w:val="0"/>
          <w:sz w:val="24"/>
          <w14:ligatures w14:val="none"/>
        </w:rPr>
      </w:pPr>
    </w:p>
    <w:p w14:paraId="48CAD83C" w14:textId="77777777" w:rsidR="001F3006" w:rsidRPr="001F3006" w:rsidRDefault="001F3006" w:rsidP="001F3006">
      <w:pPr>
        <w:ind w:left="283" w:right="283"/>
        <w:jc w:val="center"/>
        <w:rPr>
          <w:rFonts w:eastAsia="Calibri" w:cs="Times New Roman"/>
          <w:kern w:val="0"/>
          <w:sz w:val="24"/>
          <w14:ligatures w14:val="none"/>
        </w:rPr>
      </w:pPr>
      <w:r w:rsidRPr="001F3006">
        <w:rPr>
          <w:rFonts w:eastAsia="Calibri" w:cs="Times New Roman"/>
          <w:kern w:val="0"/>
          <w:sz w:val="24"/>
          <w14:ligatures w14:val="none"/>
        </w:rPr>
        <w:t>(…)</w:t>
      </w:r>
    </w:p>
    <w:p w14:paraId="28D64C6A" w14:textId="77777777" w:rsidR="001F3006" w:rsidRPr="001F3006" w:rsidRDefault="001F3006" w:rsidP="001F3006">
      <w:pPr>
        <w:ind w:left="283" w:right="283"/>
        <w:rPr>
          <w:rFonts w:eastAsia="Calibri" w:cs="Times New Roman"/>
          <w:kern w:val="0"/>
          <w:sz w:val="24"/>
          <w14:ligatures w14:val="none"/>
        </w:rPr>
      </w:pPr>
    </w:p>
    <w:p w14:paraId="403E5773" w14:textId="77777777" w:rsidR="001F3006" w:rsidRPr="001F3006" w:rsidRDefault="001F3006" w:rsidP="001F3006">
      <w:pPr>
        <w:ind w:left="283" w:right="283"/>
        <w:rPr>
          <w:rFonts w:eastAsia="Calibri" w:cs="Times New Roman"/>
          <w:kern w:val="0"/>
          <w:sz w:val="24"/>
          <w14:ligatures w14:val="none"/>
        </w:rPr>
      </w:pPr>
      <w:r w:rsidRPr="001F3006">
        <w:rPr>
          <w:rFonts w:eastAsia="Calibri" w:cs="Times New Roman"/>
          <w:b/>
          <w:bCs/>
          <w:kern w:val="0"/>
          <w:sz w:val="24"/>
          <w:u w:val="single"/>
          <w14:ligatures w14:val="none"/>
        </w:rPr>
        <w:t>La crisis actual en el Catatumbo es un reflejo de problemas estructurales de larga data, que requieren una intervención estatal integral y sostenida.</w:t>
      </w:r>
      <w:r w:rsidRPr="001F3006">
        <w:rPr>
          <w:rFonts w:eastAsia="Calibri" w:cs="Times New Roman"/>
          <w:kern w:val="0"/>
          <w:sz w:val="24"/>
          <w14:ligatures w14:val="none"/>
        </w:rPr>
        <w:t xml:space="preserve"> Este informe recomienda que el Estado de Excepción sea una oportunidad para implementar medidas estratégicas orientadas a garantizar la seguridad, mitigar las desigualdades sociales y promover un desarrollo sostenible y pacífico en la región. Además, es fundamental articular esfuerzos entre el Gobierno Nacional, los gobiernos locales y las comunidades afectadas para asegurar la efectividad de las políticas implementadas” (subrayado y énfasis añadido).</w:t>
      </w:r>
    </w:p>
    <w:p w14:paraId="32ADA18F" w14:textId="77777777" w:rsidR="001F3006" w:rsidRPr="001F3006" w:rsidRDefault="001F3006" w:rsidP="001F3006">
      <w:pPr>
        <w:ind w:left="283" w:right="283"/>
        <w:rPr>
          <w:rFonts w:eastAsia="Calibri" w:cs="Times New Roman"/>
          <w:kern w:val="0"/>
          <w:sz w:val="24"/>
          <w:highlight w:val="yellow"/>
          <w14:ligatures w14:val="none"/>
        </w:rPr>
      </w:pPr>
    </w:p>
    <w:p w14:paraId="4A1BA911"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En el mismo sentido, resalto que, en respuesta a los autos de prueba, el Ministerio de Salud y Protección Social reconoció que la declaratoria del Estado de Conmoción Interior era necesaria para implementar el “Pacto del Catatumbo”, el cual fue aprobado en agosto del año 2024. Según el MSPS, la emergencia “consolida la necesidad de ejecutar este plan de manera expedita como mecanismo de asegurar soluciones de mediano plazo basado en el enfoque territorial”. Esto “requiere recursos y esfuerzos extraordinarios y específicos para que no se dilate en el tiempo y quede sujeto a las disponibilidades anuales de recursos que harían interminable tal desarrollo”.</w:t>
      </w:r>
    </w:p>
    <w:p w14:paraId="2231BAE8" w14:textId="77777777" w:rsidR="001F3006" w:rsidRPr="001F3006" w:rsidRDefault="001F3006" w:rsidP="001F3006">
      <w:pPr>
        <w:rPr>
          <w:rFonts w:eastAsia="Calibri" w:cs="Times New Roman"/>
          <w:kern w:val="0"/>
          <w:szCs w:val="28"/>
          <w14:ligatures w14:val="none"/>
        </w:rPr>
      </w:pPr>
    </w:p>
    <w:p w14:paraId="68DC25EE"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En mi criterio, la mayoría de la Sala Plena omitió considerar el riesgo de que, ante la ausencia de motivación suficiente, el Estado de Conmoción Interior pudiera ser utilizado para resolver problemas estructurales o políticos de déficit fiscal. Esta omisión es problemática dado que el uso del derecho de excepción para estos propósitos desvaloriza el Estado de Conmoción Interior como medida para atender situaciones extraordinarias y desdibuja la separación semántica y axiológica entre normalidad y anormalidad institucional sobre la cual se funda nuestro sistema democrático, lo cual infringe abiertamente la voluntad del </w:t>
      </w:r>
      <w:r w:rsidRPr="001F3006">
        <w:rPr>
          <w:rFonts w:eastAsia="Calibri" w:cs="Times New Roman"/>
          <w:kern w:val="0"/>
          <w:szCs w:val="28"/>
          <w14:ligatures w14:val="none"/>
        </w:rPr>
        <w:lastRenderedPageBreak/>
        <w:t xml:space="preserve">constituyente. Desde esa perspectiva, la modificación del precedente que adoptó la mayoría, además de injustificada, involucra necesariamente una profunda y riesgosa hipertrofia del poder presidencial que parece habilitar que, en el futuro, el Gobierno Nacional pueda acudir a los estados de excepción para atender problemas estructurales y al margen de cualquier conexidad con la atención de una crisis de orden público. </w:t>
      </w:r>
    </w:p>
    <w:p w14:paraId="60A7F885" w14:textId="77777777" w:rsidR="001F3006" w:rsidRPr="001F3006" w:rsidRDefault="001F3006" w:rsidP="001F3006">
      <w:pPr>
        <w:rPr>
          <w:rFonts w:eastAsia="Calibri" w:cs="Times New Roman"/>
          <w:kern w:val="0"/>
          <w:szCs w:val="28"/>
          <w14:ligatures w14:val="none"/>
        </w:rPr>
      </w:pPr>
    </w:p>
    <w:p w14:paraId="26F5F716" w14:textId="77777777" w:rsidR="001F3006" w:rsidRPr="001F3006" w:rsidRDefault="001F3006" w:rsidP="001F3006">
      <w:pPr>
        <w:rPr>
          <w:rFonts w:eastAsia="Calibri" w:cs="Times New Roman"/>
          <w:kern w:val="0"/>
          <w:szCs w:val="28"/>
          <w:highlight w:val="yellow"/>
          <w14:ligatures w14:val="none"/>
        </w:rPr>
      </w:pPr>
      <w:r w:rsidRPr="001F3006">
        <w:rPr>
          <w:rFonts w:eastAsia="Calibri" w:cs="Times New Roman"/>
          <w:kern w:val="0"/>
          <w:szCs w:val="28"/>
          <w14:ligatures w14:val="none"/>
        </w:rPr>
        <w:t>En últimas, lo decidido por la mayoría desvertebra el importante balance institucional construido por el precedente desde hace más de tres décadas. Esto, para inclinarlo hacia un modelo laxo de control de constitucionalidad de los estados de excepción, contrario tanto al ámbito de las competencias de la Corte como a la necesidad de ejercer un control de límites al Gobierno Nacional cuando recurre al derecho de excepción.</w:t>
      </w:r>
    </w:p>
    <w:p w14:paraId="4514C8A1" w14:textId="77777777" w:rsidR="001F3006" w:rsidRPr="001F3006" w:rsidRDefault="001F3006" w:rsidP="001F3006">
      <w:pPr>
        <w:rPr>
          <w:rFonts w:eastAsia="Calibri" w:cs="Times New Roman"/>
          <w:kern w:val="0"/>
          <w:szCs w:val="28"/>
          <w:highlight w:val="yellow"/>
          <w14:ligatures w14:val="none"/>
        </w:rPr>
      </w:pPr>
    </w:p>
    <w:p w14:paraId="4961A6D3" w14:textId="77777777" w:rsidR="001F3006" w:rsidRPr="001F3006" w:rsidRDefault="001F3006" w:rsidP="001F3006">
      <w:pPr>
        <w:rPr>
          <w:rFonts w:eastAsia="Calibri" w:cs="Times New Roman"/>
          <w:kern w:val="0"/>
          <w:szCs w:val="28"/>
          <w14:ligatures w14:val="none"/>
        </w:rPr>
      </w:pPr>
      <w:r w:rsidRPr="001F3006">
        <w:rPr>
          <w:rFonts w:eastAsia="Calibri" w:cs="Times New Roman"/>
          <w:kern w:val="0"/>
          <w:szCs w:val="28"/>
          <w14:ligatures w14:val="none"/>
        </w:rPr>
        <w:t xml:space="preserve">Con fundamento en estas consideraciones, salvo mi voto. </w:t>
      </w:r>
    </w:p>
    <w:p w14:paraId="4249BA6E" w14:textId="77777777" w:rsidR="001F3006" w:rsidRPr="001F3006" w:rsidRDefault="001F3006" w:rsidP="001F3006">
      <w:pPr>
        <w:rPr>
          <w:rFonts w:eastAsia="Calibri" w:cs="Times New Roman"/>
          <w:kern w:val="0"/>
          <w:szCs w:val="28"/>
          <w14:ligatures w14:val="none"/>
        </w:rPr>
      </w:pPr>
    </w:p>
    <w:p w14:paraId="2181D645" w14:textId="77777777" w:rsidR="001F3006" w:rsidRPr="001F3006" w:rsidRDefault="001F3006" w:rsidP="001F3006">
      <w:pPr>
        <w:rPr>
          <w:rFonts w:eastAsia="Times New Roman" w:cs="Times New Roman"/>
          <w:color w:val="000000"/>
          <w:kern w:val="0"/>
          <w:szCs w:val="28"/>
          <w14:ligatures w14:val="none"/>
        </w:rPr>
      </w:pPr>
      <w:r w:rsidRPr="001F3006">
        <w:rPr>
          <w:rFonts w:eastAsia="Times New Roman" w:cs="Times New Roman"/>
          <w:iCs/>
          <w:color w:val="000000"/>
          <w:kern w:val="0"/>
          <w:szCs w:val="28"/>
          <w14:ligatures w14:val="none"/>
        </w:rPr>
        <w:t>Fecha</w:t>
      </w:r>
      <w:r w:rsidRPr="001F3006">
        <w:rPr>
          <w:rFonts w:eastAsia="Times New Roman" w:cs="Times New Roman"/>
          <w:i/>
          <w:color w:val="000000"/>
          <w:kern w:val="0"/>
          <w:szCs w:val="28"/>
          <w14:ligatures w14:val="none"/>
        </w:rPr>
        <w:t xml:space="preserve"> ut supra</w:t>
      </w:r>
      <w:r w:rsidRPr="001F3006">
        <w:rPr>
          <w:rFonts w:eastAsia="Times New Roman" w:cs="Times New Roman"/>
          <w:color w:val="000000"/>
          <w:kern w:val="0"/>
          <w:szCs w:val="28"/>
          <w14:ligatures w14:val="none"/>
        </w:rPr>
        <w:t>,</w:t>
      </w:r>
    </w:p>
    <w:p w14:paraId="0D05D369" w14:textId="77777777" w:rsidR="001F3006" w:rsidRPr="001F3006" w:rsidRDefault="001F3006" w:rsidP="001F3006">
      <w:pPr>
        <w:rPr>
          <w:rFonts w:eastAsia="Times New Roman" w:cs="Times New Roman"/>
          <w:color w:val="000000"/>
          <w:kern w:val="0"/>
          <w:szCs w:val="28"/>
          <w14:ligatures w14:val="none"/>
        </w:rPr>
      </w:pPr>
    </w:p>
    <w:p w14:paraId="338C1B6B" w14:textId="77777777" w:rsidR="001F3006" w:rsidRPr="001F3006" w:rsidRDefault="001F3006" w:rsidP="001F3006">
      <w:pPr>
        <w:rPr>
          <w:rFonts w:eastAsia="Times New Roman" w:cs="Times New Roman"/>
          <w:color w:val="000000"/>
          <w:kern w:val="0"/>
          <w:szCs w:val="28"/>
          <w14:ligatures w14:val="none"/>
        </w:rPr>
      </w:pPr>
    </w:p>
    <w:p w14:paraId="21049B29" w14:textId="77777777" w:rsidR="001F3006" w:rsidRPr="001F3006" w:rsidRDefault="001F3006" w:rsidP="001F3006">
      <w:pPr>
        <w:jc w:val="center"/>
        <w:rPr>
          <w:rFonts w:eastAsia="Calibri" w:cs="Times New Roman"/>
          <w:b/>
          <w:bCs/>
          <w:kern w:val="0"/>
          <w:szCs w:val="28"/>
          <w14:ligatures w14:val="none"/>
        </w:rPr>
      </w:pPr>
      <w:r w:rsidRPr="001F3006">
        <w:rPr>
          <w:rFonts w:eastAsia="Calibri" w:cs="Times New Roman"/>
          <w:b/>
          <w:bCs/>
          <w:kern w:val="0"/>
          <w:szCs w:val="28"/>
          <w14:ligatures w14:val="none"/>
        </w:rPr>
        <w:t>PAOLA ANDREA MENESES MOSQUERA</w:t>
      </w:r>
    </w:p>
    <w:p w14:paraId="48C12BB7" w14:textId="77777777" w:rsidR="001F3006" w:rsidRPr="001F3006" w:rsidRDefault="001F3006" w:rsidP="001F3006">
      <w:pPr>
        <w:jc w:val="center"/>
        <w:rPr>
          <w:rFonts w:eastAsia="Calibri" w:cs="Times New Roman"/>
          <w:b/>
          <w:bCs/>
          <w:kern w:val="0"/>
          <w:szCs w:val="28"/>
          <w14:ligatures w14:val="none"/>
        </w:rPr>
      </w:pPr>
      <w:r w:rsidRPr="001F3006">
        <w:rPr>
          <w:rFonts w:eastAsia="Calibri" w:cs="Times New Roman"/>
          <w:b/>
          <w:bCs/>
          <w:kern w:val="0"/>
          <w:szCs w:val="28"/>
          <w14:ligatures w14:val="none"/>
        </w:rPr>
        <w:t>Magistrada</w:t>
      </w:r>
    </w:p>
    <w:p w14:paraId="2E2BB445" w14:textId="77777777" w:rsidR="007A207A" w:rsidRPr="00C454A1" w:rsidRDefault="007A207A" w:rsidP="00881E6A">
      <w:pPr>
        <w:spacing w:after="160" w:line="278" w:lineRule="auto"/>
        <w:ind w:right="272"/>
        <w:jc w:val="left"/>
        <w:rPr>
          <w:rFonts w:cs="Times New Roman"/>
          <w:szCs w:val="28"/>
          <w:lang w:val="es-ES"/>
        </w:rPr>
      </w:pPr>
    </w:p>
    <w:sectPr w:rsidR="007A207A" w:rsidRPr="00C454A1" w:rsidSect="000D3A33">
      <w:pgSz w:w="12242" w:h="18700"/>
      <w:pgMar w:top="1276" w:right="1701" w:bottom="1701" w:left="1701" w:header="737"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EF7F5" w14:textId="77777777" w:rsidR="0034240A" w:rsidRDefault="0034240A" w:rsidP="001D081B">
      <w:r>
        <w:separator/>
      </w:r>
    </w:p>
    <w:p w14:paraId="343B4A0C" w14:textId="77777777" w:rsidR="0034240A" w:rsidRDefault="0034240A"/>
  </w:endnote>
  <w:endnote w:type="continuationSeparator" w:id="0">
    <w:p w14:paraId="16EFA418" w14:textId="77777777" w:rsidR="0034240A" w:rsidRDefault="0034240A" w:rsidP="001D081B">
      <w:r>
        <w:continuationSeparator/>
      </w:r>
    </w:p>
    <w:p w14:paraId="0276F1F5" w14:textId="77777777" w:rsidR="0034240A" w:rsidRDefault="0034240A"/>
  </w:endnote>
  <w:endnote w:type="continuationNotice" w:id="1">
    <w:p w14:paraId="5F2D8638" w14:textId="77777777" w:rsidR="0034240A" w:rsidRDefault="0034240A" w:rsidP="001D081B"/>
    <w:p w14:paraId="708303A2" w14:textId="77777777" w:rsidR="0034240A" w:rsidRDefault="003424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quot;Times New Roman&quot;,serif">
    <w:charset w:val="00"/>
    <w:family w:val="roman"/>
    <w:pitch w:val="default"/>
  </w:font>
  <w:font w:name="Calibri">
    <w:panose1 w:val="020F0502020204030204"/>
    <w:charset w:val="00"/>
    <w:family w:val="swiss"/>
    <w:pitch w:val="variable"/>
    <w:sig w:usb0="E0002AFF" w:usb1="4000ACFF" w:usb2="00000001"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default"/>
  </w:font>
  <w:font w:name="Lora">
    <w:altName w:val="Times New Roman"/>
    <w:charset w:val="00"/>
    <w:family w:val="auto"/>
    <w:pitch w:val="variable"/>
    <w:sig w:usb0="00000001" w:usb1="5000204B"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922A6" w14:textId="18122253" w:rsidR="001F3006" w:rsidRPr="00AA2DCF" w:rsidRDefault="001F3006" w:rsidP="00AA2DCF">
    <w:pPr>
      <w:pStyle w:val="Piedepgina"/>
      <w:jc w:val="right"/>
      <w:rPr>
        <w:rFonts w:cs="Times New Roman"/>
        <w:sz w:val="20"/>
        <w:szCs w:val="20"/>
      </w:rPr>
    </w:pPr>
    <w:r w:rsidRPr="009D1053">
      <w:rPr>
        <w:rFonts w:cs="Times New Roman"/>
        <w:sz w:val="20"/>
        <w:szCs w:val="20"/>
      </w:rPr>
      <w:fldChar w:fldCharType="begin"/>
    </w:r>
    <w:r w:rsidRPr="009D1053">
      <w:rPr>
        <w:rFonts w:cs="Times New Roman"/>
        <w:sz w:val="20"/>
        <w:szCs w:val="20"/>
      </w:rPr>
      <w:instrText>PAGE  \* Arabic  \* MERGEFORMAT</w:instrText>
    </w:r>
    <w:r w:rsidRPr="009D1053">
      <w:rPr>
        <w:rFonts w:cs="Times New Roman"/>
        <w:sz w:val="20"/>
        <w:szCs w:val="20"/>
      </w:rPr>
      <w:fldChar w:fldCharType="separate"/>
    </w:r>
    <w:r w:rsidR="00151466">
      <w:rPr>
        <w:rFonts w:cs="Times New Roman"/>
        <w:noProof/>
        <w:sz w:val="20"/>
        <w:szCs w:val="20"/>
      </w:rPr>
      <w:t>366</w:t>
    </w:r>
    <w:r w:rsidRPr="009D1053">
      <w:rPr>
        <w:rFonts w:cs="Times New Roman"/>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1897B7" w14:textId="77777777" w:rsidR="0034240A" w:rsidRDefault="0034240A">
      <w:r>
        <w:separator/>
      </w:r>
    </w:p>
  </w:footnote>
  <w:footnote w:type="continuationSeparator" w:id="0">
    <w:p w14:paraId="4F97198D" w14:textId="77777777" w:rsidR="0034240A" w:rsidRDefault="0034240A" w:rsidP="001D081B">
      <w:r>
        <w:continuationSeparator/>
      </w:r>
    </w:p>
    <w:p w14:paraId="72BC1C1F" w14:textId="77777777" w:rsidR="0034240A" w:rsidRDefault="0034240A"/>
  </w:footnote>
  <w:footnote w:type="continuationNotice" w:id="1">
    <w:p w14:paraId="699191E8" w14:textId="77777777" w:rsidR="0034240A" w:rsidRDefault="0034240A" w:rsidP="001D081B"/>
    <w:p w14:paraId="10975C6F" w14:textId="77777777" w:rsidR="0034240A" w:rsidRDefault="0034240A"/>
  </w:footnote>
  <w:footnote w:id="2">
    <w:p w14:paraId="33C3C5BD" w14:textId="40227D9D" w:rsidR="001F3006" w:rsidRPr="00DD0E75" w:rsidRDefault="001F3006" w:rsidP="00683204">
      <w:pPr>
        <w:rPr>
          <w:b/>
          <w:bCs/>
        </w:rPr>
      </w:pPr>
      <w:r w:rsidRPr="00DD0E75">
        <w:rPr>
          <w:rStyle w:val="Refdenotaalpie"/>
        </w:rPr>
        <w:footnoteRef/>
      </w:r>
      <w:r w:rsidRPr="00DD0E75">
        <w:t xml:space="preserve"> </w:t>
      </w:r>
      <w:r w:rsidRPr="00DD0E75">
        <w:rPr>
          <w:rFonts w:cs="Times New Roman"/>
          <w:b/>
          <w:bCs/>
          <w:sz w:val="20"/>
          <w:szCs w:val="20"/>
        </w:rPr>
        <w:t xml:space="preserve">Nota aclaratoria: </w:t>
      </w:r>
      <w:r w:rsidRPr="00DD0E75">
        <w:rPr>
          <w:rFonts w:cs="Times New Roman"/>
          <w:sz w:val="20"/>
          <w:szCs w:val="20"/>
        </w:rPr>
        <w:t>la ponencia original, presentada por la magistrada Paola Andrea Meneses Mosquera, fue parcialmente derrotada en la sesión del 29 de abril de 2025 de la Sala Plena. La elaboración de la nueva ponencia correspondió a las magistradas Natalia Ángel Cabo y Cristina Pardo Schlesinger. La Sala Plena acordó que la nueva sentencia se elaboraría sobre la base de la ponencia derrotada, con la incorporación de las modificaciones pertinentes en sus partes considerativa y resolutiva.</w:t>
      </w:r>
      <w:r w:rsidRPr="00DD0E75">
        <w:rPr>
          <w:b/>
          <w:bCs/>
        </w:rPr>
        <w:t xml:space="preserve"> </w:t>
      </w:r>
    </w:p>
  </w:footnote>
  <w:footnote w:id="3">
    <w:p w14:paraId="6B727441" w14:textId="5149E4C9"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 archivo “RE0000361-Presentación Demanda-(2025-01-27 19-14-52).</w:t>
      </w:r>
      <w:proofErr w:type="spellStart"/>
      <w:r w:rsidRPr="00DD0E75">
        <w:rPr>
          <w:lang w:val="es-MX"/>
        </w:rPr>
        <w:t>pdf</w:t>
      </w:r>
      <w:proofErr w:type="spellEnd"/>
      <w:r w:rsidRPr="00DD0E75">
        <w:rPr>
          <w:lang w:val="es-MX"/>
        </w:rPr>
        <w:t>”, p. 1. Disponible en: https://www.corteconstitucional.gov.co/secretaria/archivo.php?id=97989.</w:t>
      </w:r>
    </w:p>
  </w:footnote>
  <w:footnote w:id="4">
    <w:p w14:paraId="60BE5840" w14:textId="1B903156"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 archivo “RE0000361-Acta de Reparto-(2025-01-28 09-47-22).</w:t>
      </w:r>
      <w:proofErr w:type="spellStart"/>
      <w:r w:rsidRPr="00DD0E75">
        <w:rPr>
          <w:lang w:val="es-MX"/>
        </w:rPr>
        <w:t>pdf</w:t>
      </w:r>
      <w:proofErr w:type="spellEnd"/>
      <w:r w:rsidRPr="00DD0E75">
        <w:rPr>
          <w:lang w:val="es-MX"/>
        </w:rPr>
        <w:t>”. Disponible en: https://www.corteconstitucional.gov.co/secretaria/archivo.php?id=98017.</w:t>
      </w:r>
    </w:p>
  </w:footnote>
  <w:footnote w:id="5">
    <w:p w14:paraId="48B47D8A" w14:textId="29C509A3"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Mediante el Auto de 10 de febrero de 2025, la magistrada sustanciadora amplió el plazo para que las entidades requeridas en el auto de 31 de enero de 2025 presentaran las pruebas solicitadas.  </w:t>
      </w:r>
    </w:p>
  </w:footnote>
  <w:footnote w:id="6">
    <w:p w14:paraId="48CF3206" w14:textId="3722DC89"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La Corte advierte que por fuera del término de fijación en lista se recibieron intervenciones ciudadanos y entidades del Estado. Estas intervenciones son </w:t>
      </w:r>
      <w:r w:rsidRPr="00DD0E75">
        <w:rPr>
          <w:i/>
          <w:iCs/>
          <w:lang w:val="es-MX"/>
        </w:rPr>
        <w:t>extemporáneas</w:t>
      </w:r>
      <w:r w:rsidRPr="00DD0E75">
        <w:rPr>
          <w:lang w:val="es-MX"/>
        </w:rPr>
        <w:t xml:space="preserve"> y, por lo tanto, no serán tenidas en cuenta. </w:t>
      </w:r>
    </w:p>
  </w:footnote>
  <w:footnote w:id="7">
    <w:p w14:paraId="6B2C2EBF" w14:textId="4FE8AD3A"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Esta intervención contiene documentos anexos en los que integrantes de la Cámara de Representantes se apartaron del concepto de </w:t>
      </w:r>
      <w:proofErr w:type="spellStart"/>
      <w:r w:rsidRPr="00DD0E75">
        <w:rPr>
          <w:lang w:val="es-MX"/>
        </w:rPr>
        <w:t>exequibilidad</w:t>
      </w:r>
      <w:proofErr w:type="spellEnd"/>
      <w:r w:rsidRPr="00DD0E75">
        <w:rPr>
          <w:lang w:val="es-MX"/>
        </w:rPr>
        <w:t xml:space="preserve"> del Decreto 62 de 2025.</w:t>
      </w:r>
    </w:p>
  </w:footnote>
  <w:footnote w:id="8">
    <w:p w14:paraId="4D4CE2F6" w14:textId="4A803BE0"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r w:rsidRPr="00DD0E75">
        <w:rPr>
          <w:bCs/>
          <w:lang w:val="es-MX"/>
        </w:rPr>
        <w:t>Concepto del procurador general de la Nación remitido a la Secretaría de la Corte Constitucional el 18 de marzo de 2025, p., 4 y 5. En concreto, señaló que cumplió los requisitos de (i) motivación; (ii) ámbito temporal; (iii) ámbito territorial; (iv) suscripción por el presidente de la República y los ministros; (v) comunicación a la Secretaría General de la ONU y a la OEA; (vi) comunicación al Congreso de la República para que se reúna y (vii) remisión a la Corte Constitucional.</w:t>
      </w:r>
    </w:p>
  </w:footnote>
  <w:footnote w:id="9">
    <w:p w14:paraId="19ABCAD7" w14:textId="06C923A1"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Indicó que este grupo de hechos correspondían a los considerandos 8, 9, 10, 11, 12, 13, 19 y 45 del Decreto 62 del 24 de enero de 2025.</w:t>
      </w:r>
    </w:p>
  </w:footnote>
  <w:footnote w:id="10">
    <w:p w14:paraId="6E915AEA" w14:textId="1C1BA922"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p. 7. En particular, para agosto de 2024, se habían registrado “53.812 hectáreas de cultivos de coca en Norte de Santander”. </w:t>
      </w:r>
      <w:proofErr w:type="spellStart"/>
      <w:r w:rsidRPr="00DD0E75">
        <w:rPr>
          <w:lang w:val="es-MX"/>
        </w:rPr>
        <w:t>Ibid</w:t>
      </w:r>
      <w:proofErr w:type="spellEnd"/>
      <w:r w:rsidRPr="00DD0E75">
        <w:rPr>
          <w:lang w:val="es-MX"/>
        </w:rPr>
        <w:t>., p. 10.</w:t>
      </w:r>
    </w:p>
  </w:footnote>
  <w:footnote w:id="11">
    <w:p w14:paraId="5959C7C8"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8.</w:t>
      </w:r>
    </w:p>
  </w:footnote>
  <w:footnote w:id="12">
    <w:p w14:paraId="6452186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p. 13. </w:t>
      </w:r>
    </w:p>
  </w:footnote>
  <w:footnote w:id="13">
    <w:p w14:paraId="3C7EEB9A" w14:textId="5F518FC5"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10. Indicó que este grupo de hechos correspondían a los considerandos 20, 24, 25, 26, 31, 32, 33, 35, 36, 37, 38, 39, 40, 41, 42, 46 del Decreto 62 del 24 de enero de 2025.</w:t>
      </w:r>
    </w:p>
  </w:footnote>
  <w:footnote w:id="14">
    <w:p w14:paraId="6C215805" w14:textId="05F74643"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8. Indicó que este grupo de hechos correspondían a los considerandos 14, 15, 16 y 29 del Decreto 62 del 24 de enero de 2025.</w:t>
      </w:r>
    </w:p>
  </w:footnote>
  <w:footnote w:id="15">
    <w:p w14:paraId="563AB94B"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15.</w:t>
      </w:r>
    </w:p>
  </w:footnote>
  <w:footnote w:id="16">
    <w:p w14:paraId="25E3474B"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w:t>
      </w:r>
    </w:p>
  </w:footnote>
  <w:footnote w:id="17">
    <w:p w14:paraId="1B32C1F2"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16. </w:t>
      </w:r>
    </w:p>
  </w:footnote>
  <w:footnote w:id="18">
    <w:p w14:paraId="05470F26"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17. </w:t>
      </w:r>
    </w:p>
  </w:footnote>
  <w:footnote w:id="19">
    <w:p w14:paraId="121CDB0E"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20.</w:t>
      </w:r>
    </w:p>
  </w:footnote>
  <w:footnote w:id="20">
    <w:p w14:paraId="780C6F0A"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20.</w:t>
      </w:r>
    </w:p>
  </w:footnote>
  <w:footnote w:id="21">
    <w:p w14:paraId="100CD35D"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24.</w:t>
      </w:r>
    </w:p>
  </w:footnote>
  <w:footnote w:id="22">
    <w:p w14:paraId="57154CA8"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25.</w:t>
      </w:r>
    </w:p>
  </w:footnote>
  <w:footnote w:id="23">
    <w:p w14:paraId="672AB9DF"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30.</w:t>
      </w:r>
    </w:p>
  </w:footnote>
  <w:footnote w:id="24">
    <w:p w14:paraId="37A7C59E" w14:textId="294FB5D9"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C-135 de 2009 y C-156 de 2011: “(i) el objeto de control son el decreto mediante el cual se declara el estado de excepción, los decretos legislativos mediante los cuales se adoptan medidas para conjurar la situación extraordinaria, y los decretos de prórroga de los estados de excepción; (ii) se trata de un control automático y el Gobierno tiene el deber de enviar a la Corte Constitucional al día siguiente de su expedición los decretos legislativos declaratorios y los decretos legislativos de desarrollo que dicte en uso de las facultades extraordinarias para que decida definitivamente sobre su constitucionalidad, en caso de incumplimiento del deber de remisión del Gobierno, la Corte oficiosamente aprehenderá su conocimiento de manera inmediata; (iii) es un control integral porque que se verifica que los decretos examinados reúnan los requisitos formales y materiales señalados por los preceptos constitucionales; (iv) es un control definitivo pues una vez la Corte se pronuncia sobre la constitucionalidad de los decretos legislativos estos no pueden ser objeto de un posterior examen vía acción pública de inconstitucionalidad, (v) es un control participativo pues los ciudadanos podrán intervenir defendiendo o atacando la constitucionalidad de los decretos objeto de control, (vi) el Procurador General de la nación deberá rendir concepto (Arts. 214.6, 241.7 y 242 constitucionales)”.  </w:t>
      </w:r>
    </w:p>
  </w:footnote>
  <w:footnote w:id="25">
    <w:p w14:paraId="2BE0DFAD" w14:textId="77777777" w:rsidR="001F3006" w:rsidRPr="00DD0E75" w:rsidRDefault="001F3006" w:rsidP="00A11377">
      <w:pPr>
        <w:pStyle w:val="Textonotapie"/>
        <w:rPr>
          <w:lang w:val="es-MX"/>
        </w:rPr>
      </w:pPr>
      <w:r w:rsidRPr="00DD0E75">
        <w:rPr>
          <w:rStyle w:val="Refdenotaalpie"/>
          <w:lang w:val="es-MX"/>
        </w:rPr>
        <w:footnoteRef/>
      </w:r>
      <w:r w:rsidRPr="00DD0E75">
        <w:rPr>
          <w:lang w:val="es-MX"/>
        </w:rPr>
        <w:t xml:space="preserve"> El artículo 36 del Decreto 2067, en concordancia con los artículos 214 de la Constitución Política y 55 de la LEEE, dispone que: “El Gobierno nacional enviará a la Corte, al día siguiente de su expedición, copia auténtica del texto de los decretos legislativos que dicte en ejercicio de las facultades que le conceden los artículos </w:t>
      </w:r>
      <w:hyperlink r:id="rId1" w:anchor="212" w:history="1">
        <w:r w:rsidRPr="00DD0E75">
          <w:rPr>
            <w:rStyle w:val="Hipervnculo"/>
            <w:color w:val="auto"/>
            <w:u w:val="none"/>
            <w:lang w:val="es-MX"/>
          </w:rPr>
          <w:t>212</w:t>
        </w:r>
      </w:hyperlink>
      <w:r w:rsidRPr="00DD0E75">
        <w:rPr>
          <w:lang w:val="es-MX"/>
        </w:rPr>
        <w:t>, </w:t>
      </w:r>
      <w:hyperlink r:id="rId2" w:anchor="213" w:history="1">
        <w:r w:rsidRPr="00DD0E75">
          <w:rPr>
            <w:rStyle w:val="Hipervnculo"/>
            <w:color w:val="auto"/>
            <w:u w:val="none"/>
            <w:lang w:val="es-MX"/>
          </w:rPr>
          <w:t>213</w:t>
        </w:r>
      </w:hyperlink>
      <w:r w:rsidRPr="00DD0E75">
        <w:rPr>
          <w:lang w:val="es-MX"/>
        </w:rPr>
        <w:t> y </w:t>
      </w:r>
      <w:hyperlink r:id="rId3" w:anchor="215" w:history="1">
        <w:r w:rsidRPr="00DD0E75">
          <w:rPr>
            <w:rStyle w:val="Hipervnculo"/>
            <w:color w:val="auto"/>
            <w:u w:val="none"/>
            <w:lang w:val="es-MX"/>
          </w:rPr>
          <w:t>215</w:t>
        </w:r>
      </w:hyperlink>
      <w:r w:rsidRPr="00DD0E75">
        <w:rPr>
          <w:lang w:val="es-MX"/>
        </w:rPr>
        <w:t xml:space="preserve"> de la Constitución, para que aquélla decida definitivamente sobre la constitucionalidad de ellos”. </w:t>
      </w:r>
    </w:p>
  </w:footnote>
  <w:footnote w:id="26">
    <w:p w14:paraId="43D1EB57" w14:textId="1BAB1540" w:rsidR="001F3006" w:rsidRPr="00DD0E75" w:rsidRDefault="001F3006">
      <w:pPr>
        <w:pStyle w:val="Textonotapie"/>
      </w:pPr>
      <w:r w:rsidRPr="00DD0E75">
        <w:rPr>
          <w:rStyle w:val="Refdenotaalpie"/>
        </w:rPr>
        <w:footnoteRef/>
      </w:r>
      <w:r w:rsidRPr="00DD0E75">
        <w:t xml:space="preserve"> Corte Constitucional, Sentencia C-297 de 2010.</w:t>
      </w:r>
    </w:p>
  </w:footnote>
  <w:footnote w:id="27">
    <w:p w14:paraId="6E6845B9" w14:textId="37A5F2F6" w:rsidR="001F3006" w:rsidRPr="00DD0E75" w:rsidRDefault="001F3006">
      <w:pPr>
        <w:pStyle w:val="Textonotapie"/>
      </w:pPr>
      <w:r w:rsidRPr="00DD0E75">
        <w:rPr>
          <w:rStyle w:val="Refdenotaalpie"/>
        </w:rPr>
        <w:footnoteRef/>
      </w:r>
      <w:r w:rsidRPr="00DD0E75">
        <w:t xml:space="preserve"> Corte Constitucional, Sentencia C-293 de 2020. Ver también las sentencias C-070 de 2009, C-293 de 2009, C-252 de 2010 y C-298 de 2011.</w:t>
      </w:r>
    </w:p>
  </w:footnote>
  <w:footnote w:id="28">
    <w:p w14:paraId="7B38E3C2" w14:textId="61AE9C20" w:rsidR="001F3006" w:rsidRPr="00DD0E75" w:rsidRDefault="001F3006">
      <w:pPr>
        <w:pStyle w:val="Textonotapie"/>
      </w:pPr>
      <w:r w:rsidRPr="00DD0E75">
        <w:rPr>
          <w:rStyle w:val="Refdenotaalpie"/>
        </w:rPr>
        <w:footnoteRef/>
      </w:r>
      <w:r w:rsidRPr="00DD0E75">
        <w:t xml:space="preserve"> Ver Corte Constitucional, Sentencia C-293 de 2020.</w:t>
      </w:r>
    </w:p>
  </w:footnote>
  <w:footnote w:id="29">
    <w:p w14:paraId="6245DEFB" w14:textId="6DFF052C"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C-556 de 1992, C-031 de 1993, C-466 de 1995, C-802 de 2002 y C-070 de 2009. Ver también, sentencias C-135 de 2009 y C-156 de 2011. </w:t>
      </w:r>
    </w:p>
  </w:footnote>
  <w:footnote w:id="30">
    <w:p w14:paraId="2D88297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Artículo 2 de la LEEE. </w:t>
      </w:r>
    </w:p>
  </w:footnote>
  <w:footnote w:id="31">
    <w:p w14:paraId="5BAB6B62" w14:textId="60421185"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C-004 de 1992. </w:t>
      </w:r>
    </w:p>
  </w:footnote>
  <w:footnote w:id="32">
    <w:p w14:paraId="5A436E6F" w14:textId="32ED692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3">
    <w:p w14:paraId="67F07E60"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C-386 de 2017, C-378 de 2020 y C-383 de 2023.</w:t>
      </w:r>
    </w:p>
  </w:footnote>
  <w:footnote w:id="34">
    <w:p w14:paraId="102D11DA" w14:textId="7EC735CF"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C-004 de 1992. </w:t>
      </w:r>
    </w:p>
  </w:footnote>
  <w:footnote w:id="35">
    <w:p w14:paraId="6A1099F6" w14:textId="58ADBCBA"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6">
    <w:p w14:paraId="61455778" w14:textId="1190FBFB"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C-004 de 1992. </w:t>
      </w:r>
    </w:p>
  </w:footnote>
  <w:footnote w:id="37">
    <w:p w14:paraId="3C398A2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Artículos 214, numerales 2 y 5, de la LEEE. </w:t>
      </w:r>
    </w:p>
  </w:footnote>
  <w:footnote w:id="38">
    <w:p w14:paraId="067517A4"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Artículos 4 de la LEEE, 4 del Pacto Internacional de Derechos Civiles y Políticos y 27 de la Convención Americana sobre Derechos Humanos. </w:t>
      </w:r>
    </w:p>
  </w:footnote>
  <w:footnote w:id="39">
    <w:p w14:paraId="5518A78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Artículos 215 de la Constitución y 50 de la LEEE.</w:t>
      </w:r>
    </w:p>
  </w:footnote>
  <w:footnote w:id="40">
    <w:p w14:paraId="2DDF9B5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Artículo 214, numeral 3, de la Constitución y 15 de la LEEE. </w:t>
      </w:r>
    </w:p>
  </w:footnote>
  <w:footnote w:id="41">
    <w:p w14:paraId="765651E2" w14:textId="77777777" w:rsidR="001F3006" w:rsidRPr="00DD0E75" w:rsidRDefault="001F3006" w:rsidP="002C5127">
      <w:pPr>
        <w:rPr>
          <w:rFonts w:cs="Times New Roman"/>
          <w:sz w:val="20"/>
          <w:szCs w:val="20"/>
          <w:lang w:val="es-MX"/>
        </w:rPr>
      </w:pPr>
      <w:r w:rsidRPr="00DD0E75">
        <w:rPr>
          <w:rStyle w:val="Refdenotaalpie"/>
          <w:rFonts w:cs="Times New Roman"/>
          <w:sz w:val="20"/>
          <w:szCs w:val="20"/>
          <w:lang w:val="es-MX"/>
        </w:rPr>
        <w:footnoteRef/>
      </w:r>
      <w:r w:rsidRPr="00DD0E75">
        <w:rPr>
          <w:rFonts w:cs="Times New Roman"/>
          <w:sz w:val="20"/>
          <w:szCs w:val="20"/>
          <w:lang w:val="es-MX"/>
        </w:rPr>
        <w:t xml:space="preserve"> Artículos 7, 9 a 11 y 13 de la LEEE. </w:t>
      </w:r>
    </w:p>
  </w:footnote>
  <w:footnote w:id="42">
    <w:p w14:paraId="689034AC" w14:textId="77777777" w:rsidR="001F3006" w:rsidRPr="00DD0E75" w:rsidRDefault="001F3006" w:rsidP="002C5127">
      <w:pPr>
        <w:autoSpaceDE w:val="0"/>
        <w:autoSpaceDN w:val="0"/>
        <w:rPr>
          <w:rFonts w:cs="Times New Roman"/>
          <w:sz w:val="20"/>
          <w:szCs w:val="20"/>
          <w:lang w:val="es-MX"/>
        </w:rPr>
      </w:pPr>
      <w:r w:rsidRPr="00DD0E75">
        <w:rPr>
          <w:rStyle w:val="Refdenotaalpie"/>
          <w:rFonts w:cs="Times New Roman"/>
          <w:sz w:val="20"/>
          <w:szCs w:val="20"/>
          <w:lang w:val="es-MX"/>
        </w:rPr>
        <w:footnoteRef/>
      </w:r>
      <w:r w:rsidRPr="00DD0E75">
        <w:rPr>
          <w:rFonts w:cs="Times New Roman"/>
          <w:sz w:val="20"/>
          <w:szCs w:val="20"/>
          <w:lang w:val="es-MX"/>
        </w:rPr>
        <w:t xml:space="preserve"> Artículos 9 a 11 y 13 a 15 de la LEEE. </w:t>
      </w:r>
    </w:p>
  </w:footnote>
  <w:footnote w:id="43">
    <w:p w14:paraId="7F41A82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44">
    <w:p w14:paraId="5964C206" w14:textId="7FC0B1F1"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C-004 de 1992. Ver también, sentencias C-031 de 1993, C-466 de 1995, C-127 de 1997, C-802 de 2002 y C-070 de 2009. </w:t>
      </w:r>
    </w:p>
  </w:footnote>
  <w:footnote w:id="45">
    <w:p w14:paraId="097445F0"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Artículo 36 de la </w:t>
      </w:r>
      <w:bookmarkStart w:id="107" w:name="36"/>
      <w:r w:rsidRPr="00DD0E75">
        <w:rPr>
          <w:lang w:val="es-MX"/>
        </w:rPr>
        <w:t>LEEE: “Facultades Generales.</w:t>
      </w:r>
      <w:bookmarkEnd w:id="107"/>
      <w:r w:rsidRPr="00DD0E75">
        <w:rPr>
          <w:lang w:val="es-MX"/>
        </w:rPr>
        <w:t> En virtud de la declaración del estado de conmoción interior, el Gobierno podrá suspender las leyes incompatibles con dicho estado y tendrá las facultades estrictamente necesarias para conjurar las causas de la perturbación e impedir la extensión de sus efectos. Estas facultades incluyen las demás consagradas por la Constitución y la presente ley”.</w:t>
      </w:r>
    </w:p>
  </w:footnote>
  <w:footnote w:id="46">
    <w:p w14:paraId="4A5C5F89"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C-004 de 1992.</w:t>
      </w:r>
    </w:p>
  </w:footnote>
  <w:footnote w:id="47">
    <w:p w14:paraId="54C9F0D2" w14:textId="033872BF"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48">
    <w:p w14:paraId="62289CBA"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C-556 de 1992.</w:t>
      </w:r>
    </w:p>
  </w:footnote>
  <w:footnote w:id="49">
    <w:p w14:paraId="0DCD58B8" w14:textId="3D3ED9EB" w:rsidR="001F3006" w:rsidRPr="00DD0E75" w:rsidRDefault="001F3006">
      <w:pPr>
        <w:pStyle w:val="Textonotapie"/>
      </w:pPr>
      <w:r w:rsidRPr="00DD0E75">
        <w:rPr>
          <w:rStyle w:val="Refdenotaalpie"/>
        </w:rPr>
        <w:footnoteRef/>
      </w:r>
      <w:r w:rsidRPr="00DD0E75">
        <w:t xml:space="preserve"> Corte Constitucional, Sentencia C-031 de 1993.</w:t>
      </w:r>
    </w:p>
  </w:footnote>
  <w:footnote w:id="50">
    <w:p w14:paraId="4B116FC0" w14:textId="0FCBE1DF" w:rsidR="001F3006" w:rsidRPr="00DD0E75" w:rsidRDefault="001F3006" w:rsidP="002C51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05"/>
        </w:tabs>
        <w:ind w:right="51"/>
        <w:rPr>
          <w:rFonts w:cs="Times New Roman"/>
          <w:sz w:val="20"/>
          <w:szCs w:val="20"/>
          <w:lang w:val="es-MX"/>
        </w:rPr>
      </w:pPr>
      <w:r w:rsidRPr="00DD0E75">
        <w:rPr>
          <w:rStyle w:val="Refdenotaalpie"/>
          <w:rFonts w:cs="Times New Roman"/>
          <w:sz w:val="20"/>
          <w:szCs w:val="20"/>
          <w:lang w:val="es-MX"/>
        </w:rPr>
        <w:footnoteRef/>
      </w:r>
      <w:r w:rsidRPr="00DD0E75">
        <w:rPr>
          <w:rFonts w:cs="Times New Roman"/>
          <w:sz w:val="20"/>
          <w:szCs w:val="20"/>
          <w:lang w:val="es-MX"/>
        </w:rPr>
        <w:t xml:space="preserve"> Corte Constitucional,</w:t>
      </w:r>
      <w:r w:rsidRPr="00DD0E75">
        <w:rPr>
          <w:rFonts w:cs="Times New Roman"/>
          <w:i/>
          <w:iCs/>
          <w:sz w:val="20"/>
          <w:szCs w:val="20"/>
          <w:lang w:val="es-MX"/>
        </w:rPr>
        <w:t xml:space="preserve"> </w:t>
      </w:r>
      <w:r w:rsidRPr="00DD0E75">
        <w:rPr>
          <w:rFonts w:cs="Times New Roman"/>
          <w:sz w:val="20"/>
          <w:szCs w:val="20"/>
          <w:lang w:val="es-MX"/>
        </w:rPr>
        <w:t xml:space="preserve">Sentencia C-300 de 1994: “Las primeras decisiones sobre declaratorias de estados de excepción emanadas de esta Corte se produjeron en un período de tránsito constitucional que bien justificaba un tratamiento prudente y comprensivo respecto de las decisiones tomadas por el Gobierno en esta materia. Sin embargo, debe quedar claro que </w:t>
      </w:r>
      <w:bookmarkStart w:id="112" w:name="_Hlk197506584"/>
      <w:r w:rsidRPr="00DD0E75">
        <w:rPr>
          <w:rFonts w:cs="Times New Roman"/>
          <w:sz w:val="20"/>
          <w:szCs w:val="20"/>
          <w:lang w:val="es-MX"/>
        </w:rPr>
        <w:t>el objetivo constitucional en este momento es el de normalizar el tratamiento de los problemas de orden público y de evitar el recurso permanente a los estados de excepción</w:t>
      </w:r>
      <w:bookmarkEnd w:id="112"/>
      <w:r w:rsidRPr="00DD0E75">
        <w:rPr>
          <w:rFonts w:cs="Times New Roman"/>
          <w:sz w:val="20"/>
          <w:szCs w:val="20"/>
          <w:lang w:val="es-MX"/>
        </w:rPr>
        <w:t>. En este sentido, corresponde al presidente de la República promover una nueva cultura de la normalidad, de la vigencia constante del régimen democrático y de todas sus garantías fundamentales y, a su turno, a esta Corte compete velar por que ello se cumpla”.</w:t>
      </w:r>
    </w:p>
  </w:footnote>
  <w:footnote w:id="51">
    <w:p w14:paraId="76F8ECF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C-027 de 1996.</w:t>
      </w:r>
    </w:p>
  </w:footnote>
  <w:footnote w:id="52">
    <w:p w14:paraId="46A7C63A"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En concreto, en el Decreto 1370 de 1994, el Gobierno se refirió a las masacres en varias regiones del país perpetradas por la delincuencia organizada la cual arrojaba “un saldo alarmante de muertes y de desestabilización social”; y a las acciones de violencia indiscriminada de diversos grupos subversivos “contra los miembros de la fuerza pública sin ninguna consideración respecto de la población civil, en violación directa del Derecho Internacional Humanitario, asolando poblaciones de las cuales han tenido que huir hombres, mujeres y niños”.</w:t>
      </w:r>
    </w:p>
  </w:footnote>
  <w:footnote w:id="53">
    <w:p w14:paraId="2D6C7AB6" w14:textId="6EE61FB6"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C-466 de 1995: “La circunstancia de que el Constituyente del 91 hubiera limitado la vigencia temporal del estado de conmoción interna es claramente indicativa de una voluntad dirigida a que nuestros males endémicos no fueran justificativos de un eterno régimen de libertades menguadas. El mensaje implícito en la nueva Carta no puede ser más claro: a los males que se han hecho permanentes, hay que atacarlos con políticas igualmente estables, de largo aliento, cuidadosamente pensadas y diseñadas. Y las medidas de vocación transitoria hay que reservarlas para situaciones de ese mismo sello. No puede el gobernante trocar su condición de estadista que ataca las causas, por la de escamoteador de enfermedades que trata solo los síntomas y con medios terapéuticos heroicos que en vez de conjurar el pathos más bien lo potencian”. || […] Desde luego, la Corte no es adversa, por principio, al instituto de la conmoción; reconoce en él un instrumento útil para atender a situaciones excepcionales, pero, justamente por eso, considera que el uso que de él debe hacerse ha de ser rigurosamente ceñido a las exigencias del artículo 213, para no incurrir en los desbordamientos que determinaron la abolición del antiguo estado de sitio. En consecuencia, no vacilará esta Corporación en avalarlo, cuando ocurran las situaciones que no solo lo justifican, sino que lo hacen necesario. || El contraste con la hipótesis del estado de guerra exterior, prevista en el artículo 212, puede ser esclarecedor: se trata, en ese caso, de una agresión externa súbita, atentatoria de la soberanía estatal, que exige la disposición de mecanismos extraordinarios para conjurar hechos completamente nuevos en la realidad social, y solo cuando éstos sean conjurados cesa el estado de excepción. || Un hecho análogo, en el orden interno, sería un alzamiento intempestivo dirigido a subvertir el orden institucional, con virtualidad suficiente para poner en crisis la estabilidad del Estado, es decir, encaminado a desdibujar su identidad. En ese caso, las potestades extraordinarias y el régimen restrictivo de libertades estarían justificados por tratarse de hechos sobrevinientes, coyunturales, súbitos y muy probablemente imprevistos, que exigirían, en aras de su superación, el sacrificio transitorio del régimen de plenitud de derechos”.</w:t>
      </w:r>
    </w:p>
  </w:footnote>
  <w:footnote w:id="54">
    <w:p w14:paraId="35AC513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C-027 de 1996: “se tiene que no son de recibo igualmente en esta oportunidad, los hechos consignados en el segundo aparte de los considerandos justificativos del decreto materia de revisión, según el cual ‘con posterioridad al 16 de agosto de 1995, se han producido hechos de violencia en diferentes regiones del país, atribuidos a organizaciones criminales y terroristas, que perturban en forma grave y ostensible el orden público’ […] ya que ellos son constitutivos de las mismas situaciones que vienen ocurriendo desde hace años, y por tanto no tienen el carácter de coyunturales, transitorios ni excepcionales”.</w:t>
      </w:r>
    </w:p>
  </w:footnote>
  <w:footnote w:id="55">
    <w:p w14:paraId="2EB46E3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C-027 de 1996: “[N]o solamente el Gobierno mediante el uso de instrumentos excepcionales, utilizados en otras oportunidades, sino el mismo Congreso a través de la adopción de leyes que por esencia tienen carácter permanente, han expedido disposiciones tendientes a contrarrestar los brotes delincuenciales mencionados, sin que pueda establecerse en forma evidente, y no obstante la acción de las autoridades, que los resultados hayan sido eficaces para conjurar las causas de la perturbación, con la inminente amenaza contra la estabilidad institucional y la soberanía del Estado, que generan dichas circunstancias”.</w:t>
      </w:r>
    </w:p>
  </w:footnote>
  <w:footnote w:id="56">
    <w:p w14:paraId="5AF42504" w14:textId="51E3E05B" w:rsidR="001F3006" w:rsidRPr="00DD0E75" w:rsidRDefault="001F3006" w:rsidP="002C5127">
      <w:pPr>
        <w:rPr>
          <w:rFonts w:cs="Times New Roman"/>
          <w:sz w:val="20"/>
          <w:szCs w:val="20"/>
          <w:lang w:val="es-MX"/>
        </w:rPr>
      </w:pPr>
      <w:r w:rsidRPr="00DD0E75">
        <w:rPr>
          <w:rStyle w:val="Refdenotaalpie"/>
          <w:rFonts w:cs="Times New Roman"/>
          <w:sz w:val="20"/>
          <w:szCs w:val="20"/>
          <w:lang w:val="es-MX"/>
        </w:rPr>
        <w:footnoteRef/>
      </w:r>
      <w:r w:rsidRPr="00DD0E75">
        <w:rPr>
          <w:rFonts w:cs="Times New Roman"/>
          <w:sz w:val="20"/>
          <w:szCs w:val="20"/>
          <w:lang w:val="es-MX"/>
        </w:rPr>
        <w:t xml:space="preserve"> Las decisiones que adoptó la Corte en la Sentencia C-802 de 2002 fueron las siguientes: “PRIMERO. Declarar EXEQUIBLE, en los términos expuestos en el considerando final de esta Sentencia, el artículo 1 del Decreto 1837 del 11 de agosto de 2002. || SEGUNDO. Declarar EXEQUIBLE el artículo 2 del Decreto 1837 de 2002, bajo el entendido que el control político que ejerce el Congreso de la República no se limita al informe del Gobierno nacional sobre las razones de la conmoción, sino que se extiende a los demás decretos y medidas administrativas que se dicten en desarrollo de la conmoción interior en los términos del artículo 39 de la Ley 137 de 1994. || TERCERO. Declarar INEXEQUIBLE el artículo 3 del Decreto 1837 de 2002, por cuanto excluye del control de la Corte el decreto declarativo de la conmoción interior, con violación de los artículos 214.6 y 241.7 de la Carta. || CUARTO. Declarar EXEQUIBLE el artículo 4 del Decreto 1837 de 2002”.</w:t>
      </w:r>
    </w:p>
  </w:footnote>
  <w:footnote w:id="57">
    <w:p w14:paraId="633CF4C6" w14:textId="77777777" w:rsidR="001F3006" w:rsidRPr="00DD0E75" w:rsidRDefault="001F3006" w:rsidP="002C5127">
      <w:pPr>
        <w:rPr>
          <w:rFonts w:cs="Times New Roman"/>
          <w:sz w:val="20"/>
          <w:szCs w:val="20"/>
          <w:lang w:val="es-MX"/>
        </w:rPr>
      </w:pPr>
      <w:r w:rsidRPr="00DD0E75">
        <w:rPr>
          <w:rStyle w:val="Refdenotaalpie"/>
          <w:rFonts w:cs="Times New Roman"/>
          <w:sz w:val="20"/>
          <w:szCs w:val="20"/>
          <w:lang w:val="es-MX"/>
        </w:rPr>
        <w:footnoteRef/>
      </w:r>
      <w:r w:rsidRPr="00DD0E75">
        <w:rPr>
          <w:rFonts w:cs="Times New Roman"/>
          <w:sz w:val="20"/>
          <w:szCs w:val="20"/>
          <w:lang w:val="es-MX"/>
        </w:rPr>
        <w:t xml:space="preserve"> Corte Constitucional, Sentencia C-802 de 2002. La Corte resaltó que “pese al esfuerzo de la Corte, el Gobierno no remitió las pruebas que se requirieron para la demostración” del cuarto hecho invocado por el Gobierno, a saber, que Colombia “ha alcanzado la más alta cifra de criminalidad que en el planeta se registra”. Por esta razón, consideró que la Corte debía “excluirlo como motivo de perturbación del orden público”. </w:t>
      </w:r>
    </w:p>
  </w:footnote>
  <w:footnote w:id="58">
    <w:p w14:paraId="34874678"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“Como ha tenido oportunidad de indicarlo esta Corporación, si bien se trata de situaciones crónicas, el hecho de revestirse repentinamente de grados de intensidad inusitados difusos en todo el territorio nacional o localizados en una zona determinada, </w:t>
      </w:r>
      <w:proofErr w:type="gramStart"/>
      <w:r w:rsidRPr="00DD0E75">
        <w:rPr>
          <w:lang w:val="es-MX"/>
        </w:rPr>
        <w:t>los rodea</w:t>
      </w:r>
      <w:proofErr w:type="gramEnd"/>
      <w:r w:rsidRPr="00DD0E75">
        <w:rPr>
          <w:lang w:val="es-MX"/>
        </w:rPr>
        <w:t xml:space="preserve"> de la entidad requerida para legitimar, desde el punto de vista del presupuesto valorativo, la declaratoria del estado de conmoción interior. || Esto es así por cuanto las implicaciones que el constituyente exige del presupuesto fáctico del estado de conmoción interior no pueden derivarse únicamente de hechos sobrevinientes, ni de la acumulación de hechos de una misma índole, sino también del despliegue de hechos que ya venían cometiéndose pero que inusitadamente adquieren mucha mayor intensidad. || Esto es, el presupuesto valorativo puede satisfacerse a partir de consideraciones no solo cuantitativas sino también cualitativas pues la excepcionalidad de la situación y de sus implicaciones no puede radicar únicamente en la violencia en sí misma considerada sino también en la intensidad, en la escalada excepcional que en ella se advierta”.</w:t>
      </w:r>
    </w:p>
  </w:footnote>
  <w:footnote w:id="59">
    <w:p w14:paraId="7D88E9B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w:t>
      </w:r>
      <w:r w:rsidRPr="00DD0E75">
        <w:rPr>
          <w:i/>
          <w:iCs/>
          <w:lang w:val="es-MX"/>
        </w:rPr>
        <w:t xml:space="preserve"> </w:t>
      </w:r>
    </w:p>
  </w:footnote>
  <w:footnote w:id="60">
    <w:p w14:paraId="087A74C9" w14:textId="4829CC01"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61">
    <w:p w14:paraId="5CDF0721" w14:textId="225640C1"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62">
    <w:p w14:paraId="73215B18"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63">
    <w:p w14:paraId="61B0AD50" w14:textId="0CDF727C"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64">
    <w:p w14:paraId="51F5D12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 </w:t>
      </w:r>
    </w:p>
  </w:footnote>
  <w:footnote w:id="65">
    <w:p w14:paraId="5E66492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66">
    <w:p w14:paraId="370ABEB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 </w:t>
      </w:r>
    </w:p>
  </w:footnote>
  <w:footnote w:id="67">
    <w:p w14:paraId="32431DF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w:t>
      </w:r>
    </w:p>
  </w:footnote>
  <w:footnote w:id="68">
    <w:p w14:paraId="53E06783" w14:textId="730ED3DC"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69">
    <w:p w14:paraId="62EFF8E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 </w:t>
      </w:r>
    </w:p>
  </w:footnote>
  <w:footnote w:id="70">
    <w:p w14:paraId="6CA62573" w14:textId="77777777" w:rsidR="001F3006" w:rsidRPr="00DD0E75" w:rsidRDefault="001F3006" w:rsidP="00F07C70">
      <w:pPr>
        <w:pStyle w:val="Textonotapie"/>
        <w:rPr>
          <w:lang w:val="es-MX"/>
        </w:rPr>
      </w:pPr>
      <w:r w:rsidRPr="00DD0E75">
        <w:rPr>
          <w:rStyle w:val="Refdenotaalpie"/>
          <w:lang w:val="es-MX"/>
        </w:rPr>
        <w:footnoteRef/>
      </w:r>
      <w:r w:rsidRPr="00DD0E75">
        <w:rPr>
          <w:lang w:val="es-MX"/>
        </w:rPr>
        <w:t xml:space="preserve"> Corte Constitucional, sentencias C-556 de 1992, C-466 de 1995, C-027 de 1996, C-802 de 2002 y C-070 de 2009.</w:t>
      </w:r>
    </w:p>
  </w:footnote>
  <w:footnote w:id="71">
    <w:p w14:paraId="793F7A1E" w14:textId="77777777" w:rsidR="001F3006" w:rsidRPr="00DD0E75" w:rsidRDefault="001F3006" w:rsidP="00E978D8">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cs="Times New Roman"/>
          <w:sz w:val="20"/>
          <w:szCs w:val="20"/>
        </w:rPr>
        <w:t>Corte Constitucional, Sentencia C-242 de 2011.</w:t>
      </w:r>
    </w:p>
  </w:footnote>
  <w:footnote w:id="72">
    <w:p w14:paraId="1951DA3D"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w:t>
      </w:r>
    </w:p>
  </w:footnote>
  <w:footnote w:id="73">
    <w:p w14:paraId="742E0DD4" w14:textId="5D216C49"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74">
    <w:p w14:paraId="25D57CA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w:t>
      </w:r>
      <w:r w:rsidRPr="00DD0E75">
        <w:rPr>
          <w:iCs/>
          <w:lang w:val="es-MX"/>
        </w:rPr>
        <w:t xml:space="preserve"> </w:t>
      </w:r>
    </w:p>
  </w:footnote>
  <w:footnote w:id="75">
    <w:p w14:paraId="0A1B9EE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76">
    <w:p w14:paraId="60AB0EE1" w14:textId="5BEB3B20"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77">
    <w:p w14:paraId="1D66B238" w14:textId="6C7F114B"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78">
    <w:p w14:paraId="07CFD814"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w:t>
      </w:r>
    </w:p>
  </w:footnote>
  <w:footnote w:id="79">
    <w:p w14:paraId="4BA1208D" w14:textId="38ADA226"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80">
    <w:p w14:paraId="7F6A9E48"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w:t>
      </w:r>
    </w:p>
  </w:footnote>
  <w:footnote w:id="81">
    <w:p w14:paraId="384720ED"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82">
    <w:p w14:paraId="1BC6E5D0" w14:textId="3E5E748A"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83">
    <w:p w14:paraId="386B1B81" w14:textId="2F6E0A2F"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84">
    <w:p w14:paraId="000AED8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 </w:t>
      </w:r>
    </w:p>
  </w:footnote>
  <w:footnote w:id="85">
    <w:p w14:paraId="3E46CFF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En las sentencias C-802 de 2002 y C-070 de 2009 la Corte denominó el tipo de control como “juicio objetivo de ponderación”. </w:t>
      </w:r>
    </w:p>
  </w:footnote>
  <w:footnote w:id="86">
    <w:p w14:paraId="3DA64AD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 </w:t>
      </w:r>
    </w:p>
  </w:footnote>
  <w:footnote w:id="87">
    <w:p w14:paraId="2F9131F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w:t>
      </w:r>
    </w:p>
  </w:footnote>
  <w:footnote w:id="88">
    <w:p w14:paraId="42A234D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w:t>
      </w:r>
    </w:p>
  </w:footnote>
  <w:footnote w:id="89">
    <w:p w14:paraId="63D1C1A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90">
    <w:p w14:paraId="00FEB0DC" w14:textId="53353145"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91">
    <w:p w14:paraId="45D39A33" w14:textId="0D02BB14"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Ver </w:t>
      </w:r>
      <w:proofErr w:type="spellStart"/>
      <w:r w:rsidRPr="00DD0E75">
        <w:rPr>
          <w:lang w:val="es-MX"/>
        </w:rPr>
        <w:t>Ibid</w:t>
      </w:r>
      <w:proofErr w:type="spellEnd"/>
      <w:r w:rsidRPr="00DD0E75">
        <w:rPr>
          <w:lang w:val="es-MX"/>
        </w:rPr>
        <w:t>.</w:t>
      </w:r>
    </w:p>
  </w:footnote>
  <w:footnote w:id="92">
    <w:p w14:paraId="61CF6BCC" w14:textId="0323D738"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93">
    <w:p w14:paraId="6D674B2C"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w:t>
      </w:r>
    </w:p>
  </w:footnote>
  <w:footnote w:id="94">
    <w:p w14:paraId="2EBBBD90"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y C-070 de 2009. </w:t>
      </w:r>
    </w:p>
  </w:footnote>
  <w:footnote w:id="95">
    <w:p w14:paraId="73640A69"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96">
    <w:p w14:paraId="5FF05AD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w:t>
      </w:r>
    </w:p>
  </w:footnote>
  <w:footnote w:id="97">
    <w:p w14:paraId="22D93416" w14:textId="686C3BFB"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98">
    <w:p w14:paraId="01AFE4E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99">
    <w:p w14:paraId="53ECE1C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w:t>
      </w:r>
    </w:p>
  </w:footnote>
  <w:footnote w:id="100">
    <w:p w14:paraId="419F9A05" w14:textId="6503556D"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101">
    <w:p w14:paraId="22E477CD" w14:textId="42128F11"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102">
    <w:p w14:paraId="31D4BFFA" w14:textId="7C0D33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103">
    <w:p w14:paraId="49D59EC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w:t>
      </w:r>
    </w:p>
  </w:footnote>
  <w:footnote w:id="104">
    <w:p w14:paraId="23383026" w14:textId="5639AAC6"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105">
    <w:p w14:paraId="3D9BFA1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w:t>
      </w:r>
    </w:p>
  </w:footnote>
  <w:footnote w:id="106">
    <w:p w14:paraId="23D55D5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 “</w:t>
      </w:r>
      <w:r w:rsidRPr="00DD0E75">
        <w:rPr>
          <w:iCs/>
          <w:lang w:val="es-MX"/>
        </w:rPr>
        <w:t>[E]n la parte motiva del Decreto 3929 de 2008 sólo se hace alusión a que las atribuciones ordinarias de las autoridades de policía son insuficientes para prevenir la salida de las cárceles de delincuentes y para conjurar la situación de grave perturbación creada por la parálisis judicial, al igual que a la necesidad de incorporar al Presupuesto General de la Nación</w:t>
      </w:r>
      <w:r w:rsidRPr="00DD0E75">
        <w:rPr>
          <w:lang w:val="es-MX"/>
        </w:rPr>
        <w:t xml:space="preserve"> nuevos gastos y adoptar los mecanismos presupuestales y legales adecuados para financiar las erogaciones requeridas para conjurar la crisis. Estas aseveraciones no constituyen una valoraci</w:t>
      </w:r>
      <w:r w:rsidRPr="00DD0E75">
        <w:rPr>
          <w:iCs/>
          <w:lang w:val="es-MX"/>
        </w:rPr>
        <w:t>ón sobre la insuficiencia de los poderes de policía en cabeza del presidente de la República</w:t>
      </w:r>
      <w:r w:rsidRPr="00DD0E75">
        <w:rPr>
          <w:lang w:val="es-MX"/>
        </w:rPr>
        <w:t xml:space="preserve"> para sortear la situaci</w:t>
      </w:r>
      <w:r w:rsidRPr="00DD0E75">
        <w:rPr>
          <w:iCs/>
          <w:lang w:val="es-MX"/>
        </w:rPr>
        <w:t xml:space="preserve">ón crítica originada por el cese de actividades judiciales, sino una </w:t>
      </w:r>
      <w:bookmarkStart w:id="136" w:name="_Hlk197613288"/>
      <w:r w:rsidRPr="00DD0E75">
        <w:rPr>
          <w:iCs/>
          <w:lang w:val="es-MX"/>
        </w:rPr>
        <w:t>simple afirmación de la insuficiencia de tales poderes</w:t>
      </w:r>
      <w:bookmarkEnd w:id="136"/>
      <w:r w:rsidRPr="00DD0E75">
        <w:rPr>
          <w:iCs/>
          <w:lang w:val="es-MX"/>
        </w:rPr>
        <w:t>”.</w:t>
      </w:r>
    </w:p>
  </w:footnote>
  <w:footnote w:id="107">
    <w:p w14:paraId="4B6A42B8"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108">
    <w:p w14:paraId="468E799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w:t>
      </w:r>
    </w:p>
  </w:footnote>
  <w:footnote w:id="109">
    <w:p w14:paraId="62DA78A7" w14:textId="5BFEE81D"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110">
    <w:p w14:paraId="31603B25" w14:textId="77777777" w:rsidR="001F3006" w:rsidRPr="00DD0E75" w:rsidRDefault="001F3006" w:rsidP="001918B6">
      <w:pPr>
        <w:pStyle w:val="Corte"/>
        <w:rPr>
          <w:rFonts w:cs="Times New Roman"/>
        </w:rPr>
      </w:pPr>
      <w:r w:rsidRPr="00DD0E75">
        <w:rPr>
          <w:rStyle w:val="Refdenotaalpie"/>
          <w:rFonts w:cs="Times New Roman"/>
        </w:rPr>
        <w:footnoteRef/>
      </w:r>
      <w:r w:rsidRPr="00DD0E75">
        <w:rPr>
          <w:rFonts w:cs="Times New Roman"/>
        </w:rPr>
        <w:t xml:space="preserve"> En tal medida, la Sentencia C-031 de 1993 aseveró que “la existencia de formidables aparatos de fuerza, así su formación haya sido fruto de un largo proceso, no deja de ser </w:t>
      </w:r>
      <w:r w:rsidRPr="00DD0E75">
        <w:rPr>
          <w:rFonts w:cs="Times New Roman"/>
          <w:b/>
          <w:bCs/>
          <w:i/>
          <w:iCs/>
        </w:rPr>
        <w:t>patológico</w:t>
      </w:r>
      <w:r w:rsidRPr="00DD0E75">
        <w:rPr>
          <w:rFonts w:cs="Times New Roman"/>
        </w:rPr>
        <w:t> en el plano constitucional y amenazante y desestabilizador en el campo social e institucional, si cabe en este momento aún mayor que en el pasado por su mayor envergadura y capacidad de daño”.</w:t>
      </w:r>
    </w:p>
  </w:footnote>
  <w:footnote w:id="111">
    <w:p w14:paraId="53C9C1FF" w14:textId="77777777"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En dicha oportunidad, el Gobierno Nacional destacó tres asuntos fundamentales que, en su criterio, afectaban el orden constitucional: (i) las masacres y acciones violentas perpetradas por grupos delincuenciales organizados y subversivos, las cuales ocasionaron desplazamiento forzado y desestabilización social; (ii) la congestión judicial que incrementó los índices de impunidad; y (iii) las deficiencias del sistema penitenciario.</w:t>
      </w:r>
    </w:p>
  </w:footnote>
  <w:footnote w:id="112">
    <w:p w14:paraId="7E243F61" w14:textId="77777777"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Corte Constitucional, Sentencia C-466 de 1995.</w:t>
      </w:r>
    </w:p>
  </w:footnote>
  <w:footnote w:id="113">
    <w:p w14:paraId="4FA07415" w14:textId="77777777"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Corte Constitucional, Sentencia C-466 de 1995.</w:t>
      </w:r>
    </w:p>
  </w:footnote>
  <w:footnote w:id="114">
    <w:p w14:paraId="5A6ACB27" w14:textId="521E2FE8" w:rsidR="001F3006" w:rsidRPr="00DD0E75" w:rsidRDefault="001F3006">
      <w:pPr>
        <w:pStyle w:val="Textonotapie"/>
      </w:pPr>
      <w:r w:rsidRPr="00DD0E75">
        <w:rPr>
          <w:rStyle w:val="Refdenotaalpie"/>
        </w:rPr>
        <w:footnoteRef/>
      </w:r>
      <w:r w:rsidRPr="00DD0E75">
        <w:t xml:space="preserve"> Específicamente, la Corte identificó los siguientes hechos como ilustrativos del agravamiento de los problemas de orden público: los homicidios de Álvaro Gómez Hurtado y José Raimundo Sojo, el atentado contra Antonio José </w:t>
      </w:r>
      <w:proofErr w:type="spellStart"/>
      <w:r w:rsidRPr="00DD0E75">
        <w:t>Cancino</w:t>
      </w:r>
      <w:proofErr w:type="spellEnd"/>
      <w:r w:rsidRPr="00DD0E75">
        <w:t>, y las grabaciones con amenazas de atentados contra figuras públicas nacionales. Corte Constitucional, Sentencia C-027 de 1996.</w:t>
      </w:r>
    </w:p>
  </w:footnote>
  <w:footnote w:id="115">
    <w:p w14:paraId="59922F9B" w14:textId="77777777"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Corte Constitucional, Sentencia C-027 de 1996.</w:t>
      </w:r>
    </w:p>
  </w:footnote>
  <w:footnote w:id="116">
    <w:p w14:paraId="50CD2FC7" w14:textId="5B40C3CE" w:rsidR="001F3006" w:rsidRPr="00DD0E75" w:rsidRDefault="001F3006">
      <w:pPr>
        <w:pStyle w:val="Textonotapie"/>
      </w:pPr>
      <w:r w:rsidRPr="00DD0E75">
        <w:rPr>
          <w:rStyle w:val="Refdenotaalpie"/>
        </w:rPr>
        <w:footnoteRef/>
      </w:r>
      <w:r w:rsidRPr="00DD0E75">
        <w:t xml:space="preserve"> Como se relató en el fundamento 50, en el Decreto 1837 de 2002, el Gobierno nacional declaró el estado de conmoción interior con fundamento en los siguientes hechos: (i) los ataques sistemáticos contra la población civil efectuados por grupos criminales; (ii) las acciones terroristas recientes dirigidas contra civiles, autoridades e infraestructura de servicios esenciales; y (iii) los actos de coacción en contra de funcionarios públicos perpetrados por grupos armados.</w:t>
      </w:r>
    </w:p>
  </w:footnote>
  <w:footnote w:id="117">
    <w:p w14:paraId="58392F50" w14:textId="77777777"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Corte Constitucional, Sentencia C-802 de 2002.</w:t>
      </w:r>
    </w:p>
  </w:footnote>
  <w:footnote w:id="118">
    <w:p w14:paraId="24D90062" w14:textId="77777777" w:rsidR="001F3006" w:rsidRPr="00DD0E75" w:rsidRDefault="001F3006" w:rsidP="001918B6">
      <w:pPr>
        <w:pStyle w:val="Corte"/>
        <w:rPr>
          <w:rFonts w:cs="Times New Roman"/>
        </w:rPr>
      </w:pPr>
      <w:r w:rsidRPr="00DD0E75">
        <w:rPr>
          <w:rStyle w:val="Refdenotaalpie"/>
          <w:rFonts w:cs="Times New Roman"/>
        </w:rPr>
        <w:footnoteRef/>
      </w:r>
      <w:r w:rsidRPr="00DD0E75">
        <w:rPr>
          <w:rFonts w:cs="Times New Roman"/>
        </w:rPr>
        <w:t xml:space="preserve"> Corte Constitucional, Sentencia C-</w:t>
      </w:r>
      <w:r w:rsidRPr="00DD0E75">
        <w:rPr>
          <w:rFonts w:cs="Times New Roman"/>
          <w:bCs/>
        </w:rPr>
        <w:t>122 de 1997.</w:t>
      </w:r>
    </w:p>
  </w:footnote>
  <w:footnote w:id="119">
    <w:p w14:paraId="33F06DCB" w14:textId="77777777"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Al respecto, esta Corporación estimó en la Sentencia C-122 de 1997 que los problemas crónicos “por su incidencia social, trascienden la anormalidad y ocupan plenamente el espacio de la normalidad, puesto que constituyen el cúmulo de responsabilidades más importantes que deben asumirse por todos los órganos competentes de manera consistente y por períodos prolongados en el tiempo”.</w:t>
      </w:r>
    </w:p>
  </w:footnote>
  <w:footnote w:id="120">
    <w:p w14:paraId="29B0D572" w14:textId="77777777" w:rsidR="001F3006" w:rsidRPr="00DD0E75" w:rsidRDefault="001F3006" w:rsidP="001918B6">
      <w:pPr>
        <w:pStyle w:val="Corte"/>
        <w:rPr>
          <w:rFonts w:cs="Times New Roman"/>
        </w:rPr>
      </w:pPr>
      <w:r w:rsidRPr="00DD0E75">
        <w:rPr>
          <w:rStyle w:val="Refdenotaalpie"/>
          <w:rFonts w:cs="Times New Roman"/>
        </w:rPr>
        <w:footnoteRef/>
      </w:r>
      <w:r w:rsidRPr="00DD0E75">
        <w:rPr>
          <w:rFonts w:cs="Times New Roman"/>
        </w:rPr>
        <w:t xml:space="preserve"> Sentencia C-</w:t>
      </w:r>
      <w:r w:rsidRPr="00DD0E75">
        <w:rPr>
          <w:rFonts w:cs="Times New Roman"/>
          <w:bCs/>
        </w:rPr>
        <w:t>122 de 1997.</w:t>
      </w:r>
    </w:p>
  </w:footnote>
  <w:footnote w:id="121">
    <w:p w14:paraId="7FF941F0" w14:textId="3F1CC26A"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En tales casos, la Corte deberá precisar si los efectos gravemente perjudiciales de una falla estructural, “pueden ser enfrentados a través de las competencias ordinarias de las autoridades y órganos del Estado y si éstas son suficientes para determinar satisfactoriamente el curso de los acontecimientos”. Corte Constitucional, Sentencia C-122 de 1997.</w:t>
      </w:r>
    </w:p>
  </w:footnote>
  <w:footnote w:id="122">
    <w:p w14:paraId="186397FD" w14:textId="77777777"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Corte Constitucional</w:t>
      </w:r>
      <w:r w:rsidRPr="00DD0E75">
        <w:rPr>
          <w:rFonts w:cs="Times New Roman"/>
          <w:lang w:val="es-MX"/>
        </w:rPr>
        <w:t>, Sentencia C-135 de 2009.</w:t>
      </w:r>
    </w:p>
  </w:footnote>
  <w:footnote w:id="123">
    <w:p w14:paraId="3FCA8BDE" w14:textId="77777777" w:rsidR="001F3006" w:rsidRPr="00DD0E75" w:rsidRDefault="001F3006" w:rsidP="001918B6">
      <w:pPr>
        <w:pStyle w:val="Corte"/>
        <w:rPr>
          <w:rFonts w:cs="Times New Roman"/>
        </w:rPr>
      </w:pPr>
      <w:r w:rsidRPr="00DD0E75">
        <w:rPr>
          <w:rStyle w:val="Refdenotaalpie"/>
          <w:rFonts w:cs="Times New Roman"/>
        </w:rPr>
        <w:footnoteRef/>
      </w:r>
      <w:r w:rsidRPr="00DD0E75">
        <w:rPr>
          <w:rFonts w:cs="Times New Roman"/>
        </w:rPr>
        <w:t xml:space="preserve"> La Sentencia C-156 de 2011 recordó que </w:t>
      </w:r>
      <w:r w:rsidRPr="00DD0E75">
        <w:rPr>
          <w:rFonts w:cs="Times New Roman"/>
          <w:iCs/>
        </w:rPr>
        <w:t>“los hechos sobrevinientes son circunstancias graves resultado de fenómenos extraños al Estado, u ocasionados y/o agravados por su acción u omisión, que pueden tener el carácter de imprevisibles, intempestivos, irresistibles, extraordinarios o inminentes, pero que también pueden ser hechos estructurales y crónicos repentinamente agravados, que ponen en peligro elementos esenciales del orden económico, social y ecológico, más allá de lo normal, trastocándolo de manera traumática”.</w:t>
      </w:r>
    </w:p>
  </w:footnote>
  <w:footnote w:id="124">
    <w:p w14:paraId="58649E03" w14:textId="36EE0A4F" w:rsidR="001F3006" w:rsidRPr="00DD0E75" w:rsidRDefault="001F3006" w:rsidP="001918B6">
      <w:pPr>
        <w:pStyle w:val="Corte"/>
        <w:rPr>
          <w:rFonts w:cs="Times New Roman"/>
        </w:rPr>
      </w:pPr>
      <w:r w:rsidRPr="00DD0E75">
        <w:rPr>
          <w:rStyle w:val="Refdenotaalpie"/>
          <w:rFonts w:cs="Times New Roman"/>
        </w:rPr>
        <w:footnoteRef/>
      </w:r>
      <w:r w:rsidRPr="00DD0E75">
        <w:rPr>
          <w:rFonts w:cs="Times New Roman"/>
        </w:rPr>
        <w:t xml:space="preserve"> Corte Constitucional, Sentencia C-156 de 2011.</w:t>
      </w:r>
    </w:p>
  </w:footnote>
  <w:footnote w:id="125">
    <w:p w14:paraId="270EB52E" w14:textId="1CBFED06"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En efecto, pese a que la ocurrencia del fenómeno de La Niña ya había sido </w:t>
      </w:r>
      <w:proofErr w:type="gramStart"/>
      <w:r w:rsidRPr="00DD0E75">
        <w:rPr>
          <w:rFonts w:cs="Times New Roman"/>
        </w:rPr>
        <w:t>advertido</w:t>
      </w:r>
      <w:proofErr w:type="gramEnd"/>
      <w:r w:rsidRPr="00DD0E75">
        <w:rPr>
          <w:rFonts w:cs="Times New Roman"/>
        </w:rPr>
        <w:t xml:space="preserve"> por el IDEAM, la Corte explicó que “los promedios previsibles en materia de precipitaciones fueron ampliamente superados en la mayoría de regiones del país”. Asimismo, “los hechos verificados superaron en gran medida lo que se esperaba y por ende desbordaron la capacidad de respuesta del Estado; cumpliéndose entonces con la última parte del presupuesto fáctico, esto es el ‘juicio de </w:t>
      </w:r>
      <w:proofErr w:type="spellStart"/>
      <w:r w:rsidRPr="00DD0E75">
        <w:rPr>
          <w:rFonts w:cs="Times New Roman"/>
        </w:rPr>
        <w:t>sobreviniencia</w:t>
      </w:r>
      <w:proofErr w:type="spellEnd"/>
      <w:r w:rsidRPr="00DD0E75">
        <w:rPr>
          <w:rFonts w:cs="Times New Roman"/>
        </w:rPr>
        <w:t>”. Corte Constitucional, Sentencia C-156 de 2011.</w:t>
      </w:r>
    </w:p>
  </w:footnote>
  <w:footnote w:id="126">
    <w:p w14:paraId="7A496240" w14:textId="77777777" w:rsidR="001F3006" w:rsidRPr="00DD0E75" w:rsidRDefault="001F3006" w:rsidP="001918B6">
      <w:pPr>
        <w:pStyle w:val="Corte"/>
        <w:rPr>
          <w:rFonts w:cs="Times New Roman"/>
          <w:lang w:val="es-MX"/>
        </w:rPr>
      </w:pPr>
      <w:r w:rsidRPr="00DD0E75">
        <w:rPr>
          <w:rStyle w:val="Refdenotaalpie"/>
          <w:rFonts w:cs="Times New Roman"/>
        </w:rPr>
        <w:footnoteRef/>
      </w:r>
      <w:r w:rsidRPr="00DD0E75">
        <w:rPr>
          <w:rFonts w:cs="Times New Roman"/>
        </w:rPr>
        <w:t xml:space="preserve"> Corte Constitucional, Sentencia C-386 de 2017.</w:t>
      </w:r>
    </w:p>
  </w:footnote>
  <w:footnote w:id="127">
    <w:p w14:paraId="6C4B2875" w14:textId="77777777" w:rsidR="001F3006" w:rsidRPr="00DD0E75" w:rsidRDefault="001F3006" w:rsidP="001918B6">
      <w:pPr>
        <w:pStyle w:val="Corte"/>
        <w:rPr>
          <w:rFonts w:cs="Times New Roman"/>
        </w:rPr>
      </w:pPr>
      <w:r w:rsidRPr="00DD0E75">
        <w:rPr>
          <w:rStyle w:val="Refdenotaalpie"/>
          <w:rFonts w:cs="Times New Roman"/>
        </w:rPr>
        <w:footnoteRef/>
      </w:r>
      <w:r w:rsidRPr="00DD0E75">
        <w:rPr>
          <w:rFonts w:cs="Times New Roman"/>
        </w:rPr>
        <w:t xml:space="preserve"> Corte Constitucional, Sentencia C-145 de 2020.</w:t>
      </w:r>
    </w:p>
  </w:footnote>
  <w:footnote w:id="128">
    <w:p w14:paraId="1A5C1069" w14:textId="77777777" w:rsidR="001F3006" w:rsidRPr="00DD0E75" w:rsidRDefault="001F3006" w:rsidP="001918B6">
      <w:pPr>
        <w:pStyle w:val="Corte"/>
        <w:rPr>
          <w:rFonts w:cs="Times New Roman"/>
        </w:rPr>
      </w:pPr>
      <w:r w:rsidRPr="00DD0E75">
        <w:rPr>
          <w:rStyle w:val="Refdenotaalpie"/>
          <w:rFonts w:cs="Times New Roman"/>
        </w:rPr>
        <w:footnoteRef/>
      </w:r>
      <w:r w:rsidRPr="00DD0E75">
        <w:rPr>
          <w:rFonts w:cs="Times New Roman"/>
        </w:rPr>
        <w:t xml:space="preserve"> Corte Constitucional, Sentencia C-145 de 2020.</w:t>
      </w:r>
    </w:p>
  </w:footnote>
  <w:footnote w:id="129">
    <w:p w14:paraId="4B9122AF" w14:textId="346C4769" w:rsidR="001F3006" w:rsidRPr="00DD0E75" w:rsidRDefault="001F3006">
      <w:pPr>
        <w:pStyle w:val="Textonotapie"/>
      </w:pPr>
      <w:r w:rsidRPr="00DD0E75">
        <w:rPr>
          <w:rStyle w:val="Refdenotaalpie"/>
        </w:rPr>
        <w:footnoteRef/>
      </w:r>
      <w:r w:rsidRPr="00DD0E75">
        <w:t xml:space="preserve"> Corte Constitucional</w:t>
      </w:r>
      <w:r w:rsidRPr="00DD0E75">
        <w:rPr>
          <w:lang w:val="es-MX"/>
        </w:rPr>
        <w:t xml:space="preserve">, Sentencia C-383 de 2023. La Corte declaró inexequible el Decreto </w:t>
      </w:r>
      <w:r w:rsidRPr="00DD0E75">
        <w:rPr>
          <w:szCs w:val="28"/>
        </w:rPr>
        <w:t>1085 de 2023 con efectos diferidos por el término un año contado a partir de la expedición del decreto, solamente respecto de la amenaza de agravamiento de la crisis humanitaria por la menor disponibilidad de agua.</w:t>
      </w:r>
    </w:p>
  </w:footnote>
  <w:footnote w:id="130">
    <w:p w14:paraId="041D2AA8" w14:textId="41DBBDA2" w:rsidR="001F3006" w:rsidRPr="00DD0E75" w:rsidRDefault="001F3006">
      <w:pPr>
        <w:pStyle w:val="Textonotapie"/>
      </w:pPr>
      <w:r w:rsidRPr="00DD0E75">
        <w:rPr>
          <w:rStyle w:val="Refdenotaalpie"/>
        </w:rPr>
        <w:footnoteRef/>
      </w:r>
      <w:r w:rsidRPr="00DD0E75">
        <w:t xml:space="preserve"> </w:t>
      </w:r>
      <w:proofErr w:type="spellStart"/>
      <w:r w:rsidRPr="00DD0E75">
        <w:t>Ibid</w:t>
      </w:r>
      <w:proofErr w:type="spellEnd"/>
      <w:r w:rsidRPr="00DD0E75">
        <w:t>.</w:t>
      </w:r>
      <w:r w:rsidRPr="00DD0E75">
        <w:rPr>
          <w:lang w:val="es-MX"/>
        </w:rPr>
        <w:t xml:space="preserve"> </w:t>
      </w:r>
    </w:p>
  </w:footnote>
  <w:footnote w:id="131">
    <w:p w14:paraId="58EE4204" w14:textId="6236F82A" w:rsidR="001F3006" w:rsidRPr="00DD0E75" w:rsidRDefault="001F3006" w:rsidP="001918B6">
      <w:pPr>
        <w:pStyle w:val="Textonotapie"/>
        <w:rPr>
          <w:lang w:val="es-MX"/>
        </w:rPr>
      </w:pPr>
      <w:r w:rsidRPr="00DD0E75">
        <w:rPr>
          <w:rStyle w:val="Refdenotaalpie"/>
          <w:rFonts w:eastAsiaTheme="majorEastAsia"/>
        </w:rPr>
        <w:footnoteRef/>
      </w:r>
      <w:r w:rsidRPr="00DD0E75">
        <w:t xml:space="preserve"> </w:t>
      </w:r>
      <w:proofErr w:type="spellStart"/>
      <w:r w:rsidRPr="00DD0E75">
        <w:t>Ibid</w:t>
      </w:r>
      <w:proofErr w:type="spellEnd"/>
      <w:r w:rsidRPr="00DD0E75">
        <w:t>.</w:t>
      </w:r>
    </w:p>
  </w:footnote>
  <w:footnote w:id="132">
    <w:p w14:paraId="2FAB25F8"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Juan Fernando Cristo Bustos, ministro del Interior; Paola Andrea Vásquez Restrepo, ministra de Relaciones Exteriores (E); Diego Alejandro Guevara Castañeda, ministro de Hacienda y Crédito Público (E); </w:t>
      </w:r>
      <w:proofErr w:type="spellStart"/>
      <w:r w:rsidRPr="00DD0E75">
        <w:rPr>
          <w:lang w:val="es-MX"/>
        </w:rPr>
        <w:t>Angela</w:t>
      </w:r>
      <w:proofErr w:type="spellEnd"/>
      <w:r w:rsidRPr="00DD0E75">
        <w:rPr>
          <w:lang w:val="es-MX"/>
        </w:rPr>
        <w:t xml:space="preserve"> María Buitrago Ruiz, ministra de Justicia y del Derecho;  Iván Velásquez Gómez, ministro de Defensa Nacional; Martha Viviana </w:t>
      </w:r>
      <w:proofErr w:type="spellStart"/>
      <w:r w:rsidRPr="00DD0E75">
        <w:rPr>
          <w:lang w:val="es-MX"/>
        </w:rPr>
        <w:t>Carvajalino</w:t>
      </w:r>
      <w:proofErr w:type="spellEnd"/>
      <w:r w:rsidRPr="00DD0E75">
        <w:rPr>
          <w:lang w:val="es-MX"/>
        </w:rPr>
        <w:t xml:space="preserve"> Villegas, ministra de Agricultura y Desarrollo Rural; Guillermo Alfonso Jaramillo Martínez, ministro de Salud y Protección Social; Gloria Inés Ramírez Ríos, ministra de Trabajo; Omar Andrés Camacho Morales, ministro de Minas y Energía; Luis Carlos Reyes Hernández, ministro de Comercio, Industria y Turismo; José Daniel Rojas Medellín, ministro de Educación Nacional; María Susana </w:t>
      </w:r>
      <w:proofErr w:type="spellStart"/>
      <w:r w:rsidRPr="00DD0E75">
        <w:rPr>
          <w:lang w:val="es-MX"/>
        </w:rPr>
        <w:t>Muhamad</w:t>
      </w:r>
      <w:proofErr w:type="spellEnd"/>
      <w:r w:rsidRPr="00DD0E75">
        <w:rPr>
          <w:lang w:val="es-MX"/>
        </w:rPr>
        <w:t xml:space="preserve"> González, ministra de Ambiente y Desarrollo Sostenible; Helga María Rivas Ardila, ministra de Vivienda, Ciudad y Territorio;  Oscar Mauricio Lozano Arango, ministro de las Tecnologías de la Información y las Comunicaciones; María Fernanda Rojas Mantilla, ministra de Transporte (E); Juan David Correa Ulloa, ministro de Cultura; Luz Cristina López Trejos, ministra del Deporte; Ángela Yesenia Olaya Requena, ministra de Ciencia, Tecnología e Innovación y Francia Elena Márquez Mina, ministra de Igualdad y Equidad. </w:t>
      </w:r>
    </w:p>
  </w:footnote>
  <w:footnote w:id="133">
    <w:p w14:paraId="0ED86B75" w14:textId="0BA8ED8D" w:rsidR="001F3006" w:rsidRPr="00DD0E75" w:rsidRDefault="001F3006">
      <w:pPr>
        <w:pStyle w:val="Textonotapie"/>
      </w:pPr>
      <w:r w:rsidRPr="00DD0E75">
        <w:rPr>
          <w:rStyle w:val="Refdenotaalpie"/>
        </w:rPr>
        <w:footnoteRef/>
      </w:r>
      <w:r w:rsidRPr="00DD0E75">
        <w:t xml:space="preserve"> Corte Constitucional, </w:t>
      </w:r>
      <w:r w:rsidRPr="00DD0E75">
        <w:rPr>
          <w:szCs w:val="28"/>
        </w:rPr>
        <w:t>sentencias</w:t>
      </w:r>
      <w:r w:rsidRPr="00DD0E75">
        <w:t xml:space="preserve"> </w:t>
      </w:r>
      <w:r w:rsidRPr="00DD0E75">
        <w:rPr>
          <w:szCs w:val="28"/>
        </w:rPr>
        <w:t>C-383 de 2023, C-311 de 2020, C-186 de 2020, C-178 de 2020, C-158 de 2020, C-155 de 2020, C-466 de 2017, C-723 de 2015, C-216 de 2011, C-327 de 2003, C-1065 de 2002</w:t>
      </w:r>
      <w:r w:rsidRPr="00DD0E75">
        <w:t xml:space="preserve"> y </w:t>
      </w:r>
      <w:r w:rsidRPr="00DD0E75">
        <w:rPr>
          <w:szCs w:val="28"/>
        </w:rPr>
        <w:t>C-802 de 2002.</w:t>
      </w:r>
    </w:p>
  </w:footnote>
  <w:footnote w:id="134">
    <w:p w14:paraId="53DC601A"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CONPES 3739 de 2013, “Estrategia de Desarrollo Integral de la región del Catatumbo”, p. 5.</w:t>
      </w:r>
    </w:p>
  </w:footnote>
  <w:footnote w:id="135">
    <w:p w14:paraId="485FAA73"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136">
    <w:p w14:paraId="191AD1ED"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w:t>
      </w:r>
      <w:proofErr w:type="spellStart"/>
      <w:r w:rsidRPr="00DD0E75">
        <w:rPr>
          <w:lang w:val="es-MX"/>
        </w:rPr>
        <w:t>Ibid</w:t>
      </w:r>
      <w:proofErr w:type="spellEnd"/>
      <w:r w:rsidRPr="00DD0E75">
        <w:rPr>
          <w:lang w:val="es-MX"/>
        </w:rPr>
        <w:t>., p. 11.</w:t>
      </w:r>
    </w:p>
  </w:footnote>
  <w:footnote w:id="137">
    <w:p w14:paraId="34F423E6"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DAPRE. Respuesta al auto de pruebas. Anexo 44, pp. 4-7.</w:t>
      </w:r>
    </w:p>
  </w:footnote>
  <w:footnote w:id="138">
    <w:p w14:paraId="15120E3E"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139">
    <w:p w14:paraId="70B91246"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Centro Nacional de Memoria Histórica, “El Bajo Catatumbo”. Ver también: CNMH. “Catatumbo: memorias de vida y dignidad”, pp. 17-18. </w:t>
      </w:r>
    </w:p>
  </w:footnote>
  <w:footnote w:id="140">
    <w:p w14:paraId="06FEF8A6"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CONPES 3739 de 2013, “Estrategia de Desarrollo Integral de la región del Catatumbo”, p. 5. </w:t>
      </w:r>
    </w:p>
  </w:footnote>
  <w:footnote w:id="141">
    <w:p w14:paraId="7E95BD76"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Estos son Convención, El Carmen, El Tarra, San Calixto, </w:t>
      </w:r>
      <w:proofErr w:type="spellStart"/>
      <w:r w:rsidRPr="00DD0E75">
        <w:rPr>
          <w:lang w:val="es-MX"/>
        </w:rPr>
        <w:t>Teorama</w:t>
      </w:r>
      <w:proofErr w:type="spellEnd"/>
      <w:r w:rsidRPr="00DD0E75">
        <w:rPr>
          <w:lang w:val="es-MX"/>
        </w:rPr>
        <w:t xml:space="preserve"> y </w:t>
      </w:r>
      <w:proofErr w:type="spellStart"/>
      <w:r w:rsidRPr="00DD0E75">
        <w:rPr>
          <w:lang w:val="es-MX"/>
        </w:rPr>
        <w:t>Tibú</w:t>
      </w:r>
      <w:proofErr w:type="spellEnd"/>
      <w:r w:rsidRPr="00DD0E75">
        <w:rPr>
          <w:lang w:val="es-MX"/>
        </w:rPr>
        <w:t>.</w:t>
      </w:r>
    </w:p>
  </w:footnote>
  <w:footnote w:id="142">
    <w:p w14:paraId="51924ACE" w14:textId="77777777" w:rsidR="001F3006" w:rsidRPr="00DD0E75" w:rsidRDefault="001F3006" w:rsidP="002C5127">
      <w:pPr>
        <w:pStyle w:val="Textonotapie"/>
        <w:rPr>
          <w:lang w:val="es-MX"/>
        </w:rPr>
      </w:pPr>
      <w:r w:rsidRPr="00DD0E75">
        <w:rPr>
          <w:rStyle w:val="Refdenotaalpie"/>
          <w:rFonts w:eastAsiaTheme="minorEastAsia"/>
          <w:lang w:val="es-MX"/>
        </w:rPr>
        <w:footnoteRef/>
      </w:r>
      <w:r w:rsidRPr="00DD0E75">
        <w:rPr>
          <w:lang w:val="es-MX"/>
        </w:rPr>
        <w:t xml:space="preserve"> Centro Nacional de Memoria Histórica. “La maldita tierra: guerrilla, paramilitares, mineras y conflicto armado en el Departamento del Cesar”, p. 104. </w:t>
      </w:r>
    </w:p>
  </w:footnote>
  <w:footnote w:id="143">
    <w:p w14:paraId="62157566" w14:textId="77777777" w:rsidR="001F3006" w:rsidRPr="00DD0E75" w:rsidRDefault="001F3006" w:rsidP="001A126E">
      <w:pPr>
        <w:pStyle w:val="Textonotapie"/>
      </w:pPr>
      <w:r w:rsidRPr="00DD0E75">
        <w:rPr>
          <w:rStyle w:val="Refdenotaalpie"/>
          <w:rFonts w:eastAsiaTheme="minorEastAsia"/>
        </w:rPr>
        <w:footnoteRef/>
      </w:r>
      <w:r w:rsidRPr="00DD0E75">
        <w:t xml:space="preserve"> </w:t>
      </w:r>
      <w:bookmarkStart w:id="163" w:name="_Hlk194911279"/>
      <w:r w:rsidRPr="00DD0E75">
        <w:t>Comunicación de la Misión Permanente de Colombia ante OEA de fecha 24 de enero de 2025.</w:t>
      </w:r>
      <w:bookmarkEnd w:id="163"/>
    </w:p>
  </w:footnote>
  <w:footnote w:id="144">
    <w:p w14:paraId="6C45B6C6" w14:textId="77777777" w:rsidR="001F3006" w:rsidRPr="00DD0E75" w:rsidRDefault="001F3006" w:rsidP="001A126E">
      <w:pPr>
        <w:pStyle w:val="Textonotapie"/>
      </w:pPr>
      <w:r w:rsidRPr="00DD0E75">
        <w:rPr>
          <w:rStyle w:val="Refdenotaalpie"/>
          <w:rFonts w:eastAsiaTheme="minorEastAsia"/>
        </w:rPr>
        <w:footnoteRef/>
      </w:r>
      <w:r w:rsidRPr="00DD0E75">
        <w:t xml:space="preserve"> Comunicación de la Misión Permanente de la República de Colombia ante la ONU de fecha 24 de enero de 2025.</w:t>
      </w:r>
    </w:p>
  </w:footnote>
  <w:footnote w:id="145">
    <w:p w14:paraId="61233DE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“Anexos RE0000361-Presentación Demanda-(2025-01-28 00-17-39).</w:t>
      </w:r>
      <w:proofErr w:type="spellStart"/>
      <w:r w:rsidRPr="00DD0E75">
        <w:rPr>
          <w:lang w:val="es-MX"/>
        </w:rPr>
        <w:t>pdf</w:t>
      </w:r>
      <w:proofErr w:type="spellEnd"/>
      <w:r w:rsidRPr="00DD0E75">
        <w:rPr>
          <w:lang w:val="es-MX"/>
        </w:rPr>
        <w:t>”. p. 28.</w:t>
      </w:r>
    </w:p>
  </w:footnote>
  <w:footnote w:id="146">
    <w:p w14:paraId="200ADFD9"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“oficio del Almirante Francisco Hernando </w:t>
      </w:r>
      <w:proofErr w:type="spellStart"/>
      <w:r w:rsidRPr="00DD0E75">
        <w:rPr>
          <w:lang w:val="es-MX"/>
        </w:rPr>
        <w:t>Cubides</w:t>
      </w:r>
      <w:proofErr w:type="spellEnd"/>
      <w:r w:rsidRPr="00DD0E75">
        <w:rPr>
          <w:lang w:val="es-MX"/>
        </w:rPr>
        <w:t xml:space="preserve"> Granados, Comandante General de las Fuerzas Militares, en respuesta al OPC-026/25.”. p. 12.</w:t>
      </w:r>
    </w:p>
  </w:footnote>
  <w:footnote w:id="147">
    <w:p w14:paraId="5C3A5741"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“Anexos de respuesta a oficio de pruebas OPC-078-25 de la Policía Nacional, Grupo de Asunto Legales”. p.4.</w:t>
      </w:r>
    </w:p>
  </w:footnote>
  <w:footnote w:id="148">
    <w:p w14:paraId="45324722"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“RE0000361-Pruebas del Expediente (Recepción y Paso al Despacho) -(2025-02-06 23-25-32).</w:t>
      </w:r>
      <w:proofErr w:type="spellStart"/>
      <w:r w:rsidRPr="00DD0E75">
        <w:rPr>
          <w:lang w:val="es-MX"/>
        </w:rPr>
        <w:t>pdf</w:t>
      </w:r>
      <w:proofErr w:type="spellEnd"/>
      <w:r w:rsidRPr="00DD0E75">
        <w:rPr>
          <w:lang w:val="es-MX"/>
        </w:rPr>
        <w:t xml:space="preserve">”. p. 4.  </w:t>
      </w:r>
    </w:p>
  </w:footnote>
  <w:footnote w:id="149">
    <w:p w14:paraId="34DFBA1F"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Respuesta a oficio OPC-024/25 - Alcaldía de la Playa”. p. 5.</w:t>
      </w:r>
    </w:p>
  </w:footnote>
  <w:footnote w:id="150">
    <w:p w14:paraId="05F3F7C7"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“Respuesta a oficio de pruebas OPC-021-25, remite la Alcaldía Municipal de </w:t>
      </w:r>
      <w:proofErr w:type="spellStart"/>
      <w:r w:rsidRPr="00DD0E75">
        <w:rPr>
          <w:lang w:val="es-MX"/>
        </w:rPr>
        <w:t>Tibú</w:t>
      </w:r>
      <w:proofErr w:type="spellEnd"/>
      <w:r w:rsidRPr="00DD0E75">
        <w:rPr>
          <w:lang w:val="es-MX"/>
        </w:rPr>
        <w:t>”. p. 2.</w:t>
      </w:r>
    </w:p>
  </w:footnote>
  <w:footnote w:id="151">
    <w:p w14:paraId="7B754FD3" w14:textId="25C18553"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“Se recibe oficio de la doctora Katherine Mora Rosado, alcaldesa municipal de González, César, en respuesta al OPC-024/25”. pp. 15-18.</w:t>
      </w:r>
    </w:p>
  </w:footnote>
  <w:footnote w:id="152">
    <w:p w14:paraId="5E845D3E"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 xml:space="preserve">2025-02-20 20-38-47)-4.pdf”. p. 3-4  </w:t>
      </w:r>
    </w:p>
  </w:footnote>
  <w:footnote w:id="153">
    <w:p w14:paraId="16F9FCA7"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2025-02-10 01-25-33)-3.pdf”. p. 10.</w:t>
      </w:r>
    </w:p>
  </w:footnote>
  <w:footnote w:id="154">
    <w:p w14:paraId="0F5E401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“RE0000361-Pruebas del Expediente (</w:t>
      </w:r>
      <w:proofErr w:type="spellStart"/>
      <w:r w:rsidRPr="00DD0E75">
        <w:rPr>
          <w:lang w:val="es-MX"/>
        </w:rPr>
        <w:t>Recepción</w:t>
      </w:r>
      <w:proofErr w:type="spellEnd"/>
      <w:r w:rsidRPr="00DD0E75">
        <w:rPr>
          <w:lang w:val="es-MX"/>
        </w:rPr>
        <w:t> y Paso al </w:t>
      </w:r>
      <w:proofErr w:type="gramStart"/>
      <w:r w:rsidRPr="00DD0E75">
        <w:rPr>
          <w:lang w:val="es-MX"/>
        </w:rPr>
        <w:t>Despacho)-(</w:t>
      </w:r>
      <w:proofErr w:type="gramEnd"/>
      <w:r w:rsidRPr="00DD0E75">
        <w:rPr>
          <w:lang w:val="es-MX"/>
        </w:rPr>
        <w:t>2025-02-04 16-21-47).</w:t>
      </w:r>
      <w:proofErr w:type="spellStart"/>
      <w:r w:rsidRPr="00DD0E75">
        <w:rPr>
          <w:lang w:val="es-MX"/>
        </w:rPr>
        <w:t>pdf</w:t>
      </w:r>
      <w:proofErr w:type="spellEnd"/>
      <w:r w:rsidRPr="00DD0E75">
        <w:rPr>
          <w:lang w:val="es-MX"/>
        </w:rPr>
        <w:t>”, p. 4.</w:t>
      </w:r>
    </w:p>
  </w:footnote>
  <w:footnote w:id="155">
    <w:p w14:paraId="2DCCF597"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2025-02-05 22-44-14)-3.pdf”. p. 7.</w:t>
      </w:r>
    </w:p>
  </w:footnote>
  <w:footnote w:id="156">
    <w:p w14:paraId="2AF66FC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“13.02.25. Municipio de Hacarí.pdf”. p. 6.</w:t>
      </w:r>
    </w:p>
  </w:footnote>
  <w:footnote w:id="157">
    <w:p w14:paraId="4B2B21E6"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Centro Nacional de Memoria Histórica. El Bajo Catatumbo. Tomado de: </w:t>
      </w:r>
      <w:hyperlink r:id="rId4" w:history="1">
        <w:r w:rsidRPr="00DD0E75">
          <w:rPr>
            <w:rStyle w:val="Hipervnculo"/>
            <w:lang w:val="es-MX"/>
          </w:rPr>
          <w:t>https://www.centrodememoriahistorica.gov.co/micrositios/recorridos-por-paisajes-de-la-violencia/bajo-catatumbo.html</w:t>
        </w:r>
      </w:hyperlink>
      <w:r w:rsidRPr="00DD0E75">
        <w:rPr>
          <w:lang w:val="es-MX"/>
        </w:rPr>
        <w:t>.</w:t>
      </w:r>
    </w:p>
  </w:footnote>
  <w:footnote w:id="158">
    <w:p w14:paraId="50C0510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Imágenes tomadas de: Presencia de Estructuras Armadas Ilegales 2022 y Cultivos de Coca en el Catatumbo 2020. Creado por: Línea de Investigación Paz, Posconflicto y Derechos Humanos. Fundación Paz &amp; Reconciliación. Fuente: </w:t>
      </w:r>
      <w:proofErr w:type="spellStart"/>
      <w:r w:rsidRPr="00DD0E75">
        <w:rPr>
          <w:lang w:val="es-MX"/>
        </w:rPr>
        <w:t>Sipares</w:t>
      </w:r>
      <w:proofErr w:type="spellEnd"/>
      <w:r w:rsidRPr="00DD0E75">
        <w:rPr>
          <w:lang w:val="es-MX"/>
        </w:rPr>
        <w:t xml:space="preserve"> &amp; Observatorio de Drogas de Colombia. Imagen 2, tomada de: </w:t>
      </w:r>
      <w:hyperlink r:id="rId5" w:history="1">
        <w:r w:rsidRPr="00DD0E75">
          <w:rPr>
            <w:rStyle w:val="Hipervnculo"/>
            <w:lang w:val="es-MX"/>
          </w:rPr>
          <w:t>https://insightcrime.org/es/noticias/renovada-guerra-centro-cocaina-colombia/</w:t>
        </w:r>
      </w:hyperlink>
      <w:r w:rsidRPr="00DD0E75">
        <w:rPr>
          <w:lang w:val="es-MX"/>
        </w:rPr>
        <w:t>.</w:t>
      </w:r>
    </w:p>
  </w:footnote>
  <w:footnote w:id="159">
    <w:p w14:paraId="1B83E6C5"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“Se recibe oficio de la doctora </w:t>
      </w:r>
      <w:proofErr w:type="spellStart"/>
      <w:r w:rsidRPr="00DD0E75">
        <w:rPr>
          <w:lang w:val="es-MX"/>
        </w:rPr>
        <w:t>Nathalia</w:t>
      </w:r>
      <w:proofErr w:type="spellEnd"/>
      <w:r w:rsidRPr="00DD0E75">
        <w:rPr>
          <w:lang w:val="es-MX"/>
        </w:rPr>
        <w:t xml:space="preserve"> Romero Figueroa, delegada para la </w:t>
      </w:r>
      <w:proofErr w:type="spellStart"/>
      <w:r w:rsidRPr="00DD0E75">
        <w:rPr>
          <w:lang w:val="es-MX"/>
        </w:rPr>
        <w:t>Prevensión</w:t>
      </w:r>
      <w:proofErr w:type="spellEnd"/>
      <w:r w:rsidRPr="00DD0E75">
        <w:rPr>
          <w:lang w:val="es-MX"/>
        </w:rPr>
        <w:t xml:space="preserve"> (Sic) del Riesgo de Violaciones de DDHH e infracciones al DIH de la Defensoría del Pueblo, en respuesta al OPC-021/25”, p. 4.</w:t>
      </w:r>
    </w:p>
  </w:footnote>
  <w:footnote w:id="160">
    <w:p w14:paraId="2E38DA9A"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Este documento no fue aportado, pero está disponible para consulta pública en la página Web de la entidad.</w:t>
      </w:r>
    </w:p>
  </w:footnote>
  <w:footnote w:id="161">
    <w:p w14:paraId="562700EA"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Cfr. Expediente digital. </w:t>
      </w:r>
      <w:proofErr w:type="spellStart"/>
      <w:r w:rsidRPr="00DD0E75">
        <w:rPr>
          <w:lang w:val="es-MX"/>
        </w:rPr>
        <w:t>Op</w:t>
      </w:r>
      <w:proofErr w:type="spellEnd"/>
      <w:r w:rsidRPr="00DD0E75">
        <w:rPr>
          <w:lang w:val="es-MX"/>
        </w:rPr>
        <w:t>. Cit. 20. pp. 10, 81, 135, 165 y 207; y Archivo “Se recibe oficio de la doctora Iris Marín Ortiz, Defensora del Pueblo, en respuesta al OPC-021/25. (Primera parte)”, p. 32.</w:t>
      </w:r>
    </w:p>
  </w:footnote>
  <w:footnote w:id="162">
    <w:p w14:paraId="315AE8FA"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“RE-361.Anexos 11 al 20 Respuesta al OPC-020 de 2025 - Presidencia de la República. Algunos documentos reservados” pp. 6-7. </w:t>
      </w:r>
    </w:p>
  </w:footnote>
  <w:footnote w:id="163">
    <w:p w14:paraId="07A87BBE" w14:textId="6CA13D43"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164">
    <w:p w14:paraId="659FCEFC"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Defensoría del Pueblo, Alerta Temprana 026 de 2024, p. 8.</w:t>
      </w:r>
    </w:p>
  </w:footnote>
  <w:footnote w:id="165">
    <w:p w14:paraId="3ED484C5"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Al respecto, consultar las Alertas Tempranas 024 de 2019, 004 de 2021 y 026 de 2023.</w:t>
      </w:r>
    </w:p>
  </w:footnote>
  <w:footnote w:id="166">
    <w:p w14:paraId="79F650A1"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“07.02.25 Municipio de Teorama.pdf”. p. 6.</w:t>
      </w:r>
    </w:p>
  </w:footnote>
  <w:footnote w:id="167">
    <w:p w14:paraId="7980333C"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“RE0000361-Pruebas del Expediente (Recepción y Paso al </w:t>
      </w:r>
      <w:proofErr w:type="gramStart"/>
      <w:r w:rsidRPr="00DD0E75">
        <w:rPr>
          <w:lang w:val="es-MX"/>
        </w:rPr>
        <w:t>Despacho)-(</w:t>
      </w:r>
      <w:proofErr w:type="gramEnd"/>
      <w:r w:rsidRPr="00DD0E75">
        <w:rPr>
          <w:lang w:val="es-MX"/>
        </w:rPr>
        <w:t>2025-02-10 01-25-33).</w:t>
      </w:r>
      <w:proofErr w:type="spellStart"/>
      <w:r w:rsidRPr="00DD0E75">
        <w:rPr>
          <w:lang w:val="es-MX"/>
        </w:rPr>
        <w:t>pdf</w:t>
      </w:r>
      <w:proofErr w:type="spellEnd"/>
      <w:r w:rsidRPr="00DD0E75">
        <w:rPr>
          <w:lang w:val="es-MX"/>
        </w:rPr>
        <w:t>”, p. 8.</w:t>
      </w:r>
    </w:p>
  </w:footnote>
  <w:footnote w:id="168">
    <w:p w14:paraId="463A83A7"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“Se recibe oficio de la doctora Katherine Mora Rosado, alcaldesa municipal de González, César, en respuesta al OPC-024/25”. pp. 10-18.</w:t>
      </w:r>
    </w:p>
  </w:footnote>
  <w:footnote w:id="169">
    <w:p w14:paraId="71A569F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189.</w:t>
      </w:r>
    </w:p>
  </w:footnote>
  <w:footnote w:id="170">
    <w:p w14:paraId="71DEA97A" w14:textId="325C92C0"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pp. 789 y 941.</w:t>
      </w:r>
    </w:p>
  </w:footnote>
  <w:footnote w:id="171">
    <w:p w14:paraId="0618A6A2" w14:textId="736F6FE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pp. 5233 a 5255.</w:t>
      </w:r>
    </w:p>
  </w:footnote>
  <w:footnote w:id="172">
    <w:p w14:paraId="5EA3D950" w14:textId="145A569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Ministerio de Justicia y del Derecho. Informe ejecutivo de monitoreo de territorios con presencia de cultivos de coca 2023. https://www.minjusticia.gov.co/programas-co/ODC/Documents/Publicaciones/Resumen_ejecutivo_SIMCI_COL2023_18102024.pdf.</w:t>
      </w:r>
    </w:p>
  </w:footnote>
  <w:footnote w:id="173">
    <w:p w14:paraId="2BC2D55C"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153.</w:t>
      </w:r>
    </w:p>
  </w:footnote>
  <w:footnote w:id="174">
    <w:p w14:paraId="6C7FEE74" w14:textId="43394B72"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pp. 695 y 696.</w:t>
      </w:r>
    </w:p>
  </w:footnote>
  <w:footnote w:id="175">
    <w:p w14:paraId="02EBD5A6" w14:textId="6D5B8159"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p. 697.</w:t>
      </w:r>
    </w:p>
  </w:footnote>
  <w:footnote w:id="176">
    <w:p w14:paraId="2C6FFE5F"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“Respuesta DAPRE I.pdf”, pp. 12 y 13. Cfr. </w:t>
      </w:r>
      <w:proofErr w:type="spellStart"/>
      <w:r w:rsidRPr="00DD0E75">
        <w:rPr>
          <w:lang w:val="es-MX"/>
        </w:rPr>
        <w:t>Exp</w:t>
      </w:r>
      <w:proofErr w:type="spellEnd"/>
      <w:r w:rsidRPr="00DD0E75">
        <w:rPr>
          <w:lang w:val="es-MX"/>
        </w:rPr>
        <w:t xml:space="preserve">. </w:t>
      </w:r>
      <w:proofErr w:type="spellStart"/>
      <w:r w:rsidRPr="00DD0E75">
        <w:rPr>
          <w:lang w:val="es-MX"/>
        </w:rPr>
        <w:t>dig</w:t>
      </w:r>
      <w:proofErr w:type="spellEnd"/>
      <w:r w:rsidRPr="00DD0E75">
        <w:rPr>
          <w:lang w:val="es-MX"/>
        </w:rPr>
        <w:t>, archivo “RE-361 RESERVADO Anexo 21. Comunicación Dirección Sustitución Cultivos Uso Ilícito 1.pdf”, pp. 4 y 5. El Ministerio de Justicia y del Derecho allegó cifras de 2015 hasta 2023. Sin embargo, por su relevancia, solamente se incluyeron las de 2022 y 2023.</w:t>
      </w:r>
    </w:p>
  </w:footnote>
  <w:footnote w:id="177">
    <w:p w14:paraId="5F7E5DC6"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Op</w:t>
      </w:r>
      <w:proofErr w:type="spellEnd"/>
      <w:r w:rsidRPr="00DD0E75">
        <w:rPr>
          <w:lang w:val="es-MX"/>
        </w:rPr>
        <w:t xml:space="preserve">. Cit. 6. p. 5222. DNP. Informe - soporte documental respecto del Decreto que declara el Estado de Conmoción Interior en la región del Catatumbo”. p. 18. </w:t>
      </w:r>
    </w:p>
  </w:footnote>
  <w:footnote w:id="178">
    <w:p w14:paraId="0DE06EEB" w14:textId="0283EEE0"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179">
    <w:p w14:paraId="46CA706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“Se recibe oficio de la doctora </w:t>
      </w:r>
      <w:proofErr w:type="spellStart"/>
      <w:r w:rsidRPr="00DD0E75">
        <w:rPr>
          <w:lang w:val="es-MX"/>
        </w:rPr>
        <w:t>Lisseth</w:t>
      </w:r>
      <w:proofErr w:type="spellEnd"/>
      <w:r w:rsidRPr="00DD0E75">
        <w:rPr>
          <w:lang w:val="es-MX"/>
        </w:rPr>
        <w:t xml:space="preserve"> Angélica Benavides </w:t>
      </w:r>
      <w:proofErr w:type="spellStart"/>
      <w:r w:rsidRPr="00DD0E75">
        <w:rPr>
          <w:lang w:val="es-MX"/>
        </w:rPr>
        <w:t>Galviz</w:t>
      </w:r>
      <w:proofErr w:type="spellEnd"/>
      <w:r w:rsidRPr="00DD0E75">
        <w:rPr>
          <w:lang w:val="es-MX"/>
        </w:rPr>
        <w:t xml:space="preserve">, jefe de la Oficina Jurídica de la Agencia de Renovación del Territorio -ART-, en respuesta al OPC-030/25.”. Cfr. p. 20. </w:t>
      </w:r>
    </w:p>
  </w:footnote>
  <w:footnote w:id="180">
    <w:p w14:paraId="5F478FDC"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xml:space="preserve">. cit. 6. </w:t>
      </w:r>
      <w:r w:rsidRPr="00DD0E75">
        <w:rPr>
          <w:rFonts w:eastAsiaTheme="minorEastAsia"/>
          <w:lang w:val="es-MX"/>
        </w:rPr>
        <w:t>p</w:t>
      </w:r>
      <w:r w:rsidRPr="00DD0E75">
        <w:rPr>
          <w:lang w:val="es-MX"/>
        </w:rPr>
        <w:t>. 4729.</w:t>
      </w:r>
    </w:p>
  </w:footnote>
  <w:footnote w:id="181">
    <w:p w14:paraId="5766E6B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“Intervención - ciudadana - remitida por: </w:t>
      </w:r>
      <w:proofErr w:type="spellStart"/>
      <w:r w:rsidRPr="00DD0E75">
        <w:rPr>
          <w:lang w:val="es-MX"/>
        </w:rPr>
        <w:t>Ingri</w:t>
      </w:r>
      <w:proofErr w:type="spellEnd"/>
      <w:r w:rsidRPr="00DD0E75">
        <w:rPr>
          <w:lang w:val="es-MX"/>
        </w:rPr>
        <w:t xml:space="preserve"> </w:t>
      </w:r>
      <w:proofErr w:type="spellStart"/>
      <w:r w:rsidRPr="00DD0E75">
        <w:rPr>
          <w:lang w:val="es-MX"/>
        </w:rPr>
        <w:t>Yurley</w:t>
      </w:r>
      <w:proofErr w:type="spellEnd"/>
      <w:r w:rsidRPr="00DD0E75">
        <w:rPr>
          <w:lang w:val="es-MX"/>
        </w:rPr>
        <w:t xml:space="preserve"> Montero Martínez y otros”. p. 4.</w:t>
      </w:r>
    </w:p>
  </w:footnote>
  <w:footnote w:id="182">
    <w:p w14:paraId="511F1D03"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5282 5183.</w:t>
      </w:r>
    </w:p>
  </w:footnote>
  <w:footnote w:id="183">
    <w:p w14:paraId="31A8D99A" w14:textId="48CDCC7C" w:rsidR="001F3006" w:rsidRPr="00DD0E75" w:rsidRDefault="001F3006" w:rsidP="002C5127">
      <w:pPr>
        <w:pStyle w:val="Textonotapie"/>
        <w:rPr>
          <w:lang w:val="en-US"/>
        </w:rPr>
      </w:pPr>
      <w:r w:rsidRPr="00DD0E75">
        <w:rPr>
          <w:rStyle w:val="Refdenotaalpie"/>
          <w:rFonts w:eastAsiaTheme="majorEastAsia"/>
          <w:lang w:val="es-MX"/>
        </w:rPr>
        <w:footnoteRef/>
      </w:r>
      <w:r w:rsidRPr="00DD0E75">
        <w:rPr>
          <w:lang w:val="en-US"/>
        </w:rPr>
        <w:t xml:space="preserve"> Ibid.</w:t>
      </w:r>
    </w:p>
  </w:footnote>
  <w:footnote w:id="184">
    <w:p w14:paraId="35B0B6CC" w14:textId="6E32EBB8" w:rsidR="001F3006" w:rsidRPr="00DD0E75" w:rsidRDefault="001F3006" w:rsidP="002C5127">
      <w:pPr>
        <w:pStyle w:val="Textonotapie"/>
        <w:rPr>
          <w:lang w:val="en-US"/>
        </w:rPr>
      </w:pPr>
      <w:r w:rsidRPr="00DD0E75">
        <w:rPr>
          <w:rStyle w:val="Refdenotaalpie"/>
          <w:rFonts w:eastAsiaTheme="majorEastAsia"/>
          <w:lang w:val="es-MX"/>
        </w:rPr>
        <w:footnoteRef/>
      </w:r>
      <w:r w:rsidRPr="00DD0E75">
        <w:rPr>
          <w:lang w:val="en-US"/>
        </w:rPr>
        <w:t xml:space="preserve"> Ibid. p. 5283.</w:t>
      </w:r>
    </w:p>
  </w:footnote>
  <w:footnote w:id="185">
    <w:p w14:paraId="57617F62" w14:textId="6F3A5D92" w:rsidR="001F3006" w:rsidRPr="00DD0E75" w:rsidRDefault="001F3006" w:rsidP="002C5127">
      <w:pPr>
        <w:pStyle w:val="Textonotapie"/>
        <w:rPr>
          <w:lang w:val="en-US"/>
        </w:rPr>
      </w:pPr>
      <w:r w:rsidRPr="00DD0E75">
        <w:rPr>
          <w:rStyle w:val="Refdenotaalpie"/>
          <w:rFonts w:eastAsiaTheme="majorEastAsia"/>
          <w:lang w:val="es-MX"/>
        </w:rPr>
        <w:footnoteRef/>
      </w:r>
      <w:r w:rsidRPr="00DD0E75">
        <w:rPr>
          <w:lang w:val="en-US"/>
        </w:rPr>
        <w:t xml:space="preserve"> Ibid. p. 5284.</w:t>
      </w:r>
    </w:p>
  </w:footnote>
  <w:footnote w:id="186">
    <w:p w14:paraId="5260B32F" w14:textId="72A6BE10" w:rsidR="001F3006" w:rsidRPr="00DD0E75" w:rsidRDefault="001F3006" w:rsidP="002C5127">
      <w:pPr>
        <w:pStyle w:val="Textonotapie"/>
        <w:rPr>
          <w:lang w:val="en-US"/>
        </w:rPr>
      </w:pPr>
      <w:r w:rsidRPr="00DD0E75">
        <w:rPr>
          <w:rStyle w:val="Refdenotaalpie"/>
          <w:rFonts w:eastAsiaTheme="majorEastAsia"/>
          <w:lang w:val="es-MX"/>
        </w:rPr>
        <w:footnoteRef/>
      </w:r>
      <w:r w:rsidRPr="00DD0E75">
        <w:rPr>
          <w:lang w:val="en-US"/>
        </w:rPr>
        <w:t xml:space="preserve"> Ibid. p. 5281.</w:t>
      </w:r>
    </w:p>
  </w:footnote>
  <w:footnote w:id="187">
    <w:p w14:paraId="62C6F115" w14:textId="194B4F2B" w:rsidR="001F3006" w:rsidRPr="00DD0E75" w:rsidRDefault="001F3006" w:rsidP="002C5127">
      <w:pPr>
        <w:pStyle w:val="Textonotapie"/>
        <w:rPr>
          <w:lang w:val="en-US"/>
        </w:rPr>
      </w:pPr>
      <w:r w:rsidRPr="00DD0E75">
        <w:rPr>
          <w:rStyle w:val="Refdenotaalpie"/>
          <w:rFonts w:eastAsiaTheme="majorEastAsia"/>
          <w:lang w:val="es-MX"/>
        </w:rPr>
        <w:footnoteRef/>
      </w:r>
      <w:r w:rsidRPr="00DD0E75">
        <w:rPr>
          <w:lang w:val="en-US"/>
        </w:rPr>
        <w:t xml:space="preserve"> Ibid. p. 5294.</w:t>
      </w:r>
    </w:p>
  </w:footnote>
  <w:footnote w:id="188">
    <w:p w14:paraId="051B98C3" w14:textId="2E6A4618" w:rsidR="001F3006" w:rsidRPr="00DD0E75" w:rsidRDefault="001F3006" w:rsidP="002C5127">
      <w:pPr>
        <w:pStyle w:val="Textonotapie"/>
        <w:rPr>
          <w:lang w:val="en-US"/>
        </w:rPr>
      </w:pPr>
      <w:r w:rsidRPr="00DD0E75">
        <w:rPr>
          <w:rStyle w:val="Refdenotaalpie"/>
          <w:rFonts w:eastAsiaTheme="majorEastAsia"/>
          <w:lang w:val="es-MX"/>
        </w:rPr>
        <w:footnoteRef/>
      </w:r>
      <w:r w:rsidRPr="00DD0E75">
        <w:rPr>
          <w:lang w:val="en-US"/>
        </w:rPr>
        <w:t xml:space="preserve"> Ibid.</w:t>
      </w:r>
    </w:p>
  </w:footnote>
  <w:footnote w:id="189">
    <w:p w14:paraId="0EC0140F" w14:textId="023D9E9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p. 5295.</w:t>
      </w:r>
    </w:p>
  </w:footnote>
  <w:footnote w:id="190">
    <w:p w14:paraId="18867AA6"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“oficio del Almirante Francisco Hernando </w:t>
      </w:r>
      <w:proofErr w:type="spellStart"/>
      <w:r w:rsidRPr="00DD0E75">
        <w:rPr>
          <w:lang w:val="es-MX"/>
        </w:rPr>
        <w:t>Cubides</w:t>
      </w:r>
      <w:proofErr w:type="spellEnd"/>
      <w:r w:rsidRPr="00DD0E75">
        <w:rPr>
          <w:lang w:val="es-MX"/>
        </w:rPr>
        <w:t xml:space="preserve"> Granados, Comandante General de las Fuerzas Militares, en respuesta al OPC-026/25.”. p. 14.</w:t>
      </w:r>
    </w:p>
  </w:footnote>
  <w:footnote w:id="191">
    <w:p w14:paraId="7A1BF7FC"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28.</w:t>
      </w:r>
    </w:p>
  </w:footnote>
  <w:footnote w:id="192">
    <w:p w14:paraId="1E057BE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w:t>
      </w:r>
      <w:r w:rsidRPr="00DD0E75">
        <w:rPr>
          <w:rFonts w:eastAsiaTheme="minorEastAsia"/>
          <w:lang w:val="es-MX"/>
        </w:rPr>
        <w:t xml:space="preserve"> “RE</w:t>
      </w:r>
      <w:r w:rsidRPr="00DD0E75">
        <w:rPr>
          <w:lang w:val="es-MX"/>
        </w:rPr>
        <w:t>0000361-Conceptos e Intervenciones-(2025-02-10 11-42-30).</w:t>
      </w:r>
      <w:proofErr w:type="spellStart"/>
      <w:r w:rsidRPr="00DD0E75">
        <w:rPr>
          <w:lang w:val="es-MX"/>
        </w:rPr>
        <w:t>pdf</w:t>
      </w:r>
      <w:proofErr w:type="spellEnd"/>
      <w:r w:rsidRPr="00DD0E75">
        <w:rPr>
          <w:lang w:val="es-MX"/>
        </w:rPr>
        <w:t>”. p. 9.</w:t>
      </w:r>
    </w:p>
  </w:footnote>
  <w:footnote w:id="193">
    <w:p w14:paraId="536F2269"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w:t>
      </w:r>
      <w:r w:rsidRPr="00DD0E75">
        <w:rPr>
          <w:rFonts w:eastAsiaTheme="minorEastAsia"/>
          <w:lang w:val="es-MX"/>
        </w:rPr>
        <w:t>“</w:t>
      </w:r>
      <w:r w:rsidRPr="00DD0E75">
        <w:rPr>
          <w:lang w:val="es-MX"/>
        </w:rPr>
        <w:t>RE0000361-Conceptos e Intervenciones-(2025-02-08 05-46-33).</w:t>
      </w:r>
      <w:proofErr w:type="spellStart"/>
      <w:r w:rsidRPr="00DD0E75">
        <w:rPr>
          <w:lang w:val="es-MX"/>
        </w:rPr>
        <w:t>pdf</w:t>
      </w:r>
      <w:proofErr w:type="spellEnd"/>
      <w:r w:rsidRPr="00DD0E75">
        <w:rPr>
          <w:lang w:val="es-MX"/>
        </w:rPr>
        <w:t>”. pp. 4-5.</w:t>
      </w:r>
    </w:p>
  </w:footnote>
  <w:footnote w:id="194">
    <w:p w14:paraId="6987F9A6"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Defensoría del Pueblo, Alerta Temprana 009 de 2023, p. 33.</w:t>
      </w:r>
    </w:p>
  </w:footnote>
  <w:footnote w:id="195">
    <w:p w14:paraId="2081378A" w14:textId="23353A36"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5260.</w:t>
      </w:r>
    </w:p>
  </w:footnote>
  <w:footnote w:id="196">
    <w:p w14:paraId="183C61A2"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“RE-361.Anexos 11 al 20 Respuesta al OPC-020 de 2025 - Presidencia de la República. Algunos documentos reservados”. p. 278.</w:t>
      </w:r>
    </w:p>
  </w:footnote>
  <w:footnote w:id="197">
    <w:p w14:paraId="5F7A35AD"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Defensoría del Pueblo, Alerta Temprana 026 de 2024, p. 8.</w:t>
      </w:r>
    </w:p>
  </w:footnote>
  <w:footnote w:id="198">
    <w:p w14:paraId="6E6A260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“RE000361. Documento reservado “25.02.25 </w:t>
      </w:r>
      <w:proofErr w:type="spellStart"/>
      <w:r w:rsidRPr="00DD0E75">
        <w:rPr>
          <w:lang w:val="es-MX"/>
        </w:rPr>
        <w:t>Intervención</w:t>
      </w:r>
      <w:proofErr w:type="spellEnd"/>
      <w:r w:rsidRPr="00DD0E75">
        <w:rPr>
          <w:lang w:val="es-MX"/>
        </w:rPr>
        <w:t xml:space="preserve"> DAPRE y ministerios.pdf”. p. 31.</w:t>
      </w:r>
    </w:p>
  </w:footnote>
  <w:footnote w:id="199">
    <w:p w14:paraId="7941E83B" w14:textId="39CA102E"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30 y 100.</w:t>
      </w:r>
    </w:p>
  </w:footnote>
  <w:footnote w:id="200">
    <w:p w14:paraId="70770BDA"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Alerta Temprana 27 de 2024, pp. 14 y 15; Alerta Temprana 26 de 2024, p. 13; y Alerta Temprana 21 de 2024, p. 7.</w:t>
      </w:r>
    </w:p>
  </w:footnote>
  <w:footnote w:id="201">
    <w:p w14:paraId="220EA41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pp. 71 a 92.</w:t>
      </w:r>
    </w:p>
  </w:footnote>
  <w:footnote w:id="202">
    <w:p w14:paraId="26BA67A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reservado “Respuesta a oficio de pruebas OPC-078-25 por parte de la Policía Nacional, Grupo de Asunto Legales”. pp. 59 a 115.</w:t>
      </w:r>
    </w:p>
  </w:footnote>
  <w:footnote w:id="203">
    <w:p w14:paraId="5827C603"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pp. 34 y 35.</w:t>
      </w:r>
    </w:p>
  </w:footnote>
  <w:footnote w:id="204">
    <w:p w14:paraId="08E4587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pp. 173-181. Allí se encuentra el “Boletín Situación Humanitaria en Norte de Santander” del 23 de enero de 2025, de la Policía Nacional.</w:t>
      </w:r>
    </w:p>
  </w:footnote>
  <w:footnote w:id="205">
    <w:p w14:paraId="3B221B2E"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reservado “25.02.25 Intervención DAPRE y ministerios.pdf”. p. 30. Allí se encuentra el enlace para consultar el Boletín No. 33 del 22 de febrero de 2025, del Balance del Puesto de Mando Unificado Catatumbo.</w:t>
      </w:r>
    </w:p>
  </w:footnote>
  <w:footnote w:id="206">
    <w:p w14:paraId="267980AA"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pp. 731 a 737.</w:t>
      </w:r>
    </w:p>
  </w:footnote>
  <w:footnote w:id="207">
    <w:p w14:paraId="1E49C22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“RE0000361-Conceptos e Intervenciones-(2025-03-10 18-39-33).</w:t>
      </w:r>
      <w:proofErr w:type="spellStart"/>
      <w:r w:rsidRPr="00DD0E75">
        <w:rPr>
          <w:lang w:val="es-MX"/>
        </w:rPr>
        <w:t>pdf</w:t>
      </w:r>
      <w:proofErr w:type="spellEnd"/>
      <w:r w:rsidRPr="00DD0E75">
        <w:rPr>
          <w:lang w:val="es-MX"/>
        </w:rPr>
        <w:t>”. p. 11.</w:t>
      </w:r>
    </w:p>
  </w:footnote>
  <w:footnote w:id="208">
    <w:p w14:paraId="0EA9A46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Decreto 62 de 2025. </w:t>
      </w:r>
    </w:p>
  </w:footnote>
  <w:footnote w:id="209">
    <w:p w14:paraId="1D14447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pp. 31-92.</w:t>
      </w:r>
    </w:p>
  </w:footnote>
  <w:footnote w:id="210">
    <w:p w14:paraId="2D93E65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Juan Manuel </w:t>
      </w:r>
      <w:proofErr w:type="spellStart"/>
      <w:r w:rsidRPr="00DD0E75">
        <w:rPr>
          <w:lang w:val="es-MX"/>
        </w:rPr>
        <w:t>Charry</w:t>
      </w:r>
      <w:proofErr w:type="spellEnd"/>
      <w:r w:rsidRPr="00DD0E75">
        <w:rPr>
          <w:lang w:val="es-MX"/>
        </w:rPr>
        <w:t xml:space="preserve"> y el Colectivo de Abogados y Abogadas José Alvear Restrepo, principalmente.</w:t>
      </w:r>
    </w:p>
  </w:footnote>
  <w:footnote w:id="211">
    <w:p w14:paraId="1DF898A2" w14:textId="77777777"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Expediente digital. Archivo “Respuesta DAPRE II.pdf”, p. 23. Cfr. Expediente digital. Archivo “RE-361.Anexos 11 al 20 Respuesta al OPC-020 de 2025 - Presidencia de la República. Algunos documentos reservados.pdf”. pp. 96 a 104.</w:t>
      </w:r>
    </w:p>
  </w:footnote>
  <w:footnote w:id="212">
    <w:p w14:paraId="65045072" w14:textId="582BD804"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213">
    <w:p w14:paraId="718F1E32" w14:textId="77777777"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vertAlign w:val="superscript"/>
          <w:lang w:val="es-MX"/>
        </w:rPr>
        <w:t xml:space="preserve"> </w:t>
      </w:r>
      <w:r w:rsidRPr="00DD0E75">
        <w:rPr>
          <w:rFonts w:cs="Times New Roman"/>
          <w:sz w:val="20"/>
          <w:szCs w:val="20"/>
          <w:lang w:val="es-MX"/>
        </w:rPr>
        <w:t xml:space="preserve">Expediente digital. </w:t>
      </w:r>
      <w:proofErr w:type="spellStart"/>
      <w:r w:rsidRPr="00DD0E75">
        <w:rPr>
          <w:rFonts w:cs="Times New Roman"/>
          <w:sz w:val="20"/>
          <w:szCs w:val="20"/>
          <w:lang w:val="es-MX"/>
        </w:rPr>
        <w:t>Op</w:t>
      </w:r>
      <w:proofErr w:type="spellEnd"/>
      <w:r w:rsidRPr="00DD0E75">
        <w:rPr>
          <w:rFonts w:cs="Times New Roman"/>
          <w:sz w:val="20"/>
          <w:szCs w:val="20"/>
          <w:lang w:val="es-MX"/>
        </w:rPr>
        <w:t>. cit. 6. p. 6165.</w:t>
      </w:r>
    </w:p>
  </w:footnote>
  <w:footnote w:id="214">
    <w:p w14:paraId="1A865CE0" w14:textId="31CE6CF1"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vertAlign w:val="superscript"/>
          <w:lang w:val="es-MX"/>
        </w:rPr>
        <w:t xml:space="preserve"> </w:t>
      </w:r>
      <w:proofErr w:type="spellStart"/>
      <w:r w:rsidRPr="00DD0E75">
        <w:rPr>
          <w:rFonts w:cs="Times New Roman"/>
          <w:sz w:val="20"/>
          <w:szCs w:val="20"/>
          <w:lang w:val="es-MX"/>
        </w:rPr>
        <w:t>Ibid</w:t>
      </w:r>
      <w:proofErr w:type="spellEnd"/>
      <w:r w:rsidRPr="00DD0E75">
        <w:rPr>
          <w:rFonts w:cs="Times New Roman"/>
          <w:sz w:val="20"/>
          <w:szCs w:val="20"/>
          <w:lang w:val="es-MX"/>
        </w:rPr>
        <w:t>.</w:t>
      </w:r>
    </w:p>
  </w:footnote>
  <w:footnote w:id="215">
    <w:p w14:paraId="2FA5C8D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“RE-361.Anexos 11 al 20 Respuesta al OPC-020 de 2025 - Presidencia de la República. Algunos documentos reservados”. p. 13.</w:t>
      </w:r>
    </w:p>
  </w:footnote>
  <w:footnote w:id="216">
    <w:p w14:paraId="0616437D" w14:textId="530B4FC5"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217">
    <w:p w14:paraId="1F27B70D" w14:textId="43198295"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p. 14.</w:t>
      </w:r>
    </w:p>
  </w:footnote>
  <w:footnote w:id="218">
    <w:p w14:paraId="51A640BE"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66.</w:t>
      </w:r>
    </w:p>
  </w:footnote>
  <w:footnote w:id="219">
    <w:p w14:paraId="720E9CC0"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w:t>
      </w:r>
      <w:r w:rsidRPr="00DD0E75">
        <w:rPr>
          <w:rFonts w:eastAsiaTheme="minorEastAsia"/>
          <w:lang w:val="es-MX"/>
        </w:rPr>
        <w:t>“</w:t>
      </w:r>
      <w:r w:rsidRPr="00DD0E75">
        <w:rPr>
          <w:lang w:val="es-MX"/>
        </w:rPr>
        <w:t>Respuesta a oficio OPC-024/25 - Alcaldía de la Playa.pdf”. p. 3.</w:t>
      </w:r>
    </w:p>
  </w:footnote>
  <w:footnote w:id="220">
    <w:p w14:paraId="35A068E3" w14:textId="06D826AD"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w:t>
      </w:r>
      <w:r w:rsidRPr="00DD0E75">
        <w:rPr>
          <w:rFonts w:eastAsiaTheme="minorEastAsia"/>
          <w:lang w:val="es-MX"/>
        </w:rPr>
        <w:t>o “RE000</w:t>
      </w:r>
      <w:r w:rsidRPr="00DD0E75">
        <w:rPr>
          <w:lang w:val="es-MX"/>
        </w:rPr>
        <w:t xml:space="preserve">0361-Pruebas del Expediente (Recepción y Paso al </w:t>
      </w:r>
      <w:proofErr w:type="gramStart"/>
      <w:r w:rsidRPr="00DD0E75">
        <w:rPr>
          <w:lang w:val="es-MX"/>
        </w:rPr>
        <w:t>Despacho)-(</w:t>
      </w:r>
      <w:proofErr w:type="gramEnd"/>
      <w:r w:rsidRPr="00DD0E75">
        <w:rPr>
          <w:lang w:val="es-MX"/>
        </w:rPr>
        <w:t>2025-02-20 20-38-47)-.</w:t>
      </w:r>
      <w:proofErr w:type="spellStart"/>
      <w:r w:rsidRPr="00DD0E75">
        <w:rPr>
          <w:lang w:val="es-MX"/>
        </w:rPr>
        <w:t>pdf</w:t>
      </w:r>
      <w:proofErr w:type="spellEnd"/>
      <w:r w:rsidRPr="00DD0E75">
        <w:rPr>
          <w:lang w:val="es-MX"/>
        </w:rPr>
        <w:t>”. p. 2- 3</w:t>
      </w:r>
    </w:p>
  </w:footnote>
  <w:footnote w:id="221">
    <w:p w14:paraId="65E49F1C" w14:textId="2F91BED2"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w:t>
      </w:r>
      <w:r w:rsidRPr="00DD0E75">
        <w:rPr>
          <w:rFonts w:eastAsiaTheme="minorEastAsia"/>
          <w:lang w:val="es-MX"/>
        </w:rPr>
        <w:t>“Anexos RE0000361-Presentación Demanda-(2025-01-28 00-17-39).</w:t>
      </w:r>
      <w:proofErr w:type="spellStart"/>
      <w:r w:rsidRPr="00DD0E75">
        <w:rPr>
          <w:rFonts w:eastAsiaTheme="minorEastAsia"/>
          <w:lang w:val="es-MX"/>
        </w:rPr>
        <w:t>pdf</w:t>
      </w:r>
      <w:proofErr w:type="spellEnd"/>
      <w:r w:rsidRPr="00DD0E75">
        <w:rPr>
          <w:rFonts w:eastAsiaTheme="minorEastAsia"/>
          <w:lang w:val="es-MX"/>
        </w:rPr>
        <w:t xml:space="preserve">”. </w:t>
      </w:r>
      <w:proofErr w:type="spellStart"/>
      <w:r w:rsidRPr="00DD0E75">
        <w:rPr>
          <w:lang w:val="es-MX"/>
        </w:rPr>
        <w:t>Ibid</w:t>
      </w:r>
      <w:proofErr w:type="spellEnd"/>
      <w:r w:rsidRPr="00DD0E75">
        <w:rPr>
          <w:lang w:val="es-MX"/>
        </w:rPr>
        <w:t>. pp. 173 a 181.</w:t>
      </w:r>
    </w:p>
  </w:footnote>
  <w:footnote w:id="222">
    <w:p w14:paraId="0EB8DC6D"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w:t>
      </w:r>
      <w:r w:rsidRPr="00DD0E75">
        <w:rPr>
          <w:rFonts w:eastAsia="Aptos"/>
          <w:lang w:val="es-MX"/>
        </w:rPr>
        <w:t xml:space="preserve"> “</w:t>
      </w:r>
      <w:r w:rsidRPr="00DD0E75">
        <w:rPr>
          <w:lang w:val="es-MX"/>
        </w:rPr>
        <w:t>RE0000361-Pruebas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2025-02-06 23-12-01).</w:t>
      </w:r>
      <w:proofErr w:type="spellStart"/>
      <w:r w:rsidRPr="00DD0E75">
        <w:rPr>
          <w:lang w:val="es-MX"/>
        </w:rPr>
        <w:t>pdf</w:t>
      </w:r>
      <w:proofErr w:type="spellEnd"/>
      <w:r w:rsidRPr="00DD0E75">
        <w:rPr>
          <w:lang w:val="es-MX"/>
        </w:rPr>
        <w:t>”. p. 20.</w:t>
      </w:r>
    </w:p>
  </w:footnote>
  <w:footnote w:id="223">
    <w:p w14:paraId="64ED009C"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reservado “25.02.25 </w:t>
      </w:r>
      <w:proofErr w:type="spellStart"/>
      <w:r w:rsidRPr="00DD0E75">
        <w:rPr>
          <w:lang w:val="es-MX"/>
        </w:rPr>
        <w:t>Intervención</w:t>
      </w:r>
      <w:proofErr w:type="spellEnd"/>
      <w:r w:rsidRPr="00DD0E75">
        <w:rPr>
          <w:lang w:val="es-MX"/>
        </w:rPr>
        <w:t xml:space="preserve"> DAPRE y ministerios.pdf”. p. 30.</w:t>
      </w:r>
    </w:p>
  </w:footnote>
  <w:footnote w:id="224">
    <w:p w14:paraId="733D57A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“RE0000361-Conceptos e Intervenciones-(2025-03-04 01-40-35).</w:t>
      </w:r>
      <w:proofErr w:type="spellStart"/>
      <w:r w:rsidRPr="00DD0E75">
        <w:rPr>
          <w:lang w:val="es-MX"/>
        </w:rPr>
        <w:t>pdf</w:t>
      </w:r>
      <w:proofErr w:type="spellEnd"/>
      <w:r w:rsidRPr="00DD0E75">
        <w:rPr>
          <w:lang w:val="es-MX"/>
        </w:rPr>
        <w:t>”. p. 5-6.</w:t>
      </w:r>
    </w:p>
  </w:footnote>
  <w:footnote w:id="225">
    <w:p w14:paraId="1358B2F5" w14:textId="0BAF07A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“Examen del informe presentado por el Gobierno nacional a la Cámara de Representantes con ocasión del Estado de Emergencia declarado mediante el Decreto 62 del 24 de enero de 2025 en virtud de lo dispuesto en el artículo 213 de la Constitución”, 17 de febrero de 2025, p. 17.</w:t>
      </w:r>
    </w:p>
  </w:footnote>
  <w:footnote w:id="226">
    <w:p w14:paraId="4CD61C46"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Universidad Libre y </w:t>
      </w:r>
      <w:proofErr w:type="spellStart"/>
      <w:r w:rsidRPr="00DD0E75">
        <w:rPr>
          <w:lang w:val="es-MX"/>
        </w:rPr>
        <w:t>Duvalier</w:t>
      </w:r>
      <w:proofErr w:type="spellEnd"/>
      <w:r w:rsidRPr="00DD0E75">
        <w:rPr>
          <w:lang w:val="es-MX"/>
        </w:rPr>
        <w:t xml:space="preserve"> Sánchez.</w:t>
      </w:r>
    </w:p>
  </w:footnote>
  <w:footnote w:id="227">
    <w:p w14:paraId="21D067FE" w14:textId="77777777" w:rsidR="001F3006" w:rsidRPr="00DD0E75" w:rsidRDefault="001F3006" w:rsidP="00680BFF">
      <w:pPr>
        <w:pStyle w:val="Textonotapie"/>
        <w:rPr>
          <w:lang w:val="es-MX"/>
        </w:rPr>
      </w:pPr>
      <w:r w:rsidRPr="00DD0E75">
        <w:rPr>
          <w:rStyle w:val="Refdenotaalpie"/>
          <w:lang w:val="es-MX"/>
        </w:rPr>
        <w:footnoteRef/>
      </w:r>
      <w:r w:rsidRPr="00DD0E75">
        <w:rPr>
          <w:lang w:val="es-MX"/>
        </w:rPr>
        <w:t xml:space="preserve"> </w:t>
      </w:r>
      <w:r w:rsidRPr="00DD0E75">
        <w:rPr>
          <w:color w:val="000000"/>
          <w:bdr w:val="none" w:sz="0" w:space="0" w:color="auto" w:frame="1"/>
          <w:lang w:val="es-MX"/>
        </w:rPr>
        <w:t>Defensoría de Pueblo. 2025. Boletín Mensual. Dinámicas de Movilidad Humana Forzada en Colombia. Defensoría Delegada para los Derechos de la Población en Movilidad Humana – DDPMH. Marzo de 2025.</w:t>
      </w:r>
    </w:p>
  </w:footnote>
  <w:footnote w:id="228">
    <w:p w14:paraId="53322CE0" w14:textId="77777777" w:rsidR="001F3006" w:rsidRPr="00DD0E75" w:rsidRDefault="001F3006" w:rsidP="00680BFF">
      <w:pPr>
        <w:rPr>
          <w:rFonts w:eastAsia="Times New Roman" w:cs="Times New Roman"/>
          <w:kern w:val="0"/>
          <w:sz w:val="20"/>
          <w:szCs w:val="20"/>
          <w:lang w:val="es-MX"/>
          <w14:ligatures w14:val="none"/>
        </w:rPr>
      </w:pPr>
      <w:r w:rsidRPr="00DD0E75">
        <w:rPr>
          <w:rStyle w:val="Refdenotaalpie"/>
          <w:rFonts w:cs="Times New Roman"/>
          <w:sz w:val="20"/>
          <w:szCs w:val="20"/>
          <w:lang w:val="es-MX"/>
        </w:rPr>
        <w:footnoteRef/>
      </w:r>
      <w:r w:rsidRPr="00DD0E75">
        <w:rPr>
          <w:rFonts w:cs="Times New Roman"/>
          <w:sz w:val="20"/>
          <w:szCs w:val="20"/>
          <w:lang w:val="es-MX"/>
        </w:rPr>
        <w:t xml:space="preserve"> </w:t>
      </w:r>
      <w:r w:rsidRPr="00DD0E75">
        <w:rPr>
          <w:rFonts w:eastAsia="Times New Roman" w:cs="Times New Roman"/>
          <w:color w:val="000000" w:themeColor="text1"/>
          <w:sz w:val="20"/>
          <w:szCs w:val="20"/>
          <w:lang w:val="es-MX"/>
        </w:rPr>
        <w:t xml:space="preserve">Grupo </w:t>
      </w:r>
      <w:proofErr w:type="spellStart"/>
      <w:r w:rsidRPr="00DD0E75">
        <w:rPr>
          <w:rFonts w:eastAsia="Times New Roman" w:cs="Times New Roman"/>
          <w:color w:val="000000" w:themeColor="text1"/>
          <w:sz w:val="20"/>
          <w:szCs w:val="20"/>
          <w:lang w:val="es-MX"/>
        </w:rPr>
        <w:t>Interagencial</w:t>
      </w:r>
      <w:proofErr w:type="spellEnd"/>
      <w:r w:rsidRPr="00DD0E75">
        <w:rPr>
          <w:rFonts w:eastAsia="Times New Roman" w:cs="Times New Roman"/>
          <w:color w:val="000000"/>
          <w:kern w:val="0"/>
          <w:sz w:val="20"/>
          <w:szCs w:val="20"/>
          <w:shd w:val="clear" w:color="auto" w:fill="FFFFFF"/>
          <w:lang w:val="es-MX"/>
          <w14:ligatures w14:val="none"/>
        </w:rPr>
        <w:t xml:space="preserve"> de Flujos Migratorios Mixtos -GIFMM. </w:t>
      </w:r>
      <w:r w:rsidRPr="00DD0E75">
        <w:rPr>
          <w:rFonts w:eastAsia="Times New Roman" w:cs="Times New Roman"/>
          <w:i/>
          <w:iCs/>
          <w:color w:val="000000"/>
          <w:kern w:val="0"/>
          <w:sz w:val="20"/>
          <w:szCs w:val="20"/>
          <w:shd w:val="clear" w:color="auto" w:fill="FFFFFF"/>
          <w:lang w:val="es-MX"/>
          <w14:ligatures w14:val="none"/>
        </w:rPr>
        <w:t>Afectación emergencia Región del Catatumbo, Colombia</w:t>
      </w:r>
      <w:r w:rsidRPr="00DD0E75">
        <w:rPr>
          <w:rFonts w:eastAsia="Times New Roman" w:cs="Times New Roman"/>
          <w:color w:val="000000"/>
          <w:kern w:val="0"/>
          <w:sz w:val="20"/>
          <w:szCs w:val="20"/>
          <w:shd w:val="clear" w:color="auto" w:fill="FFFFFF"/>
          <w:lang w:val="es-MX"/>
          <w14:ligatures w14:val="none"/>
        </w:rPr>
        <w:t>, disponible en: https://app.powerbi.com/view?r=eyJrIjoiYjE3MzE2MWMtOGQ2Ny00Y2RiLTllNzEtYWIwYTUxNGY3ZjU1IiwidCI6IjNlOTQyYWU0LWNkOTMtNGQzNy1iZTJmLTY5MzllNDNjMTRiNyJ9</w:t>
      </w:r>
    </w:p>
  </w:footnote>
  <w:footnote w:id="229">
    <w:p w14:paraId="273DF05A" w14:textId="50A59544" w:rsidR="001F3006" w:rsidRPr="00DD0E75" w:rsidRDefault="001F3006">
      <w:pPr>
        <w:pStyle w:val="Textonotapie"/>
      </w:pPr>
      <w:r w:rsidRPr="00DD0E75">
        <w:rPr>
          <w:rStyle w:val="Refdenotaalpie"/>
        </w:rPr>
        <w:footnoteRef/>
      </w:r>
      <w:r w:rsidRPr="00DD0E75">
        <w:t xml:space="preserve"> </w:t>
      </w:r>
      <w:r w:rsidRPr="00DD0E75">
        <w:rPr>
          <w:lang w:val="es-MX"/>
        </w:rPr>
        <w:t>El artículo 12 del Decreto 2569 de 2000 define los desplazamientos masivos como “el desplazamiento conjunto de diez (10) o más hogares, o de cincuenta (50) o más personas”.</w:t>
      </w:r>
    </w:p>
  </w:footnote>
  <w:footnote w:id="230">
    <w:p w14:paraId="6B8AC4FF" w14:textId="598C671C" w:rsidR="001F3006" w:rsidRPr="00DD0E75" w:rsidRDefault="001F3006">
      <w:pPr>
        <w:pStyle w:val="Textonotapie"/>
      </w:pPr>
      <w:r w:rsidRPr="00DD0E75">
        <w:rPr>
          <w:rStyle w:val="Refdenotaalpie"/>
        </w:rPr>
        <w:footnoteRef/>
      </w:r>
      <w:r w:rsidRPr="00DD0E75">
        <w:t xml:space="preserve"> Defensoría del Pueblo. </w:t>
      </w:r>
      <w:r w:rsidRPr="00DD0E75">
        <w:rPr>
          <w:i/>
          <w:iCs/>
        </w:rPr>
        <w:t>Boletín Mensual. Dinámicas de Movilidad Humana Forzada en Colombia. Defensoría Delegada para los Derechos de la Población en Movilidad Humana (DDPMH)</w:t>
      </w:r>
      <w:r w:rsidRPr="00DD0E75">
        <w:t xml:space="preserve">. Enero – 15 de marzo de 2025. Disponible en: </w:t>
      </w:r>
      <w:hyperlink r:id="rId6" w:history="1">
        <w:r w:rsidRPr="00DD0E75">
          <w:rPr>
            <w:rStyle w:val="Hipervnculo"/>
          </w:rPr>
          <w:t>https://www.defensoria.gov.co/-/boletines-mensuales-defensoria-del-pueblo-movilidad-forzada-en-colombia</w:t>
        </w:r>
      </w:hyperlink>
      <w:r w:rsidRPr="00DD0E75">
        <w:t xml:space="preserve"> </w:t>
      </w:r>
    </w:p>
  </w:footnote>
  <w:footnote w:id="231">
    <w:p w14:paraId="1AD36BBC" w14:textId="5FA34264" w:rsidR="001F3006" w:rsidRPr="00DD0E75" w:rsidRDefault="001F3006">
      <w:pPr>
        <w:pStyle w:val="Textonotapie"/>
      </w:pPr>
      <w:r w:rsidRPr="00DD0E75">
        <w:rPr>
          <w:rStyle w:val="Refdenotaalpie"/>
        </w:rPr>
        <w:footnoteRef/>
      </w:r>
      <w:r w:rsidRPr="00DD0E75">
        <w:t xml:space="preserve"> UARIV. </w:t>
      </w:r>
      <w:r w:rsidRPr="00DD0E75">
        <w:rPr>
          <w:i/>
          <w:iCs/>
        </w:rPr>
        <w:t>Base unificada del Registro Único de Víctimas.</w:t>
      </w:r>
      <w:r w:rsidRPr="00DD0E75">
        <w:t xml:space="preserve"> Años 2012 a 2024</w:t>
      </w:r>
    </w:p>
  </w:footnote>
  <w:footnote w:id="232">
    <w:p w14:paraId="7B39A0D1" w14:textId="77777777" w:rsidR="001F3006" w:rsidRPr="00DD0E75" w:rsidRDefault="001F3006" w:rsidP="0067480B">
      <w:pPr>
        <w:pStyle w:val="Textonotapie"/>
        <w:jc w:val="left"/>
      </w:pPr>
      <w:r w:rsidRPr="00DD0E75">
        <w:rPr>
          <w:rStyle w:val="Refdenotaalpie"/>
        </w:rPr>
        <w:footnoteRef/>
      </w:r>
      <w:r w:rsidRPr="00DD0E75">
        <w:t xml:space="preserve"> La inscripción de las víctimas en el RUV tras la formulación de su declaración tarda tres meses o más, por esta razón los datos del RUV de 2025 no están aún actualizados, por ello la Sala recurrió a los datos que tiene la </w:t>
      </w:r>
      <w:proofErr w:type="spellStart"/>
      <w:r w:rsidRPr="00DD0E75">
        <w:t>Defenosría</w:t>
      </w:r>
      <w:proofErr w:type="spellEnd"/>
      <w:r w:rsidRPr="00DD0E75">
        <w:t xml:space="preserve"> de 2025.</w:t>
      </w:r>
    </w:p>
  </w:footnote>
  <w:footnote w:id="233">
    <w:p w14:paraId="4D0776E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730.</w:t>
      </w:r>
    </w:p>
  </w:footnote>
  <w:footnote w:id="234">
    <w:p w14:paraId="3269751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 494.</w:t>
      </w:r>
    </w:p>
  </w:footnote>
  <w:footnote w:id="235">
    <w:p w14:paraId="12BD4F18" w14:textId="42DDBDBB"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495.</w:t>
      </w:r>
    </w:p>
  </w:footnote>
  <w:footnote w:id="236">
    <w:p w14:paraId="0390027F"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“RE0000361-Pruebas del Expediente (Recepción y Paso al </w:t>
      </w:r>
      <w:proofErr w:type="gramStart"/>
      <w:r w:rsidRPr="00DD0E75">
        <w:rPr>
          <w:lang w:val="es-MX"/>
        </w:rPr>
        <w:t>Despacho)-(</w:t>
      </w:r>
      <w:proofErr w:type="gramEnd"/>
      <w:r w:rsidRPr="00DD0E75">
        <w:rPr>
          <w:lang w:val="es-MX"/>
        </w:rPr>
        <w:t>2025-02-10 01-25-33).</w:t>
      </w:r>
      <w:proofErr w:type="spellStart"/>
      <w:r w:rsidRPr="00DD0E75">
        <w:rPr>
          <w:lang w:val="es-MX"/>
        </w:rPr>
        <w:t>pdf</w:t>
      </w:r>
      <w:proofErr w:type="spellEnd"/>
      <w:r w:rsidRPr="00DD0E75">
        <w:rPr>
          <w:lang w:val="es-MX"/>
        </w:rPr>
        <w:t>”. p. 7.</w:t>
      </w:r>
    </w:p>
  </w:footnote>
  <w:footnote w:id="237">
    <w:p w14:paraId="46BC6D25"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w:t>
      </w:r>
      <w:r w:rsidRPr="00DD0E75">
        <w:rPr>
          <w:rFonts w:eastAsiaTheme="minorEastAsia"/>
          <w:lang w:val="es-MX"/>
        </w:rPr>
        <w:t>“RE0000361-Conceptos e Intervenciones-(2025-03-10 18-39-33).</w:t>
      </w:r>
      <w:proofErr w:type="spellStart"/>
      <w:r w:rsidRPr="00DD0E75">
        <w:rPr>
          <w:lang w:val="es-MX"/>
        </w:rPr>
        <w:t>pdf</w:t>
      </w:r>
      <w:proofErr w:type="spellEnd"/>
      <w:r w:rsidRPr="00DD0E75">
        <w:rPr>
          <w:lang w:val="es-MX"/>
        </w:rPr>
        <w:t>”. p. 9.</w:t>
      </w:r>
    </w:p>
  </w:footnote>
  <w:footnote w:id="238">
    <w:p w14:paraId="2F21F59B" w14:textId="11231323" w:rsidR="001F3006" w:rsidRPr="00DD0E75" w:rsidRDefault="001F3006">
      <w:pPr>
        <w:pStyle w:val="Textonotapie"/>
        <w:rPr>
          <w:lang w:val="es-ES_tradnl"/>
        </w:rPr>
      </w:pPr>
      <w:r w:rsidRPr="00DD0E75">
        <w:rPr>
          <w:rStyle w:val="Refdenotaalpie"/>
        </w:rPr>
        <w:footnoteRef/>
      </w:r>
      <w:r w:rsidRPr="00DD0E75">
        <w:t xml:space="preserve"> </w:t>
      </w:r>
      <w:r w:rsidRPr="00DD0E75">
        <w:rPr>
          <w:lang w:val="es-ES_tradnl"/>
        </w:rPr>
        <w:t>Los boletines fueron consultados en la cuenta de la red social X de la Gobernación de Norte de Santander.</w:t>
      </w:r>
    </w:p>
  </w:footnote>
  <w:footnote w:id="239">
    <w:p w14:paraId="45B40852"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proofErr w:type="spellStart"/>
      <w:r w:rsidRPr="00DD0E75">
        <w:rPr>
          <w:lang w:val="es-MX"/>
        </w:rPr>
        <w:t>Op</w:t>
      </w:r>
      <w:proofErr w:type="spellEnd"/>
      <w:r w:rsidRPr="00DD0E75">
        <w:rPr>
          <w:lang w:val="es-MX"/>
        </w:rPr>
        <w:t>. cit. 6. pp. 52-60.</w:t>
      </w:r>
    </w:p>
  </w:footnote>
  <w:footnote w:id="240">
    <w:p w14:paraId="26B01080" w14:textId="4010B900" w:rsidR="001F3006" w:rsidRPr="00DD0E75" w:rsidRDefault="001F3006" w:rsidP="002C5127">
      <w:pPr>
        <w:pStyle w:val="Textonotapie"/>
        <w:rPr>
          <w:lang w:val="en-US"/>
        </w:rPr>
      </w:pPr>
      <w:r w:rsidRPr="00DD0E75">
        <w:rPr>
          <w:rStyle w:val="Refdenotaalpie"/>
          <w:rFonts w:eastAsiaTheme="majorEastAsia"/>
          <w:lang w:val="es-MX"/>
        </w:rPr>
        <w:footnoteRef/>
      </w:r>
      <w:r w:rsidRPr="00DD0E75">
        <w:rPr>
          <w:lang w:val="en-US"/>
        </w:rPr>
        <w:t xml:space="preserve"> Ibid. p. 177.</w:t>
      </w:r>
    </w:p>
  </w:footnote>
  <w:footnote w:id="241">
    <w:p w14:paraId="4B75C8C1" w14:textId="0459990E" w:rsidR="001F3006" w:rsidRPr="00DD0E75" w:rsidRDefault="001F3006" w:rsidP="002C5127">
      <w:pPr>
        <w:pStyle w:val="Textonotapie"/>
        <w:rPr>
          <w:lang w:val="en-US"/>
        </w:rPr>
      </w:pPr>
      <w:r w:rsidRPr="00DD0E75">
        <w:rPr>
          <w:rStyle w:val="Refdenotaalpie"/>
          <w:rFonts w:eastAsiaTheme="majorEastAsia"/>
          <w:lang w:val="es-MX"/>
        </w:rPr>
        <w:footnoteRef/>
      </w:r>
      <w:r w:rsidRPr="00DD0E75">
        <w:rPr>
          <w:lang w:val="en-US"/>
        </w:rPr>
        <w:t xml:space="preserve"> Ibid. pp. 71 a 92.</w:t>
      </w:r>
    </w:p>
  </w:footnote>
  <w:footnote w:id="242">
    <w:p w14:paraId="00A36E2E"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w:t>
      </w:r>
      <w:r w:rsidRPr="00DD0E75">
        <w:rPr>
          <w:rFonts w:eastAsiaTheme="minorEastAsia"/>
          <w:lang w:val="es-MX"/>
        </w:rPr>
        <w:t xml:space="preserve"> “RE0</w:t>
      </w:r>
      <w:r w:rsidRPr="00DD0E75">
        <w:rPr>
          <w:lang w:val="es-MX"/>
        </w:rPr>
        <w:t>000361-Conceptos e Intervenciones-(2025-03-10 18-39-33).</w:t>
      </w:r>
      <w:proofErr w:type="spellStart"/>
      <w:r w:rsidRPr="00DD0E75">
        <w:rPr>
          <w:lang w:val="es-MX"/>
        </w:rPr>
        <w:t>pdf</w:t>
      </w:r>
      <w:proofErr w:type="spellEnd"/>
      <w:r w:rsidRPr="00DD0E75">
        <w:rPr>
          <w:lang w:val="es-MX"/>
        </w:rPr>
        <w:t>”. p. 11.</w:t>
      </w:r>
    </w:p>
  </w:footnote>
  <w:footnote w:id="243">
    <w:p w14:paraId="18C69AED"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Cfr. Audiencia Técnica, S2. </w:t>
      </w:r>
      <w:proofErr w:type="spellStart"/>
      <w:r w:rsidRPr="00DD0E75">
        <w:rPr>
          <w:lang w:val="es-MX"/>
        </w:rPr>
        <w:t>Mins</w:t>
      </w:r>
      <w:proofErr w:type="spellEnd"/>
      <w:r w:rsidRPr="00DD0E75">
        <w:rPr>
          <w:lang w:val="es-MX"/>
        </w:rPr>
        <w:t>. 2:20:05-1:21:09.</w:t>
      </w:r>
    </w:p>
  </w:footnote>
  <w:footnote w:id="244">
    <w:p w14:paraId="1ED21485" w14:textId="27B0C403" w:rsidR="001F3006" w:rsidRPr="00DD0E75" w:rsidRDefault="001F3006">
      <w:pPr>
        <w:pStyle w:val="Textonotapie"/>
      </w:pPr>
      <w:r w:rsidRPr="00DD0E75">
        <w:rPr>
          <w:rStyle w:val="Refdenotaalpie"/>
        </w:rPr>
        <w:footnoteRef/>
      </w:r>
      <w:r w:rsidRPr="00DD0E75">
        <w:t xml:space="preserve"> UARIV, </w:t>
      </w:r>
      <w:r w:rsidRPr="00DD0E75">
        <w:rPr>
          <w:i/>
          <w:iCs/>
        </w:rPr>
        <w:t>Boletín datos para la paz, #1 Trimestre 2025</w:t>
      </w:r>
      <w:r w:rsidRPr="00DD0E75">
        <w:t xml:space="preserve">. </w:t>
      </w:r>
      <w:r w:rsidRPr="00DD0E75">
        <w:rPr>
          <w:i/>
          <w:iCs/>
        </w:rPr>
        <w:t>Datos generales del RUV.</w:t>
      </w:r>
      <w:r w:rsidRPr="00DD0E75">
        <w:t xml:space="preserve"> Disponible en: </w:t>
      </w:r>
      <w:hyperlink r:id="rId7" w:history="1">
        <w:r w:rsidRPr="00DD0E75">
          <w:rPr>
            <w:rStyle w:val="Hipervnculo"/>
          </w:rPr>
          <w:t>https://datospaz.unidadvictimas.gov.co/boletines/</w:t>
        </w:r>
      </w:hyperlink>
      <w:r w:rsidRPr="00DD0E75">
        <w:t xml:space="preserve"> </w:t>
      </w:r>
    </w:p>
  </w:footnote>
  <w:footnote w:id="245">
    <w:p w14:paraId="19276D4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Corte Constitucional, sentencias C-300 de 1994, C-466 de 1995, C-802 de 2002 y C-070 de 2009. </w:t>
      </w:r>
    </w:p>
  </w:footnote>
  <w:footnote w:id="246">
    <w:p w14:paraId="1898A4D9"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Corte Constitucional, sentencia C-300 de 1994. Ver también, sentencias C-802 de 2002 y C-070 de 2009.</w:t>
      </w:r>
    </w:p>
  </w:footnote>
  <w:footnote w:id="247">
    <w:p w14:paraId="32F8E110" w14:textId="1D27B4BA"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Corte Constitucional, Sentencia C-300 de 1994. </w:t>
      </w:r>
    </w:p>
  </w:footnote>
  <w:footnote w:id="248">
    <w:p w14:paraId="10DF008D"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Corte Constitucional, sentencias C-802 de 2002 y C-070 de 2009.  </w:t>
      </w:r>
    </w:p>
  </w:footnote>
  <w:footnote w:id="249">
    <w:p w14:paraId="5316B8C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C-027 de 1996, C-802 de 2002 y C-070 de 2009. </w:t>
      </w:r>
    </w:p>
  </w:footnote>
  <w:footnote w:id="250">
    <w:p w14:paraId="7B49BD45" w14:textId="25336428"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En las sentencias C-802 de 2002 y C-070 de 2009, la Corte denominó el tipo de control como “</w:t>
      </w:r>
      <w:r w:rsidRPr="00DD0E75">
        <w:rPr>
          <w:i/>
          <w:iCs/>
          <w:lang w:val="es-MX"/>
        </w:rPr>
        <w:t>juicio objetivo de ponderación</w:t>
      </w:r>
      <w:r w:rsidRPr="00DD0E75">
        <w:rPr>
          <w:lang w:val="es-MX"/>
        </w:rPr>
        <w:t xml:space="preserve">”. </w:t>
      </w:r>
    </w:p>
  </w:footnote>
  <w:footnote w:id="251">
    <w:p w14:paraId="56EEF68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C-802 de 2002 y C-070 de 2009. </w:t>
      </w:r>
    </w:p>
  </w:footnote>
  <w:footnote w:id="252">
    <w:p w14:paraId="1E69FBF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hyperlink r:id="rId8" w:history="1">
        <w:r w:rsidRPr="00DD0E75">
          <w:rPr>
            <w:rStyle w:val="Hipervnculo"/>
            <w:lang w:val="es-MX"/>
          </w:rPr>
          <w:t>https://dle.rae.es/gravedad</w:t>
        </w:r>
      </w:hyperlink>
      <w:r w:rsidRPr="00DD0E75">
        <w:rPr>
          <w:lang w:val="es-MX"/>
        </w:rPr>
        <w:t xml:space="preserve"> </w:t>
      </w:r>
    </w:p>
  </w:footnote>
  <w:footnote w:id="253">
    <w:p w14:paraId="62F34CE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w:t>
      </w:r>
    </w:p>
  </w:footnote>
  <w:footnote w:id="254">
    <w:p w14:paraId="2708890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(Recepción y Paso al </w:t>
      </w:r>
      <w:proofErr w:type="gramStart"/>
      <w:r w:rsidRPr="00DD0E75">
        <w:rPr>
          <w:lang w:val="es-MX"/>
        </w:rPr>
        <w:t>Despacho)-(</w:t>
      </w:r>
      <w:proofErr w:type="gramEnd"/>
      <w:r w:rsidRPr="00DD0E75">
        <w:rPr>
          <w:lang w:val="es-MX"/>
        </w:rPr>
        <w:t>2025-02-14 04-46-13).</w:t>
      </w:r>
      <w:proofErr w:type="spellStart"/>
      <w:r w:rsidRPr="00DD0E75">
        <w:rPr>
          <w:lang w:val="es-MX"/>
        </w:rPr>
        <w:t>pdf</w:t>
      </w:r>
      <w:proofErr w:type="spellEnd"/>
      <w:r w:rsidRPr="00DD0E75">
        <w:rPr>
          <w:lang w:val="es-MX"/>
        </w:rPr>
        <w:t>”, p. 6-12.</w:t>
      </w:r>
    </w:p>
  </w:footnote>
  <w:footnote w:id="255">
    <w:p w14:paraId="0D7CE55A"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(Recepción y Paso al </w:t>
      </w:r>
      <w:proofErr w:type="gramStart"/>
      <w:r w:rsidRPr="00DD0E75">
        <w:rPr>
          <w:lang w:val="es-MX"/>
        </w:rPr>
        <w:t>Despacho)-(</w:t>
      </w:r>
      <w:proofErr w:type="gramEnd"/>
      <w:r w:rsidRPr="00DD0E75">
        <w:rPr>
          <w:lang w:val="es-MX"/>
        </w:rPr>
        <w:t>2025-02-10 02-08-20).</w:t>
      </w:r>
      <w:proofErr w:type="spellStart"/>
      <w:r w:rsidRPr="00DD0E75">
        <w:rPr>
          <w:lang w:val="es-MX"/>
        </w:rPr>
        <w:t>pdf</w:t>
      </w:r>
      <w:proofErr w:type="spellEnd"/>
      <w:r w:rsidRPr="00DD0E75">
        <w:rPr>
          <w:lang w:val="es-MX"/>
        </w:rPr>
        <w:t>”, p. 5-9.</w:t>
      </w:r>
    </w:p>
  </w:footnote>
  <w:footnote w:id="256">
    <w:p w14:paraId="0B77561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(Recepción y Paso al </w:t>
      </w:r>
      <w:proofErr w:type="gramStart"/>
      <w:r w:rsidRPr="00DD0E75">
        <w:rPr>
          <w:lang w:val="es-MX"/>
        </w:rPr>
        <w:t>Despacho)-(</w:t>
      </w:r>
      <w:proofErr w:type="gramEnd"/>
      <w:r w:rsidRPr="00DD0E75">
        <w:rPr>
          <w:lang w:val="es-MX"/>
        </w:rPr>
        <w:t>2025-02-19 05-26-45).</w:t>
      </w:r>
      <w:proofErr w:type="spellStart"/>
      <w:r w:rsidRPr="00DD0E75">
        <w:rPr>
          <w:lang w:val="es-MX"/>
        </w:rPr>
        <w:t>pdf</w:t>
      </w:r>
      <w:proofErr w:type="spellEnd"/>
      <w:r w:rsidRPr="00DD0E75">
        <w:rPr>
          <w:lang w:val="es-MX"/>
        </w:rPr>
        <w:t>”, p. 2-8.</w:t>
      </w:r>
    </w:p>
  </w:footnote>
  <w:footnote w:id="257">
    <w:p w14:paraId="7C2E39C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2025-02-05 22-44-14).</w:t>
      </w:r>
      <w:proofErr w:type="spellStart"/>
      <w:r w:rsidRPr="00DD0E75">
        <w:rPr>
          <w:lang w:val="es-MX"/>
        </w:rPr>
        <w:t>pdf</w:t>
      </w:r>
      <w:proofErr w:type="spellEnd"/>
      <w:r w:rsidRPr="00DD0E75">
        <w:rPr>
          <w:lang w:val="es-MX"/>
        </w:rPr>
        <w:t>”, p. 7.</w:t>
      </w:r>
    </w:p>
  </w:footnote>
  <w:footnote w:id="258">
    <w:p w14:paraId="146C1C9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2025-02-04 16-21-47).</w:t>
      </w:r>
      <w:proofErr w:type="spellStart"/>
      <w:r w:rsidRPr="00DD0E75">
        <w:rPr>
          <w:lang w:val="es-MX"/>
        </w:rPr>
        <w:t>pdf</w:t>
      </w:r>
      <w:proofErr w:type="spellEnd"/>
      <w:r w:rsidRPr="00DD0E75">
        <w:rPr>
          <w:lang w:val="es-MX"/>
        </w:rPr>
        <w:t>”, p. 2-4.</w:t>
      </w:r>
    </w:p>
  </w:footnote>
  <w:footnote w:id="259">
    <w:p w14:paraId="1292238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2025-02-05 16-53-45).</w:t>
      </w:r>
      <w:proofErr w:type="spellStart"/>
      <w:r w:rsidRPr="00DD0E75">
        <w:rPr>
          <w:lang w:val="es-MX"/>
        </w:rPr>
        <w:t>pdf</w:t>
      </w:r>
      <w:proofErr w:type="spellEnd"/>
      <w:r w:rsidRPr="00DD0E75">
        <w:rPr>
          <w:lang w:val="es-MX"/>
        </w:rPr>
        <w:t>”, p. 3.</w:t>
      </w:r>
    </w:p>
  </w:footnote>
  <w:footnote w:id="260">
    <w:p w14:paraId="0B69B4E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“07.02.25 Municipio de Teorama.pdf”, p. 3-7.</w:t>
      </w:r>
    </w:p>
  </w:footnote>
  <w:footnote w:id="261">
    <w:p w14:paraId="714CF679"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w:t>
      </w:r>
      <w:r w:rsidRPr="00DD0E75">
        <w:rPr>
          <w:color w:val="000000"/>
          <w:lang w:val="es-MX"/>
        </w:rPr>
        <w:t>RE0000361-Pruebas del Expediente (Recepción y Paso al Despacho) -(2025-02-06 23-25-32).</w:t>
      </w:r>
      <w:proofErr w:type="spellStart"/>
      <w:r w:rsidRPr="00DD0E75">
        <w:rPr>
          <w:color w:val="000000"/>
          <w:lang w:val="es-MX"/>
        </w:rPr>
        <w:t>pdf</w:t>
      </w:r>
      <w:proofErr w:type="spellEnd"/>
      <w:r w:rsidRPr="00DD0E75">
        <w:rPr>
          <w:lang w:val="es-MX"/>
        </w:rPr>
        <w:t>”, p. 4.</w:t>
      </w:r>
    </w:p>
  </w:footnote>
  <w:footnote w:id="262">
    <w:p w14:paraId="69A87C8E" w14:textId="52546A1F"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Comisión de la Verdad, “Las deudas históricas que se mantienen en el Catatumbo”. </w:t>
      </w:r>
      <w:hyperlink r:id="rId9" w:history="1">
        <w:r w:rsidRPr="00DD0E75">
          <w:rPr>
            <w:rStyle w:val="Hipervnculo"/>
            <w:lang w:val="es-MX"/>
          </w:rPr>
          <w:t>https://web.comisiondelaverdad.co/especiales/catatumbo/actualidad-region.html</w:t>
        </w:r>
      </w:hyperlink>
      <w:r w:rsidRPr="00DD0E75">
        <w:rPr>
          <w:lang w:val="es-MX"/>
        </w:rPr>
        <w:t xml:space="preserve"> </w:t>
      </w:r>
    </w:p>
  </w:footnote>
  <w:footnote w:id="263">
    <w:p w14:paraId="7FBF3BF5" w14:textId="1547FA95"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Centro Nacional de Memoria Histórica, “Memorias de Vida y de Dolor”. </w:t>
      </w:r>
      <w:hyperlink r:id="rId10" w:anchor=":~:text=Desde%20finales%20de%20los%20a%C3%B1os,han%20regulado%20la%20vida%20diaria" w:history="1">
        <w:r w:rsidRPr="00DD0E75">
          <w:rPr>
            <w:rStyle w:val="Hipervnculo"/>
            <w:lang w:val="es-MX"/>
          </w:rPr>
          <w:t>https://centrodememoriahistorica.gov.co/micrositios/catatumbo/violencia.html#:~:text=Desde%20finales%20de%20los%20a%C3%B1os,han%20regulado%20la%20vida%20diaria</w:t>
        </w:r>
      </w:hyperlink>
      <w:r w:rsidRPr="00DD0E75">
        <w:rPr>
          <w:lang w:val="es-MX"/>
        </w:rPr>
        <w:t xml:space="preserve">. </w:t>
      </w:r>
    </w:p>
  </w:footnote>
  <w:footnote w:id="264">
    <w:p w14:paraId="666C272E"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Auto 244 de 2025.</w:t>
      </w:r>
    </w:p>
  </w:footnote>
  <w:footnote w:id="265">
    <w:p w14:paraId="5E27EF3E"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Auto 894 de 2022. </w:t>
      </w:r>
      <w:r w:rsidRPr="00DD0E75">
        <w:rPr>
          <w:i/>
          <w:iCs/>
          <w:lang w:val="es-MX"/>
        </w:rPr>
        <w:t>Cfr</w:t>
      </w:r>
      <w:r w:rsidRPr="00DD0E75">
        <w:rPr>
          <w:lang w:val="es-MX"/>
        </w:rPr>
        <w:t>. Auto 244 de 2025.</w:t>
      </w:r>
    </w:p>
  </w:footnote>
  <w:footnote w:id="266">
    <w:p w14:paraId="3D120E11" w14:textId="7EF20540"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267">
    <w:p w14:paraId="78B2754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w:t>
      </w:r>
    </w:p>
  </w:footnote>
  <w:footnote w:id="268">
    <w:p w14:paraId="7149C2C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“RE0000361-Presentación Demanda-(2025-01-27 19-17-12).</w:t>
      </w:r>
      <w:proofErr w:type="spellStart"/>
      <w:r w:rsidRPr="00DD0E75">
        <w:rPr>
          <w:lang w:val="es-MX"/>
        </w:rPr>
        <w:t>pdf</w:t>
      </w:r>
      <w:proofErr w:type="spellEnd"/>
      <w:r w:rsidRPr="00DD0E75">
        <w:rPr>
          <w:lang w:val="es-MX"/>
        </w:rPr>
        <w:t>”, pp. 162 y 163.</w:t>
      </w:r>
    </w:p>
  </w:footnote>
  <w:footnote w:id="269">
    <w:p w14:paraId="35C1A5DB" w14:textId="61CA3802" w:rsidR="001F3006" w:rsidRPr="00DD0E75" w:rsidRDefault="001F3006" w:rsidP="002C5127">
      <w:pPr>
        <w:rPr>
          <w:rFonts w:cs="Times New Roman"/>
          <w:sz w:val="20"/>
          <w:szCs w:val="20"/>
          <w:lang w:val="en-US"/>
        </w:rPr>
      </w:pPr>
      <w:r w:rsidRPr="00DD0E75">
        <w:rPr>
          <w:rFonts w:cs="Times New Roman"/>
          <w:sz w:val="20"/>
          <w:szCs w:val="20"/>
          <w:vertAlign w:val="superscript"/>
          <w:lang w:val="es-MX"/>
        </w:rPr>
        <w:footnoteRef/>
      </w:r>
      <w:r w:rsidRPr="00DD0E75">
        <w:rPr>
          <w:rFonts w:cs="Times New Roman"/>
          <w:sz w:val="20"/>
          <w:szCs w:val="20"/>
          <w:lang w:val="en-US"/>
        </w:rPr>
        <w:t xml:space="preserve"> Ibid., p. 163.</w:t>
      </w:r>
    </w:p>
  </w:footnote>
  <w:footnote w:id="270">
    <w:p w14:paraId="61049581" w14:textId="3D5DB5D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36. </w:t>
      </w:r>
    </w:p>
  </w:footnote>
  <w:footnote w:id="271">
    <w:p w14:paraId="07E852A1" w14:textId="12A686F6"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671. </w:t>
      </w:r>
    </w:p>
  </w:footnote>
  <w:footnote w:id="272">
    <w:p w14:paraId="76B69904" w14:textId="67DF8EC4" w:rsidR="001F3006" w:rsidRPr="00DD0E75" w:rsidRDefault="001F3006" w:rsidP="002C5127">
      <w:pPr>
        <w:rPr>
          <w:rFonts w:cs="Times New Roman"/>
          <w:sz w:val="20"/>
          <w:szCs w:val="20"/>
        </w:rPr>
      </w:pPr>
      <w:r w:rsidRPr="00DD0E75">
        <w:rPr>
          <w:rFonts w:cs="Times New Roman"/>
          <w:sz w:val="20"/>
          <w:szCs w:val="20"/>
          <w:vertAlign w:val="superscript"/>
          <w:lang w:val="es-MX"/>
        </w:rPr>
        <w:footnoteRef/>
      </w:r>
      <w:r w:rsidRPr="00DD0E75">
        <w:rPr>
          <w:rFonts w:cs="Times New Roman"/>
          <w:sz w:val="20"/>
          <w:szCs w:val="20"/>
        </w:rPr>
        <w:t xml:space="preserve"> </w:t>
      </w:r>
      <w:proofErr w:type="spellStart"/>
      <w:r w:rsidRPr="00DD0E75">
        <w:rPr>
          <w:rFonts w:cs="Times New Roman"/>
          <w:sz w:val="20"/>
          <w:szCs w:val="20"/>
        </w:rPr>
        <w:t>Ibid</w:t>
      </w:r>
      <w:proofErr w:type="spellEnd"/>
      <w:r w:rsidRPr="00DD0E75">
        <w:rPr>
          <w:rFonts w:cs="Times New Roman"/>
          <w:sz w:val="20"/>
          <w:szCs w:val="20"/>
        </w:rPr>
        <w:t xml:space="preserve">., p. 127. </w:t>
      </w:r>
    </w:p>
  </w:footnote>
  <w:footnote w:id="273">
    <w:p w14:paraId="561926F0" w14:textId="4F311160"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w:t>
      </w:r>
      <w:proofErr w:type="spellStart"/>
      <w:r w:rsidRPr="00DD0E75">
        <w:rPr>
          <w:rFonts w:cs="Times New Roman"/>
          <w:sz w:val="20"/>
          <w:szCs w:val="20"/>
          <w:lang w:val="es-MX"/>
        </w:rPr>
        <w:t>Ibid</w:t>
      </w:r>
      <w:proofErr w:type="spellEnd"/>
      <w:r w:rsidRPr="00DD0E75">
        <w:rPr>
          <w:rFonts w:cs="Times New Roman"/>
          <w:sz w:val="20"/>
          <w:szCs w:val="20"/>
          <w:lang w:val="es-MX"/>
        </w:rPr>
        <w:t xml:space="preserve">. </w:t>
      </w:r>
    </w:p>
  </w:footnote>
  <w:footnote w:id="274">
    <w:p w14:paraId="1DF7A207" w14:textId="1755A8A5"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w:t>
      </w:r>
      <w:proofErr w:type="spellStart"/>
      <w:r w:rsidRPr="00DD0E75">
        <w:rPr>
          <w:rFonts w:cs="Times New Roman"/>
          <w:sz w:val="20"/>
          <w:szCs w:val="20"/>
          <w:lang w:val="es-MX"/>
        </w:rPr>
        <w:t>Ibid</w:t>
      </w:r>
      <w:proofErr w:type="spellEnd"/>
      <w:r w:rsidRPr="00DD0E75">
        <w:rPr>
          <w:rFonts w:cs="Times New Roman"/>
          <w:sz w:val="20"/>
          <w:szCs w:val="20"/>
          <w:lang w:val="es-MX"/>
        </w:rPr>
        <w:t xml:space="preserve">. </w:t>
      </w:r>
    </w:p>
  </w:footnote>
  <w:footnote w:id="275">
    <w:p w14:paraId="400F9C0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Alguna información fue reportada hasta agosto de 2024 y, en otra, las entidades no precisaron la fecha de corte de 2024. </w:t>
      </w:r>
    </w:p>
  </w:footnote>
  <w:footnote w:id="276">
    <w:p w14:paraId="31E21FF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“RE0000361-Presentación Demanda-(2025-01-27 19-17-12).</w:t>
      </w:r>
      <w:proofErr w:type="spellStart"/>
      <w:r w:rsidRPr="00DD0E75">
        <w:rPr>
          <w:lang w:val="es-MX"/>
        </w:rPr>
        <w:t>pdf</w:t>
      </w:r>
      <w:proofErr w:type="spellEnd"/>
      <w:r w:rsidRPr="00DD0E75">
        <w:rPr>
          <w:lang w:val="es-MX"/>
        </w:rPr>
        <w:t>”, p. 37.</w:t>
      </w:r>
    </w:p>
  </w:footnote>
  <w:footnote w:id="277">
    <w:p w14:paraId="71DA41C8" w14:textId="4E5D6C4D"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SIMCI. Resumen ejecutivo. Monitoreo cultivos de coca 2023, p. 5. Disponible en: https://share.google/zmVlmShPenA5evEZQ</w:t>
      </w:r>
    </w:p>
  </w:footnote>
  <w:footnote w:id="278">
    <w:p w14:paraId="4DFA9B2C"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C-466 de 1995. </w:t>
      </w:r>
    </w:p>
  </w:footnote>
  <w:footnote w:id="279">
    <w:p w14:paraId="221FC6BF" w14:textId="3B49173F"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Decreto 62 de 2025. “Que el Programa Nacional Integral de Sustitución de Cultivos (PNIS), reglamentado por el Decreto Ley 896 de 2017, fue inicialmente focalizado para la región del Catatumbo, en los municipios de </w:t>
      </w:r>
      <w:proofErr w:type="spellStart"/>
      <w:r w:rsidRPr="00DD0E75">
        <w:rPr>
          <w:lang w:val="es-MX"/>
        </w:rPr>
        <w:t>Sardinata</w:t>
      </w:r>
      <w:proofErr w:type="spellEnd"/>
      <w:r w:rsidRPr="00DD0E75">
        <w:rPr>
          <w:lang w:val="es-MX"/>
        </w:rPr>
        <w:t xml:space="preserve"> y </w:t>
      </w:r>
      <w:proofErr w:type="spellStart"/>
      <w:r w:rsidRPr="00DD0E75">
        <w:rPr>
          <w:lang w:val="es-MX"/>
        </w:rPr>
        <w:t>Tibú</w:t>
      </w:r>
      <w:proofErr w:type="spellEnd"/>
      <w:r w:rsidRPr="00DD0E75">
        <w:rPr>
          <w:lang w:val="es-MX"/>
        </w:rPr>
        <w:t>. Conforme a su enfoque familiar, el PNIS vinculó a 2.328 núcleos familiares en las categorías de cultivadores, no cultivadores y recolectores, quienes realizaron la erradicación voluntaria de 1.157 hectáreas de coca // Que, sin embargo, este esfuerzo ha resultado insuficiente para atender la magnitud del problema y requiere una ampliación significativa en su alcance y efectividad //</w:t>
      </w:r>
      <w:r w:rsidRPr="00DD0E75">
        <w:rPr>
          <w:color w:val="333333"/>
          <w:shd w:val="clear" w:color="auto" w:fill="FFFFFF"/>
          <w:lang w:val="es-MX" w:eastAsia="en-US"/>
        </w:rPr>
        <w:t xml:space="preserve"> </w:t>
      </w:r>
      <w:r w:rsidRPr="00DD0E75">
        <w:rPr>
          <w:lang w:val="es-MX"/>
        </w:rPr>
        <w:t xml:space="preserve">Que, en virtud de lo expuesto, resulta urgente y prioritario implementar medidas extraordinarias para impulsar la sustitución de cultivos de uso ilícito en todos los municipios de la región del Catatumbo y promover condiciones de vida dignas y sostenibles para las comunidades campesinas hoy dependientes de la economía ilícita, en aras de satisfacer las necesidades básicas de la población y fomentar la participación comunitaria, con un enfoque integral, territorial y de derechos humanos”. </w:t>
      </w:r>
    </w:p>
  </w:footnote>
  <w:footnote w:id="280">
    <w:p w14:paraId="3818461C" w14:textId="6CFB7DBD"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w:t>
      </w:r>
      <w:proofErr w:type="spellStart"/>
      <w:r w:rsidRPr="00DD0E75">
        <w:rPr>
          <w:rFonts w:cs="Times New Roman"/>
          <w:sz w:val="20"/>
          <w:szCs w:val="20"/>
          <w:lang w:val="es-MX"/>
        </w:rPr>
        <w:t>Ibid</w:t>
      </w:r>
      <w:proofErr w:type="spellEnd"/>
      <w:r w:rsidRPr="00DD0E75">
        <w:rPr>
          <w:rFonts w:cs="Times New Roman"/>
          <w:sz w:val="20"/>
          <w:szCs w:val="20"/>
          <w:lang w:val="es-MX"/>
        </w:rPr>
        <w:t xml:space="preserve">. </w:t>
      </w:r>
    </w:p>
  </w:footnote>
  <w:footnote w:id="281">
    <w:p w14:paraId="164666E8"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Comunicación del 6 de febrero de 2025 de la Agencia de Renovación del Territorio.</w:t>
      </w:r>
    </w:p>
  </w:footnote>
  <w:footnote w:id="282">
    <w:p w14:paraId="25E697BE" w14:textId="1A09CB3F"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4702 y 4703.</w:t>
      </w:r>
    </w:p>
  </w:footnote>
  <w:footnote w:id="283">
    <w:p w14:paraId="1A58161D" w14:textId="77777777"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Expediente digital, RE0000361-Presentación Demanda-(2025-01-27 19-17-12).</w:t>
      </w:r>
      <w:proofErr w:type="spellStart"/>
      <w:r w:rsidRPr="00DD0E75">
        <w:rPr>
          <w:rFonts w:cs="Times New Roman"/>
          <w:sz w:val="20"/>
          <w:szCs w:val="20"/>
          <w:lang w:val="es-MX"/>
        </w:rPr>
        <w:t>pdf</w:t>
      </w:r>
      <w:proofErr w:type="spellEnd"/>
      <w:r w:rsidRPr="00DD0E75">
        <w:rPr>
          <w:rFonts w:cs="Times New Roman"/>
          <w:sz w:val="20"/>
          <w:szCs w:val="20"/>
          <w:lang w:val="es-MX"/>
        </w:rPr>
        <w:t xml:space="preserve">, p. 5198. </w:t>
      </w:r>
    </w:p>
  </w:footnote>
  <w:footnote w:id="284">
    <w:p w14:paraId="405511F4"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SU-543 de 2023. </w:t>
      </w:r>
    </w:p>
  </w:footnote>
  <w:footnote w:id="285">
    <w:p w14:paraId="1A9E990E"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“RE0000361-Presentación Demanda-(2025-01-27 19-17-</w:t>
      </w:r>
      <w:proofErr w:type="gramStart"/>
      <w:r w:rsidRPr="00DD0E75">
        <w:rPr>
          <w:lang w:val="es-MX"/>
        </w:rPr>
        <w:t>12)-1.pdf</w:t>
      </w:r>
      <w:proofErr w:type="gramEnd"/>
      <w:r w:rsidRPr="00DD0E75">
        <w:rPr>
          <w:lang w:val="es-MX"/>
        </w:rPr>
        <w:t>”, p. 5201.</w:t>
      </w:r>
    </w:p>
  </w:footnote>
  <w:footnote w:id="286">
    <w:p w14:paraId="516278A4" w14:textId="5E29CBA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4710-4730.</w:t>
      </w:r>
    </w:p>
  </w:footnote>
  <w:footnote w:id="287">
    <w:p w14:paraId="49BAFB27" w14:textId="57DA587D"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4689.</w:t>
      </w:r>
    </w:p>
  </w:footnote>
  <w:footnote w:id="288">
    <w:p w14:paraId="2541DD43" w14:textId="7E369DD6"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4692.</w:t>
      </w:r>
    </w:p>
  </w:footnote>
  <w:footnote w:id="289">
    <w:p w14:paraId="6AD221DD" w14:textId="38FD465E"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w:t>
      </w:r>
    </w:p>
  </w:footnote>
  <w:footnote w:id="290">
    <w:p w14:paraId="1A6A02EA" w14:textId="698C5E3E"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4693.</w:t>
      </w:r>
    </w:p>
  </w:footnote>
  <w:footnote w:id="291">
    <w:p w14:paraId="6FFE8693" w14:textId="6244137A"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w:t>
      </w:r>
    </w:p>
  </w:footnote>
  <w:footnote w:id="292">
    <w:p w14:paraId="127D9EC1" w14:textId="2BAE92A5"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4733.</w:t>
      </w:r>
    </w:p>
  </w:footnote>
  <w:footnote w:id="293">
    <w:p w14:paraId="78401492" w14:textId="6E2290A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Decreto 62 de 2025. “Que, asimismo, se enfrenta el riesgo de ataques en contra de la infraestructura energética y vial de la región, especialmente en el oleoducto Caño Limón - Coveñas, vías nacionales como el eje vial Ocaña - Cúcuta y Ocaña - Aguachica, subestaciones de energía y torres de comunicaciones, puentes y edificaciones públicas y privadas que se localizan cerca de guarniciones militares y comandos de policía, las cuales vienen siendo regularmente atacadas, especialmente con artefactos explosivos, con el consecuente impacto sobre los altos valores ambientales de la región del Catatumbo y la prestación de servicios públicos la población”.</w:t>
      </w:r>
    </w:p>
  </w:footnote>
  <w:footnote w:id="294">
    <w:p w14:paraId="4D6229A9" w14:textId="56465CE5"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Expediente digital, documento “Respuesta DAPRE I”, p. 15. </w:t>
      </w:r>
      <w:r w:rsidRPr="00DD0E75">
        <w:rPr>
          <w:rFonts w:cs="Times New Roman"/>
          <w:i/>
          <w:iCs/>
          <w:sz w:val="20"/>
          <w:szCs w:val="20"/>
          <w:lang w:val="es-MX"/>
        </w:rPr>
        <w:t>Cfr</w:t>
      </w:r>
      <w:r w:rsidRPr="00DD0E75">
        <w:rPr>
          <w:rFonts w:cs="Times New Roman"/>
          <w:sz w:val="20"/>
          <w:szCs w:val="20"/>
          <w:lang w:val="es-MX"/>
        </w:rPr>
        <w:t xml:space="preserve">. Expediente digital, “RE0000361-Pruebas del Expediente (Recepción y Paso al </w:t>
      </w:r>
      <w:proofErr w:type="gramStart"/>
      <w:r w:rsidRPr="00DD0E75">
        <w:rPr>
          <w:rFonts w:cs="Times New Roman"/>
          <w:sz w:val="20"/>
          <w:szCs w:val="20"/>
          <w:lang w:val="es-MX"/>
        </w:rPr>
        <w:t>Despacho)-(</w:t>
      </w:r>
      <w:proofErr w:type="gramEnd"/>
      <w:r w:rsidRPr="00DD0E75">
        <w:rPr>
          <w:rFonts w:cs="Times New Roman"/>
          <w:sz w:val="20"/>
          <w:szCs w:val="20"/>
          <w:lang w:val="es-MX"/>
        </w:rPr>
        <w:t>2025-02-10 20-25-06).</w:t>
      </w:r>
      <w:proofErr w:type="spellStart"/>
      <w:r w:rsidRPr="00DD0E75">
        <w:rPr>
          <w:rFonts w:cs="Times New Roman"/>
          <w:sz w:val="20"/>
          <w:szCs w:val="20"/>
          <w:lang w:val="es-MX"/>
        </w:rPr>
        <w:t>pdf</w:t>
      </w:r>
      <w:proofErr w:type="spellEnd"/>
      <w:r w:rsidRPr="00DD0E75">
        <w:rPr>
          <w:rFonts w:cs="Times New Roman"/>
          <w:sz w:val="20"/>
          <w:szCs w:val="20"/>
          <w:lang w:val="es-MX"/>
        </w:rPr>
        <w:t>”, p. 10.</w:t>
      </w:r>
    </w:p>
  </w:footnote>
  <w:footnote w:id="295">
    <w:p w14:paraId="49E525B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Decreto 62 de 2025. </w:t>
      </w:r>
    </w:p>
  </w:footnote>
  <w:footnote w:id="296">
    <w:p w14:paraId="76E4B7D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“RE0000361-Presentación Demanda-(2025-01-27 19-17-</w:t>
      </w:r>
      <w:proofErr w:type="gramStart"/>
      <w:r w:rsidRPr="00DD0E75">
        <w:rPr>
          <w:lang w:val="es-MX"/>
        </w:rPr>
        <w:t>12)-1.pdf</w:t>
      </w:r>
      <w:proofErr w:type="gramEnd"/>
      <w:r w:rsidRPr="00DD0E75">
        <w:rPr>
          <w:lang w:val="es-MX"/>
        </w:rPr>
        <w:t xml:space="preserve">”,  p. 4736. </w:t>
      </w:r>
    </w:p>
  </w:footnote>
  <w:footnote w:id="297">
    <w:p w14:paraId="632735E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“Respuesta DAPRE II”, pp. 18 y 19. </w:t>
      </w:r>
      <w:r w:rsidRPr="00DD0E75">
        <w:rPr>
          <w:i/>
          <w:iCs/>
          <w:lang w:val="es-MX"/>
        </w:rPr>
        <w:t>Cfr</w:t>
      </w:r>
      <w:r w:rsidRPr="00DD0E75">
        <w:rPr>
          <w:lang w:val="es-MX"/>
        </w:rPr>
        <w:t xml:space="preserve">. Expediente digital, archivos “RE-361.Anexos 11 al 20 Respuesta al OPC-020 de 2025 - Presidencia de la República. Algunos documentos reservados.pdf.”, p. 32, y “06.02.25 Fuerzas Militares.pdf”, p. 8. </w:t>
      </w:r>
    </w:p>
  </w:footnote>
  <w:footnote w:id="298">
    <w:p w14:paraId="724ADCD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archivo: “06.02.25 Fuerzas Militares.pdf”, pág. 6.</w:t>
      </w:r>
    </w:p>
  </w:footnote>
  <w:footnote w:id="299">
    <w:p w14:paraId="3D06BBB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pp. 14 y 15. </w:t>
      </w:r>
      <w:r w:rsidRPr="00DD0E75">
        <w:rPr>
          <w:i/>
          <w:iCs/>
          <w:lang w:val="es-MX"/>
        </w:rPr>
        <w:t>Cfr</w:t>
      </w:r>
      <w:r w:rsidRPr="00DD0E75">
        <w:rPr>
          <w:lang w:val="es-MX"/>
        </w:rPr>
        <w:t>. Expediente digital, “RE-361.Anexos 11 al 20 Respuesta al OPC-020 de 2025 - Presidencia de la República. Algunos documentos reservados.pdf”, p. 31.</w:t>
      </w:r>
    </w:p>
  </w:footnote>
  <w:footnote w:id="300">
    <w:p w14:paraId="465BF0FC"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“Defensoría II (anexos).</w:t>
      </w:r>
      <w:proofErr w:type="spellStart"/>
      <w:r w:rsidRPr="00DD0E75">
        <w:rPr>
          <w:lang w:val="es-MX"/>
        </w:rPr>
        <w:t>pdf</w:t>
      </w:r>
      <w:proofErr w:type="spellEnd"/>
      <w:r w:rsidRPr="00DD0E75">
        <w:rPr>
          <w:lang w:val="es-MX"/>
        </w:rPr>
        <w:t xml:space="preserve">”, p. 123. </w:t>
      </w:r>
    </w:p>
  </w:footnote>
  <w:footnote w:id="301">
    <w:p w14:paraId="5038D268"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En su intervención en este proceso, la Defensoría del Pueblo señaló que los hechos que dieron lugar a la declaración de conmoción interior “han transformado el escenario de riesgo y afectación de esta región en el país en uno anormal” (p. 24). En la Alerta Temprana No. 26 de 2024, la Defensoría llamó la atención sobre una escalada violenta del ELN, un reacomodo del EPL y los enfrentamientos que se podían producir por las pretensiones de fortalecimiento y expansión territorial de grupos disidentes de las </w:t>
      </w:r>
      <w:proofErr w:type="spellStart"/>
      <w:r w:rsidRPr="00DD0E75">
        <w:rPr>
          <w:lang w:val="es-MX"/>
        </w:rPr>
        <w:t>Farc</w:t>
      </w:r>
      <w:proofErr w:type="spellEnd"/>
      <w:r w:rsidRPr="00DD0E75">
        <w:rPr>
          <w:lang w:val="es-MX"/>
        </w:rPr>
        <w:t>. Expediente digital, “RE0000361-Conceptos e Intervenciones-(2025-03-04 00-58-17).</w:t>
      </w:r>
      <w:proofErr w:type="spellStart"/>
      <w:r w:rsidRPr="00DD0E75">
        <w:rPr>
          <w:lang w:val="es-MX"/>
        </w:rPr>
        <w:t>pdf</w:t>
      </w:r>
      <w:proofErr w:type="spellEnd"/>
      <w:r w:rsidRPr="00DD0E75">
        <w:rPr>
          <w:lang w:val="es-MX"/>
        </w:rPr>
        <w:t>”.</w:t>
      </w:r>
    </w:p>
  </w:footnote>
  <w:footnote w:id="302">
    <w:p w14:paraId="11C24C2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“Respuesta DAPRE II”, pp. 18 y 23. La entidad reconoció que los actos terroristas se han presentado en la historia del país y, en particular, en esta región. Pese a esto, resaltó que “el hecho significativo que denota la particularidad de este evento es el número de homicidios selectivos contra líderes sociales, firmantes de paz y los ataques a sus familias […], así como el confinamiento y desplazamiento”. También indicó que el rompimiento del </w:t>
      </w:r>
      <w:r w:rsidRPr="00DD0E75">
        <w:rPr>
          <w:i/>
          <w:iCs/>
          <w:lang w:val="es-MX"/>
        </w:rPr>
        <w:t>pacto</w:t>
      </w:r>
      <w:r w:rsidRPr="00DD0E75">
        <w:rPr>
          <w:lang w:val="es-MX"/>
        </w:rPr>
        <w:t xml:space="preserve"> entre los grupos armados al margen de la ley generó </w:t>
      </w:r>
      <w:proofErr w:type="gramStart"/>
      <w:r w:rsidRPr="00DD0E75">
        <w:rPr>
          <w:lang w:val="es-MX"/>
        </w:rPr>
        <w:t>que</w:t>
      </w:r>
      <w:proofErr w:type="gramEnd"/>
      <w:r w:rsidRPr="00DD0E75">
        <w:rPr>
          <w:lang w:val="es-MX"/>
        </w:rPr>
        <w:t xml:space="preserve"> a comienzos de 2025, entre otras, el ELN “adelantara una imprevisible y violenta ofensiva contra las instituciones, la población civil, líderes sociales y, especialmente, firmantes del acuerdo final de paz en la región del Catatumbo”.</w:t>
      </w:r>
    </w:p>
  </w:footnote>
  <w:footnote w:id="303">
    <w:p w14:paraId="65EF85F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“06.02.25 Fuerzas Militares.pdf”, p. 2. Esta autoridad indicó que “[la]s alertas advertían de posibles ataques del ELN a unidades militares e infraestructura estratégica, así como a integrantes del GAO-RE33, más no se esperaba ataque focalizado, casa a casa, que se presentó a líderes sociales y firmantes de paz”.</w:t>
      </w:r>
    </w:p>
  </w:footnote>
  <w:footnote w:id="304">
    <w:p w14:paraId="30F28DB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“17.02.25 Anexos Policía Nacional II.pdf”, pp. 1 y 2. Este funcionario precisó que “el ELN ha incrementado sus ataques y hostilidades contra la población civil y especialmente, contra los firmantes del acuerdo de paz en la región del Catatumbo”. Asimismo, aseguró que “[d]</w:t>
      </w:r>
      <w:proofErr w:type="spellStart"/>
      <w:r w:rsidRPr="00DD0E75">
        <w:rPr>
          <w:lang w:val="es-MX"/>
        </w:rPr>
        <w:t>esde</w:t>
      </w:r>
      <w:proofErr w:type="spellEnd"/>
      <w:r w:rsidRPr="00DD0E75">
        <w:rPr>
          <w:lang w:val="es-MX"/>
        </w:rPr>
        <w:t xml:space="preserve"> el año 2022 hasta el 15 de enero de 2025, el accionar del ELN y otros GAO y GDO, se centraba en afectaciones directas a la Fuerza Pública”.</w:t>
      </w:r>
    </w:p>
  </w:footnote>
  <w:footnote w:id="305">
    <w:p w14:paraId="6432DE5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“RE0000361-Conceptos e Intervenciones-(2025-03-04 00-58-17).</w:t>
      </w:r>
      <w:proofErr w:type="spellStart"/>
      <w:r w:rsidRPr="00DD0E75">
        <w:rPr>
          <w:lang w:val="es-MX"/>
        </w:rPr>
        <w:t>pdf</w:t>
      </w:r>
      <w:proofErr w:type="spellEnd"/>
      <w:r w:rsidRPr="00DD0E75">
        <w:rPr>
          <w:lang w:val="es-MX"/>
        </w:rPr>
        <w:t xml:space="preserve">”, p. 17. </w:t>
      </w:r>
    </w:p>
  </w:footnote>
  <w:footnote w:id="306">
    <w:p w14:paraId="6EBCCBF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Estos hechos se presentaron en González, Río de Oro,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y </w:t>
      </w:r>
      <w:proofErr w:type="spellStart"/>
      <w:r w:rsidRPr="00DD0E75">
        <w:rPr>
          <w:lang w:val="es-MX"/>
        </w:rPr>
        <w:t>Tibú</w:t>
      </w:r>
      <w:proofErr w:type="spellEnd"/>
      <w:r w:rsidRPr="00DD0E75">
        <w:rPr>
          <w:lang w:val="es-MX"/>
        </w:rPr>
        <w:t xml:space="preserve"> en 2022. </w:t>
      </w:r>
      <w:r w:rsidRPr="00DD0E75">
        <w:rPr>
          <w:i/>
          <w:iCs/>
          <w:lang w:val="es-MX"/>
        </w:rPr>
        <w:t>Cfr</w:t>
      </w:r>
      <w:r w:rsidRPr="00DD0E75">
        <w:rPr>
          <w:lang w:val="es-MX"/>
        </w:rPr>
        <w:t xml:space="preserve">. Expediente digital, “RE-361.Anexos 11 al 20 Respuesta al OPC-020 de 2025 - Presidencia de la República. Algunos documentos reservados”, p. 334. </w:t>
      </w:r>
    </w:p>
  </w:footnote>
  <w:footnote w:id="307">
    <w:p w14:paraId="5BE9A67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“RE-361.Anexos 11 al 20 Respuesta al OPC-020 de 2025 - Presidencia de la República. Algunos documentos reservados”, pp. 52 a 61. De conformidad con el oficio suscrito por </w:t>
      </w:r>
      <w:proofErr w:type="gramStart"/>
      <w:r w:rsidRPr="00DD0E75">
        <w:rPr>
          <w:lang w:val="es-MX"/>
        </w:rPr>
        <w:t>la jefe</w:t>
      </w:r>
      <w:proofErr w:type="gramEnd"/>
      <w:r w:rsidRPr="00DD0E75">
        <w:rPr>
          <w:lang w:val="es-MX"/>
        </w:rPr>
        <w:t xml:space="preserve"> de la Oficina Asesora Jurídica de la entidad, esta información corresponde a las víctimas inscritas en el RUV por los hechos </w:t>
      </w:r>
      <w:proofErr w:type="spellStart"/>
      <w:r w:rsidRPr="00DD0E75">
        <w:rPr>
          <w:lang w:val="es-MX"/>
        </w:rPr>
        <w:t>victimizantes</w:t>
      </w:r>
      <w:proofErr w:type="spellEnd"/>
      <w:r w:rsidRPr="00DD0E75">
        <w:rPr>
          <w:lang w:val="es-MX"/>
        </w:rPr>
        <w:t xml:space="preserve"> descritos, con corte al 1o de enero de 2025. Estos hechos se presentaron en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Cúcuta, El Zulia, Puerto Santander, San Cayetano, Villa del Rosario, González y Río de Oro.</w:t>
      </w:r>
    </w:p>
  </w:footnote>
  <w:footnote w:id="308">
    <w:p w14:paraId="2DA3CDB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Estos hechos se presentaron en González, Río de Oro, Ábrego, Convención, El Carmen, El Tarra,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y </w:t>
      </w:r>
      <w:proofErr w:type="spellStart"/>
      <w:r w:rsidRPr="00DD0E75">
        <w:rPr>
          <w:lang w:val="es-MX"/>
        </w:rPr>
        <w:t>Tibú</w:t>
      </w:r>
      <w:proofErr w:type="spellEnd"/>
      <w:r w:rsidRPr="00DD0E75">
        <w:rPr>
          <w:lang w:val="es-MX"/>
        </w:rPr>
        <w:t xml:space="preserve"> en 2023.</w:t>
      </w:r>
      <w:r w:rsidRPr="00DD0E75">
        <w:rPr>
          <w:i/>
          <w:iCs/>
          <w:lang w:val="es-MX"/>
        </w:rPr>
        <w:t xml:space="preserve"> Cfr</w:t>
      </w:r>
      <w:r w:rsidRPr="00DD0E75">
        <w:rPr>
          <w:lang w:val="es-MX"/>
        </w:rPr>
        <w:t>. Expediente digital, “RE-361.Anexos 11 al 20 Respuesta al OPC-020 de 2025 - Presidencia de la República. Algunos documentos reservados”, p. 334.</w:t>
      </w:r>
    </w:p>
  </w:footnote>
  <w:footnote w:id="309">
    <w:p w14:paraId="0017BEF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“RE-361.Anexos 11 al 20 Respuesta al OPC-020 de 2025 - Presidencia de la República. Algunos documentos reservados”, pp. 52 a 61. De conformidad con el oficio suscrito por </w:t>
      </w:r>
      <w:proofErr w:type="gramStart"/>
      <w:r w:rsidRPr="00DD0E75">
        <w:rPr>
          <w:lang w:val="es-MX"/>
        </w:rPr>
        <w:t>la jefe</w:t>
      </w:r>
      <w:proofErr w:type="gramEnd"/>
      <w:r w:rsidRPr="00DD0E75">
        <w:rPr>
          <w:lang w:val="es-MX"/>
        </w:rPr>
        <w:t xml:space="preserve"> de la Oficina Asesora Jurídica de la entidad, esta información corresponde a las víctimas inscritas en el RUV por los hechos </w:t>
      </w:r>
      <w:proofErr w:type="spellStart"/>
      <w:r w:rsidRPr="00DD0E75">
        <w:rPr>
          <w:lang w:val="es-MX"/>
        </w:rPr>
        <w:t>victimizantes</w:t>
      </w:r>
      <w:proofErr w:type="spellEnd"/>
      <w:r w:rsidRPr="00DD0E75">
        <w:rPr>
          <w:lang w:val="es-MX"/>
        </w:rPr>
        <w:t xml:space="preserve"> descritos, con corte al 1o de enero de 2025. Estos hechos se presentaron en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Cúcuta, El Zulia, Puerto Santander, San Cayetano, Villa del Rosario, González y Río de Oro.</w:t>
      </w:r>
    </w:p>
  </w:footnote>
  <w:footnote w:id="310">
    <w:p w14:paraId="2A051F1C"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Estos hechos se presentaron en Río de Oro, Ábrego, Convención, El Carmen, El Tarra,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y </w:t>
      </w:r>
      <w:proofErr w:type="spellStart"/>
      <w:r w:rsidRPr="00DD0E75">
        <w:rPr>
          <w:lang w:val="es-MX"/>
        </w:rPr>
        <w:t>Tibú</w:t>
      </w:r>
      <w:proofErr w:type="spellEnd"/>
      <w:r w:rsidRPr="00DD0E75">
        <w:rPr>
          <w:lang w:val="es-MX"/>
        </w:rPr>
        <w:t xml:space="preserve"> en 2024.</w:t>
      </w:r>
      <w:r w:rsidRPr="00DD0E75">
        <w:rPr>
          <w:i/>
          <w:iCs/>
          <w:lang w:val="es-MX"/>
        </w:rPr>
        <w:t xml:space="preserve"> Cfr</w:t>
      </w:r>
      <w:r w:rsidRPr="00DD0E75">
        <w:rPr>
          <w:lang w:val="es-MX"/>
        </w:rPr>
        <w:t>. Expediente digital, “RE-361.Anexos 11 al 20 Respuesta al OPC-020 de 2025 - Presidencia de la República. Algunos documentos reservados”, p. 334.</w:t>
      </w:r>
    </w:p>
  </w:footnote>
  <w:footnote w:id="311">
    <w:p w14:paraId="21873CC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“RE-361.Anexos 11 al 20 Respuesta al OPC-020 de 2025 - Presidencia de la República. Algunos documentos reservados”, pp. 52 a 61. De conformidad con el oficio suscrito por </w:t>
      </w:r>
      <w:proofErr w:type="gramStart"/>
      <w:r w:rsidRPr="00DD0E75">
        <w:rPr>
          <w:lang w:val="es-MX"/>
        </w:rPr>
        <w:t>la jefe</w:t>
      </w:r>
      <w:proofErr w:type="gramEnd"/>
      <w:r w:rsidRPr="00DD0E75">
        <w:rPr>
          <w:lang w:val="es-MX"/>
        </w:rPr>
        <w:t xml:space="preserve"> de la Oficina Asesora Jurídica de la entidad, esta información corresponde a las víctimas inscritas en el RUV por los hechos </w:t>
      </w:r>
      <w:proofErr w:type="spellStart"/>
      <w:r w:rsidRPr="00DD0E75">
        <w:rPr>
          <w:lang w:val="es-MX"/>
        </w:rPr>
        <w:t>victimizantes</w:t>
      </w:r>
      <w:proofErr w:type="spellEnd"/>
      <w:r w:rsidRPr="00DD0E75">
        <w:rPr>
          <w:lang w:val="es-MX"/>
        </w:rPr>
        <w:t xml:space="preserve"> descritos, con corte al 1o de enero de 2025. Estos hechos se presentaron en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Cúcuta, El Zulia, Puerto Santander, San Cayetano, Villa del Rosario, González y Río de Oro.</w:t>
      </w:r>
    </w:p>
  </w:footnote>
  <w:footnote w:id="312">
    <w:p w14:paraId="5C3484D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Corresponde a la información del Boletín número 2 de 22 de enero de 2025 del PMU Catatumbo. Expediente digital, “RE0000361-Presentación Demanda-(2025-01-27 19-17-12).</w:t>
      </w:r>
      <w:proofErr w:type="spellStart"/>
      <w:r w:rsidRPr="00DD0E75">
        <w:rPr>
          <w:lang w:val="es-MX"/>
        </w:rPr>
        <w:t>pdf</w:t>
      </w:r>
      <w:proofErr w:type="spellEnd"/>
      <w:r w:rsidRPr="00DD0E75">
        <w:rPr>
          <w:lang w:val="es-MX"/>
        </w:rPr>
        <w:t xml:space="preserve">”, p. 39. </w:t>
      </w:r>
    </w:p>
  </w:footnote>
  <w:footnote w:id="313">
    <w:p w14:paraId="65D8724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Estos hechos se presentaron en González, Río de Oro,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y </w:t>
      </w:r>
      <w:proofErr w:type="spellStart"/>
      <w:r w:rsidRPr="00DD0E75">
        <w:rPr>
          <w:lang w:val="es-MX"/>
        </w:rPr>
        <w:t>Tibú</w:t>
      </w:r>
      <w:proofErr w:type="spellEnd"/>
      <w:r w:rsidRPr="00DD0E75">
        <w:rPr>
          <w:lang w:val="es-MX"/>
        </w:rPr>
        <w:t xml:space="preserve"> en 2022. </w:t>
      </w:r>
      <w:r w:rsidRPr="00DD0E75">
        <w:rPr>
          <w:i/>
          <w:iCs/>
          <w:lang w:val="es-MX"/>
        </w:rPr>
        <w:t>Cfr</w:t>
      </w:r>
      <w:r w:rsidRPr="00DD0E75">
        <w:rPr>
          <w:lang w:val="es-MX"/>
        </w:rPr>
        <w:t xml:space="preserve">. Expediente digital, “RE-361.Anexos 11 al 20 Respuesta al OPC-020 de 2025 - Presidencia de la República. Algunos documentos reservados”, p. 336. </w:t>
      </w:r>
    </w:p>
  </w:footnote>
  <w:footnote w:id="314">
    <w:p w14:paraId="3BA4457D"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“RE-361.Anexos 11 al 20 Respuesta al OPC-020 de 2025 - Presidencia de la República. Algunos documentos reservados”, pp. 52 a 61. De conformidad con el oficio suscrito por </w:t>
      </w:r>
      <w:proofErr w:type="gramStart"/>
      <w:r w:rsidRPr="00DD0E75">
        <w:rPr>
          <w:lang w:val="es-MX"/>
        </w:rPr>
        <w:t>la jefe</w:t>
      </w:r>
      <w:proofErr w:type="gramEnd"/>
      <w:r w:rsidRPr="00DD0E75">
        <w:rPr>
          <w:lang w:val="es-MX"/>
        </w:rPr>
        <w:t xml:space="preserve"> de la Oficina Asesora Jurídica de la entidad, esta información corresponde a las víctimas inscritas en el RUV por los hechos </w:t>
      </w:r>
      <w:proofErr w:type="spellStart"/>
      <w:r w:rsidRPr="00DD0E75">
        <w:rPr>
          <w:lang w:val="es-MX"/>
        </w:rPr>
        <w:t>victimizantes</w:t>
      </w:r>
      <w:proofErr w:type="spellEnd"/>
      <w:r w:rsidRPr="00DD0E75">
        <w:rPr>
          <w:lang w:val="es-MX"/>
        </w:rPr>
        <w:t xml:space="preserve"> descritos, con corte al 1o de enero de 2025. Estos hechos se presentaron en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Cúcuta, El Zulia, Puerto Santander, San Cayetano, Villa del Rosario y Río de Oro.</w:t>
      </w:r>
    </w:p>
  </w:footnote>
  <w:footnote w:id="315">
    <w:p w14:paraId="280A9B63" w14:textId="41C89482"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Estos hechos se presentaron en González, Río de Oro,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y </w:t>
      </w:r>
      <w:proofErr w:type="spellStart"/>
      <w:r w:rsidRPr="00DD0E75">
        <w:rPr>
          <w:lang w:val="es-MX"/>
        </w:rPr>
        <w:t>Tibú</w:t>
      </w:r>
      <w:proofErr w:type="spellEnd"/>
      <w:r w:rsidRPr="00DD0E75">
        <w:rPr>
          <w:lang w:val="es-MX"/>
        </w:rPr>
        <w:t xml:space="preserve"> en 2022. </w:t>
      </w:r>
      <w:r w:rsidRPr="00DD0E75">
        <w:rPr>
          <w:i/>
          <w:iCs/>
          <w:lang w:val="es-MX"/>
        </w:rPr>
        <w:t>Cfr</w:t>
      </w:r>
      <w:r w:rsidRPr="00DD0E75">
        <w:rPr>
          <w:lang w:val="es-MX"/>
        </w:rPr>
        <w:t xml:space="preserve">. </w:t>
      </w:r>
      <w:proofErr w:type="spellStart"/>
      <w:r w:rsidRPr="00DD0E75">
        <w:rPr>
          <w:lang w:val="es-MX"/>
        </w:rPr>
        <w:t>Ibid</w:t>
      </w:r>
      <w:proofErr w:type="spellEnd"/>
      <w:r w:rsidRPr="00DD0E75">
        <w:rPr>
          <w:lang w:val="es-MX"/>
        </w:rPr>
        <w:t xml:space="preserve">. </w:t>
      </w:r>
    </w:p>
  </w:footnote>
  <w:footnote w:id="316">
    <w:p w14:paraId="39F7E9AD"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“RE-361.Anexos 11 al 20 Respuesta al OPC-020 de 2025 - Presidencia de la República. Algunos documentos reservados”, pp. 52 a 61. De conformidad con el oficio suscrito por </w:t>
      </w:r>
      <w:proofErr w:type="gramStart"/>
      <w:r w:rsidRPr="00DD0E75">
        <w:rPr>
          <w:lang w:val="es-MX"/>
        </w:rPr>
        <w:t>la jefe</w:t>
      </w:r>
      <w:proofErr w:type="gramEnd"/>
      <w:r w:rsidRPr="00DD0E75">
        <w:rPr>
          <w:lang w:val="es-MX"/>
        </w:rPr>
        <w:t xml:space="preserve"> de la Oficina Asesora Jurídica de la entidad, esta información corresponde a las víctimas inscritas en el RUV por los hechos </w:t>
      </w:r>
      <w:proofErr w:type="spellStart"/>
      <w:r w:rsidRPr="00DD0E75">
        <w:rPr>
          <w:lang w:val="es-MX"/>
        </w:rPr>
        <w:t>victimizantes</w:t>
      </w:r>
      <w:proofErr w:type="spellEnd"/>
      <w:r w:rsidRPr="00DD0E75">
        <w:rPr>
          <w:lang w:val="es-MX"/>
        </w:rPr>
        <w:t xml:space="preserve"> descritos, con corte al 1o de enero de 2025. Estos hechos se presentaron en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Cúcuta, El Zulia, Puerto Santander, San Cayetano, Villa del Rosario y Río de Oro.</w:t>
      </w:r>
    </w:p>
  </w:footnote>
  <w:footnote w:id="317">
    <w:p w14:paraId="76CC5AFA" w14:textId="679A3076"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Estos hechos se presentaron en González, Río de Oro, Ábrego, Convención, El Carmen, El Tarra, </w:t>
      </w:r>
      <w:proofErr w:type="spellStart"/>
      <w:r w:rsidRPr="00DD0E75">
        <w:rPr>
          <w:lang w:val="es-MX"/>
        </w:rPr>
        <w:t>Hacarí</w:t>
      </w:r>
      <w:proofErr w:type="spellEnd"/>
      <w:r w:rsidRPr="00DD0E75">
        <w:rPr>
          <w:lang w:val="es-MX"/>
        </w:rPr>
        <w:t xml:space="preserve">, La Playa, Ocaña,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y </w:t>
      </w:r>
      <w:proofErr w:type="spellStart"/>
      <w:r w:rsidRPr="00DD0E75">
        <w:rPr>
          <w:lang w:val="es-MX"/>
        </w:rPr>
        <w:t>Tibú</w:t>
      </w:r>
      <w:proofErr w:type="spellEnd"/>
      <w:r w:rsidRPr="00DD0E75">
        <w:rPr>
          <w:lang w:val="es-MX"/>
        </w:rPr>
        <w:t xml:space="preserve"> en 2022. </w:t>
      </w:r>
      <w:r w:rsidRPr="00DD0E75">
        <w:rPr>
          <w:i/>
          <w:iCs/>
          <w:lang w:val="es-MX"/>
        </w:rPr>
        <w:t>Cfr</w:t>
      </w:r>
      <w:r w:rsidRPr="00DD0E75">
        <w:rPr>
          <w:lang w:val="es-MX"/>
        </w:rPr>
        <w:t xml:space="preserve">. </w:t>
      </w:r>
      <w:proofErr w:type="spellStart"/>
      <w:r w:rsidRPr="00DD0E75">
        <w:rPr>
          <w:lang w:val="es-MX"/>
        </w:rPr>
        <w:t>Ibid</w:t>
      </w:r>
      <w:proofErr w:type="spellEnd"/>
      <w:r w:rsidRPr="00DD0E75">
        <w:rPr>
          <w:lang w:val="es-MX"/>
        </w:rPr>
        <w:t xml:space="preserve">. </w:t>
      </w:r>
    </w:p>
  </w:footnote>
  <w:footnote w:id="318">
    <w:p w14:paraId="18CB0D74"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“RE-361.Anexos 11 al 20 Respuesta al OPC-020 de 2025 - Presidencia de la República. Algunos documentos reservados”, pp. 52 a 61. De conformidad con el oficio suscrito por </w:t>
      </w:r>
      <w:proofErr w:type="gramStart"/>
      <w:r w:rsidRPr="00DD0E75">
        <w:rPr>
          <w:lang w:val="es-MX"/>
        </w:rPr>
        <w:t>la jefe</w:t>
      </w:r>
      <w:proofErr w:type="gramEnd"/>
      <w:r w:rsidRPr="00DD0E75">
        <w:rPr>
          <w:lang w:val="es-MX"/>
        </w:rPr>
        <w:t xml:space="preserve"> de la Oficina Asesora Jurídica de la entidad, esta información corresponde a las víctimas inscritas en el RUV por los hechos </w:t>
      </w:r>
      <w:proofErr w:type="spellStart"/>
      <w:r w:rsidRPr="00DD0E75">
        <w:rPr>
          <w:lang w:val="es-MX"/>
        </w:rPr>
        <w:t>victimizantes</w:t>
      </w:r>
      <w:proofErr w:type="spellEnd"/>
      <w:r w:rsidRPr="00DD0E75">
        <w:rPr>
          <w:lang w:val="es-MX"/>
        </w:rPr>
        <w:t xml:space="preserve"> descritos, con corte al 1o de enero de 2025. Estos hechos se presentaron en Ábrego, Convención,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Cúcuta, El Zulia, Puerto Santander, San Cayetano, Villa del Rosario y Río de Oro.</w:t>
      </w:r>
    </w:p>
  </w:footnote>
  <w:footnote w:id="319">
    <w:p w14:paraId="40CFCC8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Corresponde a la información del Boletín 2 de 22 de enero de 2025 del PMU Catatumbo. Expediente digital, “RE0000361-Presentación Demanda-(2025-01-27 19-17-12).</w:t>
      </w:r>
      <w:proofErr w:type="spellStart"/>
      <w:r w:rsidRPr="00DD0E75">
        <w:rPr>
          <w:lang w:val="es-MX"/>
        </w:rPr>
        <w:t>pdf</w:t>
      </w:r>
      <w:proofErr w:type="spellEnd"/>
      <w:r w:rsidRPr="00DD0E75">
        <w:rPr>
          <w:lang w:val="es-MX"/>
        </w:rPr>
        <w:t xml:space="preserve">”, p. 39. </w:t>
      </w:r>
    </w:p>
  </w:footnote>
  <w:footnote w:id="320">
    <w:p w14:paraId="7EE5D8B0"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Esta cifra corresponde a las víctimas registradas en el RUV, según la información remitida por la UARIV. Los hechos ocurrieron en El Carmen, El Tarra, </w:t>
      </w:r>
      <w:proofErr w:type="spellStart"/>
      <w:r w:rsidRPr="00DD0E75">
        <w:rPr>
          <w:lang w:val="es-MX"/>
        </w:rPr>
        <w:t>Hacarí</w:t>
      </w:r>
      <w:proofErr w:type="spellEnd"/>
      <w:r w:rsidRPr="00DD0E75">
        <w:rPr>
          <w:lang w:val="es-MX"/>
        </w:rPr>
        <w:t xml:space="preserve">, La Playa, Ocaña, San Calixto, </w:t>
      </w:r>
      <w:proofErr w:type="spellStart"/>
      <w:r w:rsidRPr="00DD0E75">
        <w:rPr>
          <w:lang w:val="es-MX"/>
        </w:rPr>
        <w:t>Sardinata</w:t>
      </w:r>
      <w:proofErr w:type="spellEnd"/>
      <w:r w:rsidRPr="00DD0E75">
        <w:rPr>
          <w:lang w:val="es-MX"/>
        </w:rPr>
        <w:t xml:space="preserve">,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Cúcuta, El Zulia, Los Patios, Puerto Santander, San Cayetano, Villa del Rosario, González y Río de Oro. Expediente digital, “RE-361.Anexos 11 al 20 Respuesta al OPC-020 de 2025 - Presidencia de la República. Algunos documentos reservados”, p. 57.</w:t>
      </w:r>
    </w:p>
  </w:footnote>
  <w:footnote w:id="321">
    <w:p w14:paraId="52B6D7FD" w14:textId="7E50427F"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322">
    <w:p w14:paraId="4B88EF15" w14:textId="60ADCC51"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323">
    <w:p w14:paraId="5F48E13A"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Corresponde a la información del Boletín 2 de 22 de enero de 2025 del PMU Catatumbo.  </w:t>
      </w:r>
    </w:p>
  </w:footnote>
  <w:footnote w:id="324">
    <w:p w14:paraId="09F55DC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“RE0000361-Presentación Demanda-(2025-01-27 19-17-12).</w:t>
      </w:r>
      <w:proofErr w:type="spellStart"/>
      <w:r w:rsidRPr="00DD0E75">
        <w:rPr>
          <w:lang w:val="es-MX"/>
        </w:rPr>
        <w:t>pdf</w:t>
      </w:r>
      <w:proofErr w:type="spellEnd"/>
      <w:r w:rsidRPr="00DD0E75">
        <w:rPr>
          <w:lang w:val="es-MX"/>
        </w:rPr>
        <w:t xml:space="preserve">”, pp. 466 y 467. </w:t>
      </w:r>
    </w:p>
  </w:footnote>
  <w:footnote w:id="325">
    <w:p w14:paraId="251BE18E"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“AnexosRE0000361-Presentación Demanda-(2025-01-28 00-17-39).</w:t>
      </w:r>
      <w:proofErr w:type="spellStart"/>
      <w:r w:rsidRPr="00DD0E75">
        <w:rPr>
          <w:lang w:val="es-MX"/>
        </w:rPr>
        <w:t>pdf</w:t>
      </w:r>
      <w:proofErr w:type="spellEnd"/>
      <w:r w:rsidRPr="00DD0E75">
        <w:rPr>
          <w:lang w:val="es-MX"/>
        </w:rPr>
        <w:t>”, p. 730.</w:t>
      </w:r>
    </w:p>
  </w:footnote>
  <w:footnote w:id="326">
    <w:p w14:paraId="39A8CFE4" w14:textId="16E39F32"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495.</w:t>
      </w:r>
    </w:p>
  </w:footnote>
  <w:footnote w:id="327">
    <w:p w14:paraId="1C3C265C" w14:textId="16496FD9"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28">
    <w:p w14:paraId="4A986AA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“RE0000361-Presentación Demanda-(2025-01-27 19-17-12).</w:t>
      </w:r>
      <w:proofErr w:type="spellStart"/>
      <w:r w:rsidRPr="00DD0E75">
        <w:rPr>
          <w:lang w:val="es-MX"/>
        </w:rPr>
        <w:t>pdf</w:t>
      </w:r>
      <w:proofErr w:type="spellEnd"/>
      <w:r w:rsidRPr="00DD0E75">
        <w:rPr>
          <w:lang w:val="es-MX"/>
        </w:rPr>
        <w:t xml:space="preserve">”, p. 480. </w:t>
      </w:r>
    </w:p>
  </w:footnote>
  <w:footnote w:id="329">
    <w:p w14:paraId="5440F464"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Esta cifra corresponde a las víctimas registradas en el RUV, según la información remitida por la UARIV. Los hechos ocurrieron en Convención, El Tarra, Ocaña,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xml:space="preserve"> y </w:t>
      </w:r>
      <w:proofErr w:type="spellStart"/>
      <w:r w:rsidRPr="00DD0E75">
        <w:rPr>
          <w:lang w:val="es-MX"/>
        </w:rPr>
        <w:t>Cútuta</w:t>
      </w:r>
      <w:proofErr w:type="spellEnd"/>
      <w:r w:rsidRPr="00DD0E75">
        <w:rPr>
          <w:lang w:val="es-MX"/>
        </w:rPr>
        <w:t>. Expediente digital, “RE-361.Anexos 11 al 20 Respuesta al OPC-020 de 2025 - Presidencia de la República. Algunos documentos reservados”, pp. 57 y 58.</w:t>
      </w:r>
    </w:p>
  </w:footnote>
  <w:footnote w:id="330">
    <w:p w14:paraId="5AEC8B1A"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Esta cifra corresponde a las víctimas registradas en el RUV, según la información remitida por la UARIV. Los hechos ocurrieron en Convención, La Playa, Ocaña, </w:t>
      </w:r>
      <w:proofErr w:type="spellStart"/>
      <w:r w:rsidRPr="00DD0E75">
        <w:rPr>
          <w:lang w:val="es-MX"/>
        </w:rPr>
        <w:t>Teorama</w:t>
      </w:r>
      <w:proofErr w:type="spellEnd"/>
      <w:r w:rsidRPr="00DD0E75">
        <w:rPr>
          <w:lang w:val="es-MX"/>
        </w:rPr>
        <w:t xml:space="preserve">, </w:t>
      </w:r>
      <w:proofErr w:type="spellStart"/>
      <w:r w:rsidRPr="00DD0E75">
        <w:rPr>
          <w:lang w:val="es-MX"/>
        </w:rPr>
        <w:t>Tibú</w:t>
      </w:r>
      <w:proofErr w:type="spellEnd"/>
      <w:r w:rsidRPr="00DD0E75">
        <w:rPr>
          <w:lang w:val="es-MX"/>
        </w:rPr>
        <w:t xml:space="preserve"> y Villa del Rosario. Expediente digital, “RE-361.Anexos 11 al 20 Respuesta al OPC-020 de 2025 - Presidencia de la República. Algunos documentos reservados”, pp. 57 y 58.</w:t>
      </w:r>
    </w:p>
  </w:footnote>
  <w:footnote w:id="331">
    <w:p w14:paraId="3FA1381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Esta cifra corresponde a la víctima incluida en el RUV, según la información remitida por la UARIV. Este hecho ocurrió en </w:t>
      </w:r>
      <w:proofErr w:type="spellStart"/>
      <w:r w:rsidRPr="00DD0E75">
        <w:rPr>
          <w:lang w:val="es-MX"/>
        </w:rPr>
        <w:t>Hacarí</w:t>
      </w:r>
      <w:proofErr w:type="spellEnd"/>
      <w:r w:rsidRPr="00DD0E75">
        <w:rPr>
          <w:lang w:val="es-MX"/>
        </w:rPr>
        <w:t>. Expediente digital, “RE-361.Anexos 11 al 20 Respuesta al OPC-020 de 2025 - Presidencia de la República. Algunos documentos reservados”, pp. 57 y 58.</w:t>
      </w:r>
    </w:p>
  </w:footnote>
  <w:footnote w:id="332">
    <w:p w14:paraId="26F0B2ED"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Corresponde a la información del Boletín 2 de 22 de enero de 2025 del PMU Catatumbo.  </w:t>
      </w:r>
    </w:p>
  </w:footnote>
  <w:footnote w:id="333">
    <w:p w14:paraId="7B0D044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“RE-361.Anexos 11 al 20 Respuesta al OPC-020 de 2025 - Presidencia de la República. Algunos documentos reservados.pdf”, p. 51.</w:t>
      </w:r>
    </w:p>
  </w:footnote>
  <w:footnote w:id="334">
    <w:p w14:paraId="3D697A32" w14:textId="6F8CE7AE"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MinDefensa</w:t>
      </w:r>
      <w:proofErr w:type="spellEnd"/>
      <w:r w:rsidRPr="00DD0E75">
        <w:rPr>
          <w:lang w:val="es-MX"/>
        </w:rPr>
        <w:t xml:space="preserve"> no precisó la fecha de corte de esta información. </w:t>
      </w:r>
      <w:r w:rsidRPr="00DD0E75">
        <w:rPr>
          <w:i/>
          <w:iCs/>
          <w:lang w:val="es-MX"/>
        </w:rPr>
        <w:t>Cfr</w:t>
      </w:r>
      <w:r w:rsidRPr="00DD0E75">
        <w:rPr>
          <w:lang w:val="es-MX"/>
        </w:rPr>
        <w:t xml:space="preserve">. Expediente digital, “RE-361.Anexos 11 al 20 Respuesta al OPC-020 de 2025 - Presidencia de la República. Algunos documentos reservados.pdf”, p. 31. </w:t>
      </w:r>
    </w:p>
  </w:footnote>
  <w:footnote w:id="335">
    <w:p w14:paraId="7EFCBE80"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“RE0000361-Conceptos e Intervenciones-(2025-03-04 00-58-17).</w:t>
      </w:r>
      <w:proofErr w:type="spellStart"/>
      <w:r w:rsidRPr="00DD0E75">
        <w:rPr>
          <w:lang w:val="es-MX"/>
        </w:rPr>
        <w:t>pdf</w:t>
      </w:r>
      <w:proofErr w:type="spellEnd"/>
      <w:r w:rsidRPr="00DD0E75">
        <w:rPr>
          <w:lang w:val="es-MX"/>
        </w:rPr>
        <w:t>”, p. 22.</w:t>
      </w:r>
    </w:p>
  </w:footnote>
  <w:footnote w:id="336">
    <w:p w14:paraId="412527BD"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Unidad para la Atención y Reparación Integral a las Víctimas. F-OAP-018-CAR. 5 de febrero de 2025. P. 6</w:t>
      </w:r>
    </w:p>
  </w:footnote>
  <w:footnote w:id="337">
    <w:p w14:paraId="4972659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Puesto de Mando Unificado de la Gobernación de Norte de Santander. Boletín No. 2, 22 de enero de 2025.</w:t>
      </w:r>
    </w:p>
  </w:footnote>
  <w:footnote w:id="338">
    <w:p w14:paraId="44B002DC"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r w:rsidRPr="00DD0E75">
        <w:rPr>
          <w:color w:val="000000"/>
          <w:bdr w:val="none" w:sz="0" w:space="0" w:color="auto" w:frame="1"/>
          <w:lang w:val="es-MX"/>
        </w:rPr>
        <w:t>Defensoría de Pueblo. 2025. Boletín Mensual. Dinámicas de Movilidad Humana Forzada en Colombia. Defensoría Delegada para los Derechos de la Población en Movilidad Humana – DDPMH. Marzo de 2025.</w:t>
      </w:r>
    </w:p>
  </w:footnote>
  <w:footnote w:id="339">
    <w:p w14:paraId="2F6A83D2" w14:textId="77777777" w:rsidR="001F3006" w:rsidRPr="00DD0E75" w:rsidRDefault="001F3006" w:rsidP="002C5127">
      <w:pPr>
        <w:rPr>
          <w:rFonts w:eastAsia="Times New Roman" w:cs="Times New Roman"/>
          <w:kern w:val="0"/>
          <w:sz w:val="20"/>
          <w:szCs w:val="20"/>
          <w:lang w:val="es-MX"/>
          <w14:ligatures w14:val="none"/>
        </w:rPr>
      </w:pPr>
      <w:r w:rsidRPr="00DD0E75">
        <w:rPr>
          <w:rStyle w:val="Refdenotaalpie"/>
          <w:rFonts w:cs="Times New Roman"/>
          <w:sz w:val="20"/>
          <w:szCs w:val="20"/>
          <w:lang w:val="es-MX"/>
        </w:rPr>
        <w:footnoteRef/>
      </w:r>
      <w:r w:rsidRPr="00DD0E75">
        <w:rPr>
          <w:rFonts w:cs="Times New Roman"/>
          <w:sz w:val="20"/>
          <w:szCs w:val="20"/>
          <w:lang w:val="es-MX"/>
        </w:rPr>
        <w:t xml:space="preserve"> </w:t>
      </w:r>
      <w:r w:rsidRPr="00DD0E75">
        <w:rPr>
          <w:rFonts w:eastAsia="Times New Roman" w:cs="Times New Roman"/>
          <w:color w:val="000000" w:themeColor="text1"/>
          <w:sz w:val="20"/>
          <w:szCs w:val="20"/>
          <w:lang w:val="es-MX"/>
        </w:rPr>
        <w:t xml:space="preserve">Grupo </w:t>
      </w:r>
      <w:proofErr w:type="spellStart"/>
      <w:r w:rsidRPr="00DD0E75">
        <w:rPr>
          <w:rFonts w:eastAsia="Times New Roman" w:cs="Times New Roman"/>
          <w:color w:val="000000" w:themeColor="text1"/>
          <w:sz w:val="20"/>
          <w:szCs w:val="20"/>
          <w:lang w:val="es-MX"/>
        </w:rPr>
        <w:t>Interagencial</w:t>
      </w:r>
      <w:proofErr w:type="spellEnd"/>
      <w:r w:rsidRPr="00DD0E75">
        <w:rPr>
          <w:rFonts w:eastAsia="Times New Roman" w:cs="Times New Roman"/>
          <w:color w:val="000000"/>
          <w:kern w:val="0"/>
          <w:sz w:val="20"/>
          <w:szCs w:val="20"/>
          <w:shd w:val="clear" w:color="auto" w:fill="FFFFFF"/>
          <w:lang w:val="es-MX"/>
          <w14:ligatures w14:val="none"/>
        </w:rPr>
        <w:t xml:space="preserve"> de Flujos Migratorios Mixtos -GIFMM. </w:t>
      </w:r>
      <w:r w:rsidRPr="00DD0E75">
        <w:rPr>
          <w:rFonts w:eastAsia="Times New Roman" w:cs="Times New Roman"/>
          <w:i/>
          <w:iCs/>
          <w:color w:val="000000"/>
          <w:kern w:val="0"/>
          <w:sz w:val="20"/>
          <w:szCs w:val="20"/>
          <w:shd w:val="clear" w:color="auto" w:fill="FFFFFF"/>
          <w:lang w:val="es-MX"/>
          <w14:ligatures w14:val="none"/>
        </w:rPr>
        <w:t>Afectación emergencia Región del Catatumbo, Colombia</w:t>
      </w:r>
      <w:r w:rsidRPr="00DD0E75">
        <w:rPr>
          <w:rFonts w:eastAsia="Times New Roman" w:cs="Times New Roman"/>
          <w:color w:val="000000"/>
          <w:kern w:val="0"/>
          <w:sz w:val="20"/>
          <w:szCs w:val="20"/>
          <w:shd w:val="clear" w:color="auto" w:fill="FFFFFF"/>
          <w:lang w:val="es-MX"/>
          <w14:ligatures w14:val="none"/>
        </w:rPr>
        <w:t>, disponible en: https://app.powerbi.com/view?r=eyJrIjoiYjE3MzE2MWMtOGQ2Ny00Y2RiLTllNzEtYWIwYTUxNGY3ZjU1IiwidCI6IjNlOTQyYWU0LWNkOTMtNGQzNy1iZTJmLTY5MzllNDNjMTRiNyJ9</w:t>
      </w:r>
    </w:p>
  </w:footnote>
  <w:footnote w:id="340">
    <w:p w14:paraId="5BC9D9D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“AnexosRE0000361-Presentación Demanda-(2025-01-28 00-17-39).</w:t>
      </w:r>
      <w:proofErr w:type="spellStart"/>
      <w:r w:rsidRPr="00DD0E75">
        <w:rPr>
          <w:lang w:val="es-MX"/>
        </w:rPr>
        <w:t>pdf</w:t>
      </w:r>
      <w:proofErr w:type="spellEnd"/>
      <w:r w:rsidRPr="00DD0E75">
        <w:rPr>
          <w:lang w:val="es-MX"/>
        </w:rPr>
        <w:t xml:space="preserve">”, pp. 494 a 496. </w:t>
      </w:r>
    </w:p>
  </w:footnote>
  <w:footnote w:id="341">
    <w:p w14:paraId="69B77E00"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494.</w:t>
      </w:r>
    </w:p>
  </w:footnote>
  <w:footnote w:id="342">
    <w:p w14:paraId="3F69AA54"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p. 496. </w:t>
      </w:r>
    </w:p>
  </w:footnote>
  <w:footnote w:id="343">
    <w:p w14:paraId="1D290DC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 Anexos 31 al 40 Respuesta al OPC-020 de 2025 - Presidencia de la República.pdf”, p. 5 a 6.</w:t>
      </w:r>
    </w:p>
  </w:footnote>
  <w:footnote w:id="344">
    <w:p w14:paraId="0C53E0F6" w14:textId="3748C58F" w:rsidR="001F3006" w:rsidRPr="00DD0E75" w:rsidRDefault="001F3006">
      <w:pPr>
        <w:pStyle w:val="Textonotapie"/>
        <w:rPr>
          <w:lang w:val="es-ES_tradnl"/>
        </w:rPr>
      </w:pPr>
      <w:r w:rsidRPr="00DD0E75">
        <w:rPr>
          <w:rStyle w:val="Refdenotaalpie"/>
        </w:rPr>
        <w:footnoteRef/>
      </w:r>
      <w:r w:rsidRPr="00DD0E75">
        <w:t xml:space="preserve"> </w:t>
      </w:r>
      <w:r w:rsidRPr="00DD0E75">
        <w:rPr>
          <w:lang w:val="es-MX"/>
        </w:rPr>
        <w:t xml:space="preserve">Expediente digital, “Respuesta DAPRE II”, pp. 18 y 23. La entidad reconoció que los actos terroristas se han presentado en la historia del país y, en particular, en esta región. Pese a esto, resaltó que “el hecho significativo que denota la particularidad de este evento es el número de homicidios selectivos contra líderes sociales, firmantes de paz y los ataques a sus familias […], así como el confinamiento y desplazamiento”. También indicó que el rompimiento del </w:t>
      </w:r>
      <w:r w:rsidRPr="00DD0E75">
        <w:rPr>
          <w:i/>
          <w:iCs/>
          <w:lang w:val="es-MX"/>
        </w:rPr>
        <w:t>pacto</w:t>
      </w:r>
      <w:r w:rsidRPr="00DD0E75">
        <w:rPr>
          <w:lang w:val="es-MX"/>
        </w:rPr>
        <w:t xml:space="preserve"> entre los grupos armados al margen de la ley generó </w:t>
      </w:r>
      <w:proofErr w:type="gramStart"/>
      <w:r w:rsidRPr="00DD0E75">
        <w:rPr>
          <w:lang w:val="es-MX"/>
        </w:rPr>
        <w:t>que</w:t>
      </w:r>
      <w:proofErr w:type="gramEnd"/>
      <w:r w:rsidRPr="00DD0E75">
        <w:rPr>
          <w:lang w:val="es-MX"/>
        </w:rPr>
        <w:t xml:space="preserve"> a comienzos de 2025, entre otras, el ELN “adelantara una imprevisible y violenta ofensiva contra las instituciones, la población civil, líderes sociales y, especialmente, firmantes del acuerdo final de paz en la región del Catatumbo”.</w:t>
      </w:r>
    </w:p>
  </w:footnote>
  <w:footnote w:id="345">
    <w:p w14:paraId="353E8539" w14:textId="77777777" w:rsidR="001F3006" w:rsidRPr="00DD0E75" w:rsidRDefault="001F3006" w:rsidP="002C5127">
      <w:pPr>
        <w:rPr>
          <w:rFonts w:eastAsia="Times New Roman"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vertAlign w:val="superscript"/>
          <w:lang w:val="es-MX"/>
        </w:rPr>
        <w:t xml:space="preserve"> </w:t>
      </w:r>
      <w:r w:rsidRPr="00DD0E75">
        <w:rPr>
          <w:rFonts w:eastAsia="Times New Roman" w:cs="Times New Roman"/>
          <w:sz w:val="20"/>
          <w:szCs w:val="20"/>
          <w:lang w:val="es-MX"/>
        </w:rPr>
        <w:t>Expediente digital, “06.02.25 Fuerzas Militares.pdf”, p. 2. Esta autoridad indicó que “[la]s alertas advertían de posibles ataques del ELN a unidades militares e infraestructura estratégica, así como a integrantes del GAO-RE33, más no se esperaba ataque focalizado, casa a casa, que se presentó a líderes sociales y firmantes de paz”.</w:t>
      </w:r>
    </w:p>
  </w:footnote>
  <w:footnote w:id="346">
    <w:p w14:paraId="344A7112" w14:textId="77777777" w:rsidR="001F3006" w:rsidRPr="00DD0E75" w:rsidRDefault="001F3006" w:rsidP="002C5127">
      <w:pPr>
        <w:rPr>
          <w:rFonts w:eastAsia="Times New Roman"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w:t>
      </w:r>
      <w:r w:rsidRPr="00DD0E75">
        <w:rPr>
          <w:rFonts w:eastAsia="Times New Roman" w:cs="Times New Roman"/>
          <w:sz w:val="20"/>
          <w:szCs w:val="20"/>
          <w:lang w:val="es-MX"/>
        </w:rPr>
        <w:t>Expediente digital, “RE0000361-Conceptos e Intervenciones-(2025-03-04 00-58-17).</w:t>
      </w:r>
      <w:proofErr w:type="spellStart"/>
      <w:r w:rsidRPr="00DD0E75">
        <w:rPr>
          <w:rFonts w:eastAsia="Times New Roman" w:cs="Times New Roman"/>
          <w:sz w:val="20"/>
          <w:szCs w:val="20"/>
          <w:lang w:val="es-MX"/>
        </w:rPr>
        <w:t>pdf</w:t>
      </w:r>
      <w:proofErr w:type="spellEnd"/>
      <w:r w:rsidRPr="00DD0E75">
        <w:rPr>
          <w:rFonts w:eastAsia="Times New Roman" w:cs="Times New Roman"/>
          <w:sz w:val="20"/>
          <w:szCs w:val="20"/>
          <w:lang w:val="es-MX"/>
        </w:rPr>
        <w:t>”, p. 17.</w:t>
      </w:r>
    </w:p>
  </w:footnote>
  <w:footnote w:id="347">
    <w:p w14:paraId="26E080CE" w14:textId="51837277"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w:t>
      </w:r>
      <w:r w:rsidRPr="00DD0E75">
        <w:rPr>
          <w:rFonts w:eastAsia="Times New Roman" w:cs="Times New Roman"/>
          <w:sz w:val="20"/>
          <w:szCs w:val="20"/>
          <w:lang w:val="es-MX"/>
        </w:rPr>
        <w:t xml:space="preserve">Corte Constitucional. Sesión técnica territorial sobre el Sistema de Prevención y Alerta para la Reacción Rápida. Minuto: 26:38-27:10. Disponible en: </w:t>
      </w:r>
      <w:r w:rsidRPr="00DD0E75">
        <w:rPr>
          <w:rStyle w:val="Hipervnculo"/>
          <w:rFonts w:eastAsia="Times New Roman" w:cs="Times New Roman"/>
          <w:sz w:val="20"/>
          <w:szCs w:val="20"/>
          <w:lang w:val="es-MX"/>
        </w:rPr>
        <w:t>https://www.youtube.com/watch?v=AGtlQ4bXD-g</w:t>
      </w:r>
      <w:r w:rsidRPr="00DD0E75">
        <w:rPr>
          <w:rFonts w:eastAsia="Times New Roman" w:cs="Times New Roman"/>
          <w:sz w:val="20"/>
          <w:szCs w:val="20"/>
          <w:lang w:val="es-MX"/>
        </w:rPr>
        <w:t>. La Sala Especial de Seguimiento ha registrado el reportado el homicidio de: Pedro Rodríguez Mejía el 16 de enero ⁠⁠</w:t>
      </w:r>
      <w:proofErr w:type="spellStart"/>
      <w:r w:rsidRPr="00DD0E75">
        <w:rPr>
          <w:rFonts w:eastAsia="Times New Roman" w:cs="Times New Roman"/>
          <w:sz w:val="20"/>
          <w:szCs w:val="20"/>
          <w:lang w:val="es-MX"/>
        </w:rPr>
        <w:t>Jhan</w:t>
      </w:r>
      <w:proofErr w:type="spellEnd"/>
      <w:r w:rsidRPr="00DD0E75">
        <w:rPr>
          <w:rFonts w:eastAsia="Times New Roman" w:cs="Times New Roman"/>
          <w:sz w:val="20"/>
          <w:szCs w:val="20"/>
          <w:lang w:val="es-MX"/>
        </w:rPr>
        <w:t xml:space="preserve"> Carlos </w:t>
      </w:r>
      <w:proofErr w:type="spellStart"/>
      <w:r w:rsidRPr="00DD0E75">
        <w:rPr>
          <w:rFonts w:eastAsia="Times New Roman" w:cs="Times New Roman"/>
          <w:sz w:val="20"/>
          <w:szCs w:val="20"/>
          <w:lang w:val="es-MX"/>
        </w:rPr>
        <w:t>Carvajalino</w:t>
      </w:r>
      <w:proofErr w:type="spellEnd"/>
      <w:r w:rsidRPr="00DD0E75">
        <w:rPr>
          <w:rFonts w:eastAsia="Times New Roman" w:cs="Times New Roman"/>
          <w:sz w:val="20"/>
          <w:szCs w:val="20"/>
          <w:lang w:val="es-MX"/>
        </w:rPr>
        <w:t xml:space="preserve"> 16 de enero; ⁠⁠</w:t>
      </w:r>
      <w:proofErr w:type="spellStart"/>
      <w:r w:rsidRPr="00DD0E75">
        <w:rPr>
          <w:rFonts w:eastAsia="Times New Roman" w:cs="Times New Roman"/>
          <w:sz w:val="20"/>
          <w:szCs w:val="20"/>
          <w:lang w:val="es-MX"/>
        </w:rPr>
        <w:t>Jhon</w:t>
      </w:r>
      <w:proofErr w:type="spellEnd"/>
      <w:r w:rsidRPr="00DD0E75">
        <w:rPr>
          <w:rFonts w:eastAsia="Times New Roman" w:cs="Times New Roman"/>
          <w:sz w:val="20"/>
          <w:szCs w:val="20"/>
          <w:lang w:val="es-MX"/>
        </w:rPr>
        <w:t xml:space="preserve"> Fredy Carrascal, 16 de enero; Albeiro Díaz Franco el 16 de </w:t>
      </w:r>
      <w:proofErr w:type="gramStart"/>
      <w:r w:rsidRPr="00DD0E75">
        <w:rPr>
          <w:rFonts w:eastAsia="Times New Roman" w:cs="Times New Roman"/>
          <w:sz w:val="20"/>
          <w:szCs w:val="20"/>
          <w:lang w:val="es-MX"/>
        </w:rPr>
        <w:t>enero;⁠</w:t>
      </w:r>
      <w:proofErr w:type="gramEnd"/>
      <w:r w:rsidRPr="00DD0E75">
        <w:rPr>
          <w:rFonts w:eastAsia="Times New Roman" w:cs="Times New Roman"/>
          <w:sz w:val="20"/>
          <w:szCs w:val="20"/>
          <w:lang w:val="es-MX"/>
        </w:rPr>
        <w:t xml:space="preserve">⁠Pedro </w:t>
      </w:r>
      <w:proofErr w:type="spellStart"/>
      <w:r w:rsidRPr="00DD0E75">
        <w:rPr>
          <w:rFonts w:eastAsia="Times New Roman" w:cs="Times New Roman"/>
          <w:sz w:val="20"/>
          <w:szCs w:val="20"/>
          <w:lang w:val="es-MX"/>
        </w:rPr>
        <w:t>Nel</w:t>
      </w:r>
      <w:proofErr w:type="spellEnd"/>
      <w:r w:rsidRPr="00DD0E75">
        <w:rPr>
          <w:rFonts w:eastAsia="Times New Roman" w:cs="Times New Roman"/>
          <w:sz w:val="20"/>
          <w:szCs w:val="20"/>
          <w:lang w:val="es-MX"/>
        </w:rPr>
        <w:t xml:space="preserve"> Angarita el 21 de enero; Disney Sánchez, el 27 de enero.</w:t>
      </w:r>
    </w:p>
  </w:footnote>
  <w:footnote w:id="348">
    <w:p w14:paraId="0DBA1A55" w14:textId="3ACB27AE" w:rsidR="001F3006" w:rsidRPr="00DD0E75" w:rsidRDefault="001F3006" w:rsidP="002C5127">
      <w:pPr>
        <w:rPr>
          <w:rFonts w:eastAsia="Times New Roman"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vertAlign w:val="superscript"/>
          <w:lang w:val="es-MX"/>
        </w:rPr>
        <w:t xml:space="preserve"> </w:t>
      </w:r>
      <w:r w:rsidRPr="00DD0E75">
        <w:rPr>
          <w:rFonts w:eastAsia="Times New Roman" w:cs="Times New Roman"/>
          <w:sz w:val="20"/>
          <w:szCs w:val="20"/>
          <w:lang w:val="es-MX"/>
        </w:rPr>
        <w:t xml:space="preserve">Corte Constitucional. Sesión técnica territorial sobre el Sistema de Prevención y Alerta para la Reacción Rápida. Minuto: 26:38-27:10. Disponible en: </w:t>
      </w:r>
      <w:r w:rsidRPr="00DD0E75">
        <w:rPr>
          <w:rStyle w:val="Hipervnculo"/>
          <w:rFonts w:eastAsia="Times New Roman" w:cs="Times New Roman"/>
          <w:color w:val="467886"/>
          <w:sz w:val="20"/>
          <w:szCs w:val="20"/>
          <w:lang w:val="es-MX"/>
        </w:rPr>
        <w:t>https://www.youtube.com/watch?v=AGtlQ4bXD-g.</w:t>
      </w:r>
    </w:p>
  </w:footnote>
  <w:footnote w:id="349">
    <w:p w14:paraId="161138C3" w14:textId="7B75E303"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w:t>
      </w:r>
      <w:r w:rsidRPr="00DD0E75">
        <w:rPr>
          <w:rFonts w:eastAsia="Times New Roman" w:cs="Times New Roman"/>
          <w:sz w:val="20"/>
          <w:szCs w:val="20"/>
          <w:lang w:val="es-MX"/>
        </w:rPr>
        <w:t xml:space="preserve">Expediente digital, “RE-361 Anexo 18. Archivo adjunto comunicación del director de Derechos Humanos Ministerio del Interior.xlsx”. Esta información coincide, de manera parcial, con la que aportó la ARN. Esta agencia reportó 2 víctimas de homicidio en 2024. Además, precisó que las 5 víctimas de 2025 fueron reportadas con corte a 21 de enero de 2025. Cfr. Expediente digital, “RE0000361-Presentación Demanda-(2025-01-27 19-17-12)”, pp. 715 y 6226. </w:t>
      </w:r>
    </w:p>
  </w:footnote>
  <w:footnote w:id="350">
    <w:p w14:paraId="49E0CD8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w:t>
      </w:r>
      <w:r w:rsidRPr="00DD0E75">
        <w:rPr>
          <w:rFonts w:eastAsia="Aptos"/>
          <w:lang w:val="es-MX"/>
        </w:rPr>
        <w:t>RE0000361-Peticiones y Otros-(2025-02-12 09-47-21).</w:t>
      </w:r>
      <w:proofErr w:type="spellStart"/>
      <w:r w:rsidRPr="00DD0E75">
        <w:rPr>
          <w:rFonts w:eastAsia="Aptos"/>
          <w:lang w:val="es-MX"/>
        </w:rPr>
        <w:t>pdf</w:t>
      </w:r>
      <w:proofErr w:type="spellEnd"/>
      <w:r w:rsidRPr="00DD0E75">
        <w:rPr>
          <w:lang w:val="es-MX"/>
        </w:rPr>
        <w:t xml:space="preserve">”, p. 12. </w:t>
      </w:r>
    </w:p>
  </w:footnote>
  <w:footnote w:id="351">
    <w:p w14:paraId="5038DA34" w14:textId="2A1967C9"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352">
    <w:p w14:paraId="2266802F" w14:textId="5DECD959" w:rsidR="001F3006" w:rsidRPr="00DD0E75" w:rsidRDefault="001F3006">
      <w:pPr>
        <w:pStyle w:val="Textonotapie"/>
      </w:pPr>
      <w:r w:rsidRPr="00DD0E75">
        <w:rPr>
          <w:rStyle w:val="Refdenotaalpie"/>
        </w:rPr>
        <w:footnoteRef/>
      </w:r>
      <w:r w:rsidRPr="00DD0E75">
        <w:t xml:space="preserve"> Corte Constitucional. Sala Especial de Seguimiento a la Sentencia SU-020 de 2022. Sesión técnica 3 del Sistema de Prevención y Alerta para la Reacción Rápida con enfoque territorial. 28 de abril de 2025. Disponible en: https://www.youtube.com/live/AGtlQ4bXD-g?si=YFocUMVh5WCIN3_W</w:t>
      </w:r>
    </w:p>
  </w:footnote>
  <w:footnote w:id="353">
    <w:p w14:paraId="3017DEE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2025-02-05 16-35-27).</w:t>
      </w:r>
      <w:proofErr w:type="spellStart"/>
      <w:r w:rsidRPr="00DD0E75">
        <w:rPr>
          <w:lang w:val="es-MX"/>
        </w:rPr>
        <w:t>pdf</w:t>
      </w:r>
      <w:proofErr w:type="spellEnd"/>
      <w:r w:rsidRPr="00DD0E75">
        <w:rPr>
          <w:lang w:val="es-MX"/>
        </w:rPr>
        <w:t>”, p. 22.</w:t>
      </w:r>
    </w:p>
  </w:footnote>
  <w:footnote w:id="354">
    <w:p w14:paraId="1ECEE783" w14:textId="7DB738B8"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355">
    <w:p w14:paraId="7FED6A99"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“AnexosRE0000361-Presentación Demanda-(2025-01-28 00-17-39).</w:t>
      </w:r>
      <w:proofErr w:type="spellStart"/>
      <w:r w:rsidRPr="00DD0E75">
        <w:rPr>
          <w:lang w:val="es-MX"/>
        </w:rPr>
        <w:t>pdf</w:t>
      </w:r>
      <w:proofErr w:type="spellEnd"/>
      <w:r w:rsidRPr="00DD0E75">
        <w:rPr>
          <w:lang w:val="es-MX"/>
        </w:rPr>
        <w:t xml:space="preserve">”, p. 492. </w:t>
      </w:r>
    </w:p>
  </w:footnote>
  <w:footnote w:id="356">
    <w:p w14:paraId="521F787A"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57">
    <w:p w14:paraId="1C5DB4C4"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493.</w:t>
      </w:r>
    </w:p>
  </w:footnote>
  <w:footnote w:id="358">
    <w:p w14:paraId="26C3A7E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(Recepción y Paso al </w:t>
      </w:r>
      <w:proofErr w:type="gramStart"/>
      <w:r w:rsidRPr="00DD0E75">
        <w:rPr>
          <w:lang w:val="es-MX"/>
        </w:rPr>
        <w:t>Despacho)-(</w:t>
      </w:r>
      <w:proofErr w:type="gramEnd"/>
      <w:r w:rsidRPr="00DD0E75">
        <w:rPr>
          <w:lang w:val="es-MX"/>
        </w:rPr>
        <w:t>2025-02-10 01-25-33).</w:t>
      </w:r>
      <w:proofErr w:type="spellStart"/>
      <w:r w:rsidRPr="00DD0E75">
        <w:rPr>
          <w:lang w:val="es-MX"/>
        </w:rPr>
        <w:t>pdf</w:t>
      </w:r>
      <w:proofErr w:type="spellEnd"/>
      <w:r w:rsidRPr="00DD0E75">
        <w:rPr>
          <w:lang w:val="es-MX"/>
        </w:rPr>
        <w:t xml:space="preserve">”., p. 7. </w:t>
      </w:r>
    </w:p>
  </w:footnote>
  <w:footnote w:id="359">
    <w:p w14:paraId="3B0E39A4" w14:textId="027E416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60">
    <w:p w14:paraId="2BC61CCD" w14:textId="4A5B13D5"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w:t>
      </w:r>
    </w:p>
  </w:footnote>
  <w:footnote w:id="361">
    <w:p w14:paraId="6A4B9E3D"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w:t>
      </w:r>
      <w:r w:rsidRPr="00DD0E75">
        <w:rPr>
          <w:color w:val="000000"/>
          <w:lang w:val="es-MX"/>
        </w:rPr>
        <w:t>RE0000361-Pruebas del Expediente (Recepción y Paso al Despacho) -(2025-02-06 23-25-32).</w:t>
      </w:r>
      <w:proofErr w:type="spellStart"/>
      <w:r w:rsidRPr="00DD0E75">
        <w:rPr>
          <w:color w:val="000000"/>
          <w:lang w:val="es-MX"/>
        </w:rPr>
        <w:t>pdf</w:t>
      </w:r>
      <w:proofErr w:type="spellEnd"/>
      <w:r w:rsidRPr="00DD0E75">
        <w:rPr>
          <w:lang w:val="es-MX"/>
        </w:rPr>
        <w:t>”, p. 1.</w:t>
      </w:r>
    </w:p>
  </w:footnote>
  <w:footnote w:id="362">
    <w:p w14:paraId="72028C15" w14:textId="5CD7058B"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(Recepción y Paso al </w:t>
      </w:r>
      <w:proofErr w:type="gramStart"/>
      <w:r w:rsidRPr="00DD0E75">
        <w:rPr>
          <w:lang w:val="es-MX"/>
        </w:rPr>
        <w:t>Despacho)-(</w:t>
      </w:r>
      <w:proofErr w:type="gramEnd"/>
      <w:r w:rsidRPr="00DD0E75">
        <w:rPr>
          <w:lang w:val="es-MX"/>
        </w:rPr>
        <w:t>2025-02-04 16-21-47).</w:t>
      </w:r>
      <w:proofErr w:type="spellStart"/>
      <w:r w:rsidRPr="00DD0E75">
        <w:rPr>
          <w:lang w:val="es-MX"/>
        </w:rPr>
        <w:t>pdf</w:t>
      </w:r>
      <w:proofErr w:type="spellEnd"/>
      <w:r w:rsidRPr="00DD0E75">
        <w:rPr>
          <w:lang w:val="es-MX"/>
        </w:rPr>
        <w:t>”, p. 4.</w:t>
      </w:r>
    </w:p>
  </w:footnote>
  <w:footnote w:id="363">
    <w:p w14:paraId="13B826B7" w14:textId="77777777" w:rsidR="001F3006" w:rsidRPr="00DD0E75" w:rsidRDefault="001F3006" w:rsidP="00593548">
      <w:pPr>
        <w:pStyle w:val="Textonotapie"/>
        <w:rPr>
          <w:lang w:val="es-MX"/>
        </w:rPr>
      </w:pPr>
      <w:r w:rsidRPr="00DD0E75">
        <w:rPr>
          <w:rStyle w:val="Refdenotaalpie"/>
          <w:lang w:val="es-MX"/>
        </w:rPr>
        <w:footnoteRef/>
      </w:r>
      <w:r w:rsidRPr="00DD0E75">
        <w:rPr>
          <w:lang w:val="es-MX"/>
        </w:rPr>
        <w:t xml:space="preserve"> Expediente digital, “RE0000361-Pruebas del Expediente (Recepción y Paso al </w:t>
      </w:r>
      <w:proofErr w:type="gramStart"/>
      <w:r w:rsidRPr="00DD0E75">
        <w:rPr>
          <w:lang w:val="es-MX"/>
        </w:rPr>
        <w:t>Despacho)-(</w:t>
      </w:r>
      <w:proofErr w:type="gramEnd"/>
      <w:r w:rsidRPr="00DD0E75">
        <w:rPr>
          <w:lang w:val="es-MX"/>
        </w:rPr>
        <w:t>2025-02-05 22-44-14).</w:t>
      </w:r>
      <w:proofErr w:type="spellStart"/>
      <w:r w:rsidRPr="00DD0E75">
        <w:rPr>
          <w:lang w:val="es-MX"/>
        </w:rPr>
        <w:t>pdf</w:t>
      </w:r>
      <w:proofErr w:type="spellEnd"/>
      <w:r w:rsidRPr="00DD0E75">
        <w:rPr>
          <w:lang w:val="es-MX"/>
        </w:rPr>
        <w:t xml:space="preserve">”, p. 8. </w:t>
      </w:r>
    </w:p>
  </w:footnote>
  <w:footnote w:id="364">
    <w:p w14:paraId="2EB05C74"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“06.02.25 Departamento del Cesar.pdf”, p. 5.</w:t>
      </w:r>
    </w:p>
  </w:footnote>
  <w:footnote w:id="365">
    <w:p w14:paraId="3ED7ABF4" w14:textId="2D506735"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w:t>
      </w:r>
      <w:proofErr w:type="spellStart"/>
      <w:r w:rsidRPr="00DD0E75">
        <w:rPr>
          <w:lang w:val="es-MX"/>
        </w:rPr>
        <w:t>Recepción</w:t>
      </w:r>
      <w:proofErr w:type="spellEnd"/>
      <w:r w:rsidRPr="00DD0E75">
        <w:rPr>
          <w:lang w:val="es-MX"/>
        </w:rPr>
        <w:t xml:space="preserve"> y Paso al Despacho) -(2025-02-06 22-57-48).</w:t>
      </w:r>
      <w:proofErr w:type="spellStart"/>
      <w:r w:rsidRPr="00DD0E75">
        <w:rPr>
          <w:lang w:val="es-MX"/>
        </w:rPr>
        <w:t>pdf</w:t>
      </w:r>
      <w:proofErr w:type="spellEnd"/>
      <w:r w:rsidRPr="00DD0E75">
        <w:rPr>
          <w:lang w:val="es-MX"/>
        </w:rPr>
        <w:t xml:space="preserve">”, pp. 5 y 6. </w:t>
      </w:r>
    </w:p>
  </w:footnote>
  <w:footnote w:id="366">
    <w:p w14:paraId="7B54B8A0" w14:textId="475B2C5B" w:rsidR="001F3006" w:rsidRPr="00DD0E75" w:rsidRDefault="001F3006">
      <w:pPr>
        <w:pStyle w:val="Textonotapie"/>
      </w:pPr>
      <w:r w:rsidRPr="00DD0E75">
        <w:rPr>
          <w:rStyle w:val="Refdenotaalpie"/>
        </w:rPr>
        <w:footnoteRef/>
      </w:r>
      <w:r w:rsidRPr="00DD0E75">
        <w:t xml:space="preserve"> Ver anexo II. Por ejemplo, los ciudadanos Abelardo de la </w:t>
      </w:r>
      <w:proofErr w:type="spellStart"/>
      <w:r w:rsidRPr="00DD0E75">
        <w:t>Espriella</w:t>
      </w:r>
      <w:proofErr w:type="spellEnd"/>
      <w:r w:rsidRPr="00DD0E75">
        <w:t xml:space="preserve">, Edwin Alexander Llanos Franco, Julián </w:t>
      </w:r>
      <w:proofErr w:type="spellStart"/>
      <w:r w:rsidRPr="00DD0E75">
        <w:t>Uscátegui</w:t>
      </w:r>
      <w:proofErr w:type="spellEnd"/>
      <w:r w:rsidRPr="00DD0E75">
        <w:t xml:space="preserve"> Pastrana, Daniel </w:t>
      </w:r>
      <w:proofErr w:type="spellStart"/>
      <w:r w:rsidRPr="00DD0E75">
        <w:t>Árias</w:t>
      </w:r>
      <w:proofErr w:type="spellEnd"/>
      <w:r w:rsidRPr="00DD0E75">
        <w:t xml:space="preserve"> Rivera, Fabio Enrique Pulido </w:t>
      </w:r>
      <w:proofErr w:type="spellStart"/>
      <w:r w:rsidRPr="00DD0E75">
        <w:t>Ortíz</w:t>
      </w:r>
      <w:proofErr w:type="spellEnd"/>
      <w:r w:rsidRPr="00DD0E75">
        <w:t>, Claudia Marcela Rodríguez Santos, Alejandro Linares Cantillo, Ana María Barbosa, la organización Antioqueños por Colombia y la Fundación para el Estado de Derecho, entre otros.</w:t>
      </w:r>
    </w:p>
  </w:footnote>
  <w:footnote w:id="367">
    <w:p w14:paraId="262670D7" w14:textId="086CB4EB" w:rsidR="001F3006" w:rsidRPr="00DD0E75" w:rsidRDefault="001F3006" w:rsidP="004969C5">
      <w:pPr>
        <w:pStyle w:val="Textonotapie"/>
        <w:rPr>
          <w:lang w:val="es-ES"/>
        </w:rPr>
      </w:pPr>
      <w:r w:rsidRPr="00DD0E75">
        <w:rPr>
          <w:rStyle w:val="Refdenotaalpie"/>
          <w:rFonts w:eastAsiaTheme="majorEastAsia"/>
        </w:rPr>
        <w:footnoteRef/>
      </w:r>
      <w:r w:rsidRPr="00DD0E75">
        <w:t xml:space="preserve"> </w:t>
      </w:r>
      <w:r w:rsidRPr="00DD0E75">
        <w:rPr>
          <w:lang w:val="es-ES_tradnl" w:eastAsia="es-ES"/>
        </w:rPr>
        <w:t xml:space="preserve">Por ejemplo, en relación con estados de conmoción interior se puede revisar el proceso que originó la Sentencia C-031 de 1993 y que examinó el decreto 1793 de 1992, en el que se declaró la conmoción interior por un </w:t>
      </w:r>
      <w:r w:rsidRPr="00DD0E75">
        <w:t xml:space="preserve">aumento en las acciones terroristas por las guerrillas y la delincuencia organizada. En relación con este decreto </w:t>
      </w:r>
      <w:r w:rsidRPr="00DD0E75">
        <w:rPr>
          <w:lang w:val="es-ES_tradnl" w:eastAsia="es-ES"/>
        </w:rPr>
        <w:t xml:space="preserve">algunos intervinientes plantearon que “el proceso que desencadenó la declaratoria de Conmoción Interior, es, en gran medida, culpa del propio gobierno, que no reanudó las conversaciones de Tlaxcala el 31 de octubre; aceptó la renuncia del Consejero de Paz y desestimó la capacidad perturbadora del narcotráfico, como consecuencia de la fuga de Pablo Escobar.” Por su parte, en la Sentencia C-802 de 2002 que examinó el decreto que declaró el estado de conmoción interior por una crítica situación de inseguridad del país, algunos intervinientes señalaron que los hechos invocados eran la consecuencia del aumento de la actuación de los grupos armados como consecuencia de las omisiones de los gobiernos para hacerles frente. Asimismo, en las sentencias C-383 de 2023, C-386 de 2017 y C-366 de 1994 relacionadas con estados de emergencia también se presentaron argumentos relacionados con acciones u omisiones del Estado en la configuración de los hechos que motivaron la declaratoria. </w:t>
      </w:r>
    </w:p>
  </w:footnote>
  <w:footnote w:id="368">
    <w:p w14:paraId="257FC93D" w14:textId="0FFF162B"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 </w:t>
      </w:r>
    </w:p>
  </w:footnote>
  <w:footnote w:id="369">
    <w:p w14:paraId="16B241E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 </w:t>
      </w:r>
    </w:p>
  </w:footnote>
  <w:footnote w:id="370">
    <w:p w14:paraId="4F9832D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https://dle.rae.es/inminente.</w:t>
      </w:r>
    </w:p>
  </w:footnote>
  <w:footnote w:id="371">
    <w:p w14:paraId="1CE2FA6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C-802 de 2002.</w:t>
      </w:r>
    </w:p>
  </w:footnote>
  <w:footnote w:id="372">
    <w:p w14:paraId="4AAC55B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 C-070 de 2009.</w:t>
      </w:r>
    </w:p>
  </w:footnote>
  <w:footnote w:id="373">
    <w:p w14:paraId="608DE10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“RE-361.Anexos 11 al 20 Respuesta al OPC-020 de 2025 - Presidencia de la República. Algunos documentos reservados.pdf.”, pág. 36. </w:t>
      </w:r>
    </w:p>
  </w:footnote>
  <w:footnote w:id="374">
    <w:p w14:paraId="3DFF53FE"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r w:rsidRPr="00DD0E75">
        <w:rPr>
          <w:lang w:val="es-MX" w:eastAsia="es-ES"/>
        </w:rPr>
        <w:t>La Defensoría del Pueblo reportó 15 solicitudes de protección de funcionarios de elección popular y la Fiscalía General de la Nación reportó que los fiscales no han podido permanecer en el territorio.</w:t>
      </w:r>
    </w:p>
  </w:footnote>
  <w:footnote w:id="375">
    <w:p w14:paraId="0745FE76" w14:textId="67ADD5B4"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Corte Constitucional, sentencias C-466 de 1995 y C-802 de 2002.</w:t>
      </w:r>
    </w:p>
  </w:footnote>
  <w:footnote w:id="376">
    <w:p w14:paraId="2D826B5F"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 Anexos 31 al 40 Respuesta al OPC-020 de 2025 - Presidencia de la República.pdf”, p. 5 a 6.</w:t>
      </w:r>
    </w:p>
  </w:footnote>
  <w:footnote w:id="377">
    <w:p w14:paraId="7F5DE4CA"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6.</w:t>
      </w:r>
    </w:p>
  </w:footnote>
  <w:footnote w:id="378">
    <w:p w14:paraId="501F0BF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79">
    <w:p w14:paraId="521A38C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12.</w:t>
      </w:r>
    </w:p>
  </w:footnote>
  <w:footnote w:id="380">
    <w:p w14:paraId="5300F96B"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“RE0000361-Presentación Demanda-(2025-01-27 19-17-</w:t>
      </w:r>
      <w:proofErr w:type="gramStart"/>
      <w:r w:rsidRPr="00DD0E75">
        <w:rPr>
          <w:lang w:val="es-MX"/>
        </w:rPr>
        <w:t>12)-1.pdf</w:t>
      </w:r>
      <w:proofErr w:type="gramEnd"/>
      <w:r w:rsidRPr="00DD0E75">
        <w:rPr>
          <w:lang w:val="es-MX"/>
        </w:rPr>
        <w:t xml:space="preserve">”, p. 5186. </w:t>
      </w:r>
    </w:p>
  </w:footnote>
  <w:footnote w:id="381">
    <w:p w14:paraId="676D5084"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w:t>
      </w:r>
    </w:p>
  </w:footnote>
  <w:footnote w:id="382">
    <w:p w14:paraId="67B6BF34"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 p. 20.</w:t>
      </w:r>
    </w:p>
  </w:footnote>
  <w:footnote w:id="383">
    <w:p w14:paraId="68D21344"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w:t>
      </w:r>
    </w:p>
  </w:footnote>
  <w:footnote w:id="384">
    <w:p w14:paraId="5E3A0EB0" w14:textId="77777777" w:rsidR="001F3006" w:rsidRPr="00DD0E75" w:rsidRDefault="001F3006" w:rsidP="002C5127">
      <w:pPr>
        <w:pStyle w:val="Textonotapie"/>
        <w:rPr>
          <w:lang w:val="en-US"/>
        </w:rPr>
      </w:pPr>
      <w:r w:rsidRPr="00DD0E75">
        <w:rPr>
          <w:rStyle w:val="Refdenotaalpie"/>
          <w:lang w:val="es-MX"/>
        </w:rPr>
        <w:footnoteRef/>
      </w:r>
      <w:r w:rsidRPr="00DD0E75">
        <w:rPr>
          <w:lang w:val="en-US"/>
        </w:rPr>
        <w:t xml:space="preserve"> Ibid.</w:t>
      </w:r>
    </w:p>
  </w:footnote>
  <w:footnote w:id="385">
    <w:p w14:paraId="745260D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“RE0000361-Pruebas del Expediente (Recepción y Paso al </w:t>
      </w:r>
      <w:proofErr w:type="gramStart"/>
      <w:r w:rsidRPr="00DD0E75">
        <w:rPr>
          <w:lang w:val="es-MX"/>
        </w:rPr>
        <w:t>Despacho)-(</w:t>
      </w:r>
      <w:proofErr w:type="gramEnd"/>
      <w:r w:rsidRPr="00DD0E75">
        <w:rPr>
          <w:lang w:val="es-MX"/>
        </w:rPr>
        <w:t>2025-02-10 20-25-06)”, p. 295.</w:t>
      </w:r>
    </w:p>
  </w:footnote>
  <w:footnote w:id="386">
    <w:p w14:paraId="175AB97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w:t>
      </w:r>
      <w:r w:rsidRPr="00DD0E75">
        <w:rPr>
          <w:rStyle w:val="normaltextrun"/>
          <w:rFonts w:eastAsiaTheme="majorEastAsia"/>
          <w:lang w:val="es-MX"/>
        </w:rPr>
        <w:t>Se recibe oficio de la doctora Iris Marín Ortiz, Defensora del Pueblo, en respuesta al OPC-021/25. (Primera parte)”, p. 21-22.</w:t>
      </w:r>
    </w:p>
  </w:footnote>
  <w:footnote w:id="387">
    <w:p w14:paraId="0E8A6A5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88">
    <w:p w14:paraId="6F1E707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“RE0000361-Pruebas del Expediente (</w:t>
      </w:r>
      <w:proofErr w:type="spellStart"/>
      <w:r w:rsidRPr="00DD0E75">
        <w:rPr>
          <w:lang w:val="es-MX"/>
        </w:rPr>
        <w:t>Recepción</w:t>
      </w:r>
      <w:proofErr w:type="spellEnd"/>
      <w:r w:rsidRPr="00DD0E75">
        <w:rPr>
          <w:lang w:val="es-MX"/>
        </w:rPr>
        <w:t xml:space="preserve"> y Paso al </w:t>
      </w:r>
      <w:proofErr w:type="gramStart"/>
      <w:r w:rsidRPr="00DD0E75">
        <w:rPr>
          <w:lang w:val="es-MX"/>
        </w:rPr>
        <w:t>Despacho)-(</w:t>
      </w:r>
      <w:proofErr w:type="gramEnd"/>
      <w:r w:rsidRPr="00DD0E75">
        <w:rPr>
          <w:lang w:val="es-MX"/>
        </w:rPr>
        <w:t>2025-02-10 20-25-06).</w:t>
      </w:r>
      <w:proofErr w:type="spellStart"/>
      <w:r w:rsidRPr="00DD0E75">
        <w:rPr>
          <w:lang w:val="es-MX"/>
        </w:rPr>
        <w:t>pdf</w:t>
      </w:r>
      <w:proofErr w:type="spellEnd"/>
      <w:r w:rsidRPr="00DD0E75">
        <w:rPr>
          <w:lang w:val="es-MX"/>
        </w:rPr>
        <w:t>”, p. 280.</w:t>
      </w:r>
    </w:p>
  </w:footnote>
  <w:footnote w:id="389">
    <w:p w14:paraId="7DCD251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90">
    <w:p w14:paraId="42142B62"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91">
    <w:p w14:paraId="1AD13495"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283.</w:t>
      </w:r>
    </w:p>
  </w:footnote>
  <w:footnote w:id="392">
    <w:p w14:paraId="66DAF3C5" w14:textId="023B88B2"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r w:rsidRPr="00DD0E75">
        <w:rPr>
          <w:iCs/>
          <w:lang w:val="es-MX" w:eastAsia="es-ES"/>
        </w:rPr>
        <w:t xml:space="preserve">El </w:t>
      </w:r>
      <w:proofErr w:type="spellStart"/>
      <w:r w:rsidRPr="00DD0E75">
        <w:rPr>
          <w:iCs/>
          <w:lang w:val="es-MX" w:eastAsia="es-ES"/>
        </w:rPr>
        <w:t>MinAgricultura</w:t>
      </w:r>
      <w:proofErr w:type="spellEnd"/>
      <w:r w:rsidRPr="00DD0E75">
        <w:rPr>
          <w:iCs/>
          <w:lang w:val="es-MX" w:eastAsia="es-ES"/>
        </w:rPr>
        <w:t xml:space="preserve"> informó que la región “registra un inventario de 139.721 cabezas de ganado, con una producción diaria estimada de 163.132 litros de leche, lo que equivale a una producción mensual de 4.893.962 litros”. En el año 2023, produjo “el 33,6% del pepino del país, el 23,4% de la cebolla de bulbo, el 10,7% del pimentón, el 6,4% del tomate, el 6,4% del fríjol y el 5,6% de la producción de la palma de aceite del país”. </w:t>
      </w:r>
      <w:proofErr w:type="spellStart"/>
      <w:r w:rsidRPr="00DD0E75">
        <w:rPr>
          <w:lang w:val="es-MX"/>
        </w:rPr>
        <w:t>Ibid</w:t>
      </w:r>
      <w:proofErr w:type="spellEnd"/>
      <w:r w:rsidRPr="00DD0E75">
        <w:rPr>
          <w:lang w:val="es-MX"/>
        </w:rPr>
        <w:t>., p. 35 a 36.</w:t>
      </w:r>
    </w:p>
  </w:footnote>
  <w:footnote w:id="393">
    <w:p w14:paraId="78C6BCE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“RE-361 Anexos 31 al 40 Respuesta al OPC-020 de 2025 - Presidencia de la República.pdf”, p. 32.</w:t>
      </w:r>
    </w:p>
  </w:footnote>
  <w:footnote w:id="394">
    <w:p w14:paraId="7B490EA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34.</w:t>
      </w:r>
    </w:p>
  </w:footnote>
  <w:footnote w:id="395">
    <w:p w14:paraId="3CC413E1"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396">
    <w:p w14:paraId="493B784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proofErr w:type="spellStart"/>
      <w:r w:rsidRPr="00DD0E75">
        <w:rPr>
          <w:lang w:val="es-MX"/>
        </w:rPr>
        <w:t>Ibid</w:t>
      </w:r>
      <w:proofErr w:type="spellEnd"/>
      <w:r w:rsidRPr="00DD0E75">
        <w:rPr>
          <w:lang w:val="es-MX"/>
        </w:rPr>
        <w:t>., p. 37 a 40.</w:t>
      </w:r>
    </w:p>
  </w:footnote>
  <w:footnote w:id="397">
    <w:p w14:paraId="4739F492" w14:textId="6BA08120"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Corte Constitucional, Sentencia C-802 de 2002. Ver también, Sentencia C-122 de 1997. </w:t>
      </w:r>
    </w:p>
  </w:footnote>
  <w:footnote w:id="398">
    <w:p w14:paraId="156859A3" w14:textId="0786968C"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Corte Constitucional, Sentencia C-802 de 2002. </w:t>
      </w:r>
    </w:p>
  </w:footnote>
  <w:footnote w:id="399">
    <w:p w14:paraId="49897B8C" w14:textId="77777777" w:rsidR="001F3006" w:rsidRPr="00DD0E75" w:rsidRDefault="001F3006" w:rsidP="002C5127">
      <w:pPr>
        <w:rPr>
          <w:rFonts w:eastAsia="Aptos" w:cs="Times New Roman"/>
          <w:color w:val="000000" w:themeColor="text1"/>
          <w:sz w:val="20"/>
          <w:szCs w:val="20"/>
          <w:lang w:val="es-MX"/>
        </w:rPr>
      </w:pPr>
      <w:r w:rsidRPr="00DD0E75">
        <w:rPr>
          <w:rStyle w:val="Refdenotaalpie"/>
          <w:rFonts w:cs="Times New Roman"/>
          <w:sz w:val="20"/>
          <w:szCs w:val="20"/>
          <w:lang w:val="es-MX"/>
        </w:rPr>
        <w:footnoteRef/>
      </w:r>
      <w:r w:rsidRPr="00DD0E75">
        <w:rPr>
          <w:rFonts w:cs="Times New Roman"/>
          <w:sz w:val="20"/>
          <w:szCs w:val="20"/>
          <w:lang w:val="es-MX"/>
        </w:rPr>
        <w:t xml:space="preserve"> </w:t>
      </w:r>
      <w:r w:rsidRPr="00DD0E75">
        <w:rPr>
          <w:rFonts w:eastAsia="Aptos" w:cs="Times New Roman"/>
          <w:color w:val="000000" w:themeColor="text1"/>
          <w:sz w:val="20"/>
          <w:szCs w:val="20"/>
          <w:lang w:val="es-MX"/>
        </w:rPr>
        <w:t xml:space="preserve">Expediente digital, archivo “Respuesta DAPRE II.pdf”, p. 30. </w:t>
      </w:r>
      <w:r w:rsidRPr="00DD0E75">
        <w:rPr>
          <w:rFonts w:eastAsia="Aptos" w:cs="Times New Roman"/>
          <w:i/>
          <w:iCs/>
          <w:color w:val="000000" w:themeColor="text1"/>
          <w:sz w:val="20"/>
          <w:szCs w:val="20"/>
          <w:lang w:val="es-MX"/>
        </w:rPr>
        <w:t>Cfr.</w:t>
      </w:r>
      <w:r w:rsidRPr="00DD0E75">
        <w:rPr>
          <w:rFonts w:eastAsia="Aptos" w:cs="Times New Roman"/>
          <w:color w:val="000000" w:themeColor="text1"/>
          <w:sz w:val="20"/>
          <w:szCs w:val="20"/>
          <w:lang w:val="es-MX"/>
        </w:rPr>
        <w:t xml:space="preserve"> Expediente digital, archivo “RE0000361-Pruebas del Expediente (Recepción y Paso al </w:t>
      </w:r>
      <w:proofErr w:type="gramStart"/>
      <w:r w:rsidRPr="00DD0E75">
        <w:rPr>
          <w:rFonts w:eastAsia="Aptos" w:cs="Times New Roman"/>
          <w:color w:val="000000" w:themeColor="text1"/>
          <w:sz w:val="20"/>
          <w:szCs w:val="20"/>
          <w:lang w:val="es-MX"/>
        </w:rPr>
        <w:t>Despacho)-(</w:t>
      </w:r>
      <w:proofErr w:type="gramEnd"/>
      <w:r w:rsidRPr="00DD0E75">
        <w:rPr>
          <w:rFonts w:eastAsia="Aptos" w:cs="Times New Roman"/>
          <w:color w:val="000000" w:themeColor="text1"/>
          <w:sz w:val="20"/>
          <w:szCs w:val="20"/>
          <w:lang w:val="es-MX"/>
        </w:rPr>
        <w:t>2025-02-10 01-41-54).</w:t>
      </w:r>
      <w:proofErr w:type="spellStart"/>
      <w:r w:rsidRPr="00DD0E75">
        <w:rPr>
          <w:rFonts w:eastAsia="Aptos" w:cs="Times New Roman"/>
          <w:color w:val="000000" w:themeColor="text1"/>
          <w:sz w:val="20"/>
          <w:szCs w:val="20"/>
          <w:lang w:val="es-MX"/>
        </w:rPr>
        <w:t>pdf</w:t>
      </w:r>
      <w:proofErr w:type="spellEnd"/>
      <w:r w:rsidRPr="00DD0E75">
        <w:rPr>
          <w:rFonts w:eastAsia="Aptos" w:cs="Times New Roman"/>
          <w:color w:val="000000" w:themeColor="text1"/>
          <w:sz w:val="20"/>
          <w:szCs w:val="20"/>
          <w:lang w:val="es-MX"/>
        </w:rPr>
        <w:t>”, p. 30.</w:t>
      </w:r>
    </w:p>
  </w:footnote>
  <w:footnote w:id="400">
    <w:p w14:paraId="3A557FE1"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Comando General de las Fuerzas Militares. Respuesta al auto de pruebas.</w:t>
      </w:r>
    </w:p>
  </w:footnote>
  <w:footnote w:id="401">
    <w:p w14:paraId="7D17A24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“RE0000361-Pruebas del Expediente (Recepción y Paso al </w:t>
      </w:r>
      <w:proofErr w:type="gramStart"/>
      <w:r w:rsidRPr="00DD0E75">
        <w:rPr>
          <w:lang w:val="es-MX"/>
        </w:rPr>
        <w:t>Despacho)-(</w:t>
      </w:r>
      <w:proofErr w:type="gramEnd"/>
      <w:r w:rsidRPr="00DD0E75">
        <w:rPr>
          <w:lang w:val="es-MX"/>
        </w:rPr>
        <w:t>2025-02-10 01-25-33).</w:t>
      </w:r>
      <w:proofErr w:type="spellStart"/>
      <w:r w:rsidRPr="00DD0E75">
        <w:rPr>
          <w:lang w:val="es-MX"/>
        </w:rPr>
        <w:t>pdf</w:t>
      </w:r>
      <w:proofErr w:type="spellEnd"/>
      <w:r w:rsidRPr="00DD0E75">
        <w:rPr>
          <w:lang w:val="es-MX"/>
        </w:rPr>
        <w:t>”.</w:t>
      </w:r>
    </w:p>
  </w:footnote>
  <w:footnote w:id="402">
    <w:p w14:paraId="0EBA02FF"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r w:rsidRPr="00DD0E75">
        <w:rPr>
          <w:i/>
          <w:iCs/>
          <w:lang w:val="es-MX"/>
        </w:rPr>
        <w:t>Cfr.</w:t>
      </w:r>
      <w:r w:rsidRPr="00DD0E75">
        <w:rPr>
          <w:lang w:val="es-MX"/>
        </w:rPr>
        <w:t xml:space="preserve"> </w:t>
      </w:r>
      <w:proofErr w:type="spellStart"/>
      <w:r w:rsidRPr="00DD0E75">
        <w:rPr>
          <w:lang w:val="es-MX"/>
        </w:rPr>
        <w:t>Ibid</w:t>
      </w:r>
      <w:proofErr w:type="spellEnd"/>
      <w:r w:rsidRPr="00DD0E75">
        <w:rPr>
          <w:lang w:val="es-MX"/>
        </w:rPr>
        <w:t>.</w:t>
      </w:r>
    </w:p>
  </w:footnote>
  <w:footnote w:id="403">
    <w:p w14:paraId="1111ABE8"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xml:space="preserve">., p. 12. </w:t>
      </w:r>
    </w:p>
  </w:footnote>
  <w:footnote w:id="404">
    <w:p w14:paraId="6DFCB0C1"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Comunicación del 7 de febrero de 2025, p. 7-8.</w:t>
      </w:r>
    </w:p>
  </w:footnote>
  <w:footnote w:id="405">
    <w:p w14:paraId="1215D547"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p. 12.</w:t>
      </w:r>
    </w:p>
  </w:footnote>
  <w:footnote w:id="406">
    <w:p w14:paraId="6AA3AD54"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407">
    <w:p w14:paraId="5FBDC803"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Intervención de la ANDJE, p. 4.</w:t>
      </w:r>
    </w:p>
  </w:footnote>
  <w:footnote w:id="408">
    <w:p w14:paraId="4FA15CBE" w14:textId="55BC2944" w:rsidR="001F3006" w:rsidRPr="00DD0E75" w:rsidRDefault="001F3006">
      <w:pPr>
        <w:pStyle w:val="Textonotapie"/>
        <w:rPr>
          <w:lang w:val="es-ES_tradnl"/>
        </w:rPr>
      </w:pPr>
      <w:r w:rsidRPr="00DD0E75">
        <w:rPr>
          <w:rStyle w:val="Refdenotaalpie"/>
        </w:rPr>
        <w:footnoteRef/>
      </w:r>
      <w:r w:rsidRPr="00DD0E75">
        <w:t xml:space="preserve"> </w:t>
      </w:r>
      <w:r w:rsidRPr="00DD0E75">
        <w:rPr>
          <w:lang w:val="es-MX"/>
        </w:rPr>
        <w:t>Expediente digital. Archivo”RE0000361-</w:t>
      </w:r>
      <w:hyperlink r:id="rId11">
        <w:r w:rsidRPr="00DD0E75">
          <w:rPr>
            <w:rStyle w:val="Hipervnculo"/>
            <w:color w:val="auto"/>
            <w:u w:val="none"/>
            <w:lang w:val="es-MX"/>
          </w:rPr>
          <w:t xml:space="preserve">Se recibe - respuesta a oficio OPC-022 - Unidad para la Atención y Reparación Integral a las Víctimas” p. </w:t>
        </w:r>
      </w:hyperlink>
      <w:r w:rsidRPr="00DD0E75">
        <w:rPr>
          <w:lang w:val="es-MX"/>
        </w:rPr>
        <w:t>21.</w:t>
      </w:r>
    </w:p>
  </w:footnote>
  <w:footnote w:id="409">
    <w:p w14:paraId="6A86AE27"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w:t>
      </w:r>
    </w:p>
  </w:footnote>
  <w:footnote w:id="410">
    <w:p w14:paraId="4BD4108B"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Expediente digital, archivo “RE-361 Anexos 31 al 40 Respuesta al OPC-020 de 2025 - Presidencia de la República”, p. 11.</w:t>
      </w:r>
    </w:p>
  </w:footnote>
  <w:footnote w:id="411">
    <w:p w14:paraId="218B806F" w14:textId="77777777" w:rsidR="001F3006" w:rsidRPr="00DD0E75" w:rsidRDefault="001F3006" w:rsidP="002C5127">
      <w:pPr>
        <w:pStyle w:val="Textonotapie"/>
        <w:rPr>
          <w:lang w:val="es-MX"/>
        </w:rPr>
      </w:pPr>
      <w:r w:rsidRPr="00DD0E75">
        <w:rPr>
          <w:rStyle w:val="Refdenotaalpie"/>
          <w:rFonts w:eastAsiaTheme="majorEastAsia"/>
          <w:lang w:val="es-MX"/>
        </w:rPr>
        <w:footnoteRef/>
      </w:r>
      <w:r w:rsidRPr="00DD0E75">
        <w:rPr>
          <w:lang w:val="es-MX"/>
        </w:rPr>
        <w:t xml:space="preserve"> </w:t>
      </w:r>
      <w:proofErr w:type="spellStart"/>
      <w:r w:rsidRPr="00DD0E75">
        <w:rPr>
          <w:lang w:val="es-MX"/>
        </w:rPr>
        <w:t>Ibid</w:t>
      </w:r>
      <w:proofErr w:type="spellEnd"/>
      <w:r w:rsidRPr="00DD0E75">
        <w:rPr>
          <w:lang w:val="es-MX"/>
        </w:rPr>
        <w:t>., p. 27.</w:t>
      </w:r>
    </w:p>
  </w:footnote>
  <w:footnote w:id="412">
    <w:p w14:paraId="7FCAF74A"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w:t>
      </w:r>
      <w:r w:rsidRPr="00DD0E75">
        <w:rPr>
          <w:color w:val="000000" w:themeColor="text1"/>
          <w:lang w:val="es-MX"/>
        </w:rPr>
        <w:t>Expediente digital, archivo “RE0000361-Pruebas del Expediente (Recepción y Paso al Despacho) (2025-02-10 20-25-06) ANEXOS 22 Y 24 AL 29”, p.280-284.</w:t>
      </w:r>
    </w:p>
  </w:footnote>
  <w:footnote w:id="413">
    <w:p w14:paraId="287DD156"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En concreto, estas medidas se encuentran en las leyes 2213 de 2022 y 1437 de 2011.</w:t>
      </w:r>
    </w:p>
  </w:footnote>
  <w:footnote w:id="414">
    <w:p w14:paraId="7DD4A907"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archivo “RE-361 Anexos 31 al 40 Respuesta al OPC-020 de 2025 - Presidencia de la República.pdf”, pp. 3 a 16.</w:t>
      </w:r>
    </w:p>
  </w:footnote>
  <w:footnote w:id="415">
    <w:p w14:paraId="62657B1C"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archivo “RE-361 Anexos 31 al 40 Respuesta al OPC-020 de 2025 - Presidencia de la República.pdf”, pp. 19 a 23.</w:t>
      </w:r>
    </w:p>
  </w:footnote>
  <w:footnote w:id="416">
    <w:p w14:paraId="6D57932B" w14:textId="406F0157" w:rsidR="001F3006" w:rsidRPr="00DD0E75" w:rsidRDefault="001F3006" w:rsidP="002C5127">
      <w:pPr>
        <w:rPr>
          <w:rFonts w:cs="Times New Roman"/>
          <w:sz w:val="20"/>
          <w:szCs w:val="20"/>
          <w:lang w:val="es-MX"/>
        </w:rPr>
      </w:pPr>
      <w:r w:rsidRPr="00DD0E75">
        <w:rPr>
          <w:rStyle w:val="Refdenotaalpie"/>
          <w:rFonts w:cs="Times New Roman"/>
          <w:sz w:val="20"/>
          <w:szCs w:val="20"/>
          <w:lang w:val="es-MX"/>
        </w:rPr>
        <w:footnoteRef/>
      </w:r>
      <w:r w:rsidRPr="00DD0E75">
        <w:rPr>
          <w:rFonts w:cs="Times New Roman"/>
          <w:sz w:val="20"/>
          <w:szCs w:val="20"/>
          <w:lang w:val="es-MX"/>
        </w:rPr>
        <w:t xml:space="preserve"> </w:t>
      </w:r>
      <w:r w:rsidRPr="00DD0E75">
        <w:rPr>
          <w:rFonts w:eastAsia="Times New Roman" w:cs="Times New Roman"/>
          <w:sz w:val="20"/>
          <w:szCs w:val="20"/>
          <w:lang w:val="es-MX"/>
        </w:rPr>
        <w:t xml:space="preserve">Expediente digital, archivo “RE0000361-Pruebas del Expediente (RecepciÃ³n y Paso al </w:t>
      </w:r>
      <w:proofErr w:type="gramStart"/>
      <w:r w:rsidRPr="00DD0E75">
        <w:rPr>
          <w:rFonts w:eastAsia="Times New Roman" w:cs="Times New Roman"/>
          <w:sz w:val="20"/>
          <w:szCs w:val="20"/>
          <w:lang w:val="es-MX"/>
        </w:rPr>
        <w:t>Despacho)-(</w:t>
      </w:r>
      <w:proofErr w:type="gramEnd"/>
      <w:r w:rsidRPr="00DD0E75">
        <w:rPr>
          <w:rFonts w:eastAsia="Times New Roman" w:cs="Times New Roman"/>
          <w:sz w:val="20"/>
          <w:szCs w:val="20"/>
          <w:lang w:val="es-MX"/>
        </w:rPr>
        <w:t xml:space="preserve">2025-02-10 20-25-06) ANEXOS 22 Y 24 AL 29.pdf”, </w:t>
      </w:r>
      <w:proofErr w:type="spellStart"/>
      <w:r w:rsidRPr="00DD0E75">
        <w:rPr>
          <w:rFonts w:eastAsia="Times New Roman" w:cs="Times New Roman"/>
          <w:sz w:val="20"/>
          <w:szCs w:val="20"/>
          <w:lang w:val="es-MX"/>
        </w:rPr>
        <w:t>pp</w:t>
      </w:r>
      <w:proofErr w:type="spellEnd"/>
      <w:r w:rsidRPr="00DD0E75">
        <w:rPr>
          <w:rFonts w:eastAsia="Times New Roman" w:cs="Times New Roman"/>
          <w:sz w:val="20"/>
          <w:szCs w:val="20"/>
          <w:lang w:val="es-MX"/>
        </w:rPr>
        <w:t xml:space="preserve"> 178 a 181.</w:t>
      </w:r>
    </w:p>
  </w:footnote>
  <w:footnote w:id="417">
    <w:p w14:paraId="53B5D5AD" w14:textId="77777777" w:rsidR="001F3006" w:rsidRPr="00DD0E75" w:rsidRDefault="001F3006" w:rsidP="002C5127">
      <w:pPr>
        <w:pStyle w:val="Textonotapie"/>
        <w:rPr>
          <w:lang w:val="es-MX"/>
        </w:rPr>
      </w:pPr>
      <w:r w:rsidRPr="00DD0E75">
        <w:rPr>
          <w:rStyle w:val="Refdenotaalpie"/>
          <w:lang w:val="es-MX"/>
        </w:rPr>
        <w:footnoteRef/>
      </w:r>
      <w:r w:rsidRPr="00DD0E75">
        <w:rPr>
          <w:lang w:val="es-MX"/>
        </w:rPr>
        <w:t xml:space="preserve"> Expediente digital, archivo “RE-361 Anexos 31 al 40 Respuesta al OPC-020 de 2025 - Presidencia de la República.pdf”, pp. 233.</w:t>
      </w:r>
    </w:p>
  </w:footnote>
  <w:footnote w:id="418">
    <w:p w14:paraId="01D32DD6" w14:textId="252911BA" w:rsidR="001F3006" w:rsidRPr="00DD0E75" w:rsidRDefault="001F3006" w:rsidP="002C5127">
      <w:pPr>
        <w:rPr>
          <w:rFonts w:eastAsia="Times New Roman"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w:t>
      </w:r>
      <w:r w:rsidRPr="00DD0E75">
        <w:rPr>
          <w:rFonts w:eastAsia="Times New Roman" w:cs="Times New Roman"/>
          <w:sz w:val="20"/>
          <w:szCs w:val="20"/>
          <w:lang w:val="es-MX"/>
        </w:rPr>
        <w:t>Expediente digital, “</w:t>
      </w:r>
      <w:hyperlink r:id="rId12">
        <w:r w:rsidRPr="00DD0E75">
          <w:rPr>
            <w:rStyle w:val="Hipervnculo"/>
            <w:rFonts w:eastAsia="Times New Roman" w:cs="Times New Roman"/>
            <w:color w:val="auto"/>
            <w:sz w:val="20"/>
            <w:szCs w:val="20"/>
            <w:u w:val="none"/>
            <w:lang w:val="es-MX"/>
          </w:rPr>
          <w:t xml:space="preserve">Respuesta a oficio OPC-024/25 - Alcaldía de la Playa” p. </w:t>
        </w:r>
      </w:hyperlink>
      <w:r w:rsidRPr="00DD0E75">
        <w:rPr>
          <w:rFonts w:eastAsia="Times New Roman" w:cs="Times New Roman"/>
          <w:sz w:val="20"/>
          <w:szCs w:val="20"/>
          <w:lang w:val="es-MX"/>
        </w:rPr>
        <w:t>3</w:t>
      </w:r>
    </w:p>
  </w:footnote>
  <w:footnote w:id="419">
    <w:p w14:paraId="1D921202" w14:textId="76C8D88F" w:rsidR="001F3006" w:rsidRPr="00DD0E75" w:rsidRDefault="001F3006" w:rsidP="002C5127">
      <w:pPr>
        <w:rPr>
          <w:rFonts w:eastAsia="Times New Roman"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vertAlign w:val="superscript"/>
          <w:lang w:val="es-MX"/>
        </w:rPr>
        <w:t xml:space="preserve"> </w:t>
      </w:r>
      <w:r w:rsidRPr="00DD0E75">
        <w:rPr>
          <w:rFonts w:cs="Times New Roman"/>
          <w:sz w:val="20"/>
          <w:szCs w:val="20"/>
          <w:lang w:val="es-MX"/>
        </w:rPr>
        <w:t>Expediente digital, “</w:t>
      </w:r>
      <w:hyperlink r:id="rId13">
        <w:r w:rsidRPr="00DD0E75">
          <w:rPr>
            <w:rStyle w:val="Hipervnculo"/>
            <w:rFonts w:eastAsia="Times New Roman" w:cs="Times New Roman"/>
            <w:color w:val="auto"/>
            <w:sz w:val="20"/>
            <w:szCs w:val="20"/>
            <w:u w:val="none"/>
            <w:lang w:val="es-MX"/>
          </w:rPr>
          <w:t xml:space="preserve">Remisión de pruebas - respuesta al oficio No. OPC-024 de 2025” p. </w:t>
        </w:r>
      </w:hyperlink>
      <w:r w:rsidRPr="00DD0E75">
        <w:rPr>
          <w:rFonts w:eastAsia="Times New Roman" w:cs="Times New Roman"/>
          <w:sz w:val="20"/>
          <w:szCs w:val="20"/>
          <w:lang w:val="es-MX"/>
        </w:rPr>
        <w:t>7.</w:t>
      </w:r>
    </w:p>
  </w:footnote>
  <w:footnote w:id="420">
    <w:p w14:paraId="07C9911A" w14:textId="3BCA6853"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Expediente digital, “</w:t>
      </w:r>
      <w:hyperlink r:id="rId14">
        <w:r w:rsidRPr="00DD0E75">
          <w:rPr>
            <w:rStyle w:val="Hipervnculo"/>
            <w:rFonts w:eastAsia="Times New Roman" w:cs="Times New Roman"/>
            <w:color w:val="auto"/>
            <w:sz w:val="20"/>
            <w:szCs w:val="20"/>
            <w:u w:val="none"/>
            <w:lang w:val="es-MX"/>
          </w:rPr>
          <w:t>Respuesta a oficio OPC-024 - Alcaldía de Ocaña</w:t>
        </w:r>
      </w:hyperlink>
      <w:r w:rsidRPr="00DD0E75">
        <w:rPr>
          <w:rFonts w:eastAsia="Times New Roman" w:cs="Times New Roman"/>
          <w:sz w:val="20"/>
          <w:szCs w:val="20"/>
          <w:lang w:val="es-MX"/>
        </w:rPr>
        <w:t>”, p. 7.</w:t>
      </w:r>
    </w:p>
  </w:footnote>
  <w:footnote w:id="421">
    <w:p w14:paraId="5AD049AB" w14:textId="7168480A"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vertAlign w:val="superscript"/>
          <w:lang w:val="es-MX"/>
        </w:rPr>
        <w:t xml:space="preserve"> </w:t>
      </w:r>
      <w:r w:rsidRPr="00DD0E75">
        <w:rPr>
          <w:rFonts w:cs="Times New Roman"/>
          <w:sz w:val="20"/>
          <w:szCs w:val="20"/>
          <w:lang w:val="es-MX"/>
        </w:rPr>
        <w:t>Expediente digital, “</w:t>
      </w:r>
      <w:hyperlink r:id="rId15">
        <w:r w:rsidRPr="00DD0E75">
          <w:rPr>
            <w:rStyle w:val="Hipervnculo"/>
            <w:rFonts w:eastAsia="Times New Roman" w:cs="Times New Roman"/>
            <w:color w:val="auto"/>
            <w:sz w:val="20"/>
            <w:szCs w:val="20"/>
            <w:u w:val="none"/>
            <w:lang w:val="es-MX"/>
          </w:rPr>
          <w:t>Respuesta a oficio OPC-024 - Alcaldía de Ocaña</w:t>
        </w:r>
      </w:hyperlink>
      <w:r w:rsidRPr="00DD0E75">
        <w:rPr>
          <w:rFonts w:eastAsia="Times New Roman" w:cs="Times New Roman"/>
          <w:sz w:val="20"/>
          <w:szCs w:val="20"/>
          <w:lang w:val="es-MX"/>
        </w:rPr>
        <w:t xml:space="preserve">”, </w:t>
      </w:r>
      <w:r w:rsidRPr="00DD0E75">
        <w:rPr>
          <w:rFonts w:cs="Times New Roman"/>
          <w:sz w:val="20"/>
          <w:szCs w:val="20"/>
          <w:lang w:val="es-MX"/>
        </w:rPr>
        <w:t>p. 8.</w:t>
      </w:r>
    </w:p>
  </w:footnote>
  <w:footnote w:id="422">
    <w:p w14:paraId="03A6F9F2" w14:textId="4D128778" w:rsidR="001F3006" w:rsidRPr="00DD0E75" w:rsidRDefault="001F3006" w:rsidP="002C5127">
      <w:pPr>
        <w:rPr>
          <w:rFonts w:cs="Times New Roman"/>
          <w:sz w:val="20"/>
          <w:szCs w:val="20"/>
          <w:lang w:val="es-MX"/>
        </w:rPr>
      </w:pPr>
      <w:r w:rsidRPr="00DD0E75">
        <w:rPr>
          <w:rFonts w:cs="Times New Roman"/>
          <w:sz w:val="20"/>
          <w:szCs w:val="20"/>
          <w:vertAlign w:val="superscript"/>
          <w:lang w:val="es-MX"/>
        </w:rPr>
        <w:footnoteRef/>
      </w:r>
      <w:r w:rsidRPr="00DD0E75">
        <w:rPr>
          <w:rFonts w:cs="Times New Roman"/>
          <w:sz w:val="20"/>
          <w:szCs w:val="20"/>
          <w:lang w:val="es-MX"/>
        </w:rPr>
        <w:t xml:space="preserve"> Expediente digital, “</w:t>
      </w:r>
      <w:hyperlink r:id="rId16">
        <w:r w:rsidRPr="00DD0E75">
          <w:rPr>
            <w:rStyle w:val="Hipervnculo"/>
            <w:rFonts w:eastAsia="Times New Roman" w:cs="Times New Roman"/>
            <w:color w:val="auto"/>
            <w:sz w:val="20"/>
            <w:szCs w:val="20"/>
            <w:u w:val="none"/>
            <w:lang w:val="es-MX"/>
          </w:rPr>
          <w:t>Respuesta a oficio OPC-024 - Alcaldía de Ocaña</w:t>
        </w:r>
      </w:hyperlink>
      <w:r w:rsidRPr="00DD0E75">
        <w:rPr>
          <w:rFonts w:eastAsia="Times New Roman" w:cs="Times New Roman"/>
          <w:sz w:val="20"/>
          <w:szCs w:val="20"/>
          <w:lang w:val="es-MX"/>
        </w:rPr>
        <w:t xml:space="preserve">”, </w:t>
      </w:r>
      <w:r w:rsidRPr="00DD0E75">
        <w:rPr>
          <w:rFonts w:cs="Times New Roman"/>
          <w:sz w:val="20"/>
          <w:szCs w:val="20"/>
          <w:lang w:val="es-MX"/>
        </w:rPr>
        <w:t>p. 8.</w:t>
      </w:r>
    </w:p>
  </w:footnote>
  <w:footnote w:id="423">
    <w:p w14:paraId="00DBDC18" w14:textId="77777777" w:rsidR="001F3006" w:rsidRPr="00DD0E75" w:rsidRDefault="001F3006" w:rsidP="00983BA8">
      <w:pPr>
        <w:pStyle w:val="Textonotapie"/>
        <w:rPr>
          <w:lang w:val="es-MX"/>
        </w:rPr>
      </w:pPr>
      <w:r w:rsidRPr="00DD0E75">
        <w:rPr>
          <w:rStyle w:val="Refdenotaalpie"/>
          <w:rFonts w:eastAsiaTheme="majorEastAsia"/>
          <w:lang w:val="es-MX"/>
        </w:rPr>
        <w:footnoteRef/>
      </w:r>
      <w:r w:rsidRPr="00DD0E75">
        <w:rPr>
          <w:lang w:val="es-MX"/>
        </w:rPr>
        <w:t xml:space="preserve"> Expediente digital, archivo: “</w:t>
      </w:r>
      <w:r w:rsidRPr="00DD0E75">
        <w:rPr>
          <w:rFonts w:eastAsia="Aptos"/>
          <w:lang w:val="es-MX"/>
        </w:rPr>
        <w:t>RE0000361-Peticiones y Otros-(2025-02-12 09-47-21).</w:t>
      </w:r>
      <w:proofErr w:type="spellStart"/>
      <w:r w:rsidRPr="00DD0E75">
        <w:rPr>
          <w:rFonts w:eastAsia="Aptos"/>
          <w:lang w:val="es-MX"/>
        </w:rPr>
        <w:t>pdf</w:t>
      </w:r>
      <w:proofErr w:type="spellEnd"/>
      <w:r w:rsidRPr="00DD0E75">
        <w:rPr>
          <w:lang w:val="es-MX"/>
        </w:rPr>
        <w:t xml:space="preserve">”, p. 12. </w:t>
      </w:r>
    </w:p>
  </w:footnote>
  <w:footnote w:id="424">
    <w:p w14:paraId="6C56B408" w14:textId="655D8517" w:rsidR="001F3006" w:rsidRPr="00DD0E75" w:rsidRDefault="001F3006" w:rsidP="0042485A">
      <w:pPr>
        <w:pStyle w:val="Textonotapie"/>
        <w:rPr>
          <w:lang w:val="es-ES_tradnl"/>
        </w:rPr>
      </w:pPr>
      <w:r w:rsidRPr="00DD0E75">
        <w:rPr>
          <w:rStyle w:val="Refdenotaalpie"/>
        </w:rPr>
        <w:footnoteRef/>
      </w:r>
      <w:r w:rsidRPr="00DD0E75">
        <w:t xml:space="preserve"> Expediente digital, “</w:t>
      </w:r>
      <w:r w:rsidRPr="00DD0E75">
        <w:rPr>
          <w:color w:val="000000" w:themeColor="text1"/>
        </w:rPr>
        <w:t xml:space="preserve">Respuesta DAPRE II.pdf”, “RE-361 Anexos 40 al 45 Respuesta al OPC-020 de 2025 - Presidencia de la República”, “RE0000361-Pruebas del Expediente (Recepción y Paso al </w:t>
      </w:r>
      <w:proofErr w:type="gramStart"/>
      <w:r w:rsidRPr="00DD0E75">
        <w:rPr>
          <w:color w:val="000000" w:themeColor="text1"/>
        </w:rPr>
        <w:t>Despacho)-(</w:t>
      </w:r>
      <w:proofErr w:type="gramEnd"/>
      <w:r w:rsidRPr="00DD0E75">
        <w:rPr>
          <w:color w:val="000000" w:themeColor="text1"/>
        </w:rPr>
        <w:t>2025-02-10 20-28-51).</w:t>
      </w:r>
      <w:proofErr w:type="spellStart"/>
      <w:r w:rsidRPr="00DD0E75">
        <w:rPr>
          <w:color w:val="000000" w:themeColor="text1"/>
        </w:rPr>
        <w:t>pdf</w:t>
      </w:r>
      <w:proofErr w:type="spellEnd"/>
      <w:r w:rsidRPr="00DD0E75">
        <w:rPr>
          <w:color w:val="000000" w:themeColor="text1"/>
        </w:rPr>
        <w:t>” y “</w:t>
      </w:r>
      <w:r w:rsidRPr="00DD0E75">
        <w:rPr>
          <w:lang w:val="es-ES_tradnl"/>
        </w:rPr>
        <w:t>RE0000361-Pruebas del Expediente (Recepción y Paso al Despacho) -(2025-02-10 02-17-21)”.</w:t>
      </w:r>
    </w:p>
  </w:footnote>
  <w:footnote w:id="425">
    <w:p w14:paraId="6BB245B9" w14:textId="77777777" w:rsidR="001F3006" w:rsidRPr="00DD0E75" w:rsidRDefault="001F3006" w:rsidP="002C5127">
      <w:pPr>
        <w:rPr>
          <w:rFonts w:cs="Times New Roman"/>
          <w:sz w:val="20"/>
          <w:szCs w:val="20"/>
          <w:lang w:val="es"/>
        </w:rPr>
      </w:pPr>
      <w:r w:rsidRPr="00DD0E75">
        <w:rPr>
          <w:rFonts w:cs="Times New Roman"/>
          <w:sz w:val="20"/>
          <w:szCs w:val="20"/>
          <w:vertAlign w:val="superscript"/>
        </w:rPr>
        <w:footnoteRef/>
      </w:r>
      <w:r w:rsidRPr="00DD0E75">
        <w:rPr>
          <w:rFonts w:eastAsia="Times New Roman" w:cs="Times New Roman"/>
          <w:sz w:val="20"/>
          <w:szCs w:val="20"/>
          <w:lang w:val="es"/>
        </w:rPr>
        <w:t xml:space="preserve"> Según el artículo 47 de la Ley 1448 de 2011, la AHI debe cubrir las "</w:t>
      </w:r>
      <w:r w:rsidRPr="00DD0E75">
        <w:rPr>
          <w:rFonts w:cs="Times New Roman"/>
          <w:sz w:val="20"/>
          <w:szCs w:val="20"/>
          <w:lang w:val="es"/>
        </w:rPr>
        <w:t>necesidades de alimentación, aseo personal, manejo de abastecimientos, utensilios de cocina, atención médica y psicológica de emergencia, transporte de emergencia y alojamiento transitorio en condiciones dignas, y con enfoque diferencial”.</w:t>
      </w:r>
    </w:p>
  </w:footnote>
  <w:footnote w:id="426">
    <w:p w14:paraId="3129CDDB"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cs="Times New Roman"/>
          <w:sz w:val="20"/>
          <w:szCs w:val="20"/>
        </w:rPr>
        <w:t>Artículo 64 de la Ley 1448 de 2011.</w:t>
      </w:r>
    </w:p>
  </w:footnote>
  <w:footnote w:id="427">
    <w:p w14:paraId="2BCB29F2" w14:textId="4B5E67B5" w:rsidR="001F3006" w:rsidRPr="00DD0E75" w:rsidRDefault="001F3006" w:rsidP="002C5127">
      <w:pPr>
        <w:rPr>
          <w:rFonts w:eastAsia="Times New Roman"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eastAsia="Times New Roman" w:cs="Times New Roman"/>
          <w:sz w:val="20"/>
          <w:szCs w:val="20"/>
        </w:rPr>
        <w:t xml:space="preserve">En la Sentencia C-438 de 2011, la Corte declaró la </w:t>
      </w:r>
      <w:proofErr w:type="spellStart"/>
      <w:r w:rsidRPr="00DD0E75">
        <w:rPr>
          <w:rFonts w:eastAsia="Times New Roman" w:cs="Times New Roman"/>
          <w:sz w:val="20"/>
          <w:szCs w:val="20"/>
        </w:rPr>
        <w:t>exequibilidad</w:t>
      </w:r>
      <w:proofErr w:type="spellEnd"/>
      <w:r w:rsidRPr="00DD0E75">
        <w:rPr>
          <w:rFonts w:eastAsia="Times New Roman" w:cs="Times New Roman"/>
          <w:sz w:val="20"/>
          <w:szCs w:val="20"/>
        </w:rPr>
        <w:t xml:space="preserve"> de la expresión “</w:t>
      </w:r>
      <w:r w:rsidRPr="00DD0E75">
        <w:rPr>
          <w:rFonts w:eastAsia="Times New Roman" w:cs="Times New Roman"/>
          <w:sz w:val="20"/>
          <w:szCs w:val="20"/>
          <w:lang w:val="es"/>
        </w:rPr>
        <w:t>se entregará de acuerdo con el grado de necesidad y urgencia respecto de su subsistencia mínima”. La Corte señaló que la AHE podía ser prorrogada conforma al nivel de vulnerabilidad de la víctima.</w:t>
      </w:r>
    </w:p>
  </w:footnote>
  <w:footnote w:id="428">
    <w:p w14:paraId="2C14E528"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eastAsia="Times New Roman" w:cs="Times New Roman"/>
          <w:sz w:val="20"/>
          <w:szCs w:val="20"/>
        </w:rPr>
        <w:t>Ley 1448 de 2011, art. 168.</w:t>
      </w:r>
    </w:p>
  </w:footnote>
  <w:footnote w:id="429">
    <w:p w14:paraId="38A80ADF"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rPr>
        <w:t xml:space="preserve"> Ver artículo 63 de la Ley 1448 de 2011.</w:t>
      </w:r>
    </w:p>
  </w:footnote>
  <w:footnote w:id="430">
    <w:p w14:paraId="21B5D099"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cs="Times New Roman"/>
          <w:sz w:val="20"/>
          <w:szCs w:val="20"/>
        </w:rPr>
        <w:t>Ver artículo 2.2.6.4.1. del decreto 1084 de 2015.</w:t>
      </w:r>
    </w:p>
  </w:footnote>
  <w:footnote w:id="431">
    <w:p w14:paraId="57105147"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cs="Times New Roman"/>
          <w:sz w:val="20"/>
          <w:szCs w:val="20"/>
        </w:rPr>
        <w:t>Ver el numeral 16 del artículo 168 de la Ley 1448 de 2011.</w:t>
      </w:r>
    </w:p>
  </w:footnote>
  <w:footnote w:id="432">
    <w:p w14:paraId="280AE683"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rPr>
        <w:t xml:space="preserve"> </w:t>
      </w:r>
      <w:r w:rsidRPr="00DD0E75">
        <w:rPr>
          <w:rFonts w:eastAsia="Aptos" w:cs="Times New Roman"/>
          <w:sz w:val="20"/>
          <w:szCs w:val="20"/>
        </w:rPr>
        <w:t>Acuerdo Final de Paz, punto 3.4.</w:t>
      </w:r>
    </w:p>
  </w:footnote>
  <w:footnote w:id="433">
    <w:p w14:paraId="453A01A3"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eastAsia="Times New Roman" w:cs="Times New Roman"/>
          <w:sz w:val="20"/>
          <w:szCs w:val="20"/>
        </w:rPr>
        <w:t>Corte Constitucional, Sala Especial de Seguimiento de la Sentencia SU-020 de 2022, Auto 826 de 2024.</w:t>
      </w:r>
    </w:p>
  </w:footnote>
  <w:footnote w:id="434">
    <w:p w14:paraId="5D5DA015"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eastAsia="Times New Roman" w:cs="Times New Roman"/>
          <w:sz w:val="20"/>
          <w:szCs w:val="20"/>
        </w:rPr>
        <w:t>Corte Constitucional. Acuerdo Final para la Terminación del Conflicto y la Construcción de una Paz Estable y Duradera. 12 de noviembre de 2016. Punto 2.1.2.1, literal c; Decreto Ley 895 de 2017. “Por el cual se crea el Sistema Integral de Seguridad para el Ejercicio de la Política”. 29 de mayo de 2017. Artículo 4, numeral 3.</w:t>
      </w:r>
    </w:p>
    <w:p w14:paraId="6BD3259C" w14:textId="77777777" w:rsidR="001F3006" w:rsidRPr="00DD0E75" w:rsidRDefault="001F3006" w:rsidP="002C5127">
      <w:pPr>
        <w:rPr>
          <w:rFonts w:cs="Times New Roman"/>
          <w:sz w:val="20"/>
          <w:szCs w:val="20"/>
        </w:rPr>
      </w:pPr>
      <w:r w:rsidRPr="00DD0E75">
        <w:rPr>
          <w:rFonts w:eastAsia="Aptos" w:cs="Times New Roman"/>
          <w:sz w:val="20"/>
          <w:szCs w:val="20"/>
          <w:vertAlign w:val="superscript"/>
        </w:rPr>
        <w:t>[1]</w:t>
      </w:r>
      <w:r w:rsidRPr="00DD0E75">
        <w:rPr>
          <w:rFonts w:eastAsia="Aptos" w:cs="Times New Roman"/>
          <w:sz w:val="20"/>
          <w:szCs w:val="20"/>
        </w:rPr>
        <w:t xml:space="preserve"> Decreto Ley 895 de 2017. “Por el cual se crea el Sistema Integral de Seguridad para el Ejercicio de la Política”. 29 de mayo de 2017. Artículo 4, numeral 3; La Sala tiene conocimiento de que este programa está actualmente en constatación normativa en la Comisión de Seguimiento, Impulso y Verificación a la Implementación del Acuerdo Final de Paz.</w:t>
      </w:r>
    </w:p>
  </w:footnote>
  <w:footnote w:id="435">
    <w:p w14:paraId="1E56C5AA"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rPr>
        <w:t xml:space="preserve"> </w:t>
      </w:r>
      <w:r w:rsidRPr="00DD0E75">
        <w:rPr>
          <w:rFonts w:eastAsia="Times New Roman" w:cs="Times New Roman"/>
          <w:sz w:val="20"/>
          <w:szCs w:val="20"/>
        </w:rPr>
        <w:t>Decreto Reglamentario 299 de 2017. “Por el cual se adiciona el capítulo 4 al título 1, de la parte 4 del libro 2 del Decreto 1066 de 2015, en lo que hace referencia a un programa de protección”. 23 de febrero de 2017.</w:t>
      </w:r>
    </w:p>
  </w:footnote>
  <w:footnote w:id="436">
    <w:p w14:paraId="01E9C522"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eastAsia="Aptos" w:cs="Times New Roman"/>
          <w:sz w:val="20"/>
          <w:szCs w:val="20"/>
        </w:rPr>
        <w:t>Decreto Reglamentario 299 de 2017. “Por el cual se adiciona el capítulo 4 al título 1, de la parte 4 del libro 2 del Decreto 1066 de 2015, en lo que hace referencia a un programa de protección”. 23 de febrero de 2017.</w:t>
      </w:r>
    </w:p>
  </w:footnote>
  <w:footnote w:id="437">
    <w:p w14:paraId="003C4993"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rPr>
        <w:t xml:space="preserve"> </w:t>
      </w:r>
      <w:r w:rsidRPr="00DD0E75">
        <w:rPr>
          <w:rFonts w:eastAsia="Aptos" w:cs="Times New Roman"/>
          <w:sz w:val="20"/>
          <w:szCs w:val="20"/>
        </w:rPr>
        <w:t>Decreto Reglamentario 660 de 2018. “Por el cual se adiciona el capítulo 7, del título 1, de la parte 4, del libro 2 del Decreto 1066 de 2015, Único Reglamentario del Sector Administrativo del Interior, para crear y reglamentar el Programa Integral de Seguridad y Protección para Comunidades y Organizaciones en los Territorios; y se dictan otras disposiciones”. 17 de abril de 2018; Decreto Ley 895 de 2017. “Por el cual se crea el Sistema Integral de Seguridad para el Ejercicio de la Política”. 29 de mayo de 2017. Artículo 14.</w:t>
      </w:r>
    </w:p>
  </w:footnote>
  <w:footnote w:id="438">
    <w:p w14:paraId="23DF43EE"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rPr>
        <w:t xml:space="preserve"> </w:t>
      </w:r>
      <w:r w:rsidRPr="00DD0E75">
        <w:rPr>
          <w:rFonts w:eastAsia="Times New Roman" w:cs="Times New Roman"/>
          <w:sz w:val="20"/>
          <w:szCs w:val="20"/>
        </w:rPr>
        <w:t>Decreto Ley 895 de 2017. “Por el cual se crea el Sistema Integral de Seguridad para el Ejercicio de la Política”. 29 de mayo de 2017. Artículos 4, numeral 3, y 16; Ley 1909 de 2018. “Por medio de la cual se adoptan el Estatuto de la Oposición Política y algunos derechos a las organizaciones políticas independientes”. 9 de julio de 2018. Artículo 30.</w:t>
      </w:r>
    </w:p>
  </w:footnote>
  <w:footnote w:id="439">
    <w:p w14:paraId="473DBC6D"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vertAlign w:val="superscript"/>
        </w:rPr>
        <w:t xml:space="preserve"> </w:t>
      </w:r>
      <w:r w:rsidRPr="00DD0E75">
        <w:rPr>
          <w:rFonts w:eastAsia="Times New Roman" w:cs="Times New Roman"/>
          <w:sz w:val="20"/>
          <w:szCs w:val="20"/>
        </w:rPr>
        <w:t>Decreto Ley 895 de 2017. “Por el cual se crea el Sistema Integral de Seguridad para el Ejercicio de la Política”. 29 de mayo de 2017. Artículo 4, numeral 3; Decreto Reglamentario 1066 de 2015. “Por el cual se expide el Decreto Único Reglamentario del Sector Administrativo del Interior”. 26 de mayo de 2015. Libro 2, parte 4, título 1, capítulo 5; Resolución 1085 de 2015. “Por medio de la cual se expide el protocolo para implementar la Ruta de Protección Colectiva del Programa de Prevención y Protección del Ministerio del Interior y la Unidad Nacional de Protección”. 21 de agosto de 2015.</w:t>
      </w:r>
    </w:p>
  </w:footnote>
  <w:footnote w:id="440">
    <w:p w14:paraId="2672694E" w14:textId="77777777"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rPr>
        <w:t xml:space="preserve"> </w:t>
      </w:r>
      <w:r w:rsidRPr="00DD0E75">
        <w:rPr>
          <w:rFonts w:eastAsia="Aptos" w:cs="Times New Roman"/>
          <w:sz w:val="20"/>
          <w:szCs w:val="20"/>
        </w:rPr>
        <w:t>Decreto Ley 895 de 2017. “Por el cual se crea el Sistema Integral de Seguridad para el Ejercicio de la Política”. 29 de mayo de 2017. Artículo 4, numeral 3; Resolución 0096 de 2024. “Por la cual se adopta el Plan Estratégico de Seguridad y Protección previsto en el numeral 3 del artículo 4 del Decreto Ley 895 de 2017”. 16 de febrero de 2024. Líneas estratégicas 1, 2, 3, 5, 6 y 7.</w:t>
      </w:r>
    </w:p>
  </w:footnote>
  <w:footnote w:id="441">
    <w:p w14:paraId="14D90E46" w14:textId="649BD3CA" w:rsidR="001F3006" w:rsidRPr="00DD0E75" w:rsidRDefault="001F3006" w:rsidP="002C5127">
      <w:pPr>
        <w:rPr>
          <w:rFonts w:cs="Times New Roman"/>
          <w:sz w:val="20"/>
          <w:szCs w:val="20"/>
        </w:rPr>
      </w:pPr>
      <w:r w:rsidRPr="00DD0E75">
        <w:rPr>
          <w:rFonts w:cs="Times New Roman"/>
          <w:sz w:val="20"/>
          <w:szCs w:val="20"/>
          <w:vertAlign w:val="superscript"/>
        </w:rPr>
        <w:footnoteRef/>
      </w:r>
      <w:r w:rsidRPr="00DD0E75">
        <w:rPr>
          <w:rFonts w:cs="Times New Roman"/>
          <w:sz w:val="20"/>
          <w:szCs w:val="20"/>
        </w:rPr>
        <w:t xml:space="preserve"> </w:t>
      </w:r>
      <w:r w:rsidRPr="00DD0E75">
        <w:rPr>
          <w:rFonts w:eastAsia="Times New Roman" w:cs="Times New Roman"/>
          <w:sz w:val="20"/>
          <w:szCs w:val="20"/>
          <w:lang w:val="es-419"/>
        </w:rPr>
        <w:t>Corte Constitucional. Sentencia C-026 de 2018. Fundamento 23.</w:t>
      </w:r>
    </w:p>
  </w:footnote>
  <w:footnote w:id="442">
    <w:p w14:paraId="7931543A" w14:textId="218C4A8B" w:rsidR="001F3006" w:rsidRPr="00DD0E75" w:rsidRDefault="001F3006" w:rsidP="000C463A">
      <w:pPr>
        <w:pStyle w:val="Textonotapie"/>
      </w:pPr>
      <w:r w:rsidRPr="00DD0E75">
        <w:rPr>
          <w:rStyle w:val="Refdenotaalpie"/>
          <w:rFonts w:eastAsiaTheme="majorEastAsia"/>
        </w:rPr>
        <w:footnoteRef/>
      </w:r>
      <w:r w:rsidRPr="00DD0E75">
        <w:t xml:space="preserve"> Corte Constitucional, Sentencia C-772 de 1998. </w:t>
      </w:r>
    </w:p>
  </w:footnote>
  <w:footnote w:id="443">
    <w:p w14:paraId="74792995" w14:textId="11491A96" w:rsidR="001F3006" w:rsidRPr="00DD0E75" w:rsidRDefault="001F3006" w:rsidP="000C463A">
      <w:pPr>
        <w:pStyle w:val="Textonotapie"/>
      </w:pPr>
      <w:r w:rsidRPr="00DD0E75">
        <w:rPr>
          <w:rStyle w:val="Refdenotaalpie"/>
          <w:rFonts w:eastAsiaTheme="majorEastAsia"/>
        </w:rPr>
        <w:footnoteRef/>
      </w:r>
      <w:r w:rsidRPr="00DD0E75">
        <w:t xml:space="preserve"> Corte Constitucional, Sentencia C-006 de 2012. </w:t>
      </w:r>
    </w:p>
  </w:footnote>
  <w:footnote w:id="444">
    <w:p w14:paraId="07843E96" w14:textId="57612CC8" w:rsidR="001F3006" w:rsidRPr="00DD0E75" w:rsidRDefault="001F3006">
      <w:pPr>
        <w:pStyle w:val="Textonotapie"/>
      </w:pPr>
      <w:r w:rsidRPr="00DD0E75">
        <w:rPr>
          <w:rStyle w:val="Refdenotaalpie"/>
        </w:rPr>
        <w:footnoteRef/>
      </w:r>
      <w:r w:rsidRPr="00DD0E75">
        <w:t xml:space="preserve"> Artículo 41 de la Ley 80 de 1993</w:t>
      </w:r>
    </w:p>
  </w:footnote>
  <w:footnote w:id="445">
    <w:p w14:paraId="306116B4" w14:textId="3A967A98" w:rsidR="001F3006" w:rsidRPr="00DD0E75" w:rsidRDefault="001F3006">
      <w:pPr>
        <w:pStyle w:val="Textonotapie"/>
      </w:pPr>
      <w:r w:rsidRPr="00DD0E75">
        <w:rPr>
          <w:rStyle w:val="Refdenotaalpie"/>
        </w:rPr>
        <w:footnoteRef/>
      </w:r>
      <w:r w:rsidRPr="00DD0E75">
        <w:t xml:space="preserve"> Artículo 7 del Decreto 2681 de 1993.</w:t>
      </w:r>
    </w:p>
  </w:footnote>
  <w:footnote w:id="446">
    <w:p w14:paraId="6B0B950A" w14:textId="38FB31E6" w:rsidR="001F3006" w:rsidRPr="00DD0E75" w:rsidRDefault="001F3006">
      <w:pPr>
        <w:pStyle w:val="Textonotapie"/>
      </w:pPr>
      <w:r w:rsidRPr="00DD0E75">
        <w:rPr>
          <w:rStyle w:val="Refdenotaalpie"/>
        </w:rPr>
        <w:footnoteRef/>
      </w:r>
      <w:r w:rsidRPr="00DD0E75">
        <w:t xml:space="preserve"> </w:t>
      </w:r>
      <w:r w:rsidRPr="00DD0E75">
        <w:rPr>
          <w:rFonts w:eastAsiaTheme="majorEastAsia"/>
          <w:lang w:val="es-ES_tradnl"/>
        </w:rPr>
        <w:t>Art</w:t>
      </w:r>
      <w:r w:rsidRPr="00DD0E75">
        <w:rPr>
          <w:lang w:val="es-ES_tradnl"/>
        </w:rPr>
        <w:t>ículo</w:t>
      </w:r>
      <w:r w:rsidRPr="00DD0E75">
        <w:rPr>
          <w:rFonts w:eastAsiaTheme="majorEastAsia"/>
          <w:lang w:val="es-ES_tradnl"/>
        </w:rPr>
        <w:t xml:space="preserve"> 2.2.1.2.1.3 </w:t>
      </w:r>
      <w:r w:rsidRPr="00DD0E75">
        <w:rPr>
          <w:lang w:val="es-ES_tradnl"/>
        </w:rPr>
        <w:t xml:space="preserve">del </w:t>
      </w:r>
      <w:r w:rsidRPr="00DD0E75">
        <w:rPr>
          <w:rFonts w:eastAsiaTheme="majorEastAsia"/>
          <w:lang w:val="es-ES_tradnl"/>
        </w:rPr>
        <w:t>D</w:t>
      </w:r>
      <w:r w:rsidRPr="00DD0E75">
        <w:rPr>
          <w:lang w:val="es-ES_tradnl"/>
        </w:rPr>
        <w:t xml:space="preserve">ecreto </w:t>
      </w:r>
      <w:r w:rsidRPr="00DD0E75">
        <w:rPr>
          <w:rFonts w:eastAsiaTheme="majorEastAsia"/>
          <w:lang w:val="es-ES_tradnl"/>
        </w:rPr>
        <w:t>1068/15, mod</w:t>
      </w:r>
      <w:r w:rsidRPr="00DD0E75">
        <w:rPr>
          <w:lang w:val="es-ES_tradnl"/>
        </w:rPr>
        <w:t>ificado por el</w:t>
      </w:r>
      <w:r w:rsidRPr="00DD0E75">
        <w:rPr>
          <w:rFonts w:eastAsiaTheme="majorEastAsia"/>
          <w:lang w:val="es-ES_tradnl"/>
        </w:rPr>
        <w:t xml:space="preserve"> </w:t>
      </w:r>
      <w:r w:rsidRPr="00DD0E75">
        <w:rPr>
          <w:lang w:val="es-ES_tradnl"/>
        </w:rPr>
        <w:t xml:space="preserve">Decreto </w:t>
      </w:r>
      <w:r w:rsidRPr="00DD0E75">
        <w:rPr>
          <w:rFonts w:eastAsiaTheme="majorEastAsia"/>
          <w:lang w:val="es-ES_tradnl"/>
        </w:rPr>
        <w:t>1575</w:t>
      </w:r>
      <w:r w:rsidRPr="00DD0E75">
        <w:rPr>
          <w:lang w:val="es-ES_tradnl"/>
        </w:rPr>
        <w:t xml:space="preserve"> de 20</w:t>
      </w:r>
      <w:r w:rsidRPr="00DD0E75">
        <w:rPr>
          <w:rFonts w:eastAsiaTheme="majorEastAsia"/>
          <w:lang w:val="es-ES_tradnl"/>
        </w:rPr>
        <w:t>22.</w:t>
      </w:r>
    </w:p>
  </w:footnote>
  <w:footnote w:id="447">
    <w:p w14:paraId="290285DC" w14:textId="21303506" w:rsidR="001F3006" w:rsidRPr="00DD0E75" w:rsidRDefault="001F3006">
      <w:pPr>
        <w:pStyle w:val="Textonotapie"/>
      </w:pPr>
      <w:r w:rsidRPr="00DD0E75">
        <w:rPr>
          <w:rStyle w:val="Refdenotaalpie"/>
        </w:rPr>
        <w:footnoteRef/>
      </w:r>
      <w:r w:rsidRPr="00DD0E75">
        <w:t xml:space="preserve"> </w:t>
      </w:r>
      <w:r w:rsidRPr="00DD0E75">
        <w:rPr>
          <w:lang w:val="es-ES"/>
        </w:rPr>
        <w:t>Artículo</w:t>
      </w:r>
      <w:r w:rsidRPr="00DD0E75">
        <w:rPr>
          <w:rFonts w:eastAsiaTheme="minorEastAsia"/>
          <w:lang w:val="es-ES"/>
        </w:rPr>
        <w:t>2</w:t>
      </w:r>
      <w:r w:rsidRPr="00DD0E75">
        <w:rPr>
          <w:lang w:val="es-ES"/>
        </w:rPr>
        <w:t xml:space="preserve"> </w:t>
      </w:r>
      <w:r w:rsidRPr="00DD0E75">
        <w:rPr>
          <w:rFonts w:eastAsiaTheme="minorEastAsia"/>
          <w:lang w:val="es-ES"/>
        </w:rPr>
        <w:t>.2.1.3.1. </w:t>
      </w:r>
      <w:r w:rsidRPr="00DD0E75">
        <w:rPr>
          <w:lang w:val="es-ES"/>
        </w:rPr>
        <w:t xml:space="preserve">del Decreto </w:t>
      </w:r>
      <w:r w:rsidRPr="00DD0E75">
        <w:rPr>
          <w:rFonts w:eastAsiaTheme="minorEastAsia"/>
          <w:lang w:val="es-ES"/>
        </w:rPr>
        <w:t>1068</w:t>
      </w:r>
      <w:r w:rsidRPr="00DD0E75">
        <w:rPr>
          <w:lang w:val="es-ES"/>
        </w:rPr>
        <w:t xml:space="preserve"> de 20</w:t>
      </w:r>
      <w:r w:rsidRPr="00DD0E75">
        <w:rPr>
          <w:rFonts w:eastAsiaTheme="minorEastAsia"/>
          <w:lang w:val="es-ES"/>
        </w:rPr>
        <w:t>15</w:t>
      </w:r>
      <w:r w:rsidRPr="00DD0E75">
        <w:rPr>
          <w:lang w:val="es-ES"/>
        </w:rPr>
        <w:t>,</w:t>
      </w:r>
      <w:r w:rsidRPr="00DD0E75">
        <w:rPr>
          <w:rFonts w:eastAsiaTheme="minorEastAsia"/>
          <w:lang w:val="es-ES"/>
        </w:rPr>
        <w:t xml:space="preserve"> </w:t>
      </w:r>
      <w:r w:rsidRPr="00DD0E75">
        <w:rPr>
          <w:lang w:val="es-ES"/>
        </w:rPr>
        <w:t>modificado por el</w:t>
      </w:r>
      <w:r w:rsidRPr="00DD0E75">
        <w:rPr>
          <w:rFonts w:eastAsiaTheme="minorEastAsia"/>
          <w:lang w:val="es-ES"/>
        </w:rPr>
        <w:t xml:space="preserve"> D</w:t>
      </w:r>
      <w:r w:rsidRPr="00DD0E75">
        <w:rPr>
          <w:lang w:val="es-ES"/>
        </w:rPr>
        <w:t xml:space="preserve">ecreto </w:t>
      </w:r>
      <w:r w:rsidRPr="00DD0E75">
        <w:rPr>
          <w:rFonts w:eastAsiaTheme="minorEastAsia"/>
          <w:lang w:val="es-ES"/>
        </w:rPr>
        <w:t>1575</w:t>
      </w:r>
      <w:r w:rsidRPr="00DD0E75">
        <w:rPr>
          <w:lang w:val="es-ES"/>
        </w:rPr>
        <w:t xml:space="preserve"> de 20</w:t>
      </w:r>
      <w:r w:rsidRPr="00DD0E75">
        <w:rPr>
          <w:rFonts w:eastAsiaTheme="minorEastAsia"/>
          <w:lang w:val="es-ES"/>
        </w:rPr>
        <w:t>22.</w:t>
      </w:r>
    </w:p>
  </w:footnote>
  <w:footnote w:id="448">
    <w:p w14:paraId="6B983394" w14:textId="316941C5" w:rsidR="001F3006" w:rsidRPr="00DD0E75" w:rsidRDefault="001F3006">
      <w:pPr>
        <w:pStyle w:val="Textonotapie"/>
      </w:pPr>
      <w:r w:rsidRPr="00DD0E75">
        <w:rPr>
          <w:rStyle w:val="Refdenotaalpie"/>
        </w:rPr>
        <w:footnoteRef/>
      </w:r>
      <w:r w:rsidRPr="00DD0E75">
        <w:t xml:space="preserve"> </w:t>
      </w:r>
      <w:r w:rsidRPr="00DD0E75">
        <w:rPr>
          <w:lang w:val="es-ES"/>
        </w:rPr>
        <w:t xml:space="preserve">Artículo 2.2.1.3.2 del Decreto </w:t>
      </w:r>
      <w:r w:rsidRPr="00DD0E75">
        <w:rPr>
          <w:rFonts w:eastAsiaTheme="minorEastAsia"/>
          <w:lang w:val="es-ES"/>
        </w:rPr>
        <w:t>1068</w:t>
      </w:r>
      <w:r w:rsidRPr="00DD0E75">
        <w:rPr>
          <w:lang w:val="es-ES"/>
        </w:rPr>
        <w:t xml:space="preserve"> de 20</w:t>
      </w:r>
      <w:r w:rsidRPr="00DD0E75">
        <w:rPr>
          <w:rFonts w:eastAsiaTheme="minorEastAsia"/>
          <w:lang w:val="es-ES"/>
        </w:rPr>
        <w:t>15.</w:t>
      </w:r>
    </w:p>
  </w:footnote>
  <w:footnote w:id="449">
    <w:p w14:paraId="55409222" w14:textId="5F55B55A" w:rsidR="001F3006" w:rsidRPr="00DD0E75" w:rsidRDefault="001F3006">
      <w:pPr>
        <w:pStyle w:val="Textonotapie"/>
      </w:pPr>
      <w:r w:rsidRPr="00DD0E75">
        <w:rPr>
          <w:rStyle w:val="Refdenotaalpie"/>
        </w:rPr>
        <w:footnoteRef/>
      </w:r>
      <w:r w:rsidRPr="00DD0E75">
        <w:t xml:space="preserve"> </w:t>
      </w:r>
      <w:r w:rsidRPr="00DD0E75">
        <w:rPr>
          <w:lang w:val="es-ES"/>
        </w:rPr>
        <w:t xml:space="preserve">Artículo 2.2.1.3.1.1 del Decreto </w:t>
      </w:r>
      <w:r w:rsidRPr="00DD0E75">
        <w:rPr>
          <w:rFonts w:eastAsiaTheme="minorEastAsia"/>
          <w:lang w:val="es-ES"/>
        </w:rPr>
        <w:t>1068</w:t>
      </w:r>
      <w:r w:rsidRPr="00DD0E75">
        <w:rPr>
          <w:lang w:val="es-ES"/>
        </w:rPr>
        <w:t xml:space="preserve"> de 20</w:t>
      </w:r>
      <w:r w:rsidRPr="00DD0E75">
        <w:rPr>
          <w:rFonts w:eastAsiaTheme="minorEastAsia"/>
          <w:lang w:val="es-ES"/>
        </w:rPr>
        <w:t>15.</w:t>
      </w:r>
    </w:p>
  </w:footnote>
  <w:footnote w:id="450">
    <w:p w14:paraId="1C7EE091" w14:textId="77777777" w:rsidR="001F3006" w:rsidRPr="00DD0E75" w:rsidRDefault="001F3006" w:rsidP="0066169F">
      <w:pPr>
        <w:pStyle w:val="Textonotapie"/>
      </w:pPr>
      <w:r w:rsidRPr="00DD0E75">
        <w:rPr>
          <w:rStyle w:val="Refdenotaalpie"/>
        </w:rPr>
        <w:footnoteRef/>
      </w:r>
      <w:r w:rsidRPr="00DD0E75">
        <w:t xml:space="preserve"> </w:t>
      </w:r>
      <w:r w:rsidRPr="00DD0E75">
        <w:rPr>
          <w:rFonts w:eastAsia="Aptos"/>
        </w:rPr>
        <w:t>Expediente digital, archivo: “Anexos allegados el 27 de enero de 2025 con el Decreto Legislativo 0062 del 24 de enero de 2025”, p. 32.</w:t>
      </w:r>
    </w:p>
  </w:footnote>
  <w:footnote w:id="451">
    <w:p w14:paraId="07C30877" w14:textId="77777777" w:rsidR="001F3006" w:rsidRPr="00DD0E75" w:rsidRDefault="001F3006" w:rsidP="005157AA">
      <w:pPr>
        <w:pStyle w:val="Textonotapie"/>
      </w:pPr>
      <w:r w:rsidRPr="00DD0E75">
        <w:rPr>
          <w:rStyle w:val="Refdenotaalpie"/>
        </w:rPr>
        <w:footnoteRef/>
      </w:r>
      <w:r w:rsidRPr="00DD0E75">
        <w:t xml:space="preserve"> </w:t>
      </w:r>
      <w:r w:rsidRPr="00DD0E75">
        <w:rPr>
          <w:rStyle w:val="Refdenotaalpie"/>
          <w:lang w:val="es-MX"/>
        </w:rPr>
        <w:footnoteRef/>
      </w:r>
      <w:r w:rsidRPr="00DD0E75">
        <w:rPr>
          <w:lang w:val="es-MX"/>
        </w:rPr>
        <w:t xml:space="preserve"> Expediente digital, “respuesta a oficio OPC-022 - Unidad para la Atención y Reparación Integral a las Víctimas”, p. 3.</w:t>
      </w:r>
    </w:p>
  </w:footnote>
  <w:footnote w:id="452">
    <w:p w14:paraId="43A3D3F6" w14:textId="0A6B6218" w:rsidR="001F3006" w:rsidRPr="00DD0E75" w:rsidRDefault="001F3006">
      <w:pPr>
        <w:pStyle w:val="Textonotapie"/>
        <w:rPr>
          <w:lang w:val="es-ES"/>
        </w:rPr>
      </w:pPr>
      <w:r w:rsidRPr="00DD0E75">
        <w:rPr>
          <w:rStyle w:val="Refdenotaalpie"/>
        </w:rPr>
        <w:footnoteRef/>
      </w:r>
      <w:r w:rsidRPr="00DD0E75">
        <w:t xml:space="preserve"> Contaduría General de la Nación. Historial categorías - Municipios. (Actualizado hasta la Resolución 088 del 14 de abril de 2025) 2025. https://www.contaduria.gov.co/documents/20127/36288/HISTORICOS.xlsx/f51281b5-e6e7-a569-b429-798b00aa613c</w:t>
      </w:r>
    </w:p>
  </w:footnote>
  <w:footnote w:id="453">
    <w:p w14:paraId="2A4EF714" w14:textId="603F463B" w:rsidR="001F3006" w:rsidRPr="00DD0E75" w:rsidRDefault="001F3006">
      <w:pPr>
        <w:pStyle w:val="Textonotapie"/>
      </w:pPr>
      <w:r w:rsidRPr="00DD0E75">
        <w:rPr>
          <w:rStyle w:val="Refdenotaalpie"/>
        </w:rPr>
        <w:footnoteRef/>
      </w:r>
      <w:r w:rsidRPr="00DD0E75">
        <w:t xml:space="preserve"> Ver Corte Constitucional, Auto 373 de 2016.</w:t>
      </w:r>
    </w:p>
  </w:footnote>
  <w:footnote w:id="454">
    <w:p w14:paraId="78AB47C5" w14:textId="77777777" w:rsidR="001F3006" w:rsidRPr="00FA75D7" w:rsidRDefault="001F3006" w:rsidP="009B477F">
      <w:pPr>
        <w:pStyle w:val="Textonotapie"/>
        <w:rPr>
          <w:lang w:val="es-ES"/>
        </w:rPr>
      </w:pPr>
      <w:r w:rsidRPr="00DD0E75">
        <w:rPr>
          <w:rStyle w:val="Refdenotaalpie"/>
        </w:rPr>
        <w:footnoteRef/>
      </w:r>
      <w:r w:rsidRPr="00DD0E75">
        <w:t xml:space="preserve"> Literales l y ll del artículo 38 de la LEEE.</w:t>
      </w:r>
    </w:p>
  </w:footnote>
  <w:footnote w:id="455">
    <w:p w14:paraId="5659313B" w14:textId="77777777" w:rsidR="001F3006" w:rsidRPr="0074789B" w:rsidRDefault="001F3006" w:rsidP="00C454A1">
      <w:pPr>
        <w:pStyle w:val="Textonotapie"/>
        <w:rPr>
          <w:lang w:val="es-MX"/>
        </w:rPr>
      </w:pPr>
      <w:r w:rsidRPr="007E420E">
        <w:rPr>
          <w:rStyle w:val="Refdenotaalpie"/>
        </w:rPr>
        <w:footnoteRef/>
      </w:r>
      <w:r w:rsidRPr="007E420E">
        <w:rPr>
          <w:lang w:val="es-ES"/>
        </w:rPr>
        <w:t xml:space="preserve"> </w:t>
      </w:r>
      <w:r w:rsidRPr="007E420E">
        <w:rPr>
          <w:b/>
          <w:bCs/>
          <w:lang w:val="es-MX"/>
        </w:rPr>
        <w:t>NOTA: este documento contiene el resumen de información reservada.</w:t>
      </w:r>
      <w:r>
        <w:rPr>
          <w:lang w:val="es-MX"/>
        </w:rPr>
        <w:t xml:space="preserve"> </w:t>
      </w:r>
    </w:p>
  </w:footnote>
  <w:footnote w:id="456">
    <w:p w14:paraId="36C278CE" w14:textId="77777777" w:rsidR="001F3006" w:rsidRPr="00606E01" w:rsidRDefault="001F3006" w:rsidP="00C454A1">
      <w:pPr>
        <w:pStyle w:val="Textonotapie"/>
      </w:pPr>
      <w:r w:rsidRPr="00606E01">
        <w:rPr>
          <w:rStyle w:val="Refdenotaalpie"/>
        </w:rPr>
        <w:footnoteRef/>
      </w:r>
      <w:r w:rsidRPr="00606E01">
        <w:t xml:space="preserve"> Expediente digital, archivo “Respuesta DAPRE I.pdf”, p. 3. </w:t>
      </w:r>
      <w:r w:rsidRPr="00606E01">
        <w:rPr>
          <w:i/>
        </w:rPr>
        <w:t>Cfr</w:t>
      </w:r>
      <w:r w:rsidRPr="00606E01">
        <w:t xml:space="preserve">. Expediente digital, archivo “RE-361 Anexos 1 al 10 Respuesta al OPC-020 de 2025 - Presidencia de la República”, </w:t>
      </w:r>
      <w:r>
        <w:t>págs</w:t>
      </w:r>
      <w:r w:rsidRPr="00606E01">
        <w:t>. 2 y 3.</w:t>
      </w:r>
    </w:p>
  </w:footnote>
  <w:footnote w:id="457">
    <w:p w14:paraId="5DA13E8A" w14:textId="77777777" w:rsidR="001F3006" w:rsidRPr="00606E01" w:rsidRDefault="001F3006" w:rsidP="00C454A1">
      <w:pPr>
        <w:pStyle w:val="Textonotapie"/>
      </w:pPr>
      <w:r w:rsidRPr="00606E01">
        <w:rPr>
          <w:rStyle w:val="Refdenotaalpie"/>
        </w:rPr>
        <w:footnoteRef/>
      </w:r>
      <w:r w:rsidRPr="00606E01">
        <w:t xml:space="preserve"> Ib. </w:t>
      </w:r>
      <w:r w:rsidRPr="00606E01">
        <w:rPr>
          <w:i/>
        </w:rPr>
        <w:t>Cfr</w:t>
      </w:r>
      <w:r w:rsidRPr="00606E01">
        <w:t>. Expediente digital, archivo “RE-361 Anexos 1 al 10 Respuesta al OPC-020 de 2025 - Presidencia de la República”, p</w:t>
      </w:r>
      <w:r>
        <w:t>ág</w:t>
      </w:r>
      <w:r w:rsidRPr="00606E01">
        <w:t>. 4.</w:t>
      </w:r>
    </w:p>
  </w:footnote>
  <w:footnote w:id="458">
    <w:p w14:paraId="0DE92DD2" w14:textId="77777777" w:rsidR="001F3006" w:rsidRPr="00606E01" w:rsidRDefault="001F3006" w:rsidP="00C454A1">
      <w:pPr>
        <w:pStyle w:val="Textonotapie"/>
      </w:pPr>
      <w:r w:rsidRPr="00606E01">
        <w:rPr>
          <w:rStyle w:val="Refdenotaalpie"/>
        </w:rPr>
        <w:footnoteRef/>
      </w:r>
      <w:r w:rsidRPr="00606E01">
        <w:t xml:space="preserve"> Ib. </w:t>
      </w:r>
      <w:r w:rsidRPr="00606E01">
        <w:rPr>
          <w:i/>
        </w:rPr>
        <w:t>Cfr</w:t>
      </w:r>
      <w:r w:rsidRPr="00606E01">
        <w:t>. Expediente digital, archivo “RE-361 Anexos 1 al 10 Respuesta al OPC-020 de 2025 - Presidencia de la República”, p</w:t>
      </w:r>
      <w:r>
        <w:t>ág</w:t>
      </w:r>
      <w:r w:rsidRPr="00606E01">
        <w:t>. 5 a 7.</w:t>
      </w:r>
    </w:p>
  </w:footnote>
  <w:footnote w:id="459">
    <w:p w14:paraId="458F842A" w14:textId="77777777" w:rsidR="001F3006" w:rsidRPr="00606E01" w:rsidRDefault="001F3006" w:rsidP="00C454A1">
      <w:pPr>
        <w:pStyle w:val="Textonotapie"/>
      </w:pPr>
      <w:r w:rsidRPr="00606E01">
        <w:rPr>
          <w:rStyle w:val="Refdenotaalpie"/>
        </w:rPr>
        <w:footnoteRef/>
      </w:r>
      <w:r w:rsidRPr="00606E01">
        <w:t xml:space="preserve"> Ib. </w:t>
      </w:r>
      <w:r w:rsidRPr="00606E01">
        <w:rPr>
          <w:i/>
        </w:rPr>
        <w:t>Cfr</w:t>
      </w:r>
      <w:r w:rsidRPr="00606E01">
        <w:t xml:space="preserve">. </w:t>
      </w:r>
      <w:r w:rsidRPr="00606E01">
        <w:rPr>
          <w:i/>
        </w:rPr>
        <w:t>Cfr</w:t>
      </w:r>
      <w:r w:rsidRPr="00606E01">
        <w:t>. Expediente digital, archivo “RE-361 Anexos 1 al 10 Respuesta al OPC-020 de 2025 - Presidencia de la República”, p</w:t>
      </w:r>
      <w:r>
        <w:t>ágs</w:t>
      </w:r>
      <w:r w:rsidRPr="00606E01">
        <w:t>. 8 a 10.</w:t>
      </w:r>
    </w:p>
  </w:footnote>
  <w:footnote w:id="460">
    <w:p w14:paraId="2DCE25E9" w14:textId="77777777" w:rsidR="001F3006" w:rsidRPr="00606E01" w:rsidRDefault="001F3006" w:rsidP="00C454A1">
      <w:pPr>
        <w:spacing w:line="276" w:lineRule="auto"/>
        <w:rPr>
          <w:rFonts w:cs="Times New Roman"/>
          <w:sz w:val="20"/>
          <w:szCs w:val="20"/>
        </w:rPr>
      </w:pPr>
      <w:r w:rsidRPr="00606E01">
        <w:rPr>
          <w:rStyle w:val="Refdenotaalpie"/>
          <w:rFonts w:cs="Times New Roman"/>
          <w:sz w:val="20"/>
          <w:szCs w:val="20"/>
        </w:rPr>
        <w:footnoteRef/>
      </w:r>
      <w:r w:rsidRPr="00606E01">
        <w:rPr>
          <w:rFonts w:cs="Times New Roman"/>
          <w:sz w:val="20"/>
          <w:szCs w:val="20"/>
        </w:rPr>
        <w:t xml:space="preserve"> </w:t>
      </w:r>
      <w:r w:rsidRPr="00606E01">
        <w:rPr>
          <w:rFonts w:eastAsia="Times New Roman" w:cs="Times New Roman"/>
          <w:sz w:val="20"/>
          <w:szCs w:val="20"/>
        </w:rPr>
        <w:t xml:space="preserve">Ib., </w:t>
      </w:r>
      <w:r w:rsidRPr="00606E01">
        <w:rPr>
          <w:rFonts w:eastAsia="Times New Roman" w:cs="Times New Roman"/>
          <w:i/>
          <w:sz w:val="20"/>
          <w:szCs w:val="20"/>
        </w:rPr>
        <w:t>Cfr</w:t>
      </w:r>
      <w:r w:rsidRPr="00606E01">
        <w:rPr>
          <w:rFonts w:eastAsia="Times New Roman" w:cs="Times New Roman"/>
          <w:sz w:val="20"/>
          <w:szCs w:val="20"/>
        </w:rPr>
        <w:t>. Expediente digital, archivos “RE-361 Anexos 1 al 10 Respuesta al OPC-020 de 2025 - Presidencia de la República”, p</w:t>
      </w:r>
      <w:r>
        <w:rPr>
          <w:rFonts w:eastAsia="Times New Roman" w:cs="Times New Roman"/>
          <w:sz w:val="20"/>
          <w:szCs w:val="20"/>
        </w:rPr>
        <w:t>ágs</w:t>
      </w:r>
      <w:r w:rsidRPr="00606E01">
        <w:rPr>
          <w:rFonts w:eastAsia="Times New Roman" w:cs="Times New Roman"/>
          <w:sz w:val="20"/>
          <w:szCs w:val="20"/>
        </w:rPr>
        <w:t>. 55 y 56., y “RE-361.Anexos 11 al 20 Respuesta al OPC-020 de 2025 - Presidencia de la República. Algunos documentos reservados”, p</w:t>
      </w:r>
      <w:r>
        <w:rPr>
          <w:rFonts w:eastAsia="Times New Roman" w:cs="Times New Roman"/>
          <w:sz w:val="20"/>
          <w:szCs w:val="20"/>
        </w:rPr>
        <w:t>ágs</w:t>
      </w:r>
      <w:r w:rsidRPr="00606E01">
        <w:rPr>
          <w:rFonts w:eastAsia="Times New Roman" w:cs="Times New Roman"/>
          <w:sz w:val="20"/>
          <w:szCs w:val="20"/>
        </w:rPr>
        <w:t>. 2 a 5.</w:t>
      </w:r>
    </w:p>
  </w:footnote>
  <w:footnote w:id="461">
    <w:p w14:paraId="58912FA3" w14:textId="77777777" w:rsidR="001F3006" w:rsidRPr="00606E01" w:rsidRDefault="001F3006" w:rsidP="00C454A1">
      <w:pPr>
        <w:pStyle w:val="Textonotapie"/>
      </w:pPr>
      <w:r w:rsidRPr="00606E01">
        <w:rPr>
          <w:rStyle w:val="Refdenotaalpie"/>
        </w:rPr>
        <w:footnoteRef/>
      </w:r>
      <w:r w:rsidRPr="00606E01">
        <w:t xml:space="preserve"> Ib., </w:t>
      </w:r>
      <w:r w:rsidRPr="00606E01">
        <w:rPr>
          <w:i/>
        </w:rPr>
        <w:t>Cfr</w:t>
      </w:r>
      <w:r w:rsidRPr="00606E01">
        <w:t>. Expediente digital, archivo “RE-361.Anexos 11 al 20 Respuesta al OPC-020 de 2025 - Presidencia de la República. Algunos documentos reservados”, p</w:t>
      </w:r>
      <w:r>
        <w:t>ág</w:t>
      </w:r>
      <w:r w:rsidRPr="00606E01">
        <w:t>. 2.</w:t>
      </w:r>
    </w:p>
  </w:footnote>
  <w:footnote w:id="462">
    <w:p w14:paraId="54DD71CE" w14:textId="77777777" w:rsidR="001F3006" w:rsidRPr="00606E01" w:rsidRDefault="001F3006" w:rsidP="00C454A1">
      <w:pPr>
        <w:pStyle w:val="Textonotapie"/>
      </w:pPr>
      <w:r w:rsidRPr="00606E01">
        <w:rPr>
          <w:rStyle w:val="Refdenotaalpie"/>
        </w:rPr>
        <w:footnoteRef/>
      </w:r>
      <w:r w:rsidRPr="00606E01">
        <w:t xml:space="preserve"> Ib., p. 4. </w:t>
      </w:r>
      <w:r w:rsidRPr="00606E01">
        <w:rPr>
          <w:i/>
        </w:rPr>
        <w:t>Cfr</w:t>
      </w:r>
      <w:r w:rsidRPr="00606E01">
        <w:t>. Expediente digital, archivo “RE-361 Anexos 1 al 10 Respuesta al OPC-020 de 2025 - Presidencia de la República”, p</w:t>
      </w:r>
      <w:r>
        <w:t>ágs</w:t>
      </w:r>
      <w:r w:rsidRPr="00606E01">
        <w:t>. 11, 50 y 51</w:t>
      </w:r>
    </w:p>
  </w:footnote>
  <w:footnote w:id="463">
    <w:p w14:paraId="4E63D3C3" w14:textId="77777777" w:rsidR="001F3006" w:rsidRPr="00606E01" w:rsidRDefault="001F3006" w:rsidP="00C454A1">
      <w:pPr>
        <w:pStyle w:val="Textonotapie"/>
      </w:pPr>
      <w:r w:rsidRPr="00606E01">
        <w:rPr>
          <w:rStyle w:val="Refdenotaalpie"/>
        </w:rPr>
        <w:footnoteRef/>
      </w:r>
      <w:r w:rsidRPr="00606E01">
        <w:t xml:space="preserve"> Ib. </w:t>
      </w:r>
      <w:r w:rsidRPr="00606E01">
        <w:rPr>
          <w:i/>
        </w:rPr>
        <w:t>Cfr</w:t>
      </w:r>
      <w:r w:rsidRPr="00606E01">
        <w:t>. Expediente digital, archivo “RE-361 Anexos 1 al 10 Respuesta al OPC-020 de 2025 - Presidencia de la República”, p</w:t>
      </w:r>
      <w:r>
        <w:t>ágs</w:t>
      </w:r>
      <w:r w:rsidRPr="00606E01">
        <w:t>. 52 y 53.</w:t>
      </w:r>
    </w:p>
  </w:footnote>
  <w:footnote w:id="464">
    <w:p w14:paraId="66BFB734"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Expediente digital, archivo “RE-361.Anexos 11 al 20 Respuesta al OPC-020 de 2025 - Presidencia de la República. Algunos documentos reservados” p. 6. </w:t>
      </w:r>
      <w:r w:rsidRPr="00606E01">
        <w:rPr>
          <w:i/>
          <w:iCs/>
          <w:lang w:val="es-ES"/>
        </w:rPr>
        <w:t>Cfr</w:t>
      </w:r>
      <w:r w:rsidRPr="00606E01">
        <w:rPr>
          <w:lang w:val="es-ES"/>
        </w:rPr>
        <w:t xml:space="preserve">. Expediente digital, archivo “RE0000361-Pruebas del Expediente (Recepción y Paso al </w:t>
      </w:r>
      <w:proofErr w:type="gramStart"/>
      <w:r w:rsidRPr="00606E01">
        <w:rPr>
          <w:lang w:val="es-ES"/>
        </w:rPr>
        <w:t>Despacho)-(</w:t>
      </w:r>
      <w:proofErr w:type="gramEnd"/>
      <w:r w:rsidRPr="00606E01">
        <w:rPr>
          <w:lang w:val="es-ES"/>
        </w:rPr>
        <w:t>2025-02-10 20-04-50).</w:t>
      </w:r>
      <w:proofErr w:type="spellStart"/>
      <w:r w:rsidRPr="00606E01">
        <w:rPr>
          <w:lang w:val="es-ES"/>
        </w:rPr>
        <w:t>pdf</w:t>
      </w:r>
      <w:proofErr w:type="spellEnd"/>
      <w:r w:rsidRPr="00606E01">
        <w:rPr>
          <w:lang w:val="es-ES"/>
        </w:rPr>
        <w:t>”, p. 6.</w:t>
      </w:r>
    </w:p>
  </w:footnote>
  <w:footnote w:id="465">
    <w:p w14:paraId="63E43E26"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w:t>
      </w:r>
      <w:r w:rsidRPr="005F517E">
        <w:rPr>
          <w:lang w:val="es-ES"/>
        </w:rPr>
        <w:t>I</w:t>
      </w:r>
      <w:r>
        <w:rPr>
          <w:lang w:val="es-ES"/>
        </w:rPr>
        <w:t>b</w:t>
      </w:r>
      <w:r w:rsidRPr="00606E01">
        <w:rPr>
          <w:lang w:val="es-ES"/>
        </w:rPr>
        <w:t>.</w:t>
      </w:r>
    </w:p>
  </w:footnote>
  <w:footnote w:id="466">
    <w:p w14:paraId="46312619" w14:textId="77777777" w:rsidR="001F3006" w:rsidRPr="00606E01" w:rsidRDefault="001F3006" w:rsidP="00C454A1">
      <w:pPr>
        <w:pStyle w:val="Textonotapie"/>
      </w:pPr>
      <w:r w:rsidRPr="00606E01">
        <w:rPr>
          <w:rStyle w:val="Refdenotaalpie"/>
        </w:rPr>
        <w:footnoteRef/>
      </w:r>
      <w:r w:rsidRPr="00606E01">
        <w:t xml:space="preserve"> Ib.</w:t>
      </w:r>
    </w:p>
  </w:footnote>
  <w:footnote w:id="467">
    <w:p w14:paraId="668F754E" w14:textId="77777777" w:rsidR="001F3006" w:rsidRPr="00606E01" w:rsidRDefault="001F3006" w:rsidP="00C454A1">
      <w:pPr>
        <w:pStyle w:val="Textonotapie"/>
      </w:pPr>
      <w:r w:rsidRPr="00606E01">
        <w:rPr>
          <w:rStyle w:val="Refdenotaalpie"/>
        </w:rPr>
        <w:footnoteRef/>
      </w:r>
      <w:r w:rsidRPr="00606E01">
        <w:t xml:space="preserve"> Ib.</w:t>
      </w:r>
      <w:r w:rsidRPr="00606E01">
        <w:rPr>
          <w:i/>
        </w:rPr>
        <w:t xml:space="preserve"> Cfr</w:t>
      </w:r>
      <w:r w:rsidRPr="00606E01">
        <w:t xml:space="preserve">. Expediente digital, archivo “RE-361.Anexos 11 al 20 Respuesta al OPC-020 de 2025 - Presidencia de la República. Algunos documentos reservados”, </w:t>
      </w:r>
      <w:r>
        <w:t>págs.</w:t>
      </w:r>
      <w:r w:rsidRPr="00606E01">
        <w:t xml:space="preserve"> 8 y 9.</w:t>
      </w:r>
    </w:p>
  </w:footnote>
  <w:footnote w:id="468">
    <w:p w14:paraId="28942494" w14:textId="77777777" w:rsidR="001F3006" w:rsidRPr="00606E01" w:rsidRDefault="001F3006" w:rsidP="00C454A1">
      <w:pPr>
        <w:pStyle w:val="Textonotapie"/>
      </w:pPr>
      <w:r w:rsidRPr="00606E01">
        <w:rPr>
          <w:rStyle w:val="Refdenotaalpie"/>
        </w:rPr>
        <w:footnoteRef/>
      </w:r>
      <w:r w:rsidRPr="00606E01">
        <w:t xml:space="preserve"> Ib., </w:t>
      </w:r>
      <w:r w:rsidRPr="00606E01">
        <w:rPr>
          <w:i/>
        </w:rPr>
        <w:t>Cfr</w:t>
      </w:r>
      <w:r w:rsidRPr="00606E01">
        <w:t>. Expediente digital, archivo “RE-361.Anexos 11 al 20 Respuesta al OPC-020 de 2025 - Presidencia de la República. Algunos documentos reservados”, p</w:t>
      </w:r>
      <w:r>
        <w:t>ág</w:t>
      </w:r>
      <w:r w:rsidRPr="00606E01">
        <w:t>. 7.</w:t>
      </w:r>
    </w:p>
  </w:footnote>
  <w:footnote w:id="469">
    <w:p w14:paraId="564C032D" w14:textId="77777777" w:rsidR="001F3006" w:rsidRPr="00606E01" w:rsidRDefault="001F3006" w:rsidP="00C454A1">
      <w:pPr>
        <w:pStyle w:val="Textonotapie"/>
      </w:pPr>
      <w:r w:rsidRPr="00606E01">
        <w:rPr>
          <w:rStyle w:val="Refdenotaalpie"/>
        </w:rPr>
        <w:footnoteRef/>
      </w:r>
      <w:r w:rsidRPr="00606E01">
        <w:t xml:space="preserve"> Ib. </w:t>
      </w:r>
    </w:p>
  </w:footnote>
  <w:footnote w:id="470">
    <w:p w14:paraId="3D22C524" w14:textId="77777777" w:rsidR="001F3006" w:rsidRPr="00606E01" w:rsidRDefault="001F3006" w:rsidP="00C454A1">
      <w:pPr>
        <w:pStyle w:val="Textonotapie"/>
      </w:pPr>
      <w:r w:rsidRPr="00606E01">
        <w:rPr>
          <w:rStyle w:val="Refdenotaalpie"/>
        </w:rPr>
        <w:footnoteRef/>
      </w:r>
      <w:r w:rsidRPr="00606E01">
        <w:t xml:space="preserve"> Ib., p. 6. </w:t>
      </w:r>
      <w:r w:rsidRPr="00606E01">
        <w:rPr>
          <w:i/>
        </w:rPr>
        <w:t>Cfr</w:t>
      </w:r>
      <w:r w:rsidRPr="00606E01">
        <w:t>. Expediente digital, archivo “RE-361.Anexos 11 al 20 Respuesta al OPC-020 de 2025 - Presidencia de la República. Algunos documentos reservados”, p</w:t>
      </w:r>
      <w:r>
        <w:t>ág</w:t>
      </w:r>
      <w:r w:rsidRPr="00606E01">
        <w:t>. 9</w:t>
      </w:r>
    </w:p>
  </w:footnote>
  <w:footnote w:id="471">
    <w:p w14:paraId="79F1D037" w14:textId="77777777" w:rsidR="001F3006" w:rsidRPr="00606E01" w:rsidRDefault="001F3006" w:rsidP="00C454A1">
      <w:pPr>
        <w:pStyle w:val="Textonotapie"/>
      </w:pPr>
      <w:r w:rsidRPr="00606E01">
        <w:rPr>
          <w:rStyle w:val="Refdenotaalpie"/>
        </w:rPr>
        <w:footnoteRef/>
      </w:r>
      <w:r w:rsidRPr="00606E01">
        <w:t xml:space="preserve"> </w:t>
      </w:r>
      <w:r w:rsidRPr="00606E01">
        <w:rPr>
          <w:rFonts w:eastAsia="Aptos"/>
        </w:rPr>
        <w:t xml:space="preserve">Ib. </w:t>
      </w:r>
      <w:r w:rsidRPr="00606E01">
        <w:rPr>
          <w:i/>
        </w:rPr>
        <w:t>Cfr</w:t>
      </w:r>
      <w:r w:rsidRPr="00606E01">
        <w:t>. Expediente digital, archivo “RE-361.Anexos 11 al 20 Respuesta al OPC-020 de 2025 - Presidencia de la República. Algunos documentos reservados”, p</w:t>
      </w:r>
      <w:r>
        <w:t>ág</w:t>
      </w:r>
      <w:r w:rsidRPr="00606E01">
        <w:t>. 10</w:t>
      </w:r>
    </w:p>
  </w:footnote>
  <w:footnote w:id="472">
    <w:p w14:paraId="4CCDBB86" w14:textId="77777777" w:rsidR="001F3006" w:rsidRPr="00606E01" w:rsidRDefault="001F3006" w:rsidP="00C454A1">
      <w:pPr>
        <w:pStyle w:val="Textonotapie"/>
      </w:pPr>
      <w:r w:rsidRPr="00606E01">
        <w:rPr>
          <w:rStyle w:val="Refdenotaalpie"/>
        </w:rPr>
        <w:footnoteRef/>
      </w:r>
      <w:r w:rsidRPr="00606E01">
        <w:t xml:space="preserve"> </w:t>
      </w:r>
      <w:r w:rsidRPr="00606E01">
        <w:rPr>
          <w:rFonts w:eastAsia="Aptos"/>
        </w:rPr>
        <w:t xml:space="preserve">Ib. </w:t>
      </w:r>
      <w:r w:rsidRPr="00606E01">
        <w:rPr>
          <w:i/>
        </w:rPr>
        <w:t>Cfr</w:t>
      </w:r>
      <w:r w:rsidRPr="00606E01">
        <w:t>. Expediente digital, archivo “RE-361.Anexos 11 al 20 Respuesta al OPC-020 de 2025 - Presidencia de la República. Algunos documentos reservados”, p</w:t>
      </w:r>
      <w:r>
        <w:t>ágs</w:t>
      </w:r>
      <w:r w:rsidRPr="00606E01">
        <w:t>. 47 a 51.</w:t>
      </w:r>
    </w:p>
  </w:footnote>
  <w:footnote w:id="473">
    <w:p w14:paraId="0B9FF31A"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r w:rsidRPr="00606E01">
        <w:rPr>
          <w:i/>
          <w:iCs/>
          <w:lang w:val="es-ES_tradnl"/>
        </w:rPr>
        <w:t>Cfr</w:t>
      </w:r>
      <w:r w:rsidRPr="00606E01">
        <w:rPr>
          <w:lang w:val="es-ES_tradnl"/>
        </w:rPr>
        <w:t xml:space="preserve">. Expediente digital, archivo “RE-361.Anexos 11 al 20 Respuesta al OPC-020 de 2025 - Presidencia de la República. Algunos documentos reservados”, </w:t>
      </w:r>
      <w:r>
        <w:rPr>
          <w:lang w:val="es-ES_tradnl"/>
        </w:rPr>
        <w:t>págs</w:t>
      </w:r>
      <w:r w:rsidRPr="00606E01">
        <w:rPr>
          <w:lang w:val="es-ES_tradnl"/>
        </w:rPr>
        <w:t xml:space="preserve">. 64 a 72 y 86 a 94. </w:t>
      </w:r>
    </w:p>
  </w:footnote>
  <w:footnote w:id="474">
    <w:p w14:paraId="123DE3BF"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xml:space="preserve">. 70. </w:t>
      </w:r>
    </w:p>
  </w:footnote>
  <w:footnote w:id="475">
    <w:p w14:paraId="6B56CBCF"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r>
        <w:rPr>
          <w:lang w:val="es-ES_tradnl"/>
        </w:rPr>
        <w:t>págs</w:t>
      </w:r>
      <w:r w:rsidRPr="00606E01">
        <w:rPr>
          <w:lang w:val="es-ES_tradnl"/>
        </w:rPr>
        <w:t xml:space="preserve">. 11 a 17. </w:t>
      </w:r>
    </w:p>
  </w:footnote>
  <w:footnote w:id="476">
    <w:p w14:paraId="7BD5B197"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ágs</w:t>
      </w:r>
      <w:r w:rsidRPr="00606E01">
        <w:rPr>
          <w:lang w:val="es-ES_tradnl"/>
        </w:rPr>
        <w:t xml:space="preserve">. 17, 18 y 21. </w:t>
      </w:r>
    </w:p>
  </w:footnote>
  <w:footnote w:id="477">
    <w:p w14:paraId="500AF58D"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r>
        <w:rPr>
          <w:lang w:val="es-ES_tradnl"/>
        </w:rPr>
        <w:t>págs</w:t>
      </w:r>
      <w:r w:rsidRPr="00606E01">
        <w:rPr>
          <w:lang w:val="es-ES_tradnl"/>
        </w:rPr>
        <w:t xml:space="preserve">. 18 y 19. </w:t>
      </w:r>
    </w:p>
  </w:footnote>
  <w:footnote w:id="478">
    <w:p w14:paraId="4F7AFA43"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xml:space="preserve">. 19. </w:t>
      </w:r>
    </w:p>
  </w:footnote>
  <w:footnote w:id="479">
    <w:p w14:paraId="3BDFC697"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ágs</w:t>
      </w:r>
      <w:r w:rsidRPr="00606E01">
        <w:rPr>
          <w:lang w:val="es-ES_tradnl"/>
        </w:rPr>
        <w:t xml:space="preserve">. 19 y 20. </w:t>
      </w:r>
    </w:p>
  </w:footnote>
  <w:footnote w:id="480">
    <w:p w14:paraId="12D25810"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ágs</w:t>
      </w:r>
      <w:r w:rsidRPr="00606E01">
        <w:rPr>
          <w:lang w:val="es-ES_tradnl"/>
        </w:rPr>
        <w:t>. 20 y 21.</w:t>
      </w:r>
    </w:p>
  </w:footnote>
  <w:footnote w:id="481">
    <w:p w14:paraId="2A89230C"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7. </w:t>
      </w:r>
      <w:r w:rsidRPr="00606E01">
        <w:rPr>
          <w:i/>
          <w:iCs/>
          <w:lang w:val="es-ES_tradnl"/>
        </w:rPr>
        <w:t>Cfr</w:t>
      </w:r>
      <w:r w:rsidRPr="00606E01">
        <w:rPr>
          <w:lang w:val="es-ES_tradnl"/>
        </w:rPr>
        <w:t>. Expediente digital, archivo “RE-361.Anexos 11 al 20 Respuesta al OPC-020 de 2025 - Presidencia de la República. Algunos documentos reservados”, p</w:t>
      </w:r>
      <w:r>
        <w:rPr>
          <w:lang w:val="es-ES_tradnl"/>
        </w:rPr>
        <w:t>ágs</w:t>
      </w:r>
      <w:r w:rsidRPr="00606E01">
        <w:rPr>
          <w:lang w:val="es-ES_tradnl"/>
        </w:rPr>
        <w:t>. 74 y 75.</w:t>
      </w:r>
    </w:p>
  </w:footnote>
  <w:footnote w:id="482">
    <w:p w14:paraId="6A1256E7"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p>
  </w:footnote>
  <w:footnote w:id="483">
    <w:p w14:paraId="5C9CCA10"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w:t>
      </w:r>
    </w:p>
  </w:footnote>
  <w:footnote w:id="484">
    <w:p w14:paraId="0600A21B"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75.</w:t>
      </w:r>
    </w:p>
  </w:footnote>
  <w:footnote w:id="485">
    <w:p w14:paraId="61579490"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w:t>
      </w:r>
    </w:p>
  </w:footnote>
  <w:footnote w:id="486">
    <w:p w14:paraId="77EB3F56"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xml:space="preserve">. 76. </w:t>
      </w:r>
    </w:p>
  </w:footnote>
  <w:footnote w:id="487">
    <w:p w14:paraId="16E9BD15"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78.</w:t>
      </w:r>
    </w:p>
  </w:footnote>
  <w:footnote w:id="488">
    <w:p w14:paraId="20078567"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p>
  </w:footnote>
  <w:footnote w:id="489">
    <w:p w14:paraId="5B9591CA"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w:t>
      </w:r>
    </w:p>
  </w:footnote>
  <w:footnote w:id="490">
    <w:p w14:paraId="1406D644"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r>
        <w:rPr>
          <w:lang w:val="es-ES_tradnl"/>
        </w:rPr>
        <w:t>pág</w:t>
      </w:r>
      <w:r w:rsidRPr="00606E01">
        <w:rPr>
          <w:lang w:val="es-ES_tradnl"/>
        </w:rPr>
        <w:t>. 76.</w:t>
      </w:r>
    </w:p>
  </w:footnote>
  <w:footnote w:id="491">
    <w:p w14:paraId="6556A70C"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xml:space="preserve">. 7. </w:t>
      </w:r>
      <w:r w:rsidRPr="00606E01">
        <w:rPr>
          <w:i/>
          <w:iCs/>
          <w:lang w:val="es-ES_tradnl"/>
        </w:rPr>
        <w:t>Cfr</w:t>
      </w:r>
      <w:r w:rsidRPr="00606E01">
        <w:rPr>
          <w:lang w:val="es-ES_tradnl"/>
        </w:rPr>
        <w:t>. Expediente digital, archivo “RE-361.Anexos 11 al 20 Respuesta al OPC-020 de 2025 - Presidencia de la República. Algunos documentos reservados”, p</w:t>
      </w:r>
      <w:r>
        <w:rPr>
          <w:lang w:val="es-ES_tradnl"/>
        </w:rPr>
        <w:t>ágs</w:t>
      </w:r>
      <w:r w:rsidRPr="00606E01">
        <w:rPr>
          <w:lang w:val="es-ES_tradnl"/>
        </w:rPr>
        <w:t>. 89 y 90.</w:t>
      </w:r>
    </w:p>
  </w:footnote>
  <w:footnote w:id="492">
    <w:p w14:paraId="485367FA"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ágs</w:t>
      </w:r>
      <w:r w:rsidRPr="00606E01">
        <w:rPr>
          <w:lang w:val="es-ES_tradnl"/>
        </w:rPr>
        <w:t>. 90 a 94.</w:t>
      </w:r>
    </w:p>
  </w:footnote>
  <w:footnote w:id="493">
    <w:p w14:paraId="42C8BBE2" w14:textId="77777777" w:rsidR="001F3006" w:rsidRPr="00606E01" w:rsidRDefault="001F3006" w:rsidP="00C454A1">
      <w:pPr>
        <w:pStyle w:val="Textonotapie"/>
        <w:rPr>
          <w:lang w:val="es-ES"/>
        </w:rPr>
      </w:pPr>
      <w:r w:rsidRPr="00606E01">
        <w:rPr>
          <w:rStyle w:val="Refdenotaalpie"/>
        </w:rPr>
        <w:footnoteRef/>
      </w:r>
      <w:r w:rsidRPr="00606E01">
        <w:t xml:space="preserve"> </w:t>
      </w:r>
      <w:r w:rsidRPr="00606E01">
        <w:rPr>
          <w:lang w:val="es-ES"/>
        </w:rPr>
        <w:t xml:space="preserve">Ib., </w:t>
      </w:r>
      <w:r>
        <w:rPr>
          <w:lang w:val="es-ES"/>
        </w:rPr>
        <w:t>págs.</w:t>
      </w:r>
      <w:r w:rsidRPr="00606E01">
        <w:rPr>
          <w:lang w:val="es-ES"/>
        </w:rPr>
        <w:t xml:space="preserve"> 7 y 8. </w:t>
      </w:r>
      <w:r w:rsidRPr="00606E01">
        <w:rPr>
          <w:i/>
          <w:iCs/>
          <w:lang w:val="es-ES"/>
        </w:rPr>
        <w:t>Cfr</w:t>
      </w:r>
      <w:r w:rsidRPr="00606E01">
        <w:rPr>
          <w:lang w:val="es-ES"/>
        </w:rPr>
        <w:t>. Expediente digital, archivo “RE-361.Anexos 11 al 20 Respuesta al OPC-020 de 2025 - Presidencia de la República. Algunos documentos reservados”, p. 23</w:t>
      </w:r>
    </w:p>
  </w:footnote>
  <w:footnote w:id="494">
    <w:p w14:paraId="29DCB3AE"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Ib.</w:t>
      </w:r>
      <w:proofErr w:type="gramStart"/>
      <w:r w:rsidRPr="00606E01">
        <w:rPr>
          <w:lang w:val="es-ES"/>
        </w:rPr>
        <w:t>, .</w:t>
      </w:r>
      <w:proofErr w:type="gramEnd"/>
      <w:r w:rsidRPr="00606E01">
        <w:rPr>
          <w:lang w:val="es-ES"/>
        </w:rPr>
        <w:t xml:space="preserve">, </w:t>
      </w:r>
      <w:r>
        <w:rPr>
          <w:lang w:val="es-ES"/>
        </w:rPr>
        <w:t>págs.</w:t>
      </w:r>
      <w:r w:rsidRPr="00606E01">
        <w:rPr>
          <w:lang w:val="es-ES"/>
        </w:rPr>
        <w:t xml:space="preserve"> 7 y 8. </w:t>
      </w:r>
      <w:r w:rsidRPr="00606E01">
        <w:rPr>
          <w:i/>
          <w:iCs/>
          <w:lang w:val="es-ES"/>
        </w:rPr>
        <w:t>Cfr</w:t>
      </w:r>
      <w:r w:rsidRPr="00606E01">
        <w:rPr>
          <w:lang w:val="es-ES"/>
        </w:rPr>
        <w:t xml:space="preserve">. Expediente digital, archivo “RE-361.Anexos 11 al 20 Respuesta al OPC-020 de 2025 - Presidencia de la República. Algunos documentos reservados”, </w:t>
      </w:r>
      <w:r>
        <w:rPr>
          <w:lang w:val="es-ES"/>
        </w:rPr>
        <w:t>págs.</w:t>
      </w:r>
      <w:r w:rsidRPr="00606E01">
        <w:rPr>
          <w:lang w:val="es-ES"/>
        </w:rPr>
        <w:t xml:space="preserve"> 22 a 25.</w:t>
      </w:r>
    </w:p>
  </w:footnote>
  <w:footnote w:id="495">
    <w:p w14:paraId="12E5E73E" w14:textId="77777777" w:rsidR="001F3006" w:rsidRPr="00606E01" w:rsidRDefault="001F3006" w:rsidP="00C454A1">
      <w:pPr>
        <w:pStyle w:val="Textonotapie"/>
      </w:pPr>
      <w:r w:rsidRPr="00606E01">
        <w:rPr>
          <w:rStyle w:val="Refdenotaalpie"/>
        </w:rPr>
        <w:footnoteRef/>
      </w:r>
      <w:r w:rsidRPr="00606E01">
        <w:t xml:space="preserve"> Ib. </w:t>
      </w:r>
      <w:r w:rsidRPr="00606E01">
        <w:rPr>
          <w:i/>
        </w:rPr>
        <w:t>Cfr</w:t>
      </w:r>
      <w:r w:rsidRPr="00606E01">
        <w:t>. Expediente digital, archivo “RE-361.Anexos 11 al 20 Respuesta al OPC-020 de 2025 - Presidencia de la República. Algunos documentos reservados”, p. 25.</w:t>
      </w:r>
    </w:p>
  </w:footnote>
  <w:footnote w:id="496">
    <w:p w14:paraId="18E4DE83" w14:textId="77777777" w:rsidR="001F3006" w:rsidRPr="00606E01" w:rsidRDefault="001F3006" w:rsidP="00C454A1">
      <w:pPr>
        <w:pStyle w:val="Textonotapie"/>
      </w:pPr>
      <w:r w:rsidRPr="00606E01">
        <w:rPr>
          <w:rStyle w:val="Refdenotaalpie"/>
        </w:rPr>
        <w:footnoteRef/>
      </w:r>
      <w:r w:rsidRPr="00606E01">
        <w:t xml:space="preserve"> Ib. </w:t>
      </w:r>
    </w:p>
  </w:footnote>
  <w:footnote w:id="497">
    <w:p w14:paraId="1F3908C8" w14:textId="77777777" w:rsidR="001F3006" w:rsidRPr="00606E01" w:rsidRDefault="001F3006" w:rsidP="00C454A1">
      <w:pPr>
        <w:pStyle w:val="Textonotapie"/>
        <w:rPr>
          <w:lang w:val="es-ES"/>
        </w:rPr>
      </w:pPr>
      <w:r w:rsidRPr="00606E01">
        <w:rPr>
          <w:rStyle w:val="Refdenotaalpie"/>
        </w:rPr>
        <w:footnoteRef/>
      </w:r>
      <w:r w:rsidRPr="00606E01">
        <w:t xml:space="preserve"> </w:t>
      </w:r>
      <w:r w:rsidRPr="00606E01">
        <w:rPr>
          <w:lang w:val="es-ES"/>
        </w:rPr>
        <w:t xml:space="preserve">Ib. </w:t>
      </w:r>
      <w:r w:rsidRPr="00606E01">
        <w:rPr>
          <w:i/>
          <w:iCs/>
          <w:lang w:val="es-ES"/>
        </w:rPr>
        <w:t>Cfr</w:t>
      </w:r>
      <w:r w:rsidRPr="00606E01">
        <w:rPr>
          <w:lang w:val="es-ES"/>
        </w:rPr>
        <w:t xml:space="preserve">. Expediente digital, archivo “RE-361.Anexos 11 al 20 Respuesta al OPC-020 de 2025 - Presidencia de la República. Algunos documentos reservados”, </w:t>
      </w:r>
      <w:r>
        <w:rPr>
          <w:lang w:val="es-ES"/>
        </w:rPr>
        <w:t>págs.</w:t>
      </w:r>
      <w:r w:rsidRPr="00606E01">
        <w:rPr>
          <w:lang w:val="es-ES"/>
        </w:rPr>
        <w:t xml:space="preserve"> 52 a 61.</w:t>
      </w:r>
    </w:p>
  </w:footnote>
  <w:footnote w:id="498">
    <w:p w14:paraId="6A12952E" w14:textId="77777777" w:rsidR="001F3006" w:rsidRPr="00606E01" w:rsidRDefault="001F3006" w:rsidP="00C454A1">
      <w:pPr>
        <w:pStyle w:val="Textonotapie"/>
      </w:pPr>
      <w:r w:rsidRPr="00606E01">
        <w:rPr>
          <w:rStyle w:val="Refdenotaalpie"/>
        </w:rPr>
        <w:footnoteRef/>
      </w:r>
      <w:r w:rsidRPr="00606E01">
        <w:t xml:space="preserve"> </w:t>
      </w:r>
      <w:r w:rsidRPr="00606E01">
        <w:rPr>
          <w:lang w:val="es-ES"/>
        </w:rPr>
        <w:t xml:space="preserve">Ib. </w:t>
      </w:r>
      <w:r w:rsidRPr="00606E01">
        <w:rPr>
          <w:i/>
          <w:iCs/>
          <w:lang w:val="es-ES"/>
        </w:rPr>
        <w:t>Cfr</w:t>
      </w:r>
      <w:r w:rsidRPr="00606E01">
        <w:rPr>
          <w:lang w:val="es-ES"/>
        </w:rPr>
        <w:t>. Expediente digital, archivo “RE-361.Anexos 11 al 20 Respuesta al OPC-020 de 2025 - Presidencia de la República. Algunos documentos reservados”, p</w:t>
      </w:r>
      <w:r>
        <w:rPr>
          <w:lang w:val="es-ES"/>
        </w:rPr>
        <w:t>ág</w:t>
      </w:r>
      <w:r w:rsidRPr="00606E01">
        <w:rPr>
          <w:lang w:val="es-ES"/>
        </w:rPr>
        <w:t>. 59.</w:t>
      </w:r>
    </w:p>
  </w:footnote>
  <w:footnote w:id="499">
    <w:p w14:paraId="65F1EC36" w14:textId="77777777" w:rsidR="001F3006" w:rsidRPr="00606E01" w:rsidRDefault="001F3006" w:rsidP="00C454A1">
      <w:pPr>
        <w:pStyle w:val="Textonotapie"/>
      </w:pPr>
      <w:r w:rsidRPr="00606E01">
        <w:rPr>
          <w:rStyle w:val="Refdenotaalpie"/>
        </w:rPr>
        <w:footnoteRef/>
      </w:r>
      <w:r w:rsidRPr="00606E01">
        <w:t xml:space="preserve"> </w:t>
      </w:r>
      <w:r w:rsidRPr="00606E01">
        <w:rPr>
          <w:lang w:val="es-ES"/>
        </w:rPr>
        <w:t xml:space="preserve">Ib. </w:t>
      </w:r>
      <w:r w:rsidRPr="00606E01">
        <w:rPr>
          <w:i/>
          <w:iCs/>
          <w:lang w:val="es-ES"/>
        </w:rPr>
        <w:t>Cfr</w:t>
      </w:r>
      <w:r w:rsidRPr="00606E01">
        <w:rPr>
          <w:lang w:val="es-ES"/>
        </w:rPr>
        <w:t>. Expediente digital, archivos “RE-361.Anexos 11 al 20 Respuesta al OPC-020 de 2025 - Presidencia de la República. Algunos documentos reservados”, p</w:t>
      </w:r>
      <w:r>
        <w:rPr>
          <w:lang w:val="es-ES"/>
        </w:rPr>
        <w:t>ágs</w:t>
      </w:r>
      <w:r w:rsidRPr="00606E01">
        <w:rPr>
          <w:lang w:val="es-ES"/>
        </w:rPr>
        <w:t>. 71 y 72, y “RE-361 Anexo 18. Archivo adjunto comunicación Director de Derechos Humanos Ministerio del Interior.xlsx”.</w:t>
      </w:r>
    </w:p>
  </w:footnote>
  <w:footnote w:id="500">
    <w:p w14:paraId="0CFFC00B"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Además, el Ministerio del Interior identificó líderes comunales, políticos, de víctimas, LGBTIQ+, sindicales, ambientales, indígenas, de ONG, de cultivos ilícitos y comunitarios, así como periodistas.</w:t>
      </w:r>
    </w:p>
  </w:footnote>
  <w:footnote w:id="501">
    <w:p w14:paraId="4A77131A" w14:textId="77777777" w:rsidR="001F3006" w:rsidRPr="00606E01" w:rsidRDefault="001F3006" w:rsidP="00C454A1">
      <w:pPr>
        <w:pStyle w:val="Textonotapie"/>
        <w:rPr>
          <w:lang w:val="es-ES"/>
        </w:rPr>
      </w:pPr>
      <w:r w:rsidRPr="00606E01">
        <w:rPr>
          <w:rStyle w:val="Refdenotaalpie"/>
        </w:rPr>
        <w:footnoteRef/>
      </w:r>
      <w:r w:rsidRPr="00606E01">
        <w:t xml:space="preserve"> </w:t>
      </w:r>
      <w:r w:rsidRPr="00606E01">
        <w:rPr>
          <w:lang w:val="es-ES"/>
        </w:rPr>
        <w:t>Ib., p</w:t>
      </w:r>
      <w:r>
        <w:rPr>
          <w:lang w:val="es-ES"/>
        </w:rPr>
        <w:t>ág</w:t>
      </w:r>
      <w:r w:rsidRPr="00606E01">
        <w:rPr>
          <w:lang w:val="es-ES"/>
        </w:rPr>
        <w:t>. 72.</w:t>
      </w:r>
    </w:p>
  </w:footnote>
  <w:footnote w:id="502">
    <w:p w14:paraId="5524B39F" w14:textId="77777777" w:rsidR="001F3006" w:rsidRPr="00606E01" w:rsidRDefault="001F3006" w:rsidP="00C454A1">
      <w:pPr>
        <w:pStyle w:val="Textonotapie"/>
        <w:rPr>
          <w:lang w:val="es-ES"/>
        </w:rPr>
      </w:pPr>
      <w:r w:rsidRPr="00606E01">
        <w:rPr>
          <w:rStyle w:val="Refdenotaalpie"/>
        </w:rPr>
        <w:footnoteRef/>
      </w:r>
      <w:r w:rsidRPr="00606E01">
        <w:t xml:space="preserve"> </w:t>
      </w:r>
      <w:r w:rsidRPr="00606E01">
        <w:rPr>
          <w:lang w:val="es-ES"/>
        </w:rPr>
        <w:t xml:space="preserve">Ib., p. 9. </w:t>
      </w:r>
      <w:r w:rsidRPr="00606E01">
        <w:rPr>
          <w:i/>
          <w:iCs/>
          <w:lang w:val="es-ES"/>
        </w:rPr>
        <w:t>Cfr</w:t>
      </w:r>
      <w:r w:rsidRPr="00606E01">
        <w:rPr>
          <w:lang w:val="es-ES"/>
        </w:rPr>
        <w:t>. Expediente digital, archivos “RE-361.Anexos 11 al 20 Respuesta al OPC-020 de 2025 - Presidencia de la República. Algunos documentos reservados”, p</w:t>
      </w:r>
      <w:r>
        <w:rPr>
          <w:lang w:val="es-ES"/>
        </w:rPr>
        <w:t>ágs</w:t>
      </w:r>
      <w:r w:rsidRPr="00606E01">
        <w:rPr>
          <w:lang w:val="es-ES"/>
        </w:rPr>
        <w:t>. 326 a 331.</w:t>
      </w:r>
    </w:p>
  </w:footnote>
  <w:footnote w:id="503">
    <w:p w14:paraId="7C0BB92B" w14:textId="77777777" w:rsidR="001F3006" w:rsidRPr="00606E01" w:rsidRDefault="001F3006" w:rsidP="00C454A1">
      <w:pPr>
        <w:pStyle w:val="Textonotapie"/>
        <w:rPr>
          <w:lang w:val="es-ES"/>
        </w:rPr>
      </w:pPr>
      <w:r w:rsidRPr="00606E01">
        <w:rPr>
          <w:rStyle w:val="Refdenotaalpie"/>
        </w:rPr>
        <w:footnoteRef/>
      </w:r>
      <w:r w:rsidRPr="00606E01">
        <w:t xml:space="preserve"> </w:t>
      </w:r>
      <w:r w:rsidRPr="00606E01">
        <w:rPr>
          <w:lang w:val="es-ES"/>
        </w:rPr>
        <w:t>Esta información fue actualizada el 24 de enero de 2025. Ib., p</w:t>
      </w:r>
      <w:r>
        <w:rPr>
          <w:lang w:val="es-ES"/>
        </w:rPr>
        <w:t>ág</w:t>
      </w:r>
      <w:r w:rsidRPr="00606E01">
        <w:rPr>
          <w:lang w:val="es-ES"/>
        </w:rPr>
        <w:t>. 328.</w:t>
      </w:r>
    </w:p>
  </w:footnote>
  <w:footnote w:id="504">
    <w:p w14:paraId="68CBA1BA" w14:textId="77777777" w:rsidR="001F3006" w:rsidRPr="00606E01" w:rsidRDefault="001F3006" w:rsidP="00C454A1">
      <w:pPr>
        <w:pStyle w:val="Textonotapie"/>
      </w:pPr>
      <w:r w:rsidRPr="00606E01">
        <w:rPr>
          <w:rStyle w:val="Refdenotaalpie"/>
          <w:lang w:val="es-ES"/>
        </w:rPr>
        <w:footnoteRef/>
      </w:r>
      <w:r w:rsidRPr="00606E01">
        <w:rPr>
          <w:lang w:val="es-ES"/>
        </w:rPr>
        <w:t xml:space="preserve"> Ib., p</w:t>
      </w:r>
      <w:r>
        <w:rPr>
          <w:lang w:val="es-ES"/>
        </w:rPr>
        <w:t>ág</w:t>
      </w:r>
      <w:r w:rsidRPr="00606E01">
        <w:rPr>
          <w:lang w:val="es-ES"/>
        </w:rPr>
        <w:t>. 329.</w:t>
      </w:r>
    </w:p>
  </w:footnote>
  <w:footnote w:id="505">
    <w:p w14:paraId="67084731" w14:textId="77777777" w:rsidR="001F3006" w:rsidRPr="00606E01" w:rsidRDefault="001F3006" w:rsidP="00C454A1">
      <w:pPr>
        <w:pStyle w:val="Textonotapie"/>
        <w:rPr>
          <w:lang w:val="es-ES"/>
        </w:rPr>
      </w:pPr>
      <w:r w:rsidRPr="00606E01">
        <w:rPr>
          <w:rStyle w:val="Refdenotaalpie"/>
        </w:rPr>
        <w:footnoteRef/>
      </w:r>
      <w:r w:rsidRPr="00606E01">
        <w:t xml:space="preserve"> </w:t>
      </w:r>
      <w:r w:rsidRPr="00606E01">
        <w:rPr>
          <w:lang w:val="es-ES"/>
        </w:rPr>
        <w:t>Esta información fue actualizada el 28 de diciembre de 2024. Ib., p</w:t>
      </w:r>
      <w:r>
        <w:rPr>
          <w:lang w:val="es-ES"/>
        </w:rPr>
        <w:t>ág</w:t>
      </w:r>
      <w:r w:rsidRPr="00606E01">
        <w:rPr>
          <w:lang w:val="es-ES"/>
        </w:rPr>
        <w:t>. 330.</w:t>
      </w:r>
    </w:p>
  </w:footnote>
  <w:footnote w:id="506">
    <w:p w14:paraId="43A00ED9" w14:textId="77777777" w:rsidR="001F3006" w:rsidRPr="00606E01" w:rsidRDefault="001F3006" w:rsidP="00C454A1">
      <w:pPr>
        <w:pStyle w:val="Textonotapie"/>
      </w:pPr>
      <w:r w:rsidRPr="00606E01">
        <w:rPr>
          <w:rStyle w:val="Refdenotaalpie"/>
        </w:rPr>
        <w:footnoteRef/>
      </w:r>
      <w:r w:rsidRPr="00606E01">
        <w:t xml:space="preserve"> </w:t>
      </w:r>
      <w:r w:rsidRPr="00606E01">
        <w:rPr>
          <w:lang w:val="es-ES"/>
        </w:rPr>
        <w:t>Ib., p</w:t>
      </w:r>
      <w:r>
        <w:rPr>
          <w:lang w:val="es-ES"/>
        </w:rPr>
        <w:t>ág</w:t>
      </w:r>
      <w:r w:rsidRPr="00606E01">
        <w:rPr>
          <w:lang w:val="es-ES"/>
        </w:rPr>
        <w:t>. 331.</w:t>
      </w:r>
    </w:p>
  </w:footnote>
  <w:footnote w:id="507">
    <w:p w14:paraId="6E6671D2" w14:textId="77777777" w:rsidR="001F3006" w:rsidRPr="00606E01" w:rsidRDefault="001F3006" w:rsidP="00C454A1">
      <w:pPr>
        <w:pStyle w:val="Textonotapie"/>
        <w:rPr>
          <w:lang w:val="es-ES"/>
        </w:rPr>
      </w:pPr>
      <w:r w:rsidRPr="00606E01">
        <w:rPr>
          <w:rStyle w:val="Refdenotaalpie"/>
        </w:rPr>
        <w:footnoteRef/>
      </w:r>
      <w:r w:rsidRPr="00606E01">
        <w:t xml:space="preserve"> </w:t>
      </w:r>
      <w:r w:rsidRPr="00606E01">
        <w:rPr>
          <w:lang w:val="es-ES"/>
        </w:rPr>
        <w:t xml:space="preserve">Esta información fue actualizada el 24 de enero de 2025. Ib., </w:t>
      </w:r>
      <w:r>
        <w:rPr>
          <w:lang w:val="es-ES"/>
        </w:rPr>
        <w:t>pág</w:t>
      </w:r>
      <w:r w:rsidRPr="00606E01">
        <w:rPr>
          <w:lang w:val="es-ES"/>
        </w:rPr>
        <w:t>. 333.</w:t>
      </w:r>
    </w:p>
  </w:footnote>
  <w:footnote w:id="508">
    <w:p w14:paraId="6B298111" w14:textId="77777777" w:rsidR="001F3006" w:rsidRPr="00606E01" w:rsidRDefault="001F3006" w:rsidP="00C454A1">
      <w:pPr>
        <w:pStyle w:val="Textonotapie"/>
      </w:pPr>
      <w:r w:rsidRPr="00606E01">
        <w:rPr>
          <w:rStyle w:val="Refdenotaalpie"/>
          <w:lang w:val="es-ES"/>
        </w:rPr>
        <w:footnoteRef/>
      </w:r>
      <w:r w:rsidRPr="00606E01">
        <w:rPr>
          <w:lang w:val="es-ES"/>
        </w:rPr>
        <w:t xml:space="preserve"> Ib.,</w:t>
      </w:r>
      <w:r w:rsidRPr="00606E01">
        <w:t xml:space="preserve"> p</w:t>
      </w:r>
      <w:r>
        <w:t>ág</w:t>
      </w:r>
      <w:r w:rsidRPr="00606E01">
        <w:t xml:space="preserve">. 335. </w:t>
      </w:r>
    </w:p>
  </w:footnote>
  <w:footnote w:id="509">
    <w:p w14:paraId="32496C14" w14:textId="77777777" w:rsidR="001F3006" w:rsidRPr="00606E01" w:rsidRDefault="001F3006" w:rsidP="00C454A1">
      <w:pPr>
        <w:pStyle w:val="Textonotapie"/>
        <w:rPr>
          <w:lang w:val="es-ES"/>
        </w:rPr>
      </w:pPr>
      <w:r w:rsidRPr="00606E01">
        <w:rPr>
          <w:rStyle w:val="Refdenotaalpie"/>
        </w:rPr>
        <w:footnoteRef/>
      </w:r>
      <w:r w:rsidRPr="00606E01">
        <w:t xml:space="preserve"> </w:t>
      </w:r>
      <w:r w:rsidRPr="00606E01">
        <w:rPr>
          <w:lang w:val="es-ES"/>
        </w:rPr>
        <w:t>Esta información fue actualizada el 25 de enero de 2025. Ib., p</w:t>
      </w:r>
      <w:r>
        <w:rPr>
          <w:lang w:val="es-ES"/>
        </w:rPr>
        <w:t>ág</w:t>
      </w:r>
      <w:r w:rsidRPr="00606E01">
        <w:rPr>
          <w:lang w:val="es-ES"/>
        </w:rPr>
        <w:t>. 335</w:t>
      </w:r>
    </w:p>
  </w:footnote>
  <w:footnote w:id="510">
    <w:p w14:paraId="45C3FB54"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336.</w:t>
      </w:r>
    </w:p>
  </w:footnote>
  <w:footnote w:id="511">
    <w:p w14:paraId="0A8DAAF9" w14:textId="77777777" w:rsidR="001F3006" w:rsidRPr="00606E01" w:rsidRDefault="001F3006" w:rsidP="00C454A1">
      <w:pPr>
        <w:pStyle w:val="Textonotapie"/>
      </w:pPr>
      <w:r w:rsidRPr="00606E01">
        <w:rPr>
          <w:rStyle w:val="Refdenotaalpie"/>
        </w:rPr>
        <w:footnoteRef/>
      </w:r>
      <w:r w:rsidRPr="00606E01">
        <w:t xml:space="preserve"> Ib., p</w:t>
      </w:r>
      <w:r>
        <w:t>ágs</w:t>
      </w:r>
      <w:r w:rsidRPr="00606E01">
        <w:t xml:space="preserve">. 97 y 98. </w:t>
      </w:r>
    </w:p>
  </w:footnote>
  <w:footnote w:id="512">
    <w:p w14:paraId="77E4C3AF" w14:textId="77777777" w:rsidR="001F3006" w:rsidRPr="00606E01" w:rsidRDefault="001F3006" w:rsidP="00C454A1">
      <w:pPr>
        <w:pStyle w:val="Textonotapie"/>
      </w:pPr>
      <w:r w:rsidRPr="00606E01">
        <w:rPr>
          <w:rStyle w:val="Refdenotaalpie"/>
          <w:lang w:val="es-ES"/>
        </w:rPr>
        <w:footnoteRef/>
      </w:r>
      <w:r w:rsidRPr="00606E01">
        <w:rPr>
          <w:lang w:val="es-ES"/>
        </w:rPr>
        <w:t xml:space="preserve"> Expediente digital, archivo </w:t>
      </w:r>
      <w:r w:rsidRPr="00606E01">
        <w:t>“</w:t>
      </w:r>
      <w:r w:rsidRPr="00606E01">
        <w:rPr>
          <w:lang w:val="es-ES"/>
        </w:rPr>
        <w:t>Respuesta DAPRE I.pdf”, p</w:t>
      </w:r>
      <w:r>
        <w:rPr>
          <w:lang w:val="es-ES"/>
        </w:rPr>
        <w:t>ágs</w:t>
      </w:r>
      <w:r w:rsidRPr="00606E01">
        <w:rPr>
          <w:lang w:val="es-ES"/>
        </w:rPr>
        <w:t xml:space="preserve">. 12 y 13. </w:t>
      </w:r>
      <w:r w:rsidRPr="00606E01">
        <w:rPr>
          <w:i/>
          <w:iCs/>
          <w:lang w:val="es-ES"/>
        </w:rPr>
        <w:t xml:space="preserve">Cfr. </w:t>
      </w:r>
      <w:r w:rsidRPr="00606E01">
        <w:rPr>
          <w:lang w:val="es-ES"/>
        </w:rPr>
        <w:t xml:space="preserve">Expediente digital, </w:t>
      </w:r>
      <w:proofErr w:type="spellStart"/>
      <w:r w:rsidRPr="00606E01">
        <w:rPr>
          <w:lang w:val="es-ES"/>
        </w:rPr>
        <w:t>archiv</w:t>
      </w:r>
      <w:proofErr w:type="spellEnd"/>
      <w:r w:rsidRPr="00606E01">
        <w:t>o “RE-361 RESERVADO Anexo 21. Comunicación Dirección Sustitución Cultivos Uso Ilícito 1.pdf”, p</w:t>
      </w:r>
      <w:r>
        <w:t>ágs</w:t>
      </w:r>
      <w:r w:rsidRPr="00606E01">
        <w:t xml:space="preserve">. 4 y 5. El Ministerio de Justicia y del Derecho allegó cifras de 2015 hasta 2023. Sin embargo, por su relevancia, solamente se incluyeron las de 2022 y 2023. </w:t>
      </w:r>
    </w:p>
  </w:footnote>
  <w:footnote w:id="513">
    <w:p w14:paraId="1E33F761"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5. </w:t>
      </w:r>
    </w:p>
  </w:footnote>
  <w:footnote w:id="514">
    <w:p w14:paraId="4AA5FFCE"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Ib., </w:t>
      </w:r>
      <w:r>
        <w:rPr>
          <w:lang w:val="es-ES"/>
        </w:rPr>
        <w:t>pág</w:t>
      </w:r>
      <w:r w:rsidRPr="00606E01">
        <w:rPr>
          <w:lang w:val="es-ES"/>
        </w:rPr>
        <w:t xml:space="preserve">. 13. Cfr. Expediente digital, archivo “RE0000361-Pruebas del Expediente (RecepciÃ³n y Paso al </w:t>
      </w:r>
      <w:proofErr w:type="gramStart"/>
      <w:r w:rsidRPr="00606E01">
        <w:rPr>
          <w:lang w:val="es-ES"/>
        </w:rPr>
        <w:t>Despacho)-(</w:t>
      </w:r>
      <w:proofErr w:type="gramEnd"/>
      <w:r w:rsidRPr="00606E01">
        <w:rPr>
          <w:lang w:val="es-ES"/>
        </w:rPr>
        <w:t>2025-02-10 20-25-06).</w:t>
      </w:r>
      <w:proofErr w:type="spellStart"/>
      <w:r w:rsidRPr="00606E01">
        <w:rPr>
          <w:lang w:val="es-ES"/>
        </w:rPr>
        <w:t>pdf</w:t>
      </w:r>
      <w:proofErr w:type="spellEnd"/>
      <w:r w:rsidRPr="00606E01">
        <w:rPr>
          <w:lang w:val="es-ES"/>
        </w:rPr>
        <w:t>”, p</w:t>
      </w:r>
      <w:r>
        <w:rPr>
          <w:lang w:val="es-ES"/>
        </w:rPr>
        <w:t>ág</w:t>
      </w:r>
      <w:r w:rsidRPr="00606E01">
        <w:rPr>
          <w:lang w:val="es-ES"/>
        </w:rPr>
        <w:t xml:space="preserve">. 2. </w:t>
      </w:r>
    </w:p>
  </w:footnote>
  <w:footnote w:id="515">
    <w:p w14:paraId="5D536B2F" w14:textId="77777777" w:rsidR="001F3006" w:rsidRPr="00606E01" w:rsidRDefault="001F3006" w:rsidP="00C454A1">
      <w:pPr>
        <w:pStyle w:val="Textonotapie"/>
      </w:pPr>
      <w:r w:rsidRPr="00606E01">
        <w:rPr>
          <w:rStyle w:val="Refdenotaalpie"/>
        </w:rPr>
        <w:footnoteRef/>
      </w:r>
      <w:r w:rsidRPr="00606E01">
        <w:t xml:space="preserve"> Ib. </w:t>
      </w:r>
    </w:p>
  </w:footnote>
  <w:footnote w:id="516">
    <w:p w14:paraId="6443D2BF"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Ib. </w:t>
      </w:r>
      <w:r w:rsidRPr="00606E01">
        <w:rPr>
          <w:i/>
          <w:iCs/>
          <w:lang w:val="es-ES"/>
        </w:rPr>
        <w:t>Cfr</w:t>
      </w:r>
      <w:r w:rsidRPr="00606E01">
        <w:rPr>
          <w:lang w:val="es-ES"/>
        </w:rPr>
        <w:t xml:space="preserve">. Expediente digital, archivo “RE-361.Anexos 11 al 20 Respuesta al OPC-020 de 2025 - Presidencia de la </w:t>
      </w:r>
      <w:proofErr w:type="spellStart"/>
      <w:r w:rsidRPr="00606E01">
        <w:rPr>
          <w:lang w:val="es-ES"/>
        </w:rPr>
        <w:t>República</w:t>
      </w:r>
      <w:proofErr w:type="spellEnd"/>
      <w:r w:rsidRPr="00606E01">
        <w:rPr>
          <w:lang w:val="es-ES"/>
        </w:rPr>
        <w:t>. Algunos documentos reservados.pdf”, p</w:t>
      </w:r>
      <w:r>
        <w:rPr>
          <w:lang w:val="es-ES"/>
        </w:rPr>
        <w:t>ágs</w:t>
      </w:r>
      <w:r w:rsidRPr="00606E01">
        <w:rPr>
          <w:lang w:val="es-ES"/>
        </w:rPr>
        <w:t>. 25 a 30.</w:t>
      </w:r>
    </w:p>
  </w:footnote>
  <w:footnote w:id="517">
    <w:p w14:paraId="18F8E013" w14:textId="77777777" w:rsidR="001F3006" w:rsidRPr="0053410C" w:rsidRDefault="001F3006" w:rsidP="00C454A1">
      <w:pPr>
        <w:pStyle w:val="Textonotapie"/>
        <w:rPr>
          <w:lang w:val="es"/>
        </w:rPr>
      </w:pPr>
      <w:r w:rsidRPr="00606E01">
        <w:rPr>
          <w:rStyle w:val="Refdenotaalpie"/>
        </w:rPr>
        <w:footnoteRef/>
      </w:r>
      <w:r w:rsidRPr="00606E01">
        <w:t xml:space="preserve"> </w:t>
      </w:r>
      <w:r w:rsidRPr="00606E01">
        <w:rPr>
          <w:lang w:val="es-ES"/>
        </w:rPr>
        <w:t xml:space="preserve">Ib., </w:t>
      </w:r>
      <w:r>
        <w:rPr>
          <w:lang w:val="es-ES"/>
        </w:rPr>
        <w:t>págs.</w:t>
      </w:r>
      <w:r w:rsidRPr="00606E01">
        <w:rPr>
          <w:lang w:val="es-ES"/>
        </w:rPr>
        <w:t xml:space="preserve"> 14 y 15. </w:t>
      </w:r>
      <w:r w:rsidRPr="00606E01">
        <w:rPr>
          <w:lang w:val="es"/>
        </w:rPr>
        <w:t xml:space="preserve">Cfr. Expediente digital, archivo “RE-361.Anexos 11 al 20 Respuesta al OPC-020 de 2025 - Presidencia de la </w:t>
      </w:r>
      <w:proofErr w:type="spellStart"/>
      <w:r w:rsidRPr="00606E01">
        <w:rPr>
          <w:lang w:val="es"/>
        </w:rPr>
        <w:t>República</w:t>
      </w:r>
      <w:proofErr w:type="spellEnd"/>
      <w:r w:rsidRPr="00606E01">
        <w:rPr>
          <w:lang w:val="es"/>
        </w:rPr>
        <w:t>. Algunos documentos reservados.pdf”, p</w:t>
      </w:r>
      <w:r>
        <w:rPr>
          <w:lang w:val="es"/>
        </w:rPr>
        <w:t>ág</w:t>
      </w:r>
      <w:r w:rsidRPr="00606E01">
        <w:rPr>
          <w:lang w:val="es"/>
        </w:rPr>
        <w:t>. 31.</w:t>
      </w:r>
    </w:p>
  </w:footnote>
  <w:footnote w:id="518">
    <w:p w14:paraId="1EB907F4"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15. </w:t>
      </w:r>
      <w:r w:rsidRPr="00606E01">
        <w:rPr>
          <w:i/>
        </w:rPr>
        <w:t>Cfr</w:t>
      </w:r>
      <w:r w:rsidRPr="00606E01">
        <w:t>. Expediente digital, archivo “RE0000361-Pruebas del Expediente (Recepci</w:t>
      </w:r>
      <w:r>
        <w:t>ó</w:t>
      </w:r>
      <w:r w:rsidRPr="00606E01">
        <w:t xml:space="preserve">n y Paso al </w:t>
      </w:r>
      <w:proofErr w:type="gramStart"/>
      <w:r w:rsidRPr="00606E01">
        <w:t>Despacho)-(</w:t>
      </w:r>
      <w:proofErr w:type="gramEnd"/>
      <w:r w:rsidRPr="00606E01">
        <w:t>2025-02-10 20-25-06).</w:t>
      </w:r>
      <w:proofErr w:type="spellStart"/>
      <w:r w:rsidRPr="00606E01">
        <w:t>pdf</w:t>
      </w:r>
      <w:proofErr w:type="spellEnd"/>
      <w:r w:rsidRPr="00606E01">
        <w:t>”, p</w:t>
      </w:r>
      <w:r>
        <w:t>ág</w:t>
      </w:r>
      <w:r w:rsidRPr="00606E01">
        <w:t>. 7.</w:t>
      </w:r>
    </w:p>
  </w:footnote>
  <w:footnote w:id="519">
    <w:p w14:paraId="3B72E752" w14:textId="77777777" w:rsidR="001F3006" w:rsidRPr="00606E01" w:rsidRDefault="001F3006" w:rsidP="00C454A1">
      <w:pPr>
        <w:pStyle w:val="Textonotapie"/>
      </w:pPr>
      <w:r w:rsidRPr="00606E01">
        <w:rPr>
          <w:rStyle w:val="Refdenotaalpie"/>
        </w:rPr>
        <w:footnoteRef/>
      </w:r>
      <w:r w:rsidRPr="00606E01">
        <w:t xml:space="preserve"> Ib. </w:t>
      </w:r>
    </w:p>
  </w:footnote>
  <w:footnote w:id="520">
    <w:p w14:paraId="4220F9CC"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8. </w:t>
      </w:r>
    </w:p>
  </w:footnote>
  <w:footnote w:id="521">
    <w:p w14:paraId="061BEC1E" w14:textId="77777777" w:rsidR="001F3006" w:rsidRPr="00606E01" w:rsidRDefault="001F3006" w:rsidP="00C454A1">
      <w:pPr>
        <w:pStyle w:val="Textonotapie"/>
      </w:pPr>
      <w:r w:rsidRPr="00606E01">
        <w:rPr>
          <w:rStyle w:val="Refdenotaalpie"/>
        </w:rPr>
        <w:footnoteRef/>
      </w:r>
      <w:r w:rsidRPr="00606E01">
        <w:t xml:space="preserve"> Ib. </w:t>
      </w:r>
    </w:p>
  </w:footnote>
  <w:footnote w:id="522">
    <w:p w14:paraId="783DE8AD"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10. </w:t>
      </w:r>
    </w:p>
  </w:footnote>
  <w:footnote w:id="523">
    <w:p w14:paraId="7A14345F" w14:textId="77777777" w:rsidR="001F3006" w:rsidRPr="00606E01" w:rsidRDefault="001F3006" w:rsidP="00C454A1">
      <w:pPr>
        <w:pStyle w:val="Textonotapie"/>
      </w:pPr>
      <w:r w:rsidRPr="00606E01">
        <w:rPr>
          <w:rStyle w:val="Refdenotaalpie"/>
        </w:rPr>
        <w:footnoteRef/>
      </w:r>
      <w:r w:rsidRPr="00606E01">
        <w:t xml:space="preserve"> Ib. </w:t>
      </w:r>
    </w:p>
  </w:footnote>
  <w:footnote w:id="524">
    <w:p w14:paraId="742A26B5" w14:textId="77777777" w:rsidR="001F3006" w:rsidRPr="00606E01" w:rsidRDefault="001F3006" w:rsidP="00C454A1">
      <w:pPr>
        <w:pStyle w:val="Textonotapie"/>
      </w:pPr>
      <w:r w:rsidRPr="00606E01">
        <w:rPr>
          <w:rStyle w:val="Refdenotaalpie"/>
        </w:rPr>
        <w:footnoteRef/>
      </w:r>
      <w:r w:rsidRPr="00606E01">
        <w:t xml:space="preserve"> Ib., </w:t>
      </w:r>
      <w:r>
        <w:t>págs</w:t>
      </w:r>
      <w:r w:rsidRPr="00606E01">
        <w:t>. 254 a 259.</w:t>
      </w:r>
    </w:p>
  </w:footnote>
  <w:footnote w:id="525">
    <w:p w14:paraId="101BD3E2"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11. </w:t>
      </w:r>
    </w:p>
  </w:footnote>
  <w:footnote w:id="526">
    <w:p w14:paraId="169C4EC2" w14:textId="77777777" w:rsidR="001F3006" w:rsidRPr="00606E01" w:rsidRDefault="001F3006" w:rsidP="00C454A1">
      <w:pPr>
        <w:pStyle w:val="Textonotapie"/>
      </w:pPr>
      <w:r w:rsidRPr="00606E01">
        <w:rPr>
          <w:rStyle w:val="Refdenotaalpie"/>
        </w:rPr>
        <w:footnoteRef/>
      </w:r>
      <w:r w:rsidRPr="00606E01">
        <w:t xml:space="preserve"> Ib., p</w:t>
      </w:r>
      <w:r>
        <w:t>ágs</w:t>
      </w:r>
      <w:r w:rsidRPr="00606E01">
        <w:t xml:space="preserve">. 10 y 11. </w:t>
      </w:r>
    </w:p>
  </w:footnote>
  <w:footnote w:id="527">
    <w:p w14:paraId="05863129"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12. </w:t>
      </w:r>
    </w:p>
  </w:footnote>
  <w:footnote w:id="528">
    <w:p w14:paraId="0818ACB8" w14:textId="77777777" w:rsidR="001F3006" w:rsidRPr="00606E01" w:rsidRDefault="001F3006" w:rsidP="00C454A1">
      <w:pPr>
        <w:pStyle w:val="Textonotapie"/>
      </w:pPr>
      <w:r w:rsidRPr="00606E01">
        <w:rPr>
          <w:rStyle w:val="Refdenotaalpie"/>
        </w:rPr>
        <w:footnoteRef/>
      </w:r>
      <w:r w:rsidRPr="00606E01">
        <w:t xml:space="preserve"> Ib. </w:t>
      </w:r>
    </w:p>
  </w:footnote>
  <w:footnote w:id="529">
    <w:p w14:paraId="35A6B283" w14:textId="77777777" w:rsidR="001F3006" w:rsidRPr="00606E01" w:rsidRDefault="001F3006" w:rsidP="00C454A1">
      <w:pPr>
        <w:pStyle w:val="Textonotapie"/>
      </w:pPr>
      <w:r w:rsidRPr="00606E01">
        <w:rPr>
          <w:rStyle w:val="Refdenotaalpie"/>
        </w:rPr>
        <w:footnoteRef/>
      </w:r>
      <w:r w:rsidRPr="00606E01">
        <w:t xml:space="preserve"> Ib. </w:t>
      </w:r>
    </w:p>
  </w:footnote>
  <w:footnote w:id="530">
    <w:p w14:paraId="571B10BF" w14:textId="77777777" w:rsidR="001F3006" w:rsidRPr="00606E01" w:rsidRDefault="001F3006" w:rsidP="00C454A1">
      <w:pPr>
        <w:pStyle w:val="Textonotapie"/>
      </w:pPr>
      <w:r w:rsidRPr="00606E01">
        <w:rPr>
          <w:rStyle w:val="Refdenotaalpie"/>
        </w:rPr>
        <w:footnoteRef/>
      </w:r>
      <w:r w:rsidRPr="00606E01">
        <w:t xml:space="preserve"> Ib., p</w:t>
      </w:r>
      <w:r>
        <w:t>ágs</w:t>
      </w:r>
      <w:r w:rsidRPr="00606E01">
        <w:t>. 12 y 13.</w:t>
      </w:r>
    </w:p>
  </w:footnote>
  <w:footnote w:id="531">
    <w:p w14:paraId="445E6254"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13. </w:t>
      </w:r>
    </w:p>
  </w:footnote>
  <w:footnote w:id="532">
    <w:p w14:paraId="73EEFC6A" w14:textId="77777777" w:rsidR="001F3006" w:rsidRPr="00606E01" w:rsidRDefault="001F3006" w:rsidP="00C454A1">
      <w:pPr>
        <w:pStyle w:val="Textonotapie"/>
      </w:pPr>
      <w:r w:rsidRPr="00606E01">
        <w:rPr>
          <w:rStyle w:val="Refdenotaalpie"/>
        </w:rPr>
        <w:footnoteRef/>
      </w:r>
      <w:r w:rsidRPr="00606E01">
        <w:t xml:space="preserve"> Ib. </w:t>
      </w:r>
    </w:p>
  </w:footnote>
  <w:footnote w:id="533">
    <w:p w14:paraId="32566EC9" w14:textId="77777777" w:rsidR="001F3006" w:rsidRPr="00606E01" w:rsidRDefault="001F3006" w:rsidP="00C454A1">
      <w:pPr>
        <w:pStyle w:val="Textonotapie"/>
      </w:pPr>
      <w:r w:rsidRPr="00606E01">
        <w:rPr>
          <w:rStyle w:val="Refdenotaalpie"/>
        </w:rPr>
        <w:footnoteRef/>
      </w:r>
      <w:r w:rsidRPr="00606E01">
        <w:t xml:space="preserve"> Ib. </w:t>
      </w:r>
    </w:p>
  </w:footnote>
  <w:footnote w:id="534">
    <w:p w14:paraId="38E4EDA9" w14:textId="77777777" w:rsidR="001F3006" w:rsidRPr="00606E01" w:rsidRDefault="001F3006" w:rsidP="00C454A1">
      <w:pPr>
        <w:pStyle w:val="Textonotapie"/>
      </w:pPr>
      <w:r w:rsidRPr="00606E01">
        <w:rPr>
          <w:rStyle w:val="Refdenotaalpie"/>
        </w:rPr>
        <w:footnoteRef/>
      </w:r>
      <w:r w:rsidRPr="00606E01">
        <w:t xml:space="preserve"> Ib. </w:t>
      </w:r>
    </w:p>
  </w:footnote>
  <w:footnote w:id="535">
    <w:p w14:paraId="417E41AA"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14. </w:t>
      </w:r>
    </w:p>
  </w:footnote>
  <w:footnote w:id="536">
    <w:p w14:paraId="23A9E55C" w14:textId="77777777" w:rsidR="001F3006" w:rsidRPr="00606E01" w:rsidRDefault="001F3006" w:rsidP="00C454A1">
      <w:pPr>
        <w:pStyle w:val="Textonotapie"/>
      </w:pPr>
      <w:r w:rsidRPr="00606E01">
        <w:rPr>
          <w:rStyle w:val="Refdenotaalpie"/>
        </w:rPr>
        <w:footnoteRef/>
      </w:r>
      <w:r w:rsidRPr="00606E01">
        <w:t xml:space="preserve"> Ib.</w:t>
      </w:r>
    </w:p>
  </w:footnote>
  <w:footnote w:id="537">
    <w:p w14:paraId="47D0C2A7" w14:textId="77777777" w:rsidR="001F3006" w:rsidRPr="00606E01" w:rsidRDefault="001F3006" w:rsidP="00C454A1">
      <w:pPr>
        <w:pStyle w:val="Textonotapie"/>
      </w:pPr>
      <w:r w:rsidRPr="00606E01">
        <w:rPr>
          <w:rStyle w:val="Refdenotaalpie"/>
        </w:rPr>
        <w:footnoteRef/>
      </w:r>
      <w:r w:rsidRPr="00606E01">
        <w:t xml:space="preserve"> Ib. </w:t>
      </w:r>
    </w:p>
  </w:footnote>
  <w:footnote w:id="538">
    <w:p w14:paraId="2EC85E68" w14:textId="77777777" w:rsidR="001F3006" w:rsidRPr="00606E01" w:rsidRDefault="001F3006" w:rsidP="00C454A1">
      <w:pPr>
        <w:pStyle w:val="Textonotapie"/>
      </w:pPr>
      <w:r w:rsidRPr="00606E01">
        <w:rPr>
          <w:rStyle w:val="Refdenotaalpie"/>
        </w:rPr>
        <w:footnoteRef/>
      </w:r>
      <w:r w:rsidRPr="00606E01">
        <w:t xml:space="preserve"> Ib.</w:t>
      </w:r>
    </w:p>
  </w:footnote>
  <w:footnote w:id="539">
    <w:p w14:paraId="57DA782C" w14:textId="77777777" w:rsidR="001F3006" w:rsidRPr="00606E01" w:rsidRDefault="001F3006" w:rsidP="00C454A1">
      <w:pPr>
        <w:pStyle w:val="Textonotapie"/>
      </w:pPr>
      <w:r w:rsidRPr="00606E01">
        <w:rPr>
          <w:rStyle w:val="Refdenotaalpie"/>
        </w:rPr>
        <w:footnoteRef/>
      </w:r>
      <w:r w:rsidRPr="00606E01">
        <w:t xml:space="preserve"> Ib. </w:t>
      </w:r>
    </w:p>
  </w:footnote>
  <w:footnote w:id="540">
    <w:p w14:paraId="73411941"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15. </w:t>
      </w:r>
    </w:p>
  </w:footnote>
  <w:footnote w:id="541">
    <w:p w14:paraId="2372DAAF" w14:textId="77777777" w:rsidR="001F3006" w:rsidRPr="00606E01" w:rsidRDefault="001F3006" w:rsidP="00C454A1">
      <w:pPr>
        <w:pStyle w:val="Textonotapie"/>
      </w:pPr>
      <w:r w:rsidRPr="00606E01">
        <w:rPr>
          <w:rStyle w:val="Refdenotaalpie"/>
        </w:rPr>
        <w:footnoteRef/>
      </w:r>
      <w:r w:rsidRPr="00606E01">
        <w:t xml:space="preserve"> Ib.</w:t>
      </w:r>
    </w:p>
  </w:footnote>
  <w:footnote w:id="542">
    <w:p w14:paraId="083C4006"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16.</w:t>
      </w:r>
    </w:p>
  </w:footnote>
  <w:footnote w:id="543">
    <w:p w14:paraId="0A70CE7F" w14:textId="77777777" w:rsidR="001F3006" w:rsidRPr="00606E01" w:rsidRDefault="001F3006" w:rsidP="00C454A1">
      <w:pPr>
        <w:pStyle w:val="Textonotapie"/>
      </w:pPr>
      <w:r w:rsidRPr="00606E01">
        <w:rPr>
          <w:rStyle w:val="Refdenotaalpie"/>
        </w:rPr>
        <w:footnoteRef/>
      </w:r>
      <w:r w:rsidRPr="00606E01">
        <w:t xml:space="preserve"> Ib. </w:t>
      </w:r>
    </w:p>
  </w:footnote>
  <w:footnote w:id="544">
    <w:p w14:paraId="24AE86FA"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Expediente digital, archivo </w:t>
      </w:r>
      <w:r>
        <w:rPr>
          <w:lang w:val="es-ES"/>
        </w:rPr>
        <w:t>“</w:t>
      </w:r>
      <w:r w:rsidRPr="00606E01">
        <w:rPr>
          <w:lang w:val="es-ES"/>
        </w:rPr>
        <w:t>Respuesta DAPRE II”, p</w:t>
      </w:r>
      <w:r>
        <w:rPr>
          <w:lang w:val="es-ES"/>
        </w:rPr>
        <w:t>ág</w:t>
      </w:r>
      <w:r w:rsidRPr="00606E01">
        <w:rPr>
          <w:lang w:val="es-ES"/>
        </w:rPr>
        <w:t>. 18.</w:t>
      </w:r>
    </w:p>
  </w:footnote>
  <w:footnote w:id="545">
    <w:p w14:paraId="567CD812" w14:textId="77777777" w:rsidR="001F3006" w:rsidRPr="00606E01" w:rsidRDefault="001F3006" w:rsidP="00C454A1">
      <w:pPr>
        <w:pStyle w:val="Textonotapie"/>
      </w:pPr>
      <w:r w:rsidRPr="00606E01">
        <w:rPr>
          <w:rStyle w:val="Refdenotaalpie"/>
        </w:rPr>
        <w:footnoteRef/>
      </w:r>
      <w:r w:rsidRPr="00606E01">
        <w:t xml:space="preserve"> Ib., p</w:t>
      </w:r>
      <w:r>
        <w:t>ágs</w:t>
      </w:r>
      <w:r w:rsidRPr="00606E01">
        <w:t>. 18 y 19.</w:t>
      </w:r>
    </w:p>
  </w:footnote>
  <w:footnote w:id="546">
    <w:p w14:paraId="0E7A0DAC"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19.</w:t>
      </w:r>
    </w:p>
  </w:footnote>
  <w:footnote w:id="547">
    <w:p w14:paraId="7B6B3EDF" w14:textId="77777777" w:rsidR="001F3006" w:rsidRPr="00606E01" w:rsidRDefault="001F3006" w:rsidP="00C454A1">
      <w:pPr>
        <w:pStyle w:val="Textonotapie"/>
      </w:pPr>
      <w:r w:rsidRPr="00606E01">
        <w:rPr>
          <w:rStyle w:val="Refdenotaalpie"/>
        </w:rPr>
        <w:footnoteRef/>
      </w:r>
      <w:r w:rsidRPr="00606E01">
        <w:t xml:space="preserve"> </w:t>
      </w:r>
      <w:r w:rsidRPr="00606E01">
        <w:rPr>
          <w:lang w:val="es"/>
        </w:rPr>
        <w:t xml:space="preserve">Ib. </w:t>
      </w:r>
      <w:r w:rsidRPr="00606E01">
        <w:rPr>
          <w:i/>
          <w:iCs/>
          <w:lang w:val="es"/>
        </w:rPr>
        <w:t>Cfr</w:t>
      </w:r>
      <w:r w:rsidRPr="00606E01">
        <w:rPr>
          <w:lang w:val="es"/>
        </w:rPr>
        <w:t xml:space="preserve">. Expediente digital, </w:t>
      </w:r>
      <w:r w:rsidRPr="00606E01">
        <w:t xml:space="preserve">“RE-361.Anexos 11 al 20 Respuesta al OPC-020 de 2025 - Presidencia de la </w:t>
      </w:r>
      <w:proofErr w:type="spellStart"/>
      <w:r w:rsidRPr="00606E01">
        <w:t>República</w:t>
      </w:r>
      <w:proofErr w:type="spellEnd"/>
      <w:r w:rsidRPr="00606E01">
        <w:t>. Algunos documentos reservados.pdf.”, p</w:t>
      </w:r>
      <w:r>
        <w:t>ág</w:t>
      </w:r>
      <w:r w:rsidRPr="00606E01">
        <w:t>. 32.</w:t>
      </w:r>
    </w:p>
  </w:footnote>
  <w:footnote w:id="548">
    <w:p w14:paraId="5C57E47A" w14:textId="77777777" w:rsidR="001F3006" w:rsidRPr="00606E01" w:rsidRDefault="001F3006" w:rsidP="00C454A1">
      <w:pPr>
        <w:pStyle w:val="Textonotapie"/>
      </w:pPr>
      <w:r w:rsidRPr="00606E01">
        <w:rPr>
          <w:rStyle w:val="Refdenotaalpie"/>
        </w:rPr>
        <w:footnoteRef/>
      </w:r>
      <w:r w:rsidRPr="00606E01">
        <w:t xml:space="preserve"> Ib. </w:t>
      </w:r>
    </w:p>
  </w:footnote>
  <w:footnote w:id="549">
    <w:p w14:paraId="32E4F2B7" w14:textId="77777777" w:rsidR="001F3006" w:rsidRPr="00606E01" w:rsidRDefault="001F3006" w:rsidP="00C454A1">
      <w:pPr>
        <w:pStyle w:val="Textonotapie"/>
      </w:pPr>
      <w:r w:rsidRPr="00606E01">
        <w:rPr>
          <w:rStyle w:val="Refdenotaalpie"/>
        </w:rPr>
        <w:footnoteRef/>
      </w:r>
      <w:r w:rsidRPr="00606E01">
        <w:t xml:space="preserve"> Ib.</w:t>
      </w:r>
    </w:p>
  </w:footnote>
  <w:footnote w:id="550">
    <w:p w14:paraId="14401A85"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34. </w:t>
      </w:r>
    </w:p>
  </w:footnote>
  <w:footnote w:id="551">
    <w:p w14:paraId="7A461117"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20. </w:t>
      </w:r>
      <w:r w:rsidRPr="00606E01">
        <w:rPr>
          <w:i/>
          <w:iCs/>
          <w:lang w:val="es-ES"/>
        </w:rPr>
        <w:t>Cfr</w:t>
      </w:r>
      <w:r w:rsidRPr="00606E01">
        <w:rPr>
          <w:lang w:val="es-ES"/>
        </w:rPr>
        <w:t xml:space="preserve">. Expediente digital, </w:t>
      </w:r>
      <w:r w:rsidRPr="00606E01">
        <w:t xml:space="preserve">“RE-361.Anexos 11 al 20 Respuesta al OPC-020 de 2025 - Presidencia de la </w:t>
      </w:r>
      <w:proofErr w:type="spellStart"/>
      <w:r w:rsidRPr="00606E01">
        <w:t>República</w:t>
      </w:r>
      <w:proofErr w:type="spellEnd"/>
      <w:r w:rsidRPr="00606E01">
        <w:t>. Algunos documentos reservados.pdf.”, p</w:t>
      </w:r>
      <w:r>
        <w:t>ág</w:t>
      </w:r>
      <w:r w:rsidRPr="00606E01">
        <w:t xml:space="preserve">. 32. </w:t>
      </w:r>
    </w:p>
  </w:footnote>
  <w:footnote w:id="552">
    <w:p w14:paraId="6D0AA912"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Ib. </w:t>
      </w:r>
      <w:r w:rsidRPr="00606E01">
        <w:rPr>
          <w:i/>
          <w:lang w:val="es-ES"/>
        </w:rPr>
        <w:t>Cfr</w:t>
      </w:r>
      <w:r w:rsidRPr="00606E01">
        <w:rPr>
          <w:lang w:val="es-ES"/>
        </w:rPr>
        <w:t xml:space="preserve">. Expediente digital, “RE0000361-Pruebas del Expediente (RecepciÃ³n y Paso al </w:t>
      </w:r>
      <w:proofErr w:type="gramStart"/>
      <w:r w:rsidRPr="00606E01">
        <w:rPr>
          <w:lang w:val="es-ES"/>
        </w:rPr>
        <w:t>Despacho)-(</w:t>
      </w:r>
      <w:proofErr w:type="gramEnd"/>
      <w:r w:rsidRPr="00606E01">
        <w:rPr>
          <w:lang w:val="es-ES"/>
        </w:rPr>
        <w:t xml:space="preserve">2025-02-10 20-25-06)”, </w:t>
      </w:r>
      <w:r>
        <w:rPr>
          <w:lang w:val="es-ES"/>
        </w:rPr>
        <w:t>pág</w:t>
      </w:r>
      <w:r w:rsidRPr="00606E01">
        <w:rPr>
          <w:lang w:val="es-ES"/>
        </w:rPr>
        <w:t xml:space="preserve">. 278. </w:t>
      </w:r>
    </w:p>
  </w:footnote>
  <w:footnote w:id="553">
    <w:p w14:paraId="4D051259" w14:textId="77777777" w:rsidR="001F3006" w:rsidRPr="00606E01" w:rsidRDefault="001F3006" w:rsidP="00C454A1">
      <w:pPr>
        <w:pStyle w:val="Textonotapie"/>
      </w:pPr>
      <w:r w:rsidRPr="00606E01">
        <w:rPr>
          <w:rStyle w:val="Refdenotaalpie"/>
        </w:rPr>
        <w:footnoteRef/>
      </w:r>
      <w:r w:rsidRPr="00606E01">
        <w:t xml:space="preserve"> Ib. </w:t>
      </w:r>
      <w:r w:rsidRPr="00606E01">
        <w:rPr>
          <w:i/>
          <w:iCs/>
          <w:lang w:val="es-ES"/>
        </w:rPr>
        <w:t>Cfr</w:t>
      </w:r>
      <w:r w:rsidRPr="00606E01">
        <w:rPr>
          <w:lang w:val="es-ES"/>
        </w:rPr>
        <w:t xml:space="preserve">. Expediente digital, </w:t>
      </w:r>
      <w:r w:rsidRPr="00606E01">
        <w:t xml:space="preserve">“RE-361.Anexos 11 al 20 Respuesta al OPC-020 de 2025 - Presidencia de la </w:t>
      </w:r>
      <w:proofErr w:type="spellStart"/>
      <w:r w:rsidRPr="00606E01">
        <w:t>República</w:t>
      </w:r>
      <w:proofErr w:type="spellEnd"/>
      <w:r w:rsidRPr="00606E01">
        <w:t>. Algunos documentos reservados.pdf.”, p</w:t>
      </w:r>
      <w:r>
        <w:t>ágs</w:t>
      </w:r>
      <w:r w:rsidRPr="00606E01">
        <w:t xml:space="preserve">. 32 y 33. </w:t>
      </w:r>
    </w:p>
  </w:footnote>
  <w:footnote w:id="554">
    <w:p w14:paraId="569DAF15"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r w:rsidRPr="00606E01">
        <w:rPr>
          <w:i/>
          <w:iCs/>
          <w:lang w:val="es-ES"/>
        </w:rPr>
        <w:t>Cfr</w:t>
      </w:r>
      <w:r w:rsidRPr="00606E01">
        <w:rPr>
          <w:lang w:val="es-ES"/>
        </w:rPr>
        <w:t xml:space="preserve">. Expediente digital, </w:t>
      </w:r>
      <w:r w:rsidRPr="00606E01">
        <w:t xml:space="preserve">“RE-361.Anexos 11 al 20 Respuesta al OPC-020 de 2025 - Presidencia de la </w:t>
      </w:r>
      <w:proofErr w:type="spellStart"/>
      <w:r w:rsidRPr="00606E01">
        <w:t>República</w:t>
      </w:r>
      <w:proofErr w:type="spellEnd"/>
      <w:r w:rsidRPr="00606E01">
        <w:t>. Algunos documentos reservados.pdf.”,</w:t>
      </w:r>
      <w:r w:rsidRPr="00606E01">
        <w:rPr>
          <w:lang w:val="es-ES_tradnl"/>
        </w:rPr>
        <w:t xml:space="preserve"> </w:t>
      </w:r>
      <w:r>
        <w:rPr>
          <w:lang w:val="es-ES_tradnl"/>
        </w:rPr>
        <w:t>págs.</w:t>
      </w:r>
      <w:r w:rsidRPr="00606E01">
        <w:rPr>
          <w:lang w:val="es-ES_tradnl"/>
        </w:rPr>
        <w:t xml:space="preserve"> 9 a 11. </w:t>
      </w:r>
    </w:p>
  </w:footnote>
  <w:footnote w:id="555">
    <w:p w14:paraId="7A528ECB"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r w:rsidRPr="00606E01">
        <w:rPr>
          <w:i/>
          <w:iCs/>
          <w:lang w:val="es-ES"/>
        </w:rPr>
        <w:t>Cfr</w:t>
      </w:r>
      <w:r w:rsidRPr="00606E01">
        <w:rPr>
          <w:lang w:val="es-ES"/>
        </w:rPr>
        <w:t xml:space="preserve">. Expediente digital, </w:t>
      </w:r>
      <w:r w:rsidRPr="00606E01">
        <w:t>“RE-361.Anexos 11 al 20 Respuesta al OPC-020 de 2025 - Presidencia de la República. Algunos documentos reservados.pdf.”, p.</w:t>
      </w:r>
      <w:r w:rsidRPr="00606E01">
        <w:rPr>
          <w:lang w:val="es-ES_tradnl"/>
        </w:rPr>
        <w:t xml:space="preserve"> 34. </w:t>
      </w:r>
    </w:p>
  </w:footnote>
  <w:footnote w:id="556">
    <w:p w14:paraId="4C3CFD9A"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r w:rsidRPr="00606E01">
        <w:rPr>
          <w:i/>
          <w:iCs/>
          <w:lang w:val="es-ES"/>
        </w:rPr>
        <w:t>Cfr</w:t>
      </w:r>
      <w:r w:rsidRPr="00606E01">
        <w:rPr>
          <w:lang w:val="es-ES"/>
        </w:rPr>
        <w:t xml:space="preserve">. Expediente digital, </w:t>
      </w:r>
      <w:r w:rsidRPr="00606E01">
        <w:t>“RE-361.Anexos 11 al 20 Respuesta al OPC-020 de 2025 - Presidencia de la República. Algunos documentos reservados.pdf.”, p</w:t>
      </w:r>
      <w:r w:rsidRPr="00606E01">
        <w:rPr>
          <w:lang w:val="es-ES_tradnl"/>
        </w:rPr>
        <w:t xml:space="preserve">. 35. </w:t>
      </w:r>
    </w:p>
  </w:footnote>
  <w:footnote w:id="557">
    <w:p w14:paraId="5AD9E086"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w:t>
      </w:r>
    </w:p>
  </w:footnote>
  <w:footnote w:id="558">
    <w:p w14:paraId="73875DE0"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p. 21. </w:t>
      </w:r>
    </w:p>
  </w:footnote>
  <w:footnote w:id="559">
    <w:p w14:paraId="2B295B7A"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p>
  </w:footnote>
  <w:footnote w:id="560">
    <w:p w14:paraId="6CA72FF5"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w:t>
      </w:r>
    </w:p>
  </w:footnote>
  <w:footnote w:id="561">
    <w:p w14:paraId="64E7C5A2"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xml:space="preserve">. 22. </w:t>
      </w:r>
    </w:p>
  </w:footnote>
  <w:footnote w:id="562">
    <w:p w14:paraId="2A95CCF7"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p>
  </w:footnote>
  <w:footnote w:id="563">
    <w:p w14:paraId="4FE4F5E6"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23. </w:t>
      </w:r>
      <w:r w:rsidRPr="00606E01">
        <w:rPr>
          <w:i/>
        </w:rPr>
        <w:t>Cfr</w:t>
      </w:r>
      <w:r w:rsidRPr="00606E01">
        <w:t xml:space="preserve">. </w:t>
      </w:r>
      <w:r w:rsidRPr="00606E01">
        <w:rPr>
          <w:lang w:val="es-ES"/>
        </w:rPr>
        <w:t xml:space="preserve">Expediente digital, </w:t>
      </w:r>
      <w:r w:rsidRPr="00606E01">
        <w:t>“RE-361.Anexos 11 al 20 Respuesta al OPC-020 de 2025 - Presidencia de la República. Algunos documentos reservados.pdf.”, p</w:t>
      </w:r>
      <w:r>
        <w:t>ág</w:t>
      </w:r>
      <w:r w:rsidRPr="00606E01">
        <w:t xml:space="preserve">. 35. </w:t>
      </w:r>
    </w:p>
  </w:footnote>
  <w:footnote w:id="564">
    <w:p w14:paraId="1DBA4E0D"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p>
  </w:footnote>
  <w:footnote w:id="565">
    <w:p w14:paraId="0F5105DE"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p>
  </w:footnote>
  <w:footnote w:id="566">
    <w:p w14:paraId="325AD184"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p>
  </w:footnote>
  <w:footnote w:id="567">
    <w:p w14:paraId="612493D0"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w:t>
      </w:r>
    </w:p>
  </w:footnote>
  <w:footnote w:id="568">
    <w:p w14:paraId="53476AC1"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p>
  </w:footnote>
  <w:footnote w:id="569">
    <w:p w14:paraId="75D73FEF"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 xml:space="preserve">Ib. </w:t>
      </w:r>
      <w:r w:rsidRPr="00606E01">
        <w:rPr>
          <w:i/>
        </w:rPr>
        <w:t>Cfr</w:t>
      </w:r>
      <w:r w:rsidRPr="00606E01">
        <w:t xml:space="preserve">. </w:t>
      </w:r>
      <w:r w:rsidRPr="00606E01">
        <w:rPr>
          <w:lang w:val="es-ES"/>
        </w:rPr>
        <w:t xml:space="preserve">Expediente digital, </w:t>
      </w:r>
      <w:r w:rsidRPr="00606E01">
        <w:t>“RE-361.Anexos 11 al 20 Respuesta al OPC-020 de 2025 - Presidencia de la República. Algunos documentos reservados.pdf.”, p</w:t>
      </w:r>
      <w:r>
        <w:t>ág</w:t>
      </w:r>
      <w:r w:rsidRPr="00606E01">
        <w:t xml:space="preserve">. 36. </w:t>
      </w:r>
    </w:p>
  </w:footnote>
  <w:footnote w:id="570">
    <w:p w14:paraId="5DBC9B26" w14:textId="77777777" w:rsidR="001F3006" w:rsidRPr="00606E01" w:rsidRDefault="001F3006" w:rsidP="00C454A1">
      <w:pPr>
        <w:pStyle w:val="Textonotapie"/>
        <w:rPr>
          <w:lang w:val="es"/>
        </w:rPr>
      </w:pPr>
      <w:r w:rsidRPr="00606E01">
        <w:rPr>
          <w:rStyle w:val="Refdenotaalpie"/>
          <w:lang w:val="es-ES"/>
        </w:rPr>
        <w:footnoteRef/>
      </w:r>
      <w:r w:rsidRPr="00606E01">
        <w:rPr>
          <w:lang w:val="es-ES"/>
        </w:rPr>
        <w:t xml:space="preserve"> Expediente digital, archivo </w:t>
      </w:r>
      <w:r w:rsidRPr="00606E01">
        <w:rPr>
          <w:color w:val="000000" w:themeColor="text1"/>
          <w:lang w:val="es"/>
        </w:rPr>
        <w:t xml:space="preserve">“Respuesta DAPRE II.pdf”, p. 23. </w:t>
      </w:r>
      <w:r w:rsidRPr="00606E01">
        <w:rPr>
          <w:i/>
          <w:iCs/>
          <w:color w:val="000000" w:themeColor="text1"/>
          <w:lang w:val="es"/>
        </w:rPr>
        <w:t xml:space="preserve">Cfr. </w:t>
      </w:r>
      <w:r w:rsidRPr="00606E01">
        <w:rPr>
          <w:color w:val="000000" w:themeColor="text1"/>
          <w:lang w:val="es"/>
        </w:rPr>
        <w:t xml:space="preserve">Expediente digital, archivo “RE-361.Anexos 11 al 20 Respuesta al OPC-020 de 2025 - Presidencia de la </w:t>
      </w:r>
      <w:proofErr w:type="spellStart"/>
      <w:r w:rsidRPr="00606E01">
        <w:rPr>
          <w:color w:val="000000" w:themeColor="text1"/>
          <w:lang w:val="es"/>
        </w:rPr>
        <w:t>República</w:t>
      </w:r>
      <w:proofErr w:type="spellEnd"/>
      <w:r w:rsidRPr="00606E01">
        <w:rPr>
          <w:color w:val="000000" w:themeColor="text1"/>
          <w:lang w:val="es"/>
        </w:rPr>
        <w:t xml:space="preserve">. Algunos documentos reservados.pdf”, </w:t>
      </w:r>
      <w:r>
        <w:rPr>
          <w:color w:val="000000" w:themeColor="text1"/>
          <w:lang w:val="es"/>
        </w:rPr>
        <w:t>págs.</w:t>
      </w:r>
      <w:r w:rsidRPr="00606E01">
        <w:rPr>
          <w:color w:val="000000" w:themeColor="text1"/>
          <w:lang w:val="es"/>
        </w:rPr>
        <w:t xml:space="preserve"> 96 a 104.</w:t>
      </w:r>
    </w:p>
  </w:footnote>
  <w:footnote w:id="571">
    <w:p w14:paraId="2798ED3A" w14:textId="77777777" w:rsidR="001F3006" w:rsidRPr="00606E01" w:rsidRDefault="001F3006" w:rsidP="00C454A1">
      <w:pPr>
        <w:pStyle w:val="Textonotapie"/>
      </w:pPr>
      <w:r w:rsidRPr="00606E01">
        <w:rPr>
          <w:rStyle w:val="Refdenotaalpie"/>
        </w:rPr>
        <w:footnoteRef/>
      </w:r>
      <w:r w:rsidRPr="00606E01">
        <w:t xml:space="preserve"> Expediente digital, archivo “Respuesta DAPRE II.pdf”, p. 24. </w:t>
      </w:r>
      <w:r w:rsidRPr="00606E01">
        <w:rPr>
          <w:i/>
          <w:iCs/>
        </w:rPr>
        <w:t xml:space="preserve">Cfr. </w:t>
      </w:r>
      <w:r w:rsidRPr="00606E01">
        <w:t xml:space="preserve">Expediente digital, archivo “RE0000361-Pruebas del Expediente (RecepciÃ³n y Paso al </w:t>
      </w:r>
      <w:proofErr w:type="gramStart"/>
      <w:r w:rsidRPr="00606E01">
        <w:t>Despacho)-(</w:t>
      </w:r>
      <w:proofErr w:type="gramEnd"/>
      <w:r w:rsidRPr="00606E01">
        <w:t>2025-02-10 20-25-06).</w:t>
      </w:r>
      <w:proofErr w:type="spellStart"/>
      <w:r w:rsidRPr="00606E01">
        <w:t>pdf</w:t>
      </w:r>
      <w:proofErr w:type="spellEnd"/>
      <w:r w:rsidRPr="00606E01">
        <w:t xml:space="preserve">”, </w:t>
      </w:r>
      <w:r>
        <w:t>págs.</w:t>
      </w:r>
      <w:r w:rsidRPr="00606E01">
        <w:t xml:space="preserve"> 286 a 289.</w:t>
      </w:r>
    </w:p>
  </w:footnote>
  <w:footnote w:id="572">
    <w:p w14:paraId="30D19D8B"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24. </w:t>
      </w:r>
      <w:r w:rsidRPr="00606E01">
        <w:rPr>
          <w:i/>
          <w:iCs/>
        </w:rPr>
        <w:t xml:space="preserve">Cfr. </w:t>
      </w:r>
      <w:r w:rsidRPr="00606E01">
        <w:t xml:space="preserve">Expediente digital, archivo “RE0000361-Pruebas del Expediente (RecepciÃ³n y Paso al </w:t>
      </w:r>
      <w:proofErr w:type="gramStart"/>
      <w:r w:rsidRPr="00606E01">
        <w:t>Despacho)-(</w:t>
      </w:r>
      <w:proofErr w:type="gramEnd"/>
      <w:r w:rsidRPr="00606E01">
        <w:t>2025-02-10 20-25-06).</w:t>
      </w:r>
      <w:proofErr w:type="spellStart"/>
      <w:r w:rsidRPr="00606E01">
        <w:t>pdf</w:t>
      </w:r>
      <w:proofErr w:type="spellEnd"/>
      <w:r w:rsidRPr="00606E01">
        <w:t xml:space="preserve">”, </w:t>
      </w:r>
      <w:r>
        <w:t>págs.</w:t>
      </w:r>
      <w:r w:rsidRPr="00606E01">
        <w:t xml:space="preserve"> 278 a 284.</w:t>
      </w:r>
    </w:p>
  </w:footnote>
  <w:footnote w:id="573">
    <w:p w14:paraId="74959E4E" w14:textId="77777777" w:rsidR="001F3006" w:rsidRPr="00606E01" w:rsidRDefault="001F3006" w:rsidP="00C454A1">
      <w:pPr>
        <w:pStyle w:val="Textonotapie"/>
      </w:pPr>
      <w:r w:rsidRPr="00606E01">
        <w:rPr>
          <w:rStyle w:val="Refdenotaalpie"/>
        </w:rPr>
        <w:footnoteRef/>
      </w:r>
      <w:r w:rsidRPr="00606E01">
        <w:t xml:space="preserve"> Ib. </w:t>
      </w:r>
      <w:r w:rsidRPr="00606E01">
        <w:rPr>
          <w:i/>
          <w:iCs/>
        </w:rPr>
        <w:t xml:space="preserve">Cfr. </w:t>
      </w:r>
      <w:r w:rsidRPr="00606E01">
        <w:t xml:space="preserve">Expediente digital, archivo “RE0000361-Pruebas del Expediente (RecepciÃ³n y Paso al </w:t>
      </w:r>
      <w:proofErr w:type="gramStart"/>
      <w:r w:rsidRPr="00606E01">
        <w:t>Despacho)-(</w:t>
      </w:r>
      <w:proofErr w:type="gramEnd"/>
      <w:r w:rsidRPr="00606E01">
        <w:t>2025-02-10 20-25-06).</w:t>
      </w:r>
      <w:proofErr w:type="spellStart"/>
      <w:r w:rsidRPr="00606E01">
        <w:t>pdf</w:t>
      </w:r>
      <w:proofErr w:type="spellEnd"/>
      <w:r w:rsidRPr="00606E01">
        <w:t xml:space="preserve">”, </w:t>
      </w:r>
      <w:r>
        <w:t>págs.</w:t>
      </w:r>
      <w:r w:rsidRPr="00606E01">
        <w:t xml:space="preserve"> 290 a 298.</w:t>
      </w:r>
    </w:p>
  </w:footnote>
  <w:footnote w:id="574">
    <w:p w14:paraId="2AE71B1C" w14:textId="77777777" w:rsidR="001F3006" w:rsidRPr="00606E01" w:rsidRDefault="001F3006" w:rsidP="00C454A1">
      <w:pPr>
        <w:pStyle w:val="Textonotapie"/>
      </w:pPr>
      <w:r w:rsidRPr="00606E01">
        <w:rPr>
          <w:rStyle w:val="Refdenotaalpie"/>
        </w:rPr>
        <w:footnoteRef/>
      </w:r>
      <w:r w:rsidRPr="00606E01">
        <w:t xml:space="preserve"> Ib. </w:t>
      </w:r>
      <w:r w:rsidRPr="00606E01">
        <w:rPr>
          <w:i/>
          <w:iCs/>
        </w:rPr>
        <w:t xml:space="preserve">Cfr. </w:t>
      </w:r>
      <w:r w:rsidRPr="00606E01">
        <w:t xml:space="preserve">Expediente digital, archivo “RE-361 Anexos 31 al 40 Respuesta al OPC-020 de 2025 - Presidencia de la República.pdf”, </w:t>
      </w:r>
      <w:r>
        <w:t>págs.</w:t>
      </w:r>
      <w:r w:rsidRPr="00606E01">
        <w:t xml:space="preserve"> 3 a 16.</w:t>
      </w:r>
    </w:p>
  </w:footnote>
  <w:footnote w:id="575">
    <w:p w14:paraId="7F07D5EA" w14:textId="77777777" w:rsidR="001F3006" w:rsidRPr="00606E01" w:rsidRDefault="001F3006" w:rsidP="00C454A1">
      <w:pPr>
        <w:pStyle w:val="Textonotapie"/>
      </w:pPr>
      <w:r w:rsidRPr="00606E01">
        <w:rPr>
          <w:rStyle w:val="Refdenotaalpie"/>
        </w:rPr>
        <w:footnoteRef/>
      </w:r>
      <w:r w:rsidRPr="00606E01">
        <w:t xml:space="preserve"> Ib. </w:t>
      </w:r>
      <w:r w:rsidRPr="00606E01">
        <w:rPr>
          <w:i/>
          <w:iCs/>
        </w:rPr>
        <w:t xml:space="preserve">Cfr. </w:t>
      </w:r>
      <w:r w:rsidRPr="00606E01">
        <w:t xml:space="preserve">Expediente digital, archivo “RE-361 Anexos 31 al 40 Respuesta al OPC-020 de 2025 - Presidencia de la República.pdf”, </w:t>
      </w:r>
      <w:r>
        <w:t>págs.</w:t>
      </w:r>
      <w:r w:rsidRPr="00606E01">
        <w:t xml:space="preserve"> 19 a 23.</w:t>
      </w:r>
    </w:p>
  </w:footnote>
  <w:footnote w:id="576">
    <w:p w14:paraId="6AA65C8E" w14:textId="77777777" w:rsidR="001F3006" w:rsidRPr="00606E01" w:rsidRDefault="001F3006" w:rsidP="00C454A1">
      <w:pPr>
        <w:pStyle w:val="Textonotapie"/>
      </w:pPr>
      <w:r w:rsidRPr="00606E01">
        <w:rPr>
          <w:rStyle w:val="Refdenotaalpie"/>
        </w:rPr>
        <w:footnoteRef/>
      </w:r>
      <w:r w:rsidRPr="00606E01">
        <w:t xml:space="preserve"> Ib. </w:t>
      </w:r>
      <w:r w:rsidRPr="00606E01">
        <w:rPr>
          <w:i/>
          <w:iCs/>
        </w:rPr>
        <w:t xml:space="preserve">Cfr. </w:t>
      </w:r>
      <w:r w:rsidRPr="00606E01">
        <w:t xml:space="preserve">Expediente digital, archivo “RE-361 Anexos 31 al 40 Respuesta al OPC-020 de 2025 - Presidencia de la República.pdf”, </w:t>
      </w:r>
      <w:r>
        <w:t>págs.</w:t>
      </w:r>
      <w:r w:rsidRPr="00606E01">
        <w:t xml:space="preserve"> 24 a 28.</w:t>
      </w:r>
    </w:p>
  </w:footnote>
  <w:footnote w:id="577">
    <w:p w14:paraId="0B3998D1" w14:textId="77777777" w:rsidR="001F3006" w:rsidRPr="00606E01" w:rsidRDefault="001F3006" w:rsidP="00C454A1">
      <w:pPr>
        <w:pStyle w:val="Textonotapie"/>
      </w:pPr>
      <w:r w:rsidRPr="00606E01">
        <w:rPr>
          <w:rStyle w:val="Refdenotaalpie"/>
          <w:lang w:val="es-ES"/>
        </w:rPr>
        <w:footnoteRef/>
      </w:r>
      <w:r w:rsidRPr="00606E01">
        <w:rPr>
          <w:lang w:val="es-ES"/>
        </w:rPr>
        <w:t xml:space="preserve"> Ib., p</w:t>
      </w:r>
      <w:r>
        <w:rPr>
          <w:lang w:val="es-ES"/>
        </w:rPr>
        <w:t>ág</w:t>
      </w:r>
      <w:r w:rsidRPr="00606E01">
        <w:rPr>
          <w:lang w:val="es-ES"/>
        </w:rPr>
        <w:t xml:space="preserve">. 24. </w:t>
      </w:r>
      <w:r w:rsidRPr="00606E01">
        <w:rPr>
          <w:i/>
          <w:iCs/>
          <w:lang w:val="es-ES"/>
        </w:rPr>
        <w:t>Cfr</w:t>
      </w:r>
      <w:r w:rsidRPr="00606E01">
        <w:rPr>
          <w:lang w:val="es-ES"/>
        </w:rPr>
        <w:t xml:space="preserve">. Expediente digital, archivo “RE-361 Anexos 31 al 40 Respuesta al OPC-020 de 2025 - Presidencia de la </w:t>
      </w:r>
      <w:proofErr w:type="spellStart"/>
      <w:r w:rsidRPr="00606E01">
        <w:rPr>
          <w:lang w:val="es-ES"/>
        </w:rPr>
        <w:t>República</w:t>
      </w:r>
      <w:proofErr w:type="spellEnd"/>
      <w:r w:rsidRPr="00606E01">
        <w:rPr>
          <w:lang w:val="es-ES"/>
        </w:rPr>
        <w:t xml:space="preserve">”, </w:t>
      </w:r>
      <w:r>
        <w:rPr>
          <w:lang w:val="es-ES"/>
        </w:rPr>
        <w:t>págs.</w:t>
      </w:r>
      <w:r w:rsidRPr="00606E01">
        <w:rPr>
          <w:lang w:val="es-ES"/>
        </w:rPr>
        <w:t xml:space="preserve"> 29 a 276. </w:t>
      </w:r>
    </w:p>
  </w:footnote>
  <w:footnote w:id="578">
    <w:p w14:paraId="3BA84C9D" w14:textId="77777777" w:rsidR="001F3006" w:rsidRPr="00606E01" w:rsidRDefault="001F3006" w:rsidP="00C454A1">
      <w:pPr>
        <w:pStyle w:val="Textonotapie"/>
      </w:pPr>
      <w:r w:rsidRPr="00606E01">
        <w:rPr>
          <w:rStyle w:val="Refdenotaalpie"/>
        </w:rPr>
        <w:footnoteRef/>
      </w:r>
      <w:r w:rsidRPr="00606E01">
        <w:t xml:space="preserve"> Ib., </w:t>
      </w:r>
      <w:r>
        <w:t>págs.</w:t>
      </w:r>
      <w:r w:rsidRPr="00606E01">
        <w:t xml:space="preserve"> 144 </w:t>
      </w:r>
      <w:r>
        <w:t>y ss.</w:t>
      </w:r>
    </w:p>
  </w:footnote>
  <w:footnote w:id="579">
    <w:p w14:paraId="428FEFD6" w14:textId="77777777" w:rsidR="001F3006" w:rsidRPr="00606E01" w:rsidRDefault="001F3006" w:rsidP="00C454A1">
      <w:pPr>
        <w:pStyle w:val="Textonotapie"/>
      </w:pPr>
      <w:r w:rsidRPr="00606E01">
        <w:rPr>
          <w:rStyle w:val="Refdenotaalpie"/>
        </w:rPr>
        <w:footnoteRef/>
      </w:r>
      <w:r w:rsidRPr="00606E01">
        <w:t xml:space="preserve"> Ib., </w:t>
      </w:r>
      <w:r>
        <w:t>págs.</w:t>
      </w:r>
      <w:r w:rsidRPr="00606E01">
        <w:t xml:space="preserve"> 69 y ss. </w:t>
      </w:r>
    </w:p>
  </w:footnote>
  <w:footnote w:id="580">
    <w:p w14:paraId="26F0C58D" w14:textId="77777777" w:rsidR="001F3006" w:rsidRPr="00606E01" w:rsidRDefault="001F3006" w:rsidP="00C454A1">
      <w:pPr>
        <w:pStyle w:val="Textonotapie"/>
      </w:pPr>
      <w:r w:rsidRPr="00606E01">
        <w:rPr>
          <w:rStyle w:val="Refdenotaalpie"/>
        </w:rPr>
        <w:footnoteRef/>
      </w:r>
      <w:r w:rsidRPr="00606E01">
        <w:t xml:space="preserve"> Ib., p</w:t>
      </w:r>
      <w:r>
        <w:t>ágs</w:t>
      </w:r>
      <w:r w:rsidRPr="00606E01">
        <w:t xml:space="preserve">. 121 a 128. </w:t>
      </w:r>
    </w:p>
  </w:footnote>
  <w:footnote w:id="581">
    <w:p w14:paraId="7DD77FC5"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25. </w:t>
      </w:r>
      <w:r w:rsidRPr="00606E01">
        <w:rPr>
          <w:i/>
          <w:iCs/>
        </w:rPr>
        <w:t xml:space="preserve">Cfr. </w:t>
      </w:r>
      <w:r w:rsidRPr="00606E01">
        <w:t xml:space="preserve">Expediente digital, archivo “RE-361 Anexos 31 al 40 Respuesta al OPC-020 de 2025 - Presidencia de la República.pdf”, </w:t>
      </w:r>
      <w:r>
        <w:t>págs.</w:t>
      </w:r>
      <w:r w:rsidRPr="00606E01">
        <w:t xml:space="preserve"> 277 a 286.</w:t>
      </w:r>
    </w:p>
  </w:footnote>
  <w:footnote w:id="582">
    <w:p w14:paraId="4F4DA8B1" w14:textId="77777777" w:rsidR="001F3006" w:rsidRPr="00606E01" w:rsidRDefault="001F3006" w:rsidP="00C454A1">
      <w:pPr>
        <w:pStyle w:val="Textonotapie"/>
      </w:pPr>
      <w:r w:rsidRPr="00606E01">
        <w:rPr>
          <w:rStyle w:val="Refdenotaalpie"/>
          <w:lang w:val="es-ES"/>
        </w:rPr>
        <w:footnoteRef/>
      </w:r>
      <w:r w:rsidRPr="00606E01">
        <w:rPr>
          <w:lang w:val="es-ES"/>
        </w:rPr>
        <w:t xml:space="preserve"> Ib. </w:t>
      </w:r>
      <w:r w:rsidRPr="00606E01">
        <w:rPr>
          <w:i/>
          <w:iCs/>
          <w:lang w:val="es-ES"/>
        </w:rPr>
        <w:t>Cfr</w:t>
      </w:r>
      <w:r w:rsidRPr="00606E01">
        <w:rPr>
          <w:lang w:val="es-ES"/>
        </w:rPr>
        <w:t xml:space="preserve">. </w:t>
      </w:r>
      <w:r w:rsidRPr="00606E01">
        <w:t xml:space="preserve">Expediente digital, archivo “RE0000361-Pruebas del Expediente (RecepciÃ³n y Paso al </w:t>
      </w:r>
      <w:proofErr w:type="gramStart"/>
      <w:r w:rsidRPr="00606E01">
        <w:t>Despacho)-(</w:t>
      </w:r>
      <w:proofErr w:type="gramEnd"/>
      <w:r w:rsidRPr="00606E01">
        <w:t xml:space="preserve">2025-02-10 20-25-06)”, </w:t>
      </w:r>
      <w:r>
        <w:t>págs.</w:t>
      </w:r>
      <w:r w:rsidRPr="00606E01">
        <w:t xml:space="preserve"> 6</w:t>
      </w:r>
    </w:p>
    <w:p w14:paraId="714D7F84" w14:textId="77777777" w:rsidR="001F3006" w:rsidRPr="00606E01" w:rsidRDefault="001F3006" w:rsidP="00C454A1">
      <w:pPr>
        <w:pStyle w:val="Textonotapie"/>
      </w:pPr>
      <w:r w:rsidRPr="00606E01">
        <w:t xml:space="preserve">17 a 19. </w:t>
      </w:r>
    </w:p>
  </w:footnote>
  <w:footnote w:id="583">
    <w:p w14:paraId="4521D666"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 xml:space="preserve">Expediente digital, archivo “Respuesta DAPRE II.pdf”, p. 30. </w:t>
      </w:r>
      <w:r w:rsidRPr="00606E01">
        <w:rPr>
          <w:i/>
          <w:color w:val="000000" w:themeColor="text1"/>
        </w:rPr>
        <w:t>Cfr.</w:t>
      </w:r>
      <w:r w:rsidRPr="00606E01">
        <w:rPr>
          <w:color w:val="000000" w:themeColor="text1"/>
        </w:rPr>
        <w:t xml:space="preserve"> Expediente digital, archivo “RE0000361-Pruebas del Expediente (Recepción y Paso al </w:t>
      </w:r>
      <w:proofErr w:type="gramStart"/>
      <w:r w:rsidRPr="00606E01">
        <w:rPr>
          <w:color w:val="000000" w:themeColor="text1"/>
        </w:rPr>
        <w:t>Despacho)-(</w:t>
      </w:r>
      <w:proofErr w:type="gramEnd"/>
      <w:r w:rsidRPr="00606E01">
        <w:rPr>
          <w:color w:val="000000" w:themeColor="text1"/>
        </w:rPr>
        <w:t>2025-02-10 01-41-54).</w:t>
      </w:r>
      <w:proofErr w:type="spellStart"/>
      <w:r w:rsidRPr="00606E01">
        <w:rPr>
          <w:color w:val="000000" w:themeColor="text1"/>
        </w:rPr>
        <w:t>pdf</w:t>
      </w:r>
      <w:proofErr w:type="spellEnd"/>
      <w:r w:rsidRPr="00606E01">
        <w:rPr>
          <w:color w:val="000000" w:themeColor="text1"/>
        </w:rPr>
        <w:t>”, p</w:t>
      </w:r>
      <w:r>
        <w:rPr>
          <w:color w:val="000000" w:themeColor="text1"/>
        </w:rPr>
        <w:t>ág</w:t>
      </w:r>
      <w:r w:rsidRPr="00606E01">
        <w:rPr>
          <w:color w:val="000000" w:themeColor="text1"/>
        </w:rPr>
        <w:t>. 30.</w:t>
      </w:r>
    </w:p>
  </w:footnote>
  <w:footnote w:id="584">
    <w:p w14:paraId="3E2AF32D"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 xml:space="preserve">Expediente digital, archivo “RE-361.Anexos 11 al 20 Respuesta al OPC-020 de 2025 - Presidencia de la República. Algunos documentos reservados”, p. 13 a 20.  </w:t>
      </w:r>
      <w:r w:rsidRPr="00606E01">
        <w:rPr>
          <w:i/>
          <w:color w:val="000000" w:themeColor="text1"/>
        </w:rPr>
        <w:t>Cfr.</w:t>
      </w:r>
      <w:r w:rsidRPr="00606E01">
        <w:rPr>
          <w:color w:val="000000" w:themeColor="text1"/>
        </w:rPr>
        <w:t xml:space="preserve"> Expediente digital, archivo “RE0000361-Pruebas del Expediente (Recepción y Paso al </w:t>
      </w:r>
      <w:proofErr w:type="gramStart"/>
      <w:r w:rsidRPr="00606E01">
        <w:rPr>
          <w:color w:val="000000" w:themeColor="text1"/>
        </w:rPr>
        <w:t>Despacho)-(</w:t>
      </w:r>
      <w:proofErr w:type="gramEnd"/>
      <w:r w:rsidRPr="00606E01">
        <w:rPr>
          <w:color w:val="000000" w:themeColor="text1"/>
        </w:rPr>
        <w:t>2025-02-10 20-04-50).</w:t>
      </w:r>
      <w:proofErr w:type="spellStart"/>
      <w:r w:rsidRPr="00606E01">
        <w:rPr>
          <w:color w:val="000000" w:themeColor="text1"/>
        </w:rPr>
        <w:t>pdf</w:t>
      </w:r>
      <w:proofErr w:type="spellEnd"/>
      <w:r w:rsidRPr="00606E01">
        <w:rPr>
          <w:color w:val="000000" w:themeColor="text1"/>
        </w:rPr>
        <w:t>”, p</w:t>
      </w:r>
      <w:r>
        <w:rPr>
          <w:color w:val="000000" w:themeColor="text1"/>
        </w:rPr>
        <w:t>ágs</w:t>
      </w:r>
      <w:r w:rsidRPr="00606E01">
        <w:rPr>
          <w:color w:val="000000" w:themeColor="text1"/>
        </w:rPr>
        <w:t>. 13 a 20.</w:t>
      </w:r>
    </w:p>
  </w:footnote>
  <w:footnote w:id="585">
    <w:p w14:paraId="10BFE350"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Expediente digital, archivo “RE-361 Anexos 40 al 45 Respuesta al OPC-020 de 2025 - Presidencia de la República”, p</w:t>
      </w:r>
      <w:r>
        <w:rPr>
          <w:color w:val="000000" w:themeColor="text1"/>
        </w:rPr>
        <w:t>ág</w:t>
      </w:r>
      <w:r w:rsidRPr="00606E01">
        <w:rPr>
          <w:color w:val="000000" w:themeColor="text1"/>
        </w:rPr>
        <w:t xml:space="preserve">. 2.  </w:t>
      </w:r>
      <w:r w:rsidRPr="00606E01">
        <w:rPr>
          <w:i/>
          <w:color w:val="000000" w:themeColor="text1"/>
        </w:rPr>
        <w:t>Cfr.</w:t>
      </w:r>
      <w:r w:rsidRPr="00606E01">
        <w:rPr>
          <w:color w:val="000000" w:themeColor="text1"/>
        </w:rPr>
        <w:t xml:space="preserve"> Expediente digital, archivo “RE0000361-Pruebas del Expediente (Recepción y Paso al </w:t>
      </w:r>
      <w:proofErr w:type="gramStart"/>
      <w:r w:rsidRPr="00606E01">
        <w:rPr>
          <w:color w:val="000000" w:themeColor="text1"/>
        </w:rPr>
        <w:t>Despacho)-(</w:t>
      </w:r>
      <w:proofErr w:type="gramEnd"/>
      <w:r w:rsidRPr="00606E01">
        <w:rPr>
          <w:color w:val="000000" w:themeColor="text1"/>
        </w:rPr>
        <w:t>2025-02-10 20-28-51).</w:t>
      </w:r>
      <w:proofErr w:type="spellStart"/>
      <w:r w:rsidRPr="00606E01">
        <w:rPr>
          <w:color w:val="000000" w:themeColor="text1"/>
        </w:rPr>
        <w:t>pdf</w:t>
      </w:r>
      <w:proofErr w:type="spellEnd"/>
      <w:r w:rsidRPr="00606E01">
        <w:rPr>
          <w:color w:val="000000" w:themeColor="text1"/>
        </w:rPr>
        <w:t>”, p</w:t>
      </w:r>
      <w:r>
        <w:rPr>
          <w:color w:val="000000" w:themeColor="text1"/>
        </w:rPr>
        <w:t>ág</w:t>
      </w:r>
      <w:r w:rsidRPr="00606E01">
        <w:rPr>
          <w:color w:val="000000" w:themeColor="text1"/>
        </w:rPr>
        <w:t>. 2.</w:t>
      </w:r>
    </w:p>
  </w:footnote>
  <w:footnote w:id="586">
    <w:p w14:paraId="2C801EFF"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Expediente digital, archivo “RE-361 Anexos 40 al 45 Respuesta al OPC-020 de 2025 - Presidencia de la República”, p</w:t>
      </w:r>
      <w:r>
        <w:rPr>
          <w:color w:val="000000" w:themeColor="text1"/>
        </w:rPr>
        <w:t>ág</w:t>
      </w:r>
      <w:r w:rsidRPr="00606E01">
        <w:rPr>
          <w:color w:val="000000" w:themeColor="text1"/>
        </w:rPr>
        <w:t xml:space="preserve">. 3.  </w:t>
      </w:r>
      <w:r w:rsidRPr="00606E01">
        <w:rPr>
          <w:i/>
          <w:color w:val="000000" w:themeColor="text1"/>
        </w:rPr>
        <w:t>Cfr.</w:t>
      </w:r>
      <w:r w:rsidRPr="00606E01">
        <w:rPr>
          <w:color w:val="000000" w:themeColor="text1"/>
        </w:rPr>
        <w:t xml:space="preserve"> Expediente digital, archivo “RE0000361-Pruebas del Expediente (Recepción y Paso al </w:t>
      </w:r>
      <w:proofErr w:type="gramStart"/>
      <w:r w:rsidRPr="00606E01">
        <w:rPr>
          <w:color w:val="000000" w:themeColor="text1"/>
        </w:rPr>
        <w:t>Despacho)-(</w:t>
      </w:r>
      <w:proofErr w:type="gramEnd"/>
      <w:r w:rsidRPr="00606E01">
        <w:rPr>
          <w:color w:val="000000" w:themeColor="text1"/>
        </w:rPr>
        <w:t>2025-02-10 20-28-51).</w:t>
      </w:r>
      <w:proofErr w:type="spellStart"/>
      <w:r w:rsidRPr="00606E01">
        <w:rPr>
          <w:color w:val="000000" w:themeColor="text1"/>
        </w:rPr>
        <w:t>pdf</w:t>
      </w:r>
      <w:proofErr w:type="spellEnd"/>
      <w:r w:rsidRPr="00606E01">
        <w:rPr>
          <w:color w:val="000000" w:themeColor="text1"/>
        </w:rPr>
        <w:t>”, p</w:t>
      </w:r>
      <w:r>
        <w:rPr>
          <w:color w:val="000000" w:themeColor="text1"/>
        </w:rPr>
        <w:t>ág</w:t>
      </w:r>
      <w:r w:rsidRPr="00606E01">
        <w:rPr>
          <w:color w:val="000000" w:themeColor="text1"/>
        </w:rPr>
        <w:t>. 3.</w:t>
      </w:r>
    </w:p>
  </w:footnote>
  <w:footnote w:id="587">
    <w:p w14:paraId="4A31F98C" w14:textId="77777777" w:rsidR="001F3006" w:rsidRPr="00606E01" w:rsidRDefault="001F3006" w:rsidP="00C454A1">
      <w:pPr>
        <w:pStyle w:val="Textonotapie"/>
        <w:spacing w:line="257" w:lineRule="auto"/>
        <w:rPr>
          <w:color w:val="000000" w:themeColor="text1"/>
        </w:rPr>
      </w:pPr>
      <w:r w:rsidRPr="00606E01">
        <w:rPr>
          <w:rStyle w:val="Refdenotaalpie"/>
        </w:rPr>
        <w:footnoteRef/>
      </w:r>
      <w:r w:rsidRPr="00606E01">
        <w:t xml:space="preserve"> </w:t>
      </w:r>
      <w:r w:rsidRPr="00606E01">
        <w:rPr>
          <w:color w:val="000000" w:themeColor="text1"/>
        </w:rPr>
        <w:t>Expediente digital, archivo “RE-361 Anexos 40 al 45 Respuesta al OPC-020 de 2025 - Presidencia de la República”, p</w:t>
      </w:r>
      <w:r>
        <w:rPr>
          <w:color w:val="000000" w:themeColor="text1"/>
        </w:rPr>
        <w:t>ág</w:t>
      </w:r>
      <w:r w:rsidRPr="00606E01">
        <w:rPr>
          <w:color w:val="000000" w:themeColor="text1"/>
        </w:rPr>
        <w:t xml:space="preserve">. 3.  </w:t>
      </w:r>
      <w:r w:rsidRPr="00606E01">
        <w:rPr>
          <w:i/>
          <w:color w:val="000000" w:themeColor="text1"/>
        </w:rPr>
        <w:t>Cfr.</w:t>
      </w:r>
      <w:r w:rsidRPr="00606E01">
        <w:rPr>
          <w:color w:val="000000" w:themeColor="text1"/>
        </w:rPr>
        <w:t xml:space="preserve"> Expediente digital, archivo “RE0000361-Pruebas del Expediente (Recepción y Paso al </w:t>
      </w:r>
      <w:proofErr w:type="gramStart"/>
      <w:r w:rsidRPr="00606E01">
        <w:rPr>
          <w:color w:val="000000" w:themeColor="text1"/>
        </w:rPr>
        <w:t>Despacho)-(</w:t>
      </w:r>
      <w:proofErr w:type="gramEnd"/>
      <w:r w:rsidRPr="00606E01">
        <w:rPr>
          <w:color w:val="000000" w:themeColor="text1"/>
        </w:rPr>
        <w:t>2025-02-10 20-28-51).</w:t>
      </w:r>
      <w:proofErr w:type="spellStart"/>
      <w:r w:rsidRPr="00606E01">
        <w:rPr>
          <w:color w:val="000000" w:themeColor="text1"/>
        </w:rPr>
        <w:t>pdf</w:t>
      </w:r>
      <w:proofErr w:type="spellEnd"/>
      <w:r w:rsidRPr="00606E01">
        <w:rPr>
          <w:color w:val="000000" w:themeColor="text1"/>
        </w:rPr>
        <w:t>”, p</w:t>
      </w:r>
      <w:r>
        <w:rPr>
          <w:color w:val="000000" w:themeColor="text1"/>
        </w:rPr>
        <w:t>ág</w:t>
      </w:r>
      <w:r w:rsidRPr="00606E01">
        <w:rPr>
          <w:color w:val="000000" w:themeColor="text1"/>
        </w:rPr>
        <w:t>. 3.</w:t>
      </w:r>
    </w:p>
  </w:footnote>
  <w:footnote w:id="588">
    <w:p w14:paraId="7A3F52B0"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Expediente digital, archivo “Respuesta DAPRE II.pdf”, p</w:t>
      </w:r>
      <w:r>
        <w:rPr>
          <w:color w:val="000000" w:themeColor="text1"/>
        </w:rPr>
        <w:t>ág</w:t>
      </w:r>
      <w:r w:rsidRPr="00606E01">
        <w:rPr>
          <w:color w:val="000000" w:themeColor="text1"/>
        </w:rPr>
        <w:t xml:space="preserve">. 32. </w:t>
      </w:r>
      <w:r w:rsidRPr="00606E01">
        <w:rPr>
          <w:i/>
          <w:color w:val="000000" w:themeColor="text1"/>
        </w:rPr>
        <w:t>Cfr.</w:t>
      </w:r>
      <w:r w:rsidRPr="00606E01">
        <w:rPr>
          <w:color w:val="000000" w:themeColor="text1"/>
        </w:rPr>
        <w:t xml:space="preserve"> Expediente digital, archivo “RE0000361-Pruebas del Expediente (Recepción y Paso al </w:t>
      </w:r>
      <w:proofErr w:type="gramStart"/>
      <w:r w:rsidRPr="00606E01">
        <w:rPr>
          <w:color w:val="000000" w:themeColor="text1"/>
        </w:rPr>
        <w:t>Despacho)-(</w:t>
      </w:r>
      <w:proofErr w:type="gramEnd"/>
      <w:r w:rsidRPr="00606E01">
        <w:rPr>
          <w:color w:val="000000" w:themeColor="text1"/>
        </w:rPr>
        <w:t>2025-02-10 01-41-54).</w:t>
      </w:r>
      <w:proofErr w:type="spellStart"/>
      <w:r w:rsidRPr="00606E01">
        <w:rPr>
          <w:color w:val="000000" w:themeColor="text1"/>
        </w:rPr>
        <w:t>pdf</w:t>
      </w:r>
      <w:proofErr w:type="spellEnd"/>
      <w:r w:rsidRPr="00606E01">
        <w:rPr>
          <w:color w:val="000000" w:themeColor="text1"/>
        </w:rPr>
        <w:t>”, p</w:t>
      </w:r>
      <w:r>
        <w:rPr>
          <w:color w:val="000000" w:themeColor="text1"/>
        </w:rPr>
        <w:t>ág</w:t>
      </w:r>
      <w:r w:rsidRPr="00606E01">
        <w:rPr>
          <w:color w:val="000000" w:themeColor="text1"/>
        </w:rPr>
        <w:t>. 32.</w:t>
      </w:r>
    </w:p>
  </w:footnote>
  <w:footnote w:id="589">
    <w:p w14:paraId="6A541A2E"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Expediente digital, archivo “Respuesta DAPRE II.pdf”, p. 34 y 35. </w:t>
      </w:r>
      <w:r w:rsidRPr="00606E01">
        <w:rPr>
          <w:i/>
          <w:iCs/>
          <w:lang w:val="es-ES"/>
        </w:rPr>
        <w:t>Cfr.</w:t>
      </w:r>
      <w:r w:rsidRPr="00606E01">
        <w:rPr>
          <w:lang w:val="es-ES"/>
        </w:rPr>
        <w:t xml:space="preserve"> Expediente digital, archivo “RE0000361-Pruebas del Expediente (Recepción y Paso al </w:t>
      </w:r>
      <w:proofErr w:type="gramStart"/>
      <w:r w:rsidRPr="00606E01">
        <w:rPr>
          <w:lang w:val="es-ES"/>
        </w:rPr>
        <w:t>Despacho)-(</w:t>
      </w:r>
      <w:proofErr w:type="gramEnd"/>
      <w:r w:rsidRPr="00606E01">
        <w:rPr>
          <w:lang w:val="es-ES"/>
        </w:rPr>
        <w:t>2025-02-10 01-41-54).</w:t>
      </w:r>
      <w:proofErr w:type="spellStart"/>
      <w:r w:rsidRPr="00606E01">
        <w:rPr>
          <w:lang w:val="es-ES"/>
        </w:rPr>
        <w:t>pdf</w:t>
      </w:r>
      <w:proofErr w:type="spellEnd"/>
      <w:r w:rsidRPr="00606E01">
        <w:rPr>
          <w:lang w:val="es-ES"/>
        </w:rPr>
        <w:t>”, p</w:t>
      </w:r>
      <w:r>
        <w:rPr>
          <w:lang w:val="es-ES"/>
        </w:rPr>
        <w:t>ágs</w:t>
      </w:r>
      <w:r w:rsidRPr="00606E01">
        <w:rPr>
          <w:lang w:val="es-ES"/>
        </w:rPr>
        <w:t>. 34 y 35.</w:t>
      </w:r>
    </w:p>
  </w:footnote>
  <w:footnote w:id="590">
    <w:p w14:paraId="377D3472"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Expediente digital, archivo “RE-361 RESERVADO Anexo 21. Comunicación Dirección Sustitución Cultivos Uso Ilícito 1”, p</w:t>
      </w:r>
      <w:r>
        <w:rPr>
          <w:color w:val="000000" w:themeColor="text1"/>
        </w:rPr>
        <w:t>ág</w:t>
      </w:r>
      <w:r w:rsidRPr="00606E01">
        <w:rPr>
          <w:color w:val="000000" w:themeColor="text1"/>
        </w:rPr>
        <w:t>. 20.</w:t>
      </w:r>
    </w:p>
  </w:footnote>
  <w:footnote w:id="591">
    <w:p w14:paraId="5951DC2B"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Expediente digital, archivo “RE-361 Anexos 31 al 40 Respuesta al OPC-020 de 2025 - Presidencia de la República”, p</w:t>
      </w:r>
      <w:r>
        <w:rPr>
          <w:color w:val="000000" w:themeColor="text1"/>
        </w:rPr>
        <w:t>ág</w:t>
      </w:r>
      <w:r w:rsidRPr="00606E01">
        <w:rPr>
          <w:color w:val="000000" w:themeColor="text1"/>
        </w:rPr>
        <w:t>. 298.</w:t>
      </w:r>
    </w:p>
  </w:footnote>
  <w:footnote w:id="592">
    <w:p w14:paraId="347846E5"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Expediente digital, archivo “RE-361 Anexos 31 al 40 Respuesta al OPC-020 de 2025 - Presidencia de la República”, p</w:t>
      </w:r>
      <w:r>
        <w:rPr>
          <w:color w:val="000000" w:themeColor="text1"/>
        </w:rPr>
        <w:t>ág</w:t>
      </w:r>
      <w:r w:rsidRPr="00606E01">
        <w:rPr>
          <w:color w:val="000000" w:themeColor="text1"/>
        </w:rPr>
        <w:t>. 300.</w:t>
      </w:r>
    </w:p>
  </w:footnote>
  <w:footnote w:id="593">
    <w:p w14:paraId="0544A0E7" w14:textId="77777777" w:rsidR="001F3006" w:rsidRPr="00606E01" w:rsidRDefault="001F3006" w:rsidP="00C454A1">
      <w:pPr>
        <w:pStyle w:val="Textonotapie"/>
        <w:rPr>
          <w:color w:val="000000" w:themeColor="text1"/>
        </w:rPr>
      </w:pPr>
      <w:r w:rsidRPr="00606E01">
        <w:rPr>
          <w:rStyle w:val="Refdenotaalpie"/>
        </w:rPr>
        <w:footnoteRef/>
      </w:r>
      <w:r w:rsidRPr="00606E01">
        <w:t xml:space="preserve"> </w:t>
      </w:r>
      <w:r w:rsidRPr="00606E01">
        <w:rPr>
          <w:color w:val="000000" w:themeColor="text1"/>
        </w:rPr>
        <w:t>Expediente digital, archivo “RE-361 Anexos 40 al 45 Respuesta al OPC-020 de 2025 - Presidencia de la República”, p</w:t>
      </w:r>
      <w:r>
        <w:rPr>
          <w:color w:val="000000" w:themeColor="text1"/>
        </w:rPr>
        <w:t>ág</w:t>
      </w:r>
      <w:r w:rsidRPr="00606E01">
        <w:rPr>
          <w:color w:val="000000" w:themeColor="text1"/>
        </w:rPr>
        <w:t xml:space="preserve">. 25.  </w:t>
      </w:r>
      <w:r w:rsidRPr="00606E01">
        <w:rPr>
          <w:i/>
          <w:iCs/>
          <w:color w:val="000000" w:themeColor="text1"/>
        </w:rPr>
        <w:t>Cfr.</w:t>
      </w:r>
      <w:r w:rsidRPr="00606E01">
        <w:rPr>
          <w:color w:val="000000" w:themeColor="text1"/>
        </w:rPr>
        <w:t xml:space="preserve"> Expediente digital, archivo “RE0000361-Pruebas del Expediente (Recepción y Paso al </w:t>
      </w:r>
      <w:proofErr w:type="gramStart"/>
      <w:r w:rsidRPr="00606E01">
        <w:rPr>
          <w:color w:val="000000" w:themeColor="text1"/>
        </w:rPr>
        <w:t>Despacho)-(</w:t>
      </w:r>
      <w:proofErr w:type="gramEnd"/>
      <w:r w:rsidRPr="00606E01">
        <w:rPr>
          <w:color w:val="000000" w:themeColor="text1"/>
        </w:rPr>
        <w:t>2025-02-10 20-28-51).</w:t>
      </w:r>
      <w:proofErr w:type="spellStart"/>
      <w:r w:rsidRPr="00606E01">
        <w:rPr>
          <w:color w:val="000000" w:themeColor="text1"/>
        </w:rPr>
        <w:t>pdf</w:t>
      </w:r>
      <w:proofErr w:type="spellEnd"/>
      <w:r w:rsidRPr="00606E01">
        <w:rPr>
          <w:color w:val="000000" w:themeColor="text1"/>
        </w:rPr>
        <w:t>”, p. 25.</w:t>
      </w:r>
    </w:p>
  </w:footnote>
  <w:footnote w:id="594">
    <w:p w14:paraId="34DD6C00" w14:textId="77777777" w:rsidR="001F3006" w:rsidRPr="00606E01" w:rsidRDefault="001F3006" w:rsidP="00C454A1">
      <w:pPr>
        <w:pStyle w:val="Textonotapie"/>
      </w:pPr>
      <w:r w:rsidRPr="00606E01">
        <w:rPr>
          <w:rStyle w:val="Refdenotaalpie"/>
          <w:lang w:val="es-ES"/>
        </w:rPr>
        <w:footnoteRef/>
      </w:r>
      <w:r w:rsidRPr="00606E01">
        <w:rPr>
          <w:lang w:val="es-ES"/>
        </w:rPr>
        <w:t xml:space="preserve"> </w:t>
      </w:r>
      <w:r w:rsidRPr="00606E01">
        <w:rPr>
          <w:color w:val="000000" w:themeColor="text1"/>
          <w:lang w:val="es-ES"/>
        </w:rPr>
        <w:t xml:space="preserve">Expediente digital, archivo “RE-361 Anexos 40 al 45 Respuesta al OPC-020 de 2025 - Presidencia de la República”, p. 40.  </w:t>
      </w:r>
      <w:r w:rsidRPr="00606E01">
        <w:rPr>
          <w:i/>
          <w:iCs/>
          <w:color w:val="000000" w:themeColor="text1"/>
          <w:lang w:val="es-ES"/>
        </w:rPr>
        <w:t>Cfr.</w:t>
      </w:r>
      <w:r w:rsidRPr="00606E01">
        <w:rPr>
          <w:color w:val="000000" w:themeColor="text1"/>
          <w:lang w:val="es-ES"/>
        </w:rPr>
        <w:t xml:space="preserve"> Expediente digital, archivo “RE0000361-Pruebas del Expediente (Recepción y Paso al </w:t>
      </w:r>
      <w:proofErr w:type="gramStart"/>
      <w:r w:rsidRPr="00606E01">
        <w:rPr>
          <w:color w:val="000000" w:themeColor="text1"/>
          <w:lang w:val="es-ES"/>
        </w:rPr>
        <w:t>Despacho)-(</w:t>
      </w:r>
      <w:proofErr w:type="gramEnd"/>
      <w:r w:rsidRPr="00606E01">
        <w:rPr>
          <w:color w:val="000000" w:themeColor="text1"/>
          <w:lang w:val="es-ES"/>
        </w:rPr>
        <w:t>2025-02-10 20-28-51).</w:t>
      </w:r>
      <w:proofErr w:type="spellStart"/>
      <w:r w:rsidRPr="00606E01">
        <w:rPr>
          <w:color w:val="000000" w:themeColor="text1"/>
          <w:lang w:val="es-ES"/>
        </w:rPr>
        <w:t>pdf</w:t>
      </w:r>
      <w:proofErr w:type="spellEnd"/>
      <w:r w:rsidRPr="00606E01">
        <w:rPr>
          <w:color w:val="000000" w:themeColor="text1"/>
          <w:lang w:val="es-ES"/>
        </w:rPr>
        <w:t>”, p. 40.</w:t>
      </w:r>
    </w:p>
  </w:footnote>
  <w:footnote w:id="595">
    <w:p w14:paraId="2D850AAD" w14:textId="77777777" w:rsidR="001F3006" w:rsidRPr="00595FCC" w:rsidRDefault="001F3006" w:rsidP="00C454A1">
      <w:pPr>
        <w:pStyle w:val="Textonotapie"/>
        <w:rPr>
          <w:lang w:val="es-ES_tradnl"/>
        </w:rPr>
      </w:pPr>
      <w:r>
        <w:rPr>
          <w:rStyle w:val="Refdenotaalpie"/>
        </w:rPr>
        <w:footnoteRef/>
      </w:r>
      <w:r w:rsidRPr="007E420E">
        <w:rPr>
          <w:lang w:val="es-ES"/>
        </w:rPr>
        <w:t xml:space="preserve"> </w:t>
      </w:r>
      <w:r w:rsidRPr="00606E01">
        <w:rPr>
          <w:color w:val="000000" w:themeColor="text1"/>
        </w:rPr>
        <w:t xml:space="preserve">Expediente digital, archivo “RE-361.Anexos 11 al 20 Respuesta al OPC-020 de 2025 - Presidencia de la República. Algunos documentos reservados”, p. 114.  </w:t>
      </w:r>
      <w:r w:rsidRPr="00606E01">
        <w:rPr>
          <w:i/>
          <w:iCs/>
          <w:color w:val="000000" w:themeColor="text1"/>
        </w:rPr>
        <w:t>Cfr.</w:t>
      </w:r>
      <w:r w:rsidRPr="00606E01">
        <w:rPr>
          <w:color w:val="000000" w:themeColor="text1"/>
        </w:rPr>
        <w:t xml:space="preserve"> Expediente digital, archivo “RE0000361-Pruebas del Expediente (Recepción y Paso al </w:t>
      </w:r>
      <w:proofErr w:type="gramStart"/>
      <w:r w:rsidRPr="00606E01">
        <w:rPr>
          <w:color w:val="000000" w:themeColor="text1"/>
        </w:rPr>
        <w:t>Despacho)-(</w:t>
      </w:r>
      <w:proofErr w:type="gramEnd"/>
      <w:r w:rsidRPr="00606E01">
        <w:rPr>
          <w:color w:val="000000" w:themeColor="text1"/>
        </w:rPr>
        <w:t>2025-02-10 20-04-50).</w:t>
      </w:r>
      <w:proofErr w:type="spellStart"/>
      <w:r w:rsidRPr="00606E01">
        <w:rPr>
          <w:color w:val="000000" w:themeColor="text1"/>
        </w:rPr>
        <w:t>pdf</w:t>
      </w:r>
      <w:proofErr w:type="spellEnd"/>
      <w:r w:rsidRPr="00606E01">
        <w:rPr>
          <w:color w:val="000000" w:themeColor="text1"/>
        </w:rPr>
        <w:t>”, p</w:t>
      </w:r>
      <w:r>
        <w:rPr>
          <w:color w:val="000000" w:themeColor="text1"/>
        </w:rPr>
        <w:t>ág</w:t>
      </w:r>
      <w:r w:rsidRPr="00606E01">
        <w:rPr>
          <w:color w:val="000000" w:themeColor="text1"/>
        </w:rPr>
        <w:t>. 114</w:t>
      </w:r>
      <w:r>
        <w:rPr>
          <w:color w:val="000000" w:themeColor="text1"/>
        </w:rPr>
        <w:t>.</w:t>
      </w:r>
    </w:p>
  </w:footnote>
  <w:footnote w:id="596">
    <w:p w14:paraId="63F75E0C" w14:textId="77777777" w:rsidR="001F3006" w:rsidRPr="00595FCC" w:rsidRDefault="001F3006" w:rsidP="00C454A1">
      <w:pPr>
        <w:pStyle w:val="Textonotapie"/>
        <w:rPr>
          <w:lang w:val="es-ES_tradnl"/>
        </w:rPr>
      </w:pPr>
      <w:r>
        <w:rPr>
          <w:rStyle w:val="Refdenotaalpie"/>
        </w:rPr>
        <w:footnoteRef/>
      </w:r>
      <w:r w:rsidRPr="007E420E">
        <w:rPr>
          <w:lang w:val="es-ES"/>
        </w:rPr>
        <w:t xml:space="preserve"> </w:t>
      </w:r>
      <w:r w:rsidRPr="00606E01">
        <w:rPr>
          <w:color w:val="000000" w:themeColor="text1"/>
        </w:rPr>
        <w:t>Expediente digital, archivo “RE-361 RESERVADO Anexo 21. Comunicación Dirección Sustitución Cultivos Uso Ilícito 1”, p</w:t>
      </w:r>
      <w:r>
        <w:rPr>
          <w:color w:val="000000" w:themeColor="text1"/>
        </w:rPr>
        <w:t>ág</w:t>
      </w:r>
      <w:r w:rsidRPr="00606E01">
        <w:rPr>
          <w:color w:val="000000" w:themeColor="text1"/>
        </w:rPr>
        <w:t>. 31</w:t>
      </w:r>
      <w:r>
        <w:rPr>
          <w:color w:val="000000" w:themeColor="text1"/>
        </w:rPr>
        <w:t>.</w:t>
      </w:r>
    </w:p>
  </w:footnote>
  <w:footnote w:id="597">
    <w:p w14:paraId="23DFCBFA"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Expediente digital, archivo: “06.02.25 Fuerzas Militares.pdf”, p</w:t>
      </w:r>
      <w:r>
        <w:rPr>
          <w:lang w:val="es-ES"/>
        </w:rPr>
        <w:t>ág</w:t>
      </w:r>
      <w:r w:rsidRPr="00606E01">
        <w:rPr>
          <w:lang w:val="es-ES"/>
        </w:rPr>
        <w:t>. 2.</w:t>
      </w:r>
    </w:p>
  </w:footnote>
  <w:footnote w:id="598">
    <w:p w14:paraId="5BA0F296"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599">
    <w:p w14:paraId="48874A3F"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3. </w:t>
      </w:r>
    </w:p>
  </w:footnote>
  <w:footnote w:id="600">
    <w:p w14:paraId="09381FFE"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3. </w:t>
      </w:r>
    </w:p>
  </w:footnote>
  <w:footnote w:id="601">
    <w:p w14:paraId="4930033A"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02">
    <w:p w14:paraId="51F8AB80"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03">
    <w:p w14:paraId="4BD828C3"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04">
    <w:p w14:paraId="3EA0A3D2"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05">
    <w:p w14:paraId="33B9871B"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06">
    <w:p w14:paraId="6F80EC26" w14:textId="77777777" w:rsidR="001F3006" w:rsidRPr="00606E01" w:rsidRDefault="001F3006" w:rsidP="00C454A1">
      <w:pPr>
        <w:pStyle w:val="Textonotapie"/>
      </w:pPr>
      <w:r w:rsidRPr="00606E01">
        <w:rPr>
          <w:rStyle w:val="Refdenotaalpie"/>
        </w:rPr>
        <w:footnoteRef/>
      </w:r>
      <w:r w:rsidRPr="00606E01">
        <w:t xml:space="preserve"> Ib. </w:t>
      </w:r>
    </w:p>
  </w:footnote>
  <w:footnote w:id="607">
    <w:p w14:paraId="3FF069BD" w14:textId="77777777" w:rsidR="001F3006" w:rsidRPr="00606E01" w:rsidRDefault="001F3006" w:rsidP="00C454A1">
      <w:pPr>
        <w:pStyle w:val="Textonotapie"/>
      </w:pPr>
      <w:r w:rsidRPr="00606E01">
        <w:rPr>
          <w:rStyle w:val="Refdenotaalpie"/>
        </w:rPr>
        <w:footnoteRef/>
      </w:r>
      <w:r w:rsidRPr="00606E01">
        <w:t xml:space="preserve"> Ib., </w:t>
      </w:r>
      <w:r>
        <w:t>págs.</w:t>
      </w:r>
      <w:r w:rsidRPr="00606E01">
        <w:t xml:space="preserve"> 4 y 5.</w:t>
      </w:r>
    </w:p>
  </w:footnote>
  <w:footnote w:id="608">
    <w:p w14:paraId="05153BEC"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6. </w:t>
      </w:r>
    </w:p>
  </w:footnote>
  <w:footnote w:id="609">
    <w:p w14:paraId="1AA8926C"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10">
    <w:p w14:paraId="5005E9DD" w14:textId="77777777" w:rsidR="001F3006" w:rsidRPr="007E420E" w:rsidRDefault="001F3006" w:rsidP="00C454A1">
      <w:pPr>
        <w:pStyle w:val="Textonotapie"/>
        <w:tabs>
          <w:tab w:val="left" w:pos="1643"/>
        </w:tabs>
        <w:rPr>
          <w:lang w:val="es-ES"/>
        </w:rPr>
      </w:pPr>
      <w:r w:rsidRPr="00606E01">
        <w:rPr>
          <w:rStyle w:val="Refdenotaalpie"/>
        </w:rPr>
        <w:footnoteRef/>
      </w:r>
      <w:r w:rsidRPr="007E420E">
        <w:rPr>
          <w:lang w:val="es-ES"/>
        </w:rPr>
        <w:t xml:space="preserve"> Ib., pág. 7. </w:t>
      </w:r>
      <w:r w:rsidRPr="007E420E">
        <w:rPr>
          <w:lang w:val="es-ES"/>
        </w:rPr>
        <w:tab/>
      </w:r>
    </w:p>
  </w:footnote>
  <w:footnote w:id="611">
    <w:p w14:paraId="0DE998B5"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8.</w:t>
      </w:r>
    </w:p>
  </w:footnote>
  <w:footnote w:id="612">
    <w:p w14:paraId="55940DED"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13">
    <w:p w14:paraId="2BE72374"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14">
    <w:p w14:paraId="5D47D143"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10. </w:t>
      </w:r>
    </w:p>
  </w:footnote>
  <w:footnote w:id="615">
    <w:p w14:paraId="2733D30E"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11. </w:t>
      </w:r>
    </w:p>
  </w:footnote>
  <w:footnote w:id="616">
    <w:p w14:paraId="0A34802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12. </w:t>
      </w:r>
    </w:p>
  </w:footnote>
  <w:footnote w:id="617">
    <w:p w14:paraId="1B251743"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12. </w:t>
      </w:r>
    </w:p>
  </w:footnote>
  <w:footnote w:id="618">
    <w:p w14:paraId="78FA1691"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13.</w:t>
      </w:r>
    </w:p>
  </w:footnote>
  <w:footnote w:id="619">
    <w:p w14:paraId="2D409F7B"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14.</w:t>
      </w:r>
    </w:p>
  </w:footnote>
  <w:footnote w:id="620">
    <w:p w14:paraId="2332ED41"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21">
    <w:p w14:paraId="73C49999"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22">
    <w:p w14:paraId="58456B41"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15. </w:t>
      </w:r>
    </w:p>
  </w:footnote>
  <w:footnote w:id="623">
    <w:p w14:paraId="7A30935F"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15. </w:t>
      </w:r>
    </w:p>
  </w:footnote>
  <w:footnote w:id="624">
    <w:p w14:paraId="34929FE5"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16.</w:t>
      </w:r>
    </w:p>
  </w:footnote>
  <w:footnote w:id="625">
    <w:p w14:paraId="780CDBBF"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16. </w:t>
      </w:r>
    </w:p>
  </w:footnote>
  <w:footnote w:id="626">
    <w:p w14:paraId="20571A23"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27">
    <w:p w14:paraId="48926BFC"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19. </w:t>
      </w:r>
    </w:p>
  </w:footnote>
  <w:footnote w:id="628">
    <w:p w14:paraId="34457006"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29">
    <w:p w14:paraId="66E768F9"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30">
    <w:p w14:paraId="56B30DA5"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31">
    <w:p w14:paraId="2E1F5014"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32">
    <w:p w14:paraId="024FE0A4"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33">
    <w:p w14:paraId="4D69B118"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20 </w:t>
      </w:r>
    </w:p>
  </w:footnote>
  <w:footnote w:id="634">
    <w:p w14:paraId="6ABBC46E"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35">
    <w:p w14:paraId="406B9138"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Cfr. Ib.</w:t>
      </w:r>
    </w:p>
  </w:footnote>
  <w:footnote w:id="636">
    <w:p w14:paraId="79AEE25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37">
    <w:p w14:paraId="452E0B02"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38">
    <w:p w14:paraId="126918AE"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39">
    <w:p w14:paraId="64E4939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21. </w:t>
      </w:r>
    </w:p>
  </w:footnote>
  <w:footnote w:id="640">
    <w:p w14:paraId="2FFEF38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41">
    <w:p w14:paraId="62D15C8E"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42">
    <w:p w14:paraId="14D89D9D"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43">
    <w:p w14:paraId="55234456"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44">
    <w:p w14:paraId="450168D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45">
    <w:p w14:paraId="621FD286"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46">
    <w:p w14:paraId="79DC5763"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22.</w:t>
      </w:r>
    </w:p>
  </w:footnote>
  <w:footnote w:id="647">
    <w:p w14:paraId="151162B5" w14:textId="77777777" w:rsidR="001F3006" w:rsidRPr="00606E01" w:rsidRDefault="001F3006" w:rsidP="00C454A1">
      <w:pPr>
        <w:pStyle w:val="Textonotapie"/>
        <w:rPr>
          <w:lang w:val="es-ES_tradnl"/>
        </w:rPr>
      </w:pPr>
      <w:r w:rsidRPr="00606E01">
        <w:rPr>
          <w:rStyle w:val="Refdenotaalpie"/>
        </w:rPr>
        <w:footnoteRef/>
      </w:r>
      <w:r w:rsidRPr="00606E01">
        <w:t xml:space="preserve"> Ib.</w:t>
      </w:r>
    </w:p>
  </w:footnote>
  <w:footnote w:id="648">
    <w:p w14:paraId="57048967"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Cfr. Ib.</w:t>
      </w:r>
    </w:p>
  </w:footnote>
  <w:footnote w:id="649">
    <w:p w14:paraId="6418117A" w14:textId="77777777" w:rsidR="001F3006" w:rsidRPr="00606E01" w:rsidRDefault="001F3006" w:rsidP="00C454A1">
      <w:pPr>
        <w:pStyle w:val="Textonotapie"/>
      </w:pPr>
      <w:r w:rsidRPr="00606E01">
        <w:rPr>
          <w:rStyle w:val="Refdenotaalpie"/>
        </w:rPr>
        <w:footnoteRef/>
      </w:r>
      <w:r w:rsidRPr="00606E01">
        <w:t xml:space="preserve"> Expediente digital, archivo: “17.02.25 Anexos Policía Nacional II.pdf”, p</w:t>
      </w:r>
      <w:r>
        <w:t>ág</w:t>
      </w:r>
      <w:r w:rsidRPr="00606E01">
        <w:t xml:space="preserve">. 1. </w:t>
      </w:r>
    </w:p>
  </w:footnote>
  <w:footnote w:id="650">
    <w:p w14:paraId="0A63661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51">
    <w:p w14:paraId="225041FF"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52">
    <w:p w14:paraId="7C008B9B"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2. </w:t>
      </w:r>
    </w:p>
  </w:footnote>
  <w:footnote w:id="653">
    <w:p w14:paraId="3BF8AD73"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54">
    <w:p w14:paraId="4E22DD3C"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Cfr. Ib., pág. 2. </w:t>
      </w:r>
    </w:p>
  </w:footnote>
  <w:footnote w:id="655">
    <w:p w14:paraId="2A8E1313"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3. </w:t>
      </w:r>
    </w:p>
  </w:footnote>
  <w:footnote w:id="656">
    <w:p w14:paraId="277E964C"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57">
    <w:p w14:paraId="3E58A5A5"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7. </w:t>
      </w:r>
    </w:p>
  </w:footnote>
  <w:footnote w:id="658">
    <w:p w14:paraId="69D78215"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59">
    <w:p w14:paraId="0BA642FD"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8. </w:t>
      </w:r>
    </w:p>
  </w:footnote>
  <w:footnote w:id="660">
    <w:p w14:paraId="046491D8"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Expediente digital, archivo: “RE0000361-Pruebas del Expediente (Recepción y Paso al </w:t>
      </w:r>
      <w:proofErr w:type="gramStart"/>
      <w:r w:rsidRPr="00606E01">
        <w:rPr>
          <w:lang w:val="es-ES"/>
        </w:rPr>
        <w:t>Despacho)-(</w:t>
      </w:r>
      <w:proofErr w:type="gramEnd"/>
      <w:r w:rsidRPr="00606E01">
        <w:rPr>
          <w:lang w:val="es-ES"/>
        </w:rPr>
        <w:t>2025-02-10 01-25-33).</w:t>
      </w:r>
      <w:proofErr w:type="spellStart"/>
      <w:r w:rsidRPr="00606E01">
        <w:rPr>
          <w:lang w:val="es-ES"/>
        </w:rPr>
        <w:t>pdf</w:t>
      </w:r>
      <w:proofErr w:type="spellEnd"/>
      <w:r w:rsidRPr="00606E01">
        <w:rPr>
          <w:lang w:val="es-ES"/>
        </w:rPr>
        <w:t>”., p</w:t>
      </w:r>
      <w:r>
        <w:rPr>
          <w:lang w:val="es-ES"/>
        </w:rPr>
        <w:t>ág</w:t>
      </w:r>
      <w:r w:rsidRPr="00606E01">
        <w:rPr>
          <w:lang w:val="es-ES"/>
        </w:rPr>
        <w:t xml:space="preserve">. 7. </w:t>
      </w:r>
    </w:p>
  </w:footnote>
  <w:footnote w:id="661">
    <w:p w14:paraId="213BCC36"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62">
    <w:p w14:paraId="0E15E4B3"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63">
    <w:p w14:paraId="78F3598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64">
    <w:p w14:paraId="2ABE7A38"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65">
    <w:p w14:paraId="686378A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66">
    <w:p w14:paraId="4B18955B"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w:t>
      </w:r>
      <w:r w:rsidRPr="007E420E">
        <w:rPr>
          <w:i/>
          <w:iCs/>
          <w:lang w:val="es-ES"/>
        </w:rPr>
        <w:t>Cfr</w:t>
      </w:r>
      <w:r w:rsidRPr="007E420E">
        <w:rPr>
          <w:lang w:val="es-ES"/>
        </w:rPr>
        <w:t xml:space="preserve">. Ib., pág. 8. </w:t>
      </w:r>
    </w:p>
  </w:footnote>
  <w:footnote w:id="667">
    <w:p w14:paraId="0926931D"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7.</w:t>
      </w:r>
    </w:p>
  </w:footnote>
  <w:footnote w:id="668">
    <w:p w14:paraId="27E664DA"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69">
    <w:p w14:paraId="4CB7C434"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8. </w:t>
      </w:r>
    </w:p>
  </w:footnote>
  <w:footnote w:id="670">
    <w:p w14:paraId="40EEE3E5"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71">
    <w:p w14:paraId="27A99C56"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w:t>
      </w:r>
      <w:r w:rsidRPr="007E420E">
        <w:rPr>
          <w:i/>
          <w:iCs/>
          <w:lang w:val="es-ES"/>
        </w:rPr>
        <w:t>Cfr</w:t>
      </w:r>
      <w:r w:rsidRPr="007E420E">
        <w:rPr>
          <w:lang w:val="es-ES"/>
        </w:rPr>
        <w:t>. Ib.</w:t>
      </w:r>
    </w:p>
  </w:footnote>
  <w:footnote w:id="672">
    <w:p w14:paraId="30DF6868"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10. </w:t>
      </w:r>
    </w:p>
  </w:footnote>
  <w:footnote w:id="673">
    <w:p w14:paraId="05B53D78"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74">
    <w:p w14:paraId="1503D659"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75">
    <w:p w14:paraId="4F42DF2F"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76">
    <w:p w14:paraId="5378F985"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11. </w:t>
      </w:r>
    </w:p>
  </w:footnote>
  <w:footnote w:id="677">
    <w:p w14:paraId="63094F49"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12. </w:t>
      </w:r>
    </w:p>
  </w:footnote>
  <w:footnote w:id="678">
    <w:p w14:paraId="773399E7"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13. </w:t>
      </w:r>
    </w:p>
  </w:footnote>
  <w:footnote w:id="679">
    <w:p w14:paraId="11A432D3"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Expediente digital, archivo: “RE0000361-Pruebas del Expediente (Recepción y Paso al </w:t>
      </w:r>
      <w:proofErr w:type="gramStart"/>
      <w:r w:rsidRPr="00606E01">
        <w:rPr>
          <w:lang w:val="es-ES"/>
        </w:rPr>
        <w:t>Despacho)-(</w:t>
      </w:r>
      <w:proofErr w:type="gramEnd"/>
      <w:r w:rsidRPr="00606E01">
        <w:rPr>
          <w:lang w:val="es-ES"/>
        </w:rPr>
        <w:t>2025-02-10 01-34-34).</w:t>
      </w:r>
      <w:proofErr w:type="spellStart"/>
      <w:r w:rsidRPr="00606E01">
        <w:rPr>
          <w:lang w:val="es-ES"/>
        </w:rPr>
        <w:t>pdf</w:t>
      </w:r>
      <w:proofErr w:type="spellEnd"/>
      <w:r w:rsidRPr="00606E01">
        <w:rPr>
          <w:lang w:val="es-ES"/>
        </w:rPr>
        <w:t xml:space="preserve">”., </w:t>
      </w:r>
      <w:r>
        <w:rPr>
          <w:lang w:val="es-ES"/>
        </w:rPr>
        <w:t>págs.</w:t>
      </w:r>
      <w:r w:rsidRPr="00606E01">
        <w:rPr>
          <w:lang w:val="es-ES"/>
        </w:rPr>
        <w:t xml:space="preserve"> 1 a 4.</w:t>
      </w:r>
    </w:p>
  </w:footnote>
  <w:footnote w:id="680">
    <w:p w14:paraId="633E7E86" w14:textId="77777777" w:rsidR="001F3006" w:rsidRPr="00606E01" w:rsidRDefault="001F3006" w:rsidP="00C454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color w:val="000000"/>
          <w:kern w:val="0"/>
          <w:sz w:val="20"/>
          <w:szCs w:val="20"/>
          <w:lang w:val="es-ES"/>
        </w:rPr>
      </w:pPr>
      <w:r w:rsidRPr="00606E01">
        <w:rPr>
          <w:rStyle w:val="Refdenotaalpie"/>
          <w:rFonts w:cs="Times New Roman"/>
          <w:sz w:val="20"/>
          <w:szCs w:val="20"/>
          <w:lang w:val="es-ES"/>
        </w:rPr>
        <w:footnoteRef/>
      </w:r>
      <w:r w:rsidRPr="00606E01">
        <w:rPr>
          <w:rFonts w:cs="Times New Roman"/>
          <w:sz w:val="20"/>
          <w:szCs w:val="20"/>
          <w:lang w:val="es-ES"/>
        </w:rPr>
        <w:t xml:space="preserve"> </w:t>
      </w:r>
      <w:r w:rsidRPr="002471AA">
        <w:rPr>
          <w:rFonts w:cs="Times New Roman"/>
          <w:i/>
          <w:iCs/>
          <w:sz w:val="20"/>
          <w:szCs w:val="20"/>
          <w:lang w:val="es-ES"/>
        </w:rPr>
        <w:t>Cfr</w:t>
      </w:r>
      <w:r w:rsidRPr="00606E01">
        <w:rPr>
          <w:rFonts w:cs="Times New Roman"/>
          <w:sz w:val="20"/>
          <w:szCs w:val="20"/>
          <w:lang w:val="es-ES"/>
        </w:rPr>
        <w:t>. Expediente digital, archivo: “</w:t>
      </w:r>
      <w:r w:rsidRPr="00606E01">
        <w:rPr>
          <w:rFonts w:cs="Times New Roman"/>
          <w:color w:val="000000"/>
          <w:kern w:val="0"/>
          <w:sz w:val="20"/>
          <w:szCs w:val="20"/>
          <w:lang w:val="es-ES"/>
        </w:rPr>
        <w:t>RE0000361-Pruebas del Expediente (Recepción y Paso al Despacho) -(2025-02-06 23-25-32).</w:t>
      </w:r>
      <w:proofErr w:type="spellStart"/>
      <w:r w:rsidRPr="00606E01">
        <w:rPr>
          <w:rFonts w:cs="Times New Roman"/>
          <w:color w:val="000000"/>
          <w:kern w:val="0"/>
          <w:sz w:val="20"/>
          <w:szCs w:val="20"/>
          <w:lang w:val="es-ES"/>
        </w:rPr>
        <w:t>pdf</w:t>
      </w:r>
      <w:proofErr w:type="spellEnd"/>
      <w:r w:rsidRPr="00606E01">
        <w:rPr>
          <w:rFonts w:cs="Times New Roman"/>
          <w:sz w:val="20"/>
          <w:szCs w:val="20"/>
          <w:lang w:val="es-ES"/>
        </w:rPr>
        <w:t>”., p</w:t>
      </w:r>
      <w:r>
        <w:rPr>
          <w:rFonts w:cs="Times New Roman"/>
          <w:sz w:val="20"/>
          <w:szCs w:val="20"/>
          <w:lang w:val="es-ES"/>
        </w:rPr>
        <w:t>ág</w:t>
      </w:r>
      <w:r w:rsidRPr="00606E01">
        <w:rPr>
          <w:rFonts w:cs="Times New Roman"/>
          <w:sz w:val="20"/>
          <w:szCs w:val="20"/>
          <w:lang w:val="es-ES"/>
        </w:rPr>
        <w:t>. 1.</w:t>
      </w:r>
    </w:p>
  </w:footnote>
  <w:footnote w:id="681">
    <w:p w14:paraId="6F88CB85"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w:t>
      </w:r>
      <w:r w:rsidRPr="007E420E">
        <w:rPr>
          <w:i/>
          <w:iCs/>
          <w:lang w:val="es-ES"/>
        </w:rPr>
        <w:t>Cfr</w:t>
      </w:r>
      <w:r w:rsidRPr="007E420E">
        <w:rPr>
          <w:lang w:val="es-ES"/>
        </w:rPr>
        <w:t>. Ib., pág. 4</w:t>
      </w:r>
    </w:p>
  </w:footnote>
  <w:footnote w:id="682">
    <w:p w14:paraId="6DF49C48"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83">
    <w:p w14:paraId="5C1C76CF"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w:t>
      </w:r>
    </w:p>
  </w:footnote>
  <w:footnote w:id="684">
    <w:p w14:paraId="4B06B864"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xml:space="preserve">. 5. </w:t>
      </w:r>
    </w:p>
  </w:footnote>
  <w:footnote w:id="685">
    <w:p w14:paraId="5BDCC252" w14:textId="77777777" w:rsidR="001F3006" w:rsidRPr="00606E01" w:rsidRDefault="001F3006" w:rsidP="00C454A1">
      <w:pPr>
        <w:pStyle w:val="Textonotapie"/>
        <w:rPr>
          <w:lang w:val="es-ES_tradnl"/>
        </w:rPr>
      </w:pPr>
      <w:r w:rsidRPr="00606E01">
        <w:rPr>
          <w:rStyle w:val="Refdenotaalpie"/>
        </w:rPr>
        <w:footnoteRef/>
      </w:r>
      <w:r w:rsidRPr="00606E01">
        <w:t xml:space="preserve"> </w:t>
      </w:r>
      <w:r w:rsidRPr="00606E01">
        <w:rPr>
          <w:lang w:val="es-ES_tradnl"/>
        </w:rPr>
        <w:t>Ib., p</w:t>
      </w:r>
      <w:r>
        <w:rPr>
          <w:lang w:val="es-ES_tradnl"/>
        </w:rPr>
        <w:t>ág</w:t>
      </w:r>
      <w:r w:rsidRPr="00606E01">
        <w:rPr>
          <w:lang w:val="es-ES_tradnl"/>
        </w:rPr>
        <w:t xml:space="preserve">. 8. </w:t>
      </w:r>
    </w:p>
  </w:footnote>
  <w:footnote w:id="686">
    <w:p w14:paraId="3F17B681" w14:textId="77777777" w:rsidR="001F3006" w:rsidRPr="00606E01" w:rsidRDefault="001F3006" w:rsidP="00C454A1">
      <w:pPr>
        <w:pStyle w:val="Textonotapie"/>
        <w:rPr>
          <w:lang w:val="es-ES"/>
        </w:rPr>
      </w:pPr>
      <w:r w:rsidRPr="00606E01">
        <w:rPr>
          <w:rStyle w:val="Refdenotaalpie"/>
          <w:lang w:val="es-ES"/>
        </w:rPr>
        <w:footnoteRef/>
      </w:r>
      <w:r w:rsidRPr="00606E01">
        <w:rPr>
          <w:lang w:val="es-ES"/>
        </w:rPr>
        <w:t xml:space="preserve"> Expediente digital, archivo: “</w:t>
      </w:r>
      <w:r w:rsidRPr="00606E01">
        <w:rPr>
          <w:rFonts w:eastAsia="Aptos"/>
          <w:lang w:val="es-ES"/>
        </w:rPr>
        <w:t>RE0000361-Peticiones y Otros-(2025-02-12 09-47-21).</w:t>
      </w:r>
      <w:proofErr w:type="spellStart"/>
      <w:r w:rsidRPr="00606E01">
        <w:rPr>
          <w:rFonts w:eastAsia="Aptos"/>
          <w:lang w:val="es-ES"/>
        </w:rPr>
        <w:t>pdf</w:t>
      </w:r>
      <w:proofErr w:type="spellEnd"/>
      <w:r w:rsidRPr="00606E01">
        <w:rPr>
          <w:lang w:val="es-ES"/>
        </w:rPr>
        <w:t>”, p</w:t>
      </w:r>
      <w:r>
        <w:rPr>
          <w:lang w:val="es-ES"/>
        </w:rPr>
        <w:t>ág</w:t>
      </w:r>
      <w:r w:rsidRPr="00606E01">
        <w:rPr>
          <w:lang w:val="es-ES"/>
        </w:rPr>
        <w:t>. 5.</w:t>
      </w:r>
    </w:p>
  </w:footnote>
  <w:footnote w:id="687">
    <w:p w14:paraId="0BC1503A"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 pág. 6. </w:t>
      </w:r>
    </w:p>
  </w:footnote>
  <w:footnote w:id="688">
    <w:p w14:paraId="122F80FD" w14:textId="77777777" w:rsidR="001F3006" w:rsidRPr="007E420E" w:rsidRDefault="001F3006" w:rsidP="00C454A1">
      <w:pPr>
        <w:pStyle w:val="Textonotapie"/>
        <w:rPr>
          <w:lang w:val="es-ES"/>
        </w:rPr>
      </w:pPr>
      <w:r w:rsidRPr="00606E01">
        <w:rPr>
          <w:rStyle w:val="Refdenotaalpie"/>
        </w:rPr>
        <w:footnoteRef/>
      </w:r>
      <w:r w:rsidRPr="007E420E">
        <w:rPr>
          <w:lang w:val="es-ES"/>
        </w:rPr>
        <w:t xml:space="preserve"> Ib.</w:t>
      </w:r>
    </w:p>
  </w:footnote>
  <w:footnote w:id="689">
    <w:p w14:paraId="43741B10" w14:textId="77777777" w:rsidR="001F3006" w:rsidRPr="007E420E" w:rsidRDefault="001F3006" w:rsidP="00C454A1">
      <w:pPr>
        <w:pStyle w:val="Textonotapie"/>
        <w:rPr>
          <w:lang w:val="es-ES"/>
        </w:rPr>
      </w:pPr>
      <w:r w:rsidRPr="00606E01">
        <w:rPr>
          <w:rStyle w:val="Refdenotaalpie"/>
          <w:lang w:val="es-ES"/>
        </w:rPr>
        <w:footnoteRef/>
      </w:r>
      <w:r w:rsidRPr="007E420E">
        <w:rPr>
          <w:lang w:val="es-ES"/>
        </w:rPr>
        <w:t xml:space="preserve"> </w:t>
      </w:r>
      <w:r w:rsidRPr="007E420E">
        <w:rPr>
          <w:i/>
          <w:iCs/>
          <w:lang w:val="es-ES"/>
        </w:rPr>
        <w:t>Cfr</w:t>
      </w:r>
      <w:r w:rsidRPr="007E420E">
        <w:rPr>
          <w:lang w:val="es-ES"/>
        </w:rPr>
        <w:t xml:space="preserve">. </w:t>
      </w:r>
      <w:proofErr w:type="spellStart"/>
      <w:r w:rsidRPr="007E420E">
        <w:rPr>
          <w:lang w:val="es-ES"/>
        </w:rPr>
        <w:t>Ib</w:t>
      </w:r>
      <w:proofErr w:type="spellEnd"/>
      <w:r w:rsidRPr="007E420E">
        <w:rPr>
          <w:lang w:val="es-ES"/>
        </w:rPr>
        <w:t xml:space="preserve">, págs. 7 a 11. </w:t>
      </w:r>
    </w:p>
  </w:footnote>
  <w:footnote w:id="690">
    <w:p w14:paraId="583F14A5"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12. </w:t>
      </w:r>
    </w:p>
  </w:footnote>
  <w:footnote w:id="691">
    <w:p w14:paraId="0707E3FF" w14:textId="77777777" w:rsidR="001F3006" w:rsidRPr="00606E01" w:rsidRDefault="001F3006" w:rsidP="00C454A1">
      <w:pPr>
        <w:pStyle w:val="Textonotapie"/>
      </w:pPr>
      <w:r w:rsidRPr="00606E01">
        <w:rPr>
          <w:rStyle w:val="Refdenotaalpie"/>
        </w:rPr>
        <w:footnoteRef/>
      </w:r>
      <w:r w:rsidRPr="00606E01">
        <w:t xml:space="preserve"> Ib., p</w:t>
      </w:r>
      <w:r>
        <w:t>ág</w:t>
      </w:r>
      <w:r w:rsidRPr="00606E01">
        <w:t xml:space="preserve">. 12. </w:t>
      </w:r>
    </w:p>
  </w:footnote>
  <w:footnote w:id="692">
    <w:p w14:paraId="54C2703F" w14:textId="77777777" w:rsidR="001F3006" w:rsidRPr="00777DA3" w:rsidRDefault="001F3006" w:rsidP="00C454A1">
      <w:pPr>
        <w:pStyle w:val="Textonotapie"/>
      </w:pPr>
      <w:r w:rsidRPr="00777DA3">
        <w:rPr>
          <w:rStyle w:val="Refdenotaalpie"/>
        </w:rPr>
        <w:footnoteRef/>
      </w:r>
      <w:r w:rsidRPr="00777DA3">
        <w:t xml:space="preserve"> </w:t>
      </w:r>
      <w:r w:rsidRPr="00777DA3">
        <w:rPr>
          <w:lang w:val="es-ES_tradnl"/>
        </w:rPr>
        <w:t>Expediente digital, archivo: “RE0000361-Pruebas del Expediente (Recepción y Paso al Despacho) -(2025-02-10 02-17-21)”., Pág. 4.</w:t>
      </w:r>
    </w:p>
  </w:footnote>
  <w:footnote w:id="693">
    <w:p w14:paraId="42590D15"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w:t>
      </w:r>
    </w:p>
  </w:footnote>
  <w:footnote w:id="694">
    <w:p w14:paraId="6D57C38E" w14:textId="77777777" w:rsidR="001F3006" w:rsidRPr="007E420E" w:rsidRDefault="001F3006" w:rsidP="00C454A1">
      <w:pPr>
        <w:pStyle w:val="Textonotapie"/>
        <w:tabs>
          <w:tab w:val="left" w:pos="1385"/>
        </w:tabs>
        <w:rPr>
          <w:lang w:val="es-ES"/>
        </w:rPr>
      </w:pPr>
      <w:r w:rsidRPr="00777DA3">
        <w:rPr>
          <w:rStyle w:val="Refdenotaalpie"/>
        </w:rPr>
        <w:footnoteRef/>
      </w:r>
      <w:r w:rsidRPr="007E420E">
        <w:rPr>
          <w:lang w:val="es-ES"/>
        </w:rPr>
        <w:t xml:space="preserve"> Ib. </w:t>
      </w:r>
    </w:p>
  </w:footnote>
  <w:footnote w:id="695">
    <w:p w14:paraId="5AF61220"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5. </w:t>
      </w:r>
    </w:p>
  </w:footnote>
  <w:footnote w:id="696">
    <w:p w14:paraId="2D223310"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697">
    <w:p w14:paraId="140DB3B3"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698">
    <w:p w14:paraId="6CB3870F"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7. </w:t>
      </w:r>
    </w:p>
  </w:footnote>
  <w:footnote w:id="699">
    <w:p w14:paraId="3E512AA8"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Cfr. Ib. </w:t>
      </w:r>
    </w:p>
  </w:footnote>
  <w:footnote w:id="700">
    <w:p w14:paraId="4ADE5190"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8. </w:t>
      </w:r>
    </w:p>
  </w:footnote>
  <w:footnote w:id="701">
    <w:p w14:paraId="4DEBD5AE"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8. </w:t>
      </w:r>
    </w:p>
  </w:footnote>
  <w:footnote w:id="702">
    <w:p w14:paraId="6B716247"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9. </w:t>
      </w:r>
    </w:p>
  </w:footnote>
  <w:footnote w:id="703">
    <w:p w14:paraId="77D43779"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04">
    <w:p w14:paraId="23611C90"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11. </w:t>
      </w:r>
    </w:p>
  </w:footnote>
  <w:footnote w:id="705">
    <w:p w14:paraId="5F9180AD"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06">
    <w:p w14:paraId="6C0247CF"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07">
    <w:p w14:paraId="2E89BDAC"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12. </w:t>
      </w:r>
    </w:p>
  </w:footnote>
  <w:footnote w:id="708">
    <w:p w14:paraId="753E317E"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09">
    <w:p w14:paraId="6DFDAFF3"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w:t>
      </w:r>
    </w:p>
  </w:footnote>
  <w:footnote w:id="710">
    <w:p w14:paraId="3853DCD0"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11">
    <w:p w14:paraId="044AE1D2"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13. </w:t>
      </w:r>
    </w:p>
  </w:footnote>
  <w:footnote w:id="712">
    <w:p w14:paraId="47C5E8FD"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13">
    <w:p w14:paraId="0E88187E"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14. </w:t>
      </w:r>
    </w:p>
  </w:footnote>
  <w:footnote w:id="714">
    <w:p w14:paraId="16204070"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15">
    <w:p w14:paraId="6E54D809"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Cfr. Ib. </w:t>
      </w:r>
    </w:p>
  </w:footnote>
  <w:footnote w:id="716">
    <w:p w14:paraId="47F0B8D2"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15. </w:t>
      </w:r>
    </w:p>
  </w:footnote>
  <w:footnote w:id="717">
    <w:p w14:paraId="78EF2B53"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18">
    <w:p w14:paraId="0A5E0398"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19">
    <w:p w14:paraId="53BC9C2F"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16.</w:t>
      </w:r>
    </w:p>
  </w:footnote>
  <w:footnote w:id="720">
    <w:p w14:paraId="05C0993C"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17.</w:t>
      </w:r>
    </w:p>
  </w:footnote>
  <w:footnote w:id="721">
    <w:p w14:paraId="48C34453"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22">
    <w:p w14:paraId="06210078"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Pág. 18.</w:t>
      </w:r>
    </w:p>
  </w:footnote>
  <w:footnote w:id="723">
    <w:p w14:paraId="3B1BA6AE"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r w:rsidRPr="00777DA3">
        <w:rPr>
          <w:lang w:val="es-ES_tradnl"/>
        </w:rPr>
        <w:t>Pág.</w:t>
      </w:r>
      <w:r w:rsidRPr="007E420E">
        <w:rPr>
          <w:lang w:val="es-ES"/>
        </w:rPr>
        <w:t xml:space="preserve"> 19. </w:t>
      </w:r>
    </w:p>
  </w:footnote>
  <w:footnote w:id="724">
    <w:p w14:paraId="2ED625B2"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w:t>
      </w:r>
    </w:p>
  </w:footnote>
  <w:footnote w:id="725">
    <w:p w14:paraId="6870F840"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w:t>
      </w:r>
    </w:p>
  </w:footnote>
  <w:footnote w:id="726">
    <w:p w14:paraId="50F0A03E"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w:t>
      </w:r>
    </w:p>
  </w:footnote>
  <w:footnote w:id="727">
    <w:p w14:paraId="3A404111"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r w:rsidRPr="00777DA3">
        <w:rPr>
          <w:lang w:val="es-ES_tradnl"/>
        </w:rPr>
        <w:t>Pág.</w:t>
      </w:r>
      <w:r w:rsidRPr="007E420E">
        <w:rPr>
          <w:lang w:val="es-ES"/>
        </w:rPr>
        <w:t xml:space="preserve">20. </w:t>
      </w:r>
    </w:p>
  </w:footnote>
  <w:footnote w:id="728">
    <w:p w14:paraId="4E0CFB26"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Cfr. Ib. </w:t>
      </w:r>
    </w:p>
  </w:footnote>
  <w:footnote w:id="729">
    <w:p w14:paraId="630BAFB4"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p>
  </w:footnote>
  <w:footnote w:id="730">
    <w:p w14:paraId="5260707E" w14:textId="77777777" w:rsidR="001F3006" w:rsidRPr="007E420E" w:rsidRDefault="001F3006" w:rsidP="00C454A1">
      <w:pPr>
        <w:pStyle w:val="Textonotapie"/>
        <w:rPr>
          <w:lang w:val="es-ES"/>
        </w:rPr>
      </w:pPr>
      <w:r w:rsidRPr="00777DA3">
        <w:rPr>
          <w:rStyle w:val="Refdenotaalpie"/>
        </w:rPr>
        <w:footnoteRef/>
      </w:r>
      <w:r w:rsidRPr="007E420E">
        <w:rPr>
          <w:lang w:val="es-ES"/>
        </w:rPr>
        <w:t xml:space="preserve"> Ib., </w:t>
      </w:r>
      <w:r w:rsidRPr="00777DA3">
        <w:rPr>
          <w:lang w:val="es-ES_tradnl"/>
        </w:rPr>
        <w:t>Pág.</w:t>
      </w:r>
      <w:r w:rsidRPr="007E420E">
        <w:rPr>
          <w:lang w:val="es-ES"/>
        </w:rPr>
        <w:t>2.</w:t>
      </w:r>
    </w:p>
  </w:footnote>
  <w:footnote w:id="731">
    <w:p w14:paraId="58C88563" w14:textId="77777777" w:rsidR="001F3006" w:rsidRPr="00777DA3" w:rsidRDefault="001F3006" w:rsidP="00C454A1">
      <w:pPr>
        <w:pStyle w:val="Textonotapie"/>
      </w:pPr>
      <w:r w:rsidRPr="00777DA3">
        <w:rPr>
          <w:rStyle w:val="Refdenotaalpie"/>
        </w:rPr>
        <w:footnoteRef/>
      </w:r>
      <w:r w:rsidRPr="00777DA3">
        <w:t xml:space="preserve"> Ib. </w:t>
      </w:r>
    </w:p>
  </w:footnote>
  <w:footnote w:id="732">
    <w:p w14:paraId="1FB20B39" w14:textId="77777777" w:rsidR="001F3006" w:rsidRPr="00777DA3" w:rsidRDefault="001F3006" w:rsidP="00C454A1">
      <w:pPr>
        <w:pStyle w:val="Textonotapie"/>
      </w:pPr>
      <w:r w:rsidRPr="00777DA3">
        <w:rPr>
          <w:rStyle w:val="Refdenotaalpie"/>
        </w:rPr>
        <w:footnoteRef/>
      </w:r>
      <w:r w:rsidRPr="00777DA3">
        <w:t xml:space="preserve"> Ib. </w:t>
      </w:r>
    </w:p>
  </w:footnote>
  <w:footnote w:id="733">
    <w:p w14:paraId="0C653E89" w14:textId="77777777" w:rsidR="001F3006" w:rsidRPr="00777DA3" w:rsidRDefault="001F3006" w:rsidP="00C454A1">
      <w:pPr>
        <w:pStyle w:val="Textonotapie"/>
      </w:pPr>
      <w:r w:rsidRPr="00777DA3">
        <w:rPr>
          <w:rStyle w:val="Refdenotaalpie"/>
        </w:rPr>
        <w:footnoteRef/>
      </w:r>
      <w:r w:rsidRPr="00777DA3">
        <w:t xml:space="preserve"> Ib. </w:t>
      </w:r>
    </w:p>
  </w:footnote>
  <w:footnote w:id="734">
    <w:p w14:paraId="231CC36C" w14:textId="77777777" w:rsidR="001F3006" w:rsidRPr="00777DA3" w:rsidRDefault="001F3006" w:rsidP="00C454A1">
      <w:pPr>
        <w:pStyle w:val="Textonotapie"/>
        <w:rPr>
          <w:lang w:val="es-ES"/>
        </w:rPr>
      </w:pPr>
      <w:r w:rsidRPr="00777DA3">
        <w:rPr>
          <w:rStyle w:val="Refdenotaalpie"/>
          <w:lang w:val="es-ES"/>
        </w:rPr>
        <w:footnoteRef/>
      </w:r>
      <w:r w:rsidRPr="00777DA3">
        <w:rPr>
          <w:lang w:val="es-ES"/>
        </w:rPr>
        <w:t xml:space="preserve"> Documento con anotación “Se recibe oficio de la doctora </w:t>
      </w:r>
      <w:proofErr w:type="spellStart"/>
      <w:r w:rsidRPr="00777DA3">
        <w:rPr>
          <w:lang w:val="es-ES"/>
        </w:rPr>
        <w:t>Nathalia</w:t>
      </w:r>
      <w:proofErr w:type="spellEnd"/>
      <w:r w:rsidRPr="00777DA3">
        <w:rPr>
          <w:lang w:val="es-ES"/>
        </w:rPr>
        <w:t xml:space="preserve"> Romero Figueroa, delegada para la </w:t>
      </w:r>
      <w:proofErr w:type="spellStart"/>
      <w:r w:rsidRPr="00777DA3">
        <w:rPr>
          <w:lang w:val="es-ES"/>
        </w:rPr>
        <w:t>Prevensión</w:t>
      </w:r>
      <w:proofErr w:type="spellEnd"/>
      <w:r w:rsidRPr="00777DA3">
        <w:rPr>
          <w:lang w:val="es-ES"/>
        </w:rPr>
        <w:t xml:space="preserve"> (Sic) del Riesgo de Violaciones de DDHH e infracciones al DIH de la Defensoría del Pueblo, en respuesta al OPC-021/25”, </w:t>
      </w:r>
      <w:r w:rsidRPr="00777DA3">
        <w:rPr>
          <w:lang w:val="es-ES_tradnl"/>
        </w:rPr>
        <w:t>Pág.</w:t>
      </w:r>
      <w:r w:rsidRPr="00777DA3">
        <w:rPr>
          <w:lang w:val="es-ES"/>
        </w:rPr>
        <w:t>3 (</w:t>
      </w:r>
      <w:r w:rsidRPr="00777DA3">
        <w:rPr>
          <w:lang w:val="es-ES_tradnl"/>
        </w:rPr>
        <w:t>Pág.</w:t>
      </w:r>
      <w:r>
        <w:rPr>
          <w:lang w:val="es-ES_tradnl"/>
        </w:rPr>
        <w:t xml:space="preserve"> </w:t>
      </w:r>
      <w:r w:rsidRPr="00777DA3">
        <w:rPr>
          <w:lang w:val="es-ES"/>
        </w:rPr>
        <w:t>del archivo).</w:t>
      </w:r>
    </w:p>
  </w:footnote>
  <w:footnote w:id="735">
    <w:p w14:paraId="2181BBCF"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w:t>
      </w:r>
      <w:r>
        <w:rPr>
          <w:lang w:val="es-ES_tradnl"/>
        </w:rPr>
        <w:t>b.</w:t>
      </w:r>
    </w:p>
  </w:footnote>
  <w:footnote w:id="736">
    <w:p w14:paraId="090EC92C"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w:t>
      </w:r>
      <w:r>
        <w:rPr>
          <w:lang w:val="es-ES_tradnl"/>
        </w:rPr>
        <w:t>b.</w:t>
      </w:r>
    </w:p>
  </w:footnote>
  <w:footnote w:id="737">
    <w:p w14:paraId="17484FB7" w14:textId="77777777" w:rsidR="001F3006" w:rsidRPr="00777DA3" w:rsidRDefault="001F3006" w:rsidP="00C454A1">
      <w:pPr>
        <w:pStyle w:val="Textonotapie"/>
        <w:rPr>
          <w:lang w:val="es-MX"/>
        </w:rPr>
      </w:pPr>
      <w:r w:rsidRPr="00777DA3">
        <w:rPr>
          <w:rStyle w:val="Refdenotaalpie"/>
        </w:rPr>
        <w:footnoteRef/>
      </w:r>
      <w:r w:rsidRPr="00777DA3">
        <w:t xml:space="preserve"> Se incluyen dos documentos que no fueron mencionados en este primer informe, pero sí en el segundo que remitió la entidad (Defensoría II).</w:t>
      </w:r>
    </w:p>
  </w:footnote>
  <w:footnote w:id="738">
    <w:p w14:paraId="4C26D1D5" w14:textId="77777777" w:rsidR="001F3006" w:rsidRPr="00777DA3" w:rsidRDefault="001F3006" w:rsidP="00C454A1">
      <w:pPr>
        <w:pStyle w:val="Textonotapie"/>
        <w:rPr>
          <w:lang w:val="es-MX"/>
        </w:rPr>
      </w:pPr>
      <w:r w:rsidRPr="00777DA3">
        <w:rPr>
          <w:rStyle w:val="Refdenotaalpie"/>
        </w:rPr>
        <w:footnoteRef/>
      </w:r>
      <w:r w:rsidRPr="00777DA3">
        <w:t xml:space="preserve"> </w:t>
      </w:r>
      <w:r w:rsidRPr="00777DA3">
        <w:rPr>
          <w:lang w:val="es-MX"/>
        </w:rPr>
        <w:t>El reposicionamiento de las disidencias de FARC EP empieza a ser evidente (</w:t>
      </w:r>
      <w:r w:rsidRPr="00777DA3">
        <w:rPr>
          <w:lang w:val="es-ES_tradnl"/>
        </w:rPr>
        <w:t>Pág.</w:t>
      </w:r>
      <w:r w:rsidRPr="00777DA3">
        <w:rPr>
          <w:lang w:val="es-MX"/>
        </w:rPr>
        <w:t xml:space="preserve"> 13, 91 del </w:t>
      </w:r>
      <w:proofErr w:type="spellStart"/>
      <w:r w:rsidRPr="00777DA3">
        <w:rPr>
          <w:lang w:val="es-MX"/>
        </w:rPr>
        <w:t>pdf</w:t>
      </w:r>
      <w:proofErr w:type="spellEnd"/>
      <w:r w:rsidRPr="00777DA3">
        <w:rPr>
          <w:lang w:val="es-MX"/>
        </w:rPr>
        <w:t xml:space="preserve">). </w:t>
      </w:r>
    </w:p>
  </w:footnote>
  <w:footnote w:id="739">
    <w:p w14:paraId="084CB49F" w14:textId="77777777" w:rsidR="001F3006" w:rsidRPr="00777DA3" w:rsidRDefault="001F3006" w:rsidP="00C454A1">
      <w:pPr>
        <w:pStyle w:val="Textonotapie"/>
        <w:rPr>
          <w:lang w:val="es-ES"/>
        </w:rPr>
      </w:pPr>
      <w:r w:rsidRPr="00777DA3">
        <w:rPr>
          <w:rStyle w:val="Refdenotaalpie"/>
          <w:lang w:val="es-ES"/>
        </w:rPr>
        <w:footnoteRef/>
      </w:r>
      <w:r w:rsidRPr="00777DA3">
        <w:rPr>
          <w:lang w:val="es-ES"/>
        </w:rPr>
        <w:t xml:space="preserve"> El avance ofensivo y estratégico del ELN es incluido dentro de la coyuntura del conflicto (</w:t>
      </w:r>
      <w:r w:rsidRPr="00777DA3">
        <w:rPr>
          <w:lang w:val="es-ES_tradnl"/>
        </w:rPr>
        <w:t>Pág.</w:t>
      </w:r>
      <w:r w:rsidRPr="00777DA3">
        <w:rPr>
          <w:lang w:val="es-ES"/>
        </w:rPr>
        <w:t xml:space="preserve"> 14, 146 del </w:t>
      </w:r>
      <w:proofErr w:type="spellStart"/>
      <w:r w:rsidRPr="00777DA3">
        <w:rPr>
          <w:lang w:val="es-ES"/>
        </w:rPr>
        <w:t>pdf</w:t>
      </w:r>
      <w:proofErr w:type="spellEnd"/>
      <w:r w:rsidRPr="00777DA3">
        <w:rPr>
          <w:lang w:val="es-ES"/>
        </w:rPr>
        <w:t>).</w:t>
      </w:r>
    </w:p>
  </w:footnote>
  <w:footnote w:id="740">
    <w:p w14:paraId="01B9DBE2" w14:textId="77777777" w:rsidR="001F3006" w:rsidRPr="00777DA3" w:rsidRDefault="001F3006" w:rsidP="00C454A1">
      <w:pPr>
        <w:pStyle w:val="Textonotapie"/>
        <w:rPr>
          <w:lang w:val="es-MX"/>
        </w:rPr>
      </w:pPr>
      <w:r w:rsidRPr="00777DA3">
        <w:rPr>
          <w:rStyle w:val="Refdenotaalpie"/>
        </w:rPr>
        <w:footnoteRef/>
      </w:r>
      <w:r w:rsidRPr="00777DA3">
        <w:rPr>
          <w:lang w:val="es-ES"/>
        </w:rPr>
        <w:t xml:space="preserve"> </w:t>
      </w:r>
      <w:hyperlink r:id="rId17" w:history="1">
        <w:r w:rsidRPr="00777DA3">
          <w:rPr>
            <w:rStyle w:val="Hipervnculo"/>
            <w:rFonts w:eastAsiaTheme="minorEastAsia"/>
            <w:lang w:val="es-ES"/>
          </w:rPr>
          <w:t>https://alertasstg.blob.core.windows.net/alertas/021-24.pdf</w:t>
        </w:r>
      </w:hyperlink>
      <w:r w:rsidRPr="00777DA3">
        <w:rPr>
          <w:lang w:val="es-ES"/>
        </w:rPr>
        <w:t>.</w:t>
      </w:r>
    </w:p>
  </w:footnote>
  <w:footnote w:id="741">
    <w:p w14:paraId="52350F58" w14:textId="77777777" w:rsidR="001F3006" w:rsidRPr="00777DA3" w:rsidRDefault="001F3006" w:rsidP="00C454A1">
      <w:pPr>
        <w:pStyle w:val="Textonotapie"/>
        <w:rPr>
          <w:lang w:val="es-MX"/>
        </w:rPr>
      </w:pPr>
      <w:r w:rsidRPr="00777DA3">
        <w:rPr>
          <w:rStyle w:val="Refdenotaalpie"/>
        </w:rPr>
        <w:footnoteRef/>
      </w:r>
      <w:r w:rsidRPr="00777DA3">
        <w:t xml:space="preserve"> </w:t>
      </w:r>
      <w:r w:rsidRPr="00777DA3">
        <w:rPr>
          <w:lang w:val="es-MX"/>
        </w:rPr>
        <w:t xml:space="preserve">En la página 9 (212 del </w:t>
      </w:r>
      <w:proofErr w:type="spellStart"/>
      <w:r w:rsidRPr="00777DA3">
        <w:rPr>
          <w:lang w:val="es-MX"/>
        </w:rPr>
        <w:t>pdf</w:t>
      </w:r>
      <w:proofErr w:type="spellEnd"/>
      <w:r w:rsidRPr="00777DA3">
        <w:rPr>
          <w:lang w:val="es-MX"/>
        </w:rPr>
        <w:t>) se mencionan otras alertas tempranas.</w:t>
      </w:r>
    </w:p>
  </w:footnote>
  <w:footnote w:id="742">
    <w:p w14:paraId="589A7D2F" w14:textId="77777777" w:rsidR="001F3006" w:rsidRPr="00777DA3" w:rsidRDefault="001F3006" w:rsidP="00C454A1">
      <w:pPr>
        <w:pStyle w:val="Textonotapie"/>
        <w:rPr>
          <w:lang w:val="es-ES_tradnl"/>
        </w:rPr>
      </w:pPr>
      <w:r w:rsidRPr="00777DA3">
        <w:rPr>
          <w:rStyle w:val="Refdenotaalpie"/>
        </w:rPr>
        <w:footnoteRef/>
      </w:r>
      <w:r w:rsidRPr="00777DA3">
        <w:t xml:space="preserve"> En las páginas 21 a 24 se incorporó un cuadro que discrimina la información también por “etnia”.</w:t>
      </w:r>
    </w:p>
  </w:footnote>
  <w:footnote w:id="743">
    <w:p w14:paraId="39C1593A" w14:textId="77777777" w:rsidR="001F3006" w:rsidRPr="00777DA3" w:rsidRDefault="001F3006" w:rsidP="00C454A1">
      <w:pPr>
        <w:pStyle w:val="Textonotapie"/>
      </w:pPr>
      <w:r w:rsidRPr="00777DA3">
        <w:rPr>
          <w:rStyle w:val="Refdenotaalpie"/>
        </w:rPr>
        <w:footnoteRef/>
      </w:r>
      <w:r w:rsidRPr="00777DA3">
        <w:t xml:space="preserve"> En las páginas 21 a 24 se incorporó un cuadro que discrimina la información también por “etnia”.</w:t>
      </w:r>
    </w:p>
  </w:footnote>
  <w:footnote w:id="744">
    <w:p w14:paraId="4988E827" w14:textId="77777777" w:rsidR="001F3006" w:rsidRPr="00777DA3" w:rsidRDefault="001F3006" w:rsidP="00C454A1">
      <w:pPr>
        <w:pStyle w:val="Textonotapie"/>
      </w:pPr>
      <w:r w:rsidRPr="00777DA3">
        <w:rPr>
          <w:rStyle w:val="Refdenotaalpie"/>
        </w:rPr>
        <w:footnoteRef/>
      </w:r>
      <w:r w:rsidRPr="00777DA3">
        <w:t xml:space="preserve"> Algunas personas tienen dos o más criterios.</w:t>
      </w:r>
    </w:p>
  </w:footnote>
  <w:footnote w:id="745">
    <w:p w14:paraId="243EF118" w14:textId="77777777" w:rsidR="001F3006" w:rsidRPr="00777DA3" w:rsidRDefault="001F3006" w:rsidP="00C454A1">
      <w:pPr>
        <w:pStyle w:val="Textonotapie"/>
      </w:pPr>
      <w:r w:rsidRPr="00777DA3">
        <w:rPr>
          <w:rStyle w:val="Refdenotaalpie"/>
        </w:rPr>
        <w:footnoteRef/>
      </w:r>
      <w:r w:rsidRPr="00777DA3">
        <w:t xml:space="preserve"> En las páginas 21 a 24 se incorporó un cuadro que discrimina la información también por “etnia”.</w:t>
      </w:r>
    </w:p>
  </w:footnote>
  <w:footnote w:id="746">
    <w:p w14:paraId="1DB3DFCA" w14:textId="77777777" w:rsidR="001F3006" w:rsidRPr="00777DA3" w:rsidRDefault="001F3006" w:rsidP="00C454A1">
      <w:pPr>
        <w:pStyle w:val="Textonotapie"/>
      </w:pPr>
      <w:r w:rsidRPr="00777DA3">
        <w:rPr>
          <w:rStyle w:val="Refdenotaalpie"/>
        </w:rPr>
        <w:footnoteRef/>
      </w:r>
      <w:r w:rsidRPr="00777DA3">
        <w:t xml:space="preserve"> </w:t>
      </w:r>
      <w:r w:rsidRPr="00777DA3">
        <w:rPr>
          <w:lang w:val="es-ES_tradnl"/>
        </w:rPr>
        <w:t>Documento con anotación “Se recibe oficio de la doctora Katherine Mora Rosado, alcaldesa municipal de González, César, en respuesta al OPC-024/25”, Pág.17 del archivo</w:t>
      </w:r>
    </w:p>
  </w:footnote>
  <w:footnote w:id="747">
    <w:p w14:paraId="189D1975"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 xml:space="preserve">Ib. </w:t>
      </w:r>
      <w:r w:rsidRPr="00777DA3">
        <w:t>Págs.</w:t>
      </w:r>
      <w:r w:rsidRPr="00777DA3">
        <w:rPr>
          <w:lang w:val="es-ES_tradnl"/>
        </w:rPr>
        <w:t xml:space="preserve"> 16 y 17 del archivo.</w:t>
      </w:r>
    </w:p>
  </w:footnote>
  <w:footnote w:id="748">
    <w:p w14:paraId="5DE66582"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 Págs. 24 y 25 del archivo.</w:t>
      </w:r>
    </w:p>
  </w:footnote>
  <w:footnote w:id="749">
    <w:p w14:paraId="6AD11B6B" w14:textId="77777777" w:rsidR="001F3006" w:rsidRPr="00777DA3" w:rsidRDefault="001F3006" w:rsidP="00C454A1">
      <w:pPr>
        <w:pStyle w:val="Textonotapie"/>
      </w:pPr>
      <w:r w:rsidRPr="00777DA3">
        <w:rPr>
          <w:rStyle w:val="Refdenotaalpie"/>
        </w:rPr>
        <w:footnoteRef/>
      </w:r>
      <w:r w:rsidRPr="00777DA3">
        <w:t xml:space="preserve"> Documento “06.02.25 ARN I”, Págs. 3 a 6 (Págs. 4 a 7 del archivo).</w:t>
      </w:r>
    </w:p>
  </w:footnote>
  <w:footnote w:id="750">
    <w:p w14:paraId="7315C6FD" w14:textId="77777777" w:rsidR="001F3006" w:rsidRPr="00777DA3" w:rsidRDefault="001F3006" w:rsidP="00C454A1">
      <w:pPr>
        <w:pStyle w:val="Textonotapie"/>
      </w:pPr>
      <w:r w:rsidRPr="00777DA3">
        <w:rPr>
          <w:rStyle w:val="Refdenotaalpie"/>
        </w:rPr>
        <w:footnoteRef/>
      </w:r>
      <w:r w:rsidRPr="00777DA3">
        <w:t xml:space="preserve"> I</w:t>
      </w:r>
      <w:r>
        <w:t>b</w:t>
      </w:r>
      <w:r w:rsidRPr="00777DA3">
        <w:t xml:space="preserve">. </w:t>
      </w:r>
      <w:proofErr w:type="spellStart"/>
      <w:r w:rsidRPr="00777DA3">
        <w:rPr>
          <w:lang w:val="es-ES_tradnl"/>
        </w:rPr>
        <w:t>Pág</w:t>
      </w:r>
      <w:r>
        <w:rPr>
          <w:lang w:val="es-ES_tradnl"/>
        </w:rPr>
        <w:t>s</w:t>
      </w:r>
      <w:proofErr w:type="spellEnd"/>
      <w:r w:rsidRPr="00777DA3">
        <w:t>. 18 a 45 del archivo.</w:t>
      </w:r>
    </w:p>
  </w:footnote>
  <w:footnote w:id="751">
    <w:p w14:paraId="257FC023" w14:textId="77777777" w:rsidR="001F3006" w:rsidRPr="00777DA3" w:rsidRDefault="001F3006" w:rsidP="00C454A1">
      <w:pPr>
        <w:pStyle w:val="Textonotapie"/>
      </w:pPr>
      <w:r w:rsidRPr="00777DA3">
        <w:rPr>
          <w:rStyle w:val="Refdenotaalpie"/>
        </w:rPr>
        <w:footnoteRef/>
      </w:r>
      <w:r w:rsidRPr="00777DA3">
        <w:t xml:space="preserve"> I</w:t>
      </w:r>
      <w:r>
        <w:t>b</w:t>
      </w:r>
      <w:r w:rsidRPr="00777DA3">
        <w:t xml:space="preserve">. </w:t>
      </w:r>
      <w:r w:rsidRPr="00777DA3">
        <w:rPr>
          <w:lang w:val="es-ES_tradnl"/>
        </w:rPr>
        <w:t>Pág.</w:t>
      </w:r>
      <w:r w:rsidRPr="00777DA3">
        <w:t xml:space="preserve"> (</w:t>
      </w:r>
      <w:r w:rsidRPr="00777DA3">
        <w:rPr>
          <w:lang w:val="es-ES_tradnl"/>
        </w:rPr>
        <w:t>Pág.</w:t>
      </w:r>
      <w:r w:rsidRPr="00777DA3">
        <w:t xml:space="preserve"> 8 del archivo).</w:t>
      </w:r>
    </w:p>
  </w:footnote>
  <w:footnote w:id="752">
    <w:p w14:paraId="30FACBAB" w14:textId="77777777" w:rsidR="001F3006" w:rsidRPr="00777DA3" w:rsidRDefault="001F3006" w:rsidP="00C454A1">
      <w:pPr>
        <w:pStyle w:val="Textonotapie"/>
      </w:pPr>
      <w:r w:rsidRPr="00777DA3">
        <w:rPr>
          <w:rStyle w:val="Refdenotaalpie"/>
        </w:rPr>
        <w:footnoteRef/>
      </w:r>
      <w:r w:rsidRPr="00777DA3">
        <w:t xml:space="preserve"> Con corte al 3 de febrero de 2025, la ARN cuenta con el siguiente reporte: (a) firmantes contactados: 544, (b) firmantes en el albergue: 38, (c) firmantes confinados: 174 (no ha salido de vereda yo municipio), (d) firmantes que se han trasladado a otros departamentos: 29, y (e) firmantes asesinados: 6. Cfr. Documento “06.02.25 ARN I”, </w:t>
      </w:r>
      <w:r w:rsidRPr="00777DA3">
        <w:rPr>
          <w:lang w:val="es-ES_tradnl"/>
        </w:rPr>
        <w:t>Pág.</w:t>
      </w:r>
      <w:r w:rsidRPr="00777DA3">
        <w:t xml:space="preserve"> (</w:t>
      </w:r>
      <w:r w:rsidRPr="00777DA3">
        <w:rPr>
          <w:lang w:val="es-ES_tradnl"/>
        </w:rPr>
        <w:t>Pág.</w:t>
      </w:r>
      <w:r w:rsidRPr="00777DA3">
        <w:t>8 del archivo).</w:t>
      </w:r>
    </w:p>
  </w:footnote>
  <w:footnote w:id="753">
    <w:p w14:paraId="20642781" w14:textId="77777777" w:rsidR="001F3006" w:rsidRPr="00777DA3" w:rsidRDefault="001F3006" w:rsidP="00C454A1">
      <w:pPr>
        <w:pStyle w:val="Textonotapie"/>
      </w:pPr>
      <w:r w:rsidRPr="00777DA3">
        <w:rPr>
          <w:rStyle w:val="Refdenotaalpie"/>
        </w:rPr>
        <w:footnoteRef/>
      </w:r>
      <w:r w:rsidRPr="00777DA3">
        <w:t xml:space="preserve"> No han salido de municipio ni vereda</w:t>
      </w:r>
    </w:p>
  </w:footnote>
  <w:footnote w:id="754">
    <w:p w14:paraId="3D4C452C" w14:textId="77777777" w:rsidR="001F3006" w:rsidRPr="00777DA3" w:rsidRDefault="001F3006" w:rsidP="00C454A1">
      <w:pPr>
        <w:pStyle w:val="Textonotapie"/>
      </w:pPr>
      <w:r w:rsidRPr="00777DA3">
        <w:rPr>
          <w:rStyle w:val="Refdenotaalpie"/>
        </w:rPr>
        <w:footnoteRef/>
      </w:r>
      <w:r w:rsidRPr="00777DA3">
        <w:t xml:space="preserve"> Documento “06.02.25 ARN I”, </w:t>
      </w:r>
      <w:r w:rsidRPr="00777DA3">
        <w:rPr>
          <w:lang w:val="es-ES_tradnl"/>
        </w:rPr>
        <w:t>Pág.</w:t>
      </w:r>
      <w:r w:rsidRPr="00777DA3">
        <w:t xml:space="preserve"> 13 (</w:t>
      </w:r>
      <w:r w:rsidRPr="00777DA3">
        <w:rPr>
          <w:lang w:val="es-ES_tradnl"/>
        </w:rPr>
        <w:t>Pág.</w:t>
      </w:r>
      <w:r w:rsidRPr="00777DA3">
        <w:t>14 del archivo).</w:t>
      </w:r>
    </w:p>
  </w:footnote>
  <w:footnote w:id="755">
    <w:p w14:paraId="32068380" w14:textId="77777777" w:rsidR="001F3006" w:rsidRPr="00777DA3" w:rsidRDefault="001F3006" w:rsidP="00C454A1">
      <w:pPr>
        <w:pStyle w:val="Textonotapie"/>
      </w:pPr>
      <w:r w:rsidRPr="00777DA3">
        <w:rPr>
          <w:rStyle w:val="Refdenotaalpie"/>
        </w:rPr>
        <w:footnoteRef/>
      </w:r>
      <w:r w:rsidRPr="00777DA3">
        <w:t xml:space="preserve"> I</w:t>
      </w:r>
      <w:r>
        <w:t xml:space="preserve">b. </w:t>
      </w:r>
      <w:r w:rsidRPr="00777DA3">
        <w:rPr>
          <w:lang w:val="es-ES_tradnl"/>
        </w:rPr>
        <w:t>Pág.</w:t>
      </w:r>
      <w:r w:rsidRPr="00777DA3">
        <w:t xml:space="preserve"> 15 (</w:t>
      </w:r>
      <w:r w:rsidRPr="00777DA3">
        <w:rPr>
          <w:lang w:val="es-ES_tradnl"/>
        </w:rPr>
        <w:t>Pág.</w:t>
      </w:r>
      <w:r>
        <w:rPr>
          <w:lang w:val="es-ES_tradnl"/>
        </w:rPr>
        <w:t xml:space="preserve"> 1</w:t>
      </w:r>
      <w:r w:rsidRPr="00777DA3">
        <w:t>6 del archivo).</w:t>
      </w:r>
    </w:p>
  </w:footnote>
  <w:footnote w:id="756">
    <w:p w14:paraId="3EEF8929" w14:textId="77777777" w:rsidR="001F3006" w:rsidRPr="00777DA3" w:rsidRDefault="001F3006" w:rsidP="00C454A1">
      <w:pPr>
        <w:pStyle w:val="Textonotapie"/>
      </w:pPr>
      <w:r w:rsidRPr="00777DA3">
        <w:rPr>
          <w:rStyle w:val="Refdenotaalpie"/>
        </w:rPr>
        <w:footnoteRef/>
      </w:r>
      <w:r w:rsidRPr="00777DA3">
        <w:t xml:space="preserve"> I</w:t>
      </w:r>
      <w:r>
        <w:t>b.</w:t>
      </w:r>
    </w:p>
  </w:footnote>
  <w:footnote w:id="757">
    <w:p w14:paraId="066DC490"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Documento con anotación “Se recibe oficio de la doctora Iris Marín Ortiz, Defensora del Pueblo, en respuesta al OPC-021/25. (Primera parte)”, Pág. 1 a 17 (Pág. 2 a 18 del archivo).</w:t>
      </w:r>
    </w:p>
  </w:footnote>
  <w:footnote w:id="758">
    <w:p w14:paraId="3C1A738C"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w:t>
      </w:r>
      <w:r>
        <w:rPr>
          <w:lang w:val="es-ES_tradnl"/>
        </w:rPr>
        <w:t xml:space="preserve">b. </w:t>
      </w:r>
      <w:r w:rsidRPr="00777DA3">
        <w:rPr>
          <w:lang w:val="es-ES_tradnl"/>
        </w:rPr>
        <w:t>Pág.</w:t>
      </w:r>
      <w:r>
        <w:rPr>
          <w:lang w:val="es-ES_tradnl"/>
        </w:rPr>
        <w:t xml:space="preserve"> </w:t>
      </w:r>
      <w:r w:rsidRPr="00777DA3">
        <w:rPr>
          <w:lang w:val="es-ES_tradnl"/>
        </w:rPr>
        <w:t>18.</w:t>
      </w:r>
    </w:p>
  </w:footnote>
  <w:footnote w:id="759">
    <w:p w14:paraId="5DCF9447"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w:t>
      </w:r>
      <w:r>
        <w:rPr>
          <w:lang w:val="es-ES_tradnl"/>
        </w:rPr>
        <w:t>b.</w:t>
      </w:r>
    </w:p>
  </w:footnote>
  <w:footnote w:id="760">
    <w:p w14:paraId="7F786080"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w:t>
      </w:r>
      <w:r>
        <w:rPr>
          <w:lang w:val="es-ES_tradnl"/>
        </w:rPr>
        <w:t xml:space="preserve">b. </w:t>
      </w:r>
      <w:r w:rsidRPr="00777DA3">
        <w:rPr>
          <w:lang w:val="es-ES_tradnl"/>
        </w:rPr>
        <w:t>Pág. 19.</w:t>
      </w:r>
    </w:p>
  </w:footnote>
  <w:footnote w:id="761">
    <w:p w14:paraId="481B003E"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Documento con anotación “Se recibe oficio de la doctora Iris Marín Ortiz, Defensora del Pueblo, en respuesta al OPC-021/25. (Segunda parte)”, Pág.138 del archivo.</w:t>
      </w:r>
    </w:p>
  </w:footnote>
  <w:footnote w:id="762">
    <w:p w14:paraId="4EE51A2C"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 xml:space="preserve">Documento con anotación “Se recibe oficio de la doctora Iris Marín </w:t>
      </w:r>
      <w:proofErr w:type="spellStart"/>
      <w:r w:rsidRPr="00777DA3">
        <w:rPr>
          <w:lang w:val="es-ES_tradnl"/>
        </w:rPr>
        <w:t>Orrtiz</w:t>
      </w:r>
      <w:proofErr w:type="spellEnd"/>
      <w:r w:rsidRPr="00777DA3">
        <w:rPr>
          <w:lang w:val="es-ES_tradnl"/>
        </w:rPr>
        <w:t>, Defensora del Pueblo, en respuesta al OPC-021/25. (Primera parte)”,</w:t>
      </w:r>
      <w:r w:rsidRPr="007F52AA">
        <w:rPr>
          <w:lang w:val="es-ES_tradnl"/>
        </w:rPr>
        <w:t xml:space="preserve"> </w:t>
      </w:r>
      <w:proofErr w:type="gramStart"/>
      <w:r w:rsidRPr="00777DA3">
        <w:rPr>
          <w:lang w:val="es-ES_tradnl"/>
        </w:rPr>
        <w:t>Pág..</w:t>
      </w:r>
      <w:proofErr w:type="gramEnd"/>
      <w:r w:rsidRPr="00777DA3">
        <w:rPr>
          <w:lang w:val="es-ES_tradnl"/>
        </w:rPr>
        <w:t xml:space="preserve"> 20 (Pág. 21 del archivo).</w:t>
      </w:r>
    </w:p>
  </w:footnote>
  <w:footnote w:id="763">
    <w:p w14:paraId="4629E70C"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En el documento se discrimina por sexo, municipio y edad. Cfr. Pág. 21 (Pág.</w:t>
      </w:r>
      <w:r>
        <w:rPr>
          <w:lang w:val="es-ES_tradnl"/>
        </w:rPr>
        <w:t xml:space="preserve"> </w:t>
      </w:r>
      <w:r w:rsidRPr="00777DA3">
        <w:rPr>
          <w:lang w:val="es-ES_tradnl"/>
        </w:rPr>
        <w:t xml:space="preserve">22 del archivo </w:t>
      </w:r>
      <w:proofErr w:type="spellStart"/>
      <w:r w:rsidRPr="00777DA3">
        <w:rPr>
          <w:lang w:val="es-ES_tradnl"/>
        </w:rPr>
        <w:t>pdf</w:t>
      </w:r>
      <w:proofErr w:type="spellEnd"/>
      <w:r w:rsidRPr="00777DA3">
        <w:rPr>
          <w:lang w:val="es-ES_tradnl"/>
        </w:rPr>
        <w:t>).</w:t>
      </w:r>
    </w:p>
  </w:footnote>
  <w:footnote w:id="764">
    <w:p w14:paraId="509181C3" w14:textId="77777777" w:rsidR="001F3006" w:rsidRPr="00777DA3" w:rsidRDefault="001F3006" w:rsidP="00C454A1">
      <w:pPr>
        <w:pStyle w:val="Textonotapie"/>
      </w:pPr>
      <w:r w:rsidRPr="00777DA3">
        <w:rPr>
          <w:rStyle w:val="Refdenotaalpie"/>
        </w:rPr>
        <w:footnoteRef/>
      </w:r>
      <w:r w:rsidRPr="00777DA3">
        <w:t xml:space="preserve"> </w:t>
      </w:r>
      <w:r w:rsidRPr="00777DA3">
        <w:rPr>
          <w:lang w:val="es-ES"/>
        </w:rPr>
        <w:t>Expediente digital, “0000361-Pruebas del Expediente (</w:t>
      </w:r>
      <w:proofErr w:type="spellStart"/>
      <w:r w:rsidRPr="00777DA3">
        <w:rPr>
          <w:lang w:val="es-ES"/>
        </w:rPr>
        <w:t>Recepción</w:t>
      </w:r>
      <w:proofErr w:type="spellEnd"/>
      <w:r w:rsidRPr="00777DA3">
        <w:rPr>
          <w:lang w:val="es-ES"/>
        </w:rPr>
        <w:t xml:space="preserve"> y Paso al </w:t>
      </w:r>
      <w:proofErr w:type="gramStart"/>
      <w:r w:rsidRPr="00777DA3">
        <w:rPr>
          <w:lang w:val="es-ES"/>
        </w:rPr>
        <w:t>Despacho)-(</w:t>
      </w:r>
      <w:proofErr w:type="gramEnd"/>
      <w:r w:rsidRPr="00777DA3">
        <w:rPr>
          <w:lang w:val="es-ES"/>
        </w:rPr>
        <w:t>2025-02-05 16-53-45).</w:t>
      </w:r>
      <w:proofErr w:type="spellStart"/>
      <w:r w:rsidRPr="00777DA3">
        <w:rPr>
          <w:lang w:val="es-ES"/>
        </w:rPr>
        <w:t>pdf</w:t>
      </w:r>
      <w:proofErr w:type="spellEnd"/>
      <w:r w:rsidRPr="00777DA3">
        <w:rPr>
          <w:lang w:val="es-ES"/>
        </w:rPr>
        <w:t xml:space="preserve">”, </w:t>
      </w:r>
      <w:r w:rsidRPr="00777DA3">
        <w:rPr>
          <w:lang w:val="es-ES_tradnl"/>
        </w:rPr>
        <w:t>Pág.</w:t>
      </w:r>
      <w:r>
        <w:rPr>
          <w:lang w:val="es-ES_tradnl"/>
        </w:rPr>
        <w:t xml:space="preserve"> </w:t>
      </w:r>
      <w:r w:rsidRPr="00777DA3">
        <w:rPr>
          <w:lang w:val="es-ES"/>
        </w:rPr>
        <w:t>3.</w:t>
      </w:r>
    </w:p>
  </w:footnote>
  <w:footnote w:id="765">
    <w:p w14:paraId="792BFDD6"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Pr>
          <w:lang w:val="es-ES_tradnl"/>
        </w:rPr>
        <w:t xml:space="preserve"> </w:t>
      </w:r>
      <w:r w:rsidRPr="00777DA3">
        <w:t>4.</w:t>
      </w:r>
    </w:p>
  </w:footnote>
  <w:footnote w:id="766">
    <w:p w14:paraId="27B5FF71"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5.</w:t>
      </w:r>
    </w:p>
  </w:footnote>
  <w:footnote w:id="767">
    <w:p w14:paraId="0C155FE8"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6.</w:t>
      </w:r>
    </w:p>
  </w:footnote>
  <w:footnote w:id="768">
    <w:p w14:paraId="2B0CF032" w14:textId="77777777" w:rsidR="001F3006" w:rsidRPr="00777DA3" w:rsidRDefault="001F3006" w:rsidP="00C454A1">
      <w:pPr>
        <w:pStyle w:val="Textonotapie"/>
        <w:rPr>
          <w:lang w:val="es-ES"/>
        </w:rPr>
      </w:pPr>
      <w:r w:rsidRPr="00777DA3">
        <w:rPr>
          <w:rStyle w:val="Refdenotaalpie"/>
          <w:lang w:val="es-ES"/>
        </w:rPr>
        <w:footnoteRef/>
      </w:r>
      <w:r w:rsidRPr="00777DA3">
        <w:rPr>
          <w:lang w:val="es-ES"/>
        </w:rPr>
        <w:t xml:space="preserve"> Expediente digital, “0000361-Pruebas del Expediente (</w:t>
      </w:r>
      <w:proofErr w:type="spellStart"/>
      <w:r w:rsidRPr="00777DA3">
        <w:rPr>
          <w:lang w:val="es-ES"/>
        </w:rPr>
        <w:t>Recepción</w:t>
      </w:r>
      <w:proofErr w:type="spellEnd"/>
      <w:r w:rsidRPr="00777DA3">
        <w:rPr>
          <w:lang w:val="es-ES"/>
        </w:rPr>
        <w:t xml:space="preserve"> y Paso al </w:t>
      </w:r>
      <w:proofErr w:type="gramStart"/>
      <w:r w:rsidRPr="00777DA3">
        <w:rPr>
          <w:lang w:val="es-ES"/>
        </w:rPr>
        <w:t>Despacho)-(</w:t>
      </w:r>
      <w:proofErr w:type="gramEnd"/>
      <w:r w:rsidRPr="00777DA3">
        <w:rPr>
          <w:lang w:val="es-ES"/>
        </w:rPr>
        <w:t xml:space="preserve">2025-02-05 22-47-52)”, </w:t>
      </w:r>
      <w:r w:rsidRPr="00777DA3">
        <w:rPr>
          <w:lang w:val="es-ES_tradnl"/>
        </w:rPr>
        <w:t>Pág.</w:t>
      </w:r>
      <w:r>
        <w:rPr>
          <w:lang w:val="es-ES_tradnl"/>
        </w:rPr>
        <w:t xml:space="preserve"> </w:t>
      </w:r>
      <w:r w:rsidRPr="00777DA3">
        <w:rPr>
          <w:lang w:val="es-ES"/>
        </w:rPr>
        <w:t>7.</w:t>
      </w:r>
    </w:p>
  </w:footnote>
  <w:footnote w:id="769">
    <w:p w14:paraId="2A676863" w14:textId="77777777" w:rsidR="001F3006" w:rsidRPr="00777DA3" w:rsidRDefault="001F3006" w:rsidP="00C454A1">
      <w:pPr>
        <w:pStyle w:val="Textonotapie"/>
      </w:pPr>
      <w:r w:rsidRPr="00777DA3">
        <w:rPr>
          <w:rStyle w:val="Refdenotaalpie"/>
        </w:rPr>
        <w:footnoteRef/>
      </w:r>
      <w:r w:rsidRPr="00777DA3">
        <w:t xml:space="preserve"> Ib.</w:t>
      </w:r>
    </w:p>
  </w:footnote>
  <w:footnote w:id="770">
    <w:p w14:paraId="5C1C569C" w14:textId="77777777" w:rsidR="001F3006" w:rsidRPr="00777DA3" w:rsidRDefault="001F3006" w:rsidP="00C454A1">
      <w:pPr>
        <w:pStyle w:val="Textonotapie"/>
      </w:pPr>
      <w:r w:rsidRPr="00777DA3">
        <w:rPr>
          <w:rStyle w:val="Refdenotaalpie"/>
        </w:rPr>
        <w:footnoteRef/>
      </w:r>
      <w:r w:rsidRPr="00777DA3">
        <w:t xml:space="preserve"> Ib.</w:t>
      </w:r>
    </w:p>
  </w:footnote>
  <w:footnote w:id="771">
    <w:p w14:paraId="463384CD" w14:textId="77777777" w:rsidR="001F3006" w:rsidRPr="00777DA3" w:rsidRDefault="001F3006" w:rsidP="00C454A1">
      <w:pPr>
        <w:pStyle w:val="Textonotapie"/>
      </w:pPr>
      <w:r w:rsidRPr="00777DA3">
        <w:rPr>
          <w:rStyle w:val="Refdenotaalpie"/>
        </w:rPr>
        <w:footnoteRef/>
      </w:r>
      <w:r w:rsidRPr="00777DA3">
        <w:t xml:space="preserve"> Ib.</w:t>
      </w:r>
    </w:p>
  </w:footnote>
  <w:footnote w:id="772">
    <w:p w14:paraId="417A760D" w14:textId="77777777" w:rsidR="001F3006" w:rsidRPr="00777DA3" w:rsidRDefault="001F3006" w:rsidP="00C454A1">
      <w:pPr>
        <w:pStyle w:val="Textonotapie"/>
      </w:pPr>
      <w:r w:rsidRPr="00777DA3">
        <w:rPr>
          <w:rStyle w:val="Refdenotaalpie"/>
        </w:rPr>
        <w:footnoteRef/>
      </w:r>
      <w:r w:rsidRPr="00777DA3">
        <w:t xml:space="preserve"> Ib.</w:t>
      </w:r>
    </w:p>
  </w:footnote>
  <w:footnote w:id="773">
    <w:p w14:paraId="120FB8CD" w14:textId="77777777" w:rsidR="001F3006" w:rsidRPr="00777DA3" w:rsidRDefault="001F3006" w:rsidP="00C454A1">
      <w:pPr>
        <w:pStyle w:val="Textonotapie"/>
      </w:pPr>
      <w:r w:rsidRPr="00777DA3">
        <w:rPr>
          <w:rStyle w:val="Refdenotaalpie"/>
        </w:rPr>
        <w:footnoteRef/>
      </w:r>
      <w:r w:rsidRPr="00777DA3">
        <w:t xml:space="preserve"> Ib.</w:t>
      </w:r>
    </w:p>
  </w:footnote>
  <w:footnote w:id="774">
    <w:p w14:paraId="00314F6B"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8.</w:t>
      </w:r>
    </w:p>
  </w:footnote>
  <w:footnote w:id="775">
    <w:p w14:paraId="7EC05F29"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9.</w:t>
      </w:r>
    </w:p>
  </w:footnote>
  <w:footnote w:id="776">
    <w:p w14:paraId="350F96F1" w14:textId="77777777" w:rsidR="001F3006" w:rsidRPr="00777DA3" w:rsidRDefault="001F3006" w:rsidP="00C454A1">
      <w:pPr>
        <w:pStyle w:val="Textonotapie"/>
        <w:rPr>
          <w:lang w:val="es-ES"/>
        </w:rPr>
      </w:pPr>
      <w:r w:rsidRPr="00777DA3">
        <w:rPr>
          <w:rStyle w:val="Refdenotaalpie"/>
          <w:lang w:val="es-ES"/>
        </w:rPr>
        <w:footnoteRef/>
      </w:r>
      <w:r w:rsidRPr="00777DA3">
        <w:rPr>
          <w:lang w:val="es-ES"/>
        </w:rPr>
        <w:t xml:space="preserve"> Expediente digital, “RE0000361-Pruebas del Expediente (</w:t>
      </w:r>
      <w:proofErr w:type="spellStart"/>
      <w:r w:rsidRPr="00777DA3">
        <w:rPr>
          <w:lang w:val="es-ES"/>
        </w:rPr>
        <w:t>Recepción</w:t>
      </w:r>
      <w:proofErr w:type="spellEnd"/>
      <w:r w:rsidRPr="00777DA3">
        <w:rPr>
          <w:lang w:val="es-ES"/>
        </w:rPr>
        <w:t xml:space="preserve"> y Paso al </w:t>
      </w:r>
      <w:proofErr w:type="gramStart"/>
      <w:r w:rsidRPr="00777DA3">
        <w:rPr>
          <w:lang w:val="es-ES"/>
        </w:rPr>
        <w:t>Despacho)-(</w:t>
      </w:r>
      <w:proofErr w:type="gramEnd"/>
      <w:r w:rsidRPr="00777DA3">
        <w:rPr>
          <w:lang w:val="es-ES"/>
        </w:rPr>
        <w:t>2025-02-06 22-48-11)”</w:t>
      </w:r>
      <w:r>
        <w:rPr>
          <w:lang w:val="es-ES"/>
        </w:rPr>
        <w:t>.,</w:t>
      </w:r>
      <w:r w:rsidRPr="00777DA3">
        <w:rPr>
          <w:lang w:val="es-ES"/>
        </w:rPr>
        <w:t xml:space="preserve"> </w:t>
      </w:r>
      <w:r w:rsidRPr="00777DA3">
        <w:rPr>
          <w:lang w:val="es-ES_tradnl"/>
        </w:rPr>
        <w:t>Pág.</w:t>
      </w:r>
      <w:r w:rsidRPr="00777DA3">
        <w:rPr>
          <w:lang w:val="es-ES"/>
        </w:rPr>
        <w:t xml:space="preserve"> 13.</w:t>
      </w:r>
    </w:p>
  </w:footnote>
  <w:footnote w:id="777">
    <w:p w14:paraId="321E64C2" w14:textId="77777777" w:rsidR="001F3006" w:rsidRPr="00777DA3" w:rsidRDefault="001F3006" w:rsidP="00C454A1">
      <w:pPr>
        <w:pStyle w:val="Textonotapie"/>
      </w:pPr>
      <w:r w:rsidRPr="00777DA3">
        <w:rPr>
          <w:rStyle w:val="Refdenotaalpie"/>
        </w:rPr>
        <w:footnoteRef/>
      </w:r>
      <w:r w:rsidRPr="00777DA3">
        <w:t xml:space="preserve"> Ib.</w:t>
      </w:r>
    </w:p>
  </w:footnote>
  <w:footnote w:id="778">
    <w:p w14:paraId="530C2BB6" w14:textId="77777777" w:rsidR="001F3006" w:rsidRPr="00777DA3" w:rsidRDefault="001F3006" w:rsidP="00C454A1">
      <w:pPr>
        <w:pStyle w:val="Textonotapie"/>
      </w:pPr>
      <w:r w:rsidRPr="00777DA3">
        <w:rPr>
          <w:rStyle w:val="Refdenotaalpie"/>
        </w:rPr>
        <w:footnoteRef/>
      </w:r>
      <w:r w:rsidRPr="00777DA3">
        <w:t xml:space="preserve"> </w:t>
      </w:r>
      <w:r w:rsidRPr="00777DA3">
        <w:rPr>
          <w:lang w:val="es-ES"/>
        </w:rPr>
        <w:t>Expediente digital, “RE0000361-Pruebas del Expediente (</w:t>
      </w:r>
      <w:proofErr w:type="spellStart"/>
      <w:r w:rsidRPr="00777DA3">
        <w:rPr>
          <w:lang w:val="es-ES"/>
        </w:rPr>
        <w:t>Recepción</w:t>
      </w:r>
      <w:proofErr w:type="spellEnd"/>
      <w:r w:rsidRPr="00777DA3">
        <w:rPr>
          <w:lang w:val="es-ES"/>
        </w:rPr>
        <w:t xml:space="preserve"> y Paso al </w:t>
      </w:r>
      <w:proofErr w:type="gramStart"/>
      <w:r w:rsidRPr="00777DA3">
        <w:rPr>
          <w:lang w:val="es-ES"/>
        </w:rPr>
        <w:t>Despacho)-(</w:t>
      </w:r>
      <w:proofErr w:type="gramEnd"/>
      <w:r w:rsidRPr="00777DA3">
        <w:rPr>
          <w:lang w:val="es-ES"/>
        </w:rPr>
        <w:t>2025-02-04 16-21-47).</w:t>
      </w:r>
      <w:proofErr w:type="spellStart"/>
      <w:r w:rsidRPr="00777DA3">
        <w:rPr>
          <w:lang w:val="es-ES"/>
        </w:rPr>
        <w:t>pdf</w:t>
      </w:r>
      <w:proofErr w:type="spellEnd"/>
      <w:r w:rsidRPr="00777DA3">
        <w:rPr>
          <w:lang w:val="es-ES"/>
        </w:rPr>
        <w:t>”</w:t>
      </w:r>
      <w:r>
        <w:rPr>
          <w:lang w:val="es-ES"/>
        </w:rPr>
        <w:t xml:space="preserve">., </w:t>
      </w:r>
      <w:r w:rsidRPr="00777DA3">
        <w:rPr>
          <w:lang w:val="es-ES_tradnl"/>
        </w:rPr>
        <w:t>Pág.</w:t>
      </w:r>
      <w:r w:rsidRPr="00777DA3">
        <w:rPr>
          <w:lang w:val="es-ES"/>
        </w:rPr>
        <w:t xml:space="preserve"> 4.</w:t>
      </w:r>
    </w:p>
  </w:footnote>
  <w:footnote w:id="779">
    <w:p w14:paraId="14F5B8AA"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w:t>
      </w:r>
    </w:p>
  </w:footnote>
  <w:footnote w:id="780">
    <w:p w14:paraId="31BA198A"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w:t>
      </w:r>
    </w:p>
  </w:footnote>
  <w:footnote w:id="781">
    <w:p w14:paraId="4B729D6C"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 Pág. 6.</w:t>
      </w:r>
    </w:p>
  </w:footnote>
  <w:footnote w:id="782">
    <w:p w14:paraId="070E0D5B"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 Pág.</w:t>
      </w:r>
      <w:r>
        <w:rPr>
          <w:lang w:val="es-ES_tradnl"/>
        </w:rPr>
        <w:t xml:space="preserve"> </w:t>
      </w:r>
      <w:r w:rsidRPr="00777DA3">
        <w:rPr>
          <w:lang w:val="es-ES_tradnl"/>
        </w:rPr>
        <w:t>7.</w:t>
      </w:r>
    </w:p>
  </w:footnote>
  <w:footnote w:id="783">
    <w:p w14:paraId="41231CB9"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 Pág. 8.</w:t>
      </w:r>
    </w:p>
  </w:footnote>
  <w:footnote w:id="784">
    <w:p w14:paraId="7B11B5AD"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9.</w:t>
      </w:r>
    </w:p>
  </w:footnote>
  <w:footnote w:id="785">
    <w:p w14:paraId="7173B132" w14:textId="77777777" w:rsidR="001F3006" w:rsidRPr="00777DA3" w:rsidRDefault="001F3006" w:rsidP="00C454A1">
      <w:pPr>
        <w:pStyle w:val="Textonotapie"/>
      </w:pPr>
      <w:r w:rsidRPr="00777DA3">
        <w:rPr>
          <w:rStyle w:val="Refdenotaalpie"/>
        </w:rPr>
        <w:footnoteRef/>
      </w:r>
      <w:r w:rsidRPr="00777DA3">
        <w:t xml:space="preserve"> Ib.</w:t>
      </w:r>
    </w:p>
  </w:footnote>
  <w:footnote w:id="786">
    <w:p w14:paraId="7E61B509" w14:textId="77777777" w:rsidR="001F3006" w:rsidRPr="00777DA3" w:rsidRDefault="001F3006" w:rsidP="00C454A1">
      <w:pPr>
        <w:pStyle w:val="Textonotapie"/>
      </w:pPr>
      <w:r w:rsidRPr="00777DA3">
        <w:rPr>
          <w:rStyle w:val="Refdenotaalpie"/>
        </w:rPr>
        <w:footnoteRef/>
      </w:r>
      <w:r w:rsidRPr="00777DA3">
        <w:t xml:space="preserve"> </w:t>
      </w:r>
      <w:r w:rsidRPr="00777DA3">
        <w:rPr>
          <w:lang w:val="es-ES"/>
        </w:rPr>
        <w:t xml:space="preserve">Expediente digital, “06.02.25 Departamento del Cesar.pdf”, </w:t>
      </w:r>
      <w:r w:rsidRPr="00777DA3">
        <w:rPr>
          <w:lang w:val="es-ES_tradnl"/>
        </w:rPr>
        <w:t>Pág.</w:t>
      </w:r>
      <w:r w:rsidRPr="00777DA3">
        <w:rPr>
          <w:lang w:val="es-ES"/>
        </w:rPr>
        <w:t xml:space="preserve"> 5.</w:t>
      </w:r>
    </w:p>
  </w:footnote>
  <w:footnote w:id="787">
    <w:p w14:paraId="056B0D70"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 xml:space="preserve">Ib. </w:t>
      </w:r>
    </w:p>
  </w:footnote>
  <w:footnote w:id="788">
    <w:p w14:paraId="76EF3C34" w14:textId="77777777" w:rsidR="001F3006" w:rsidRPr="00777DA3" w:rsidRDefault="001F3006" w:rsidP="00C454A1">
      <w:pPr>
        <w:pStyle w:val="Textonotapie"/>
        <w:rPr>
          <w:lang w:val="es-ES_tradnl"/>
        </w:rPr>
      </w:pPr>
      <w:r w:rsidRPr="00777DA3">
        <w:rPr>
          <w:rStyle w:val="Refdenotaalpie"/>
        </w:rPr>
        <w:footnoteRef/>
      </w:r>
      <w:r w:rsidRPr="00777DA3">
        <w:t xml:space="preserve"> Ib., </w:t>
      </w:r>
      <w:r w:rsidRPr="00777DA3">
        <w:rPr>
          <w:lang w:val="es-ES_tradnl"/>
        </w:rPr>
        <w:t>Pág.</w:t>
      </w:r>
      <w:r w:rsidRPr="00777DA3">
        <w:t xml:space="preserve"> 102.</w:t>
      </w:r>
    </w:p>
  </w:footnote>
  <w:footnote w:id="789">
    <w:p w14:paraId="52E591C6"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 Pág.</w:t>
      </w:r>
      <w:r w:rsidRPr="00777DA3">
        <w:rPr>
          <w:lang w:val="es-ES"/>
        </w:rPr>
        <w:t xml:space="preserve"> 5.</w:t>
      </w:r>
    </w:p>
  </w:footnote>
  <w:footnote w:id="790">
    <w:p w14:paraId="4C162E93" w14:textId="77777777" w:rsidR="001F3006" w:rsidRPr="00777DA3" w:rsidRDefault="001F3006" w:rsidP="00C454A1">
      <w:pPr>
        <w:pStyle w:val="Textonotapie"/>
        <w:rPr>
          <w:lang w:val="es-ES_tradnl"/>
        </w:rPr>
      </w:pPr>
      <w:r w:rsidRPr="00777DA3">
        <w:rPr>
          <w:rStyle w:val="Refdenotaalpie"/>
        </w:rPr>
        <w:footnoteRef/>
      </w:r>
      <w:r w:rsidRPr="00777DA3">
        <w:t xml:space="preserve"> Ib., </w:t>
      </w:r>
      <w:r w:rsidRPr="00777DA3">
        <w:rPr>
          <w:lang w:val="es-ES_tradnl"/>
        </w:rPr>
        <w:t>Pág.</w:t>
      </w:r>
      <w:r>
        <w:rPr>
          <w:lang w:val="es-ES_tradnl"/>
        </w:rPr>
        <w:t xml:space="preserve"> </w:t>
      </w:r>
      <w:r w:rsidRPr="00777DA3">
        <w:t xml:space="preserve">7. </w:t>
      </w:r>
    </w:p>
  </w:footnote>
  <w:footnote w:id="791">
    <w:p w14:paraId="0A05887C" w14:textId="77777777" w:rsidR="001F3006" w:rsidRPr="00777DA3" w:rsidRDefault="001F3006" w:rsidP="00C454A1">
      <w:pPr>
        <w:pStyle w:val="Textonotapie"/>
        <w:rPr>
          <w:lang w:val="es-ES_tradnl"/>
        </w:rPr>
      </w:pPr>
      <w:r w:rsidRPr="00777DA3">
        <w:rPr>
          <w:rStyle w:val="Refdenotaalpie"/>
        </w:rPr>
        <w:footnoteRef/>
      </w:r>
      <w:r w:rsidRPr="00777DA3">
        <w:t xml:space="preserve"> Ib., </w:t>
      </w:r>
      <w:r w:rsidRPr="00777DA3">
        <w:rPr>
          <w:lang w:val="es-ES_tradnl"/>
        </w:rPr>
        <w:t>Pág.</w:t>
      </w:r>
      <w:r w:rsidRPr="00777DA3">
        <w:t xml:space="preserve"> 9.</w:t>
      </w:r>
    </w:p>
  </w:footnote>
  <w:footnote w:id="792">
    <w:p w14:paraId="1151B0AD" w14:textId="77777777" w:rsidR="001F3006" w:rsidRPr="00777DA3" w:rsidRDefault="001F3006" w:rsidP="00C454A1">
      <w:pPr>
        <w:pStyle w:val="Textonotapie"/>
        <w:rPr>
          <w:lang w:val="es-ES_tradnl"/>
        </w:rPr>
      </w:pPr>
      <w:r w:rsidRPr="00777DA3">
        <w:rPr>
          <w:rStyle w:val="Refdenotaalpie"/>
        </w:rPr>
        <w:footnoteRef/>
      </w:r>
      <w:r w:rsidRPr="00777DA3">
        <w:t xml:space="preserve"> Ib., </w:t>
      </w:r>
      <w:r w:rsidRPr="00777DA3">
        <w:rPr>
          <w:lang w:val="es-ES_tradnl"/>
        </w:rPr>
        <w:t>Pág.</w:t>
      </w:r>
      <w:r w:rsidRPr="00777DA3">
        <w:t>104.</w:t>
      </w:r>
    </w:p>
  </w:footnote>
  <w:footnote w:id="793">
    <w:p w14:paraId="05F39619" w14:textId="77777777" w:rsidR="001F3006" w:rsidRPr="00777DA3" w:rsidRDefault="001F3006" w:rsidP="00C454A1">
      <w:pPr>
        <w:pStyle w:val="Textonotapie"/>
        <w:rPr>
          <w:lang w:val="es-ES_tradnl"/>
        </w:rPr>
      </w:pPr>
      <w:r w:rsidRPr="00777DA3">
        <w:rPr>
          <w:rStyle w:val="Refdenotaalpie"/>
        </w:rPr>
        <w:footnoteRef/>
      </w:r>
      <w:r w:rsidRPr="00777DA3">
        <w:t xml:space="preserve"> Ib., </w:t>
      </w:r>
      <w:r w:rsidRPr="00777DA3">
        <w:rPr>
          <w:lang w:val="es-ES_tradnl"/>
        </w:rPr>
        <w:t>Pág.</w:t>
      </w:r>
      <w:r w:rsidRPr="00777DA3">
        <w:t xml:space="preserve"> 9.</w:t>
      </w:r>
    </w:p>
  </w:footnote>
  <w:footnote w:id="794">
    <w:p w14:paraId="6CD1E7DD" w14:textId="77777777" w:rsidR="001F3006" w:rsidRPr="00777DA3" w:rsidRDefault="001F3006" w:rsidP="00C454A1">
      <w:pPr>
        <w:pStyle w:val="Textonotapie"/>
        <w:rPr>
          <w:lang w:val="es-ES_tradnl"/>
        </w:rPr>
      </w:pPr>
      <w:r w:rsidRPr="00777DA3">
        <w:rPr>
          <w:rStyle w:val="Refdenotaalpie"/>
        </w:rPr>
        <w:footnoteRef/>
      </w:r>
      <w:r w:rsidRPr="00777DA3">
        <w:t xml:space="preserve"> Ib., </w:t>
      </w:r>
      <w:r w:rsidRPr="00777DA3">
        <w:rPr>
          <w:lang w:val="es-ES_tradnl"/>
        </w:rPr>
        <w:t>Pág.</w:t>
      </w:r>
      <w:r w:rsidRPr="00777DA3">
        <w:t xml:space="preserve"> 10.</w:t>
      </w:r>
    </w:p>
  </w:footnote>
  <w:footnote w:id="795">
    <w:p w14:paraId="4BB8FE9F" w14:textId="77777777" w:rsidR="001F3006" w:rsidRPr="00777DA3" w:rsidRDefault="001F3006" w:rsidP="00C454A1">
      <w:pPr>
        <w:pStyle w:val="Textonotapie"/>
        <w:rPr>
          <w:lang w:val="es-ES_tradnl"/>
        </w:rPr>
      </w:pPr>
      <w:r w:rsidRPr="00777DA3">
        <w:rPr>
          <w:rStyle w:val="Refdenotaalpie"/>
        </w:rPr>
        <w:footnoteRef/>
      </w:r>
      <w:r w:rsidRPr="00777DA3">
        <w:t xml:space="preserve"> Ib., </w:t>
      </w:r>
      <w:r w:rsidRPr="00777DA3">
        <w:rPr>
          <w:lang w:val="es-ES_tradnl"/>
        </w:rPr>
        <w:t>Pág.</w:t>
      </w:r>
      <w:r>
        <w:rPr>
          <w:lang w:val="es-ES_tradnl"/>
        </w:rPr>
        <w:t xml:space="preserve"> </w:t>
      </w:r>
      <w:r w:rsidRPr="00777DA3">
        <w:t>51.</w:t>
      </w:r>
    </w:p>
  </w:footnote>
  <w:footnote w:id="796">
    <w:p w14:paraId="130D04FD"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4.</w:t>
      </w:r>
    </w:p>
  </w:footnote>
  <w:footnote w:id="797">
    <w:p w14:paraId="75850E9C" w14:textId="77777777" w:rsidR="001F3006" w:rsidRPr="00777DA3" w:rsidRDefault="001F3006" w:rsidP="00C454A1">
      <w:pPr>
        <w:pStyle w:val="Textonotapie"/>
      </w:pPr>
      <w:r w:rsidRPr="00777DA3">
        <w:rPr>
          <w:rStyle w:val="Refdenotaalpie"/>
        </w:rPr>
        <w:footnoteRef/>
      </w:r>
      <w:r w:rsidRPr="00777DA3">
        <w:t xml:space="preserve"> </w:t>
      </w:r>
      <w:r w:rsidRPr="00777DA3">
        <w:rPr>
          <w:lang w:val="es-ES"/>
        </w:rPr>
        <w:t>Expediente digital, “RE0000361-Pruebas del Expediente (</w:t>
      </w:r>
      <w:proofErr w:type="spellStart"/>
      <w:r w:rsidRPr="00777DA3">
        <w:rPr>
          <w:lang w:val="es-ES"/>
        </w:rPr>
        <w:t>Recepción</w:t>
      </w:r>
      <w:proofErr w:type="spellEnd"/>
      <w:r w:rsidRPr="00777DA3">
        <w:rPr>
          <w:lang w:val="es-ES"/>
        </w:rPr>
        <w:t xml:space="preserve"> y Paso al </w:t>
      </w:r>
      <w:proofErr w:type="gramStart"/>
      <w:r w:rsidRPr="00777DA3">
        <w:rPr>
          <w:lang w:val="es-ES"/>
        </w:rPr>
        <w:t>Despacho)-(</w:t>
      </w:r>
      <w:proofErr w:type="gramEnd"/>
      <w:r w:rsidRPr="00777DA3">
        <w:rPr>
          <w:lang w:val="es-ES"/>
        </w:rPr>
        <w:t>2025-02-05 22-44-14).</w:t>
      </w:r>
      <w:proofErr w:type="spellStart"/>
      <w:r w:rsidRPr="00777DA3">
        <w:rPr>
          <w:lang w:val="es-ES"/>
        </w:rPr>
        <w:t>pdf</w:t>
      </w:r>
      <w:proofErr w:type="spellEnd"/>
      <w:r w:rsidRPr="00777DA3">
        <w:rPr>
          <w:lang w:val="es-ES"/>
        </w:rPr>
        <w:t xml:space="preserve">”, </w:t>
      </w:r>
      <w:r w:rsidRPr="00777DA3">
        <w:rPr>
          <w:lang w:val="es-ES_tradnl"/>
        </w:rPr>
        <w:t>Pág.</w:t>
      </w:r>
      <w:r w:rsidRPr="00777DA3">
        <w:rPr>
          <w:lang w:val="es-ES"/>
        </w:rPr>
        <w:t xml:space="preserve"> 7.</w:t>
      </w:r>
    </w:p>
  </w:footnote>
  <w:footnote w:id="798">
    <w:p w14:paraId="0C8E796D" w14:textId="77777777" w:rsidR="001F3006" w:rsidRPr="00777DA3" w:rsidRDefault="001F3006" w:rsidP="00C454A1">
      <w:pPr>
        <w:pStyle w:val="Textonotapie"/>
      </w:pPr>
      <w:r w:rsidRPr="00777DA3">
        <w:rPr>
          <w:rStyle w:val="Refdenotaalpie"/>
        </w:rPr>
        <w:footnoteRef/>
      </w:r>
      <w:r w:rsidRPr="00777DA3">
        <w:t xml:space="preserve"> </w:t>
      </w:r>
      <w:r w:rsidRPr="00777DA3">
        <w:rPr>
          <w:lang w:val="es-ES"/>
        </w:rPr>
        <w:t xml:space="preserve">Ib., </w:t>
      </w:r>
      <w:r w:rsidRPr="00777DA3">
        <w:rPr>
          <w:lang w:val="es-ES_tradnl"/>
        </w:rPr>
        <w:t>Pág.</w:t>
      </w:r>
      <w:r>
        <w:rPr>
          <w:lang w:val="es-ES_tradnl"/>
        </w:rPr>
        <w:t xml:space="preserve"> </w:t>
      </w:r>
      <w:r w:rsidRPr="00777DA3">
        <w:rPr>
          <w:lang w:val="es-ES"/>
        </w:rPr>
        <w:t>4.</w:t>
      </w:r>
    </w:p>
  </w:footnote>
  <w:footnote w:id="799">
    <w:p w14:paraId="50D4FCB9"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 Pág.</w:t>
      </w:r>
      <w:r>
        <w:rPr>
          <w:lang w:val="es-ES_tradnl"/>
        </w:rPr>
        <w:t xml:space="preserve"> </w:t>
      </w:r>
      <w:r w:rsidRPr="00777DA3">
        <w:rPr>
          <w:lang w:val="es-ES_tradnl"/>
        </w:rPr>
        <w:t xml:space="preserve">8. </w:t>
      </w:r>
    </w:p>
  </w:footnote>
  <w:footnote w:id="800">
    <w:p w14:paraId="15F032E8"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w:t>
      </w:r>
    </w:p>
  </w:footnote>
  <w:footnote w:id="801">
    <w:p w14:paraId="3ADD9EC3" w14:textId="77777777" w:rsidR="001F3006" w:rsidRPr="00777DA3" w:rsidRDefault="001F3006" w:rsidP="00C454A1">
      <w:pPr>
        <w:pStyle w:val="Textonotapie"/>
        <w:rPr>
          <w:lang w:val="es-ES_tradnl"/>
        </w:rPr>
      </w:pPr>
      <w:r w:rsidRPr="00777DA3">
        <w:rPr>
          <w:rStyle w:val="Refdenotaalpie"/>
        </w:rPr>
        <w:footnoteRef/>
      </w:r>
      <w:r w:rsidRPr="00777DA3">
        <w:t xml:space="preserve"> </w:t>
      </w:r>
      <w:r w:rsidRPr="00777DA3">
        <w:rPr>
          <w:lang w:val="es-ES_tradnl"/>
        </w:rPr>
        <w:t>Ib.,</w:t>
      </w:r>
      <w:r>
        <w:rPr>
          <w:lang w:val="es-ES_tradnl"/>
        </w:rPr>
        <w:t xml:space="preserve"> </w:t>
      </w:r>
      <w:r w:rsidRPr="00777DA3">
        <w:rPr>
          <w:lang w:val="es-ES_tradnl"/>
        </w:rPr>
        <w:t>Pág. 11.</w:t>
      </w:r>
    </w:p>
  </w:footnote>
  <w:footnote w:id="802">
    <w:p w14:paraId="63206652" w14:textId="77777777" w:rsidR="001F3006" w:rsidRPr="00777DA3" w:rsidRDefault="001F3006" w:rsidP="00C454A1">
      <w:pPr>
        <w:pStyle w:val="Textonotapie"/>
        <w:rPr>
          <w:lang w:val="es-ES_tradnl"/>
        </w:rPr>
      </w:pPr>
      <w:r w:rsidRPr="00777DA3">
        <w:rPr>
          <w:rStyle w:val="Refdenotaalpie"/>
        </w:rPr>
        <w:footnoteRef/>
      </w:r>
      <w:r w:rsidRPr="00777DA3">
        <w:t xml:space="preserve"> Ib.</w:t>
      </w:r>
    </w:p>
  </w:footnote>
  <w:footnote w:id="803">
    <w:p w14:paraId="6D023C91"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41.</w:t>
      </w:r>
    </w:p>
  </w:footnote>
  <w:footnote w:id="804">
    <w:p w14:paraId="09DA6C48" w14:textId="77777777" w:rsidR="001F3006" w:rsidRPr="00777DA3" w:rsidRDefault="001F3006" w:rsidP="00C454A1">
      <w:pPr>
        <w:pStyle w:val="Textonotapie"/>
        <w:rPr>
          <w:lang w:val="es-MX"/>
        </w:rPr>
      </w:pPr>
      <w:r w:rsidRPr="00777DA3">
        <w:rPr>
          <w:rStyle w:val="Refdenotaalpie"/>
        </w:rPr>
        <w:footnoteRef/>
      </w:r>
      <w:r w:rsidRPr="00777DA3">
        <w:t xml:space="preserve"> Comunicación del 7 de febrero de 2025.</w:t>
      </w:r>
    </w:p>
  </w:footnote>
  <w:footnote w:id="805">
    <w:p w14:paraId="1B78C553"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6</w:t>
      </w:r>
    </w:p>
  </w:footnote>
  <w:footnote w:id="806">
    <w:p w14:paraId="0336B95A" w14:textId="77777777" w:rsidR="001F3006" w:rsidRPr="00777DA3" w:rsidRDefault="001F3006" w:rsidP="00C454A1">
      <w:pPr>
        <w:pStyle w:val="Textonotapie"/>
      </w:pPr>
      <w:r w:rsidRPr="00777DA3">
        <w:rPr>
          <w:rStyle w:val="Refdenotaalpie"/>
        </w:rPr>
        <w:footnoteRef/>
      </w:r>
      <w:r w:rsidRPr="00777DA3">
        <w:t xml:space="preserve"> Ib.,</w:t>
      </w:r>
      <w:r w:rsidRPr="007F52AA">
        <w:rPr>
          <w:lang w:val="es-ES_tradnl"/>
        </w:rPr>
        <w:t xml:space="preserve"> </w:t>
      </w:r>
      <w:r w:rsidRPr="00777DA3">
        <w:rPr>
          <w:lang w:val="es-ES_tradnl"/>
        </w:rPr>
        <w:t>Pág.</w:t>
      </w:r>
      <w:r w:rsidRPr="00777DA3">
        <w:t xml:space="preserve"> 7-8.</w:t>
      </w:r>
    </w:p>
  </w:footnote>
  <w:footnote w:id="807">
    <w:p w14:paraId="65716E03"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12.</w:t>
      </w:r>
    </w:p>
  </w:footnote>
  <w:footnote w:id="808">
    <w:p w14:paraId="4B964B66" w14:textId="77777777" w:rsidR="001F3006" w:rsidRPr="00777DA3" w:rsidRDefault="001F3006" w:rsidP="00C454A1">
      <w:pPr>
        <w:pStyle w:val="Textonotapie"/>
      </w:pPr>
      <w:r w:rsidRPr="00777DA3">
        <w:rPr>
          <w:rStyle w:val="Refdenotaalpie"/>
        </w:rPr>
        <w:footnoteRef/>
      </w:r>
      <w:r w:rsidRPr="00777DA3">
        <w:t xml:space="preserve"> Ib.</w:t>
      </w:r>
    </w:p>
  </w:footnote>
  <w:footnote w:id="809">
    <w:p w14:paraId="5FD75E85"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1.</w:t>
      </w:r>
    </w:p>
  </w:footnote>
  <w:footnote w:id="810">
    <w:p w14:paraId="645205AE" w14:textId="77777777" w:rsidR="001F3006" w:rsidRPr="00777DA3" w:rsidRDefault="001F3006" w:rsidP="00C454A1">
      <w:pPr>
        <w:pStyle w:val="Textonotapie"/>
      </w:pPr>
      <w:r w:rsidRPr="00777DA3">
        <w:rPr>
          <w:rStyle w:val="Refdenotaalpie"/>
        </w:rPr>
        <w:footnoteRef/>
      </w:r>
      <w:r w:rsidRPr="00777DA3">
        <w:t xml:space="preserve"> Comunicación del 13 de febrero de 2025. </w:t>
      </w:r>
    </w:p>
  </w:footnote>
  <w:footnote w:id="811">
    <w:p w14:paraId="39B0DD98"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 1 a 6.</w:t>
      </w:r>
    </w:p>
  </w:footnote>
  <w:footnote w:id="812">
    <w:p w14:paraId="5131F3F3" w14:textId="77777777" w:rsidR="001F3006" w:rsidRPr="00777DA3" w:rsidRDefault="001F3006" w:rsidP="00C454A1">
      <w:pPr>
        <w:pStyle w:val="Textonotapie"/>
      </w:pPr>
      <w:r w:rsidRPr="00777DA3">
        <w:rPr>
          <w:rStyle w:val="Refdenotaalpie"/>
        </w:rPr>
        <w:footnoteRef/>
      </w:r>
      <w:r w:rsidRPr="00777DA3">
        <w:t xml:space="preserve"> Ib., la gráfica se basa en los datos expuestos de la página 8 a la 10.</w:t>
      </w:r>
    </w:p>
  </w:footnote>
  <w:footnote w:id="813">
    <w:p w14:paraId="0468820E" w14:textId="77777777" w:rsidR="001F3006" w:rsidRPr="00777DA3" w:rsidRDefault="001F3006" w:rsidP="00C454A1">
      <w:pPr>
        <w:pStyle w:val="Textonotapie"/>
      </w:pPr>
      <w:r w:rsidRPr="00777DA3">
        <w:rPr>
          <w:rStyle w:val="Refdenotaalpie"/>
        </w:rPr>
        <w:footnoteRef/>
      </w:r>
      <w:r w:rsidRPr="00777DA3">
        <w:t xml:space="preserve"> Ib., </w:t>
      </w:r>
      <w:r w:rsidRPr="00777DA3">
        <w:rPr>
          <w:lang w:val="es-ES_tradnl"/>
        </w:rPr>
        <w:t>Pág.</w:t>
      </w:r>
      <w:r w:rsidRPr="00777DA3">
        <w:t xml:space="preserve">8. </w:t>
      </w:r>
    </w:p>
  </w:footnote>
  <w:footnote w:id="814">
    <w:p w14:paraId="3851FF38" w14:textId="77777777" w:rsidR="001F3006" w:rsidRPr="00777DA3" w:rsidRDefault="001F3006" w:rsidP="00C454A1">
      <w:pPr>
        <w:pStyle w:val="Textonotapie"/>
        <w:rPr>
          <w:lang w:val="es-MX"/>
        </w:rPr>
      </w:pPr>
      <w:r w:rsidRPr="00777DA3">
        <w:rPr>
          <w:rStyle w:val="Refdenotaalpie"/>
        </w:rPr>
        <w:footnoteRef/>
      </w:r>
      <w:r w:rsidRPr="00777DA3">
        <w:t xml:space="preserve"> </w:t>
      </w:r>
      <w:bookmarkStart w:id="231" w:name="_Hlk192116943"/>
      <w:r w:rsidRPr="00777DA3">
        <w:t>Comunicación del 14 de febrero de 2025.</w:t>
      </w:r>
      <w:bookmarkEnd w:id="231"/>
    </w:p>
  </w:footnote>
  <w:footnote w:id="815">
    <w:p w14:paraId="3CB8E0A9" w14:textId="77777777" w:rsidR="001F3006" w:rsidRPr="00777DA3" w:rsidRDefault="001F3006" w:rsidP="00C454A1">
      <w:pPr>
        <w:pStyle w:val="Textonotapie"/>
        <w:rPr>
          <w:lang w:val="es-MX"/>
        </w:rPr>
      </w:pPr>
      <w:r w:rsidRPr="00777DA3">
        <w:rPr>
          <w:rStyle w:val="Refdenotaalpie"/>
        </w:rPr>
        <w:footnoteRef/>
      </w:r>
      <w:r w:rsidRPr="00777DA3">
        <w:t xml:space="preserve"> Ib.,</w:t>
      </w:r>
      <w:r w:rsidRPr="007F52AA">
        <w:rPr>
          <w:lang w:val="es-ES_tradnl"/>
        </w:rPr>
        <w:t xml:space="preserve"> </w:t>
      </w:r>
      <w:r w:rsidRPr="00777DA3">
        <w:rPr>
          <w:lang w:val="es-ES_tradnl"/>
        </w:rPr>
        <w:t>Pág.</w:t>
      </w:r>
      <w:r w:rsidRPr="00777DA3">
        <w:t xml:space="preserve"> 1.</w:t>
      </w:r>
    </w:p>
  </w:footnote>
  <w:footnote w:id="816">
    <w:p w14:paraId="1B8F7AA7" w14:textId="77777777" w:rsidR="001F3006" w:rsidRPr="00777DA3" w:rsidRDefault="001F3006" w:rsidP="00C454A1">
      <w:pPr>
        <w:pStyle w:val="Textonotapie"/>
        <w:rPr>
          <w:lang w:val="es-MX"/>
        </w:rPr>
      </w:pPr>
      <w:r w:rsidRPr="00777DA3">
        <w:rPr>
          <w:rStyle w:val="Refdenotaalpie"/>
        </w:rPr>
        <w:footnoteRef/>
      </w:r>
      <w:r w:rsidRPr="00777DA3">
        <w:t xml:space="preserve"> Señaló que activó el Comité Territoriales de Justicia Transicional así: en 6 ocasiones en el año 2022; en 7 ocasiones en el año 2023; en 4 ocasiones en 2024; y en 3 ocasiones en lo corrido de 2025.  </w:t>
      </w:r>
    </w:p>
  </w:footnote>
  <w:footnote w:id="817">
    <w:p w14:paraId="6A61288A" w14:textId="77777777" w:rsidR="001F3006" w:rsidRPr="00777DA3" w:rsidRDefault="001F3006" w:rsidP="00C454A1">
      <w:pPr>
        <w:pStyle w:val="Textonotapie"/>
        <w:rPr>
          <w:lang w:val="es-MX"/>
        </w:rPr>
      </w:pPr>
      <w:r w:rsidRPr="00777DA3">
        <w:rPr>
          <w:rStyle w:val="Refdenotaalpie"/>
        </w:rPr>
        <w:footnoteRef/>
      </w:r>
      <w:r w:rsidRPr="00777DA3">
        <w:t xml:space="preserve"> Señaló que activó el Subcomité de Prevención, Protección y Garantías de No Repetición así: en 2 ocasiones en el año 2022; en 3 ocasiones en el año 2023; en 3 ocasiones en 2024; y en 3 ocasiones en lo corrido de 2025.  </w:t>
      </w:r>
    </w:p>
  </w:footnote>
  <w:footnote w:id="818">
    <w:p w14:paraId="2C5D281A" w14:textId="77777777" w:rsidR="001F3006" w:rsidRPr="00777DA3" w:rsidRDefault="001F3006" w:rsidP="00C454A1">
      <w:pPr>
        <w:pStyle w:val="Textonotapie"/>
        <w:rPr>
          <w:lang w:val="es-MX"/>
        </w:rPr>
      </w:pPr>
      <w:r w:rsidRPr="00777DA3">
        <w:rPr>
          <w:rStyle w:val="Refdenotaalpie"/>
        </w:rPr>
        <w:footnoteRef/>
      </w:r>
      <w:r w:rsidRPr="00777DA3">
        <w:t xml:space="preserve"> Comunicación del 14 de febrero de 2025, </w:t>
      </w:r>
      <w:r w:rsidRPr="00777DA3">
        <w:rPr>
          <w:lang w:val="es-ES_tradnl"/>
        </w:rPr>
        <w:t>Pág.</w:t>
      </w:r>
      <w:r w:rsidRPr="00777DA3">
        <w:t xml:space="preserve"> 6.</w:t>
      </w:r>
    </w:p>
  </w:footnote>
  <w:footnote w:id="819">
    <w:p w14:paraId="0CD82B7D" w14:textId="77777777" w:rsidR="001F3006" w:rsidRPr="00777DA3" w:rsidRDefault="001F3006" w:rsidP="00C454A1">
      <w:pPr>
        <w:pStyle w:val="Textonotapie"/>
        <w:rPr>
          <w:lang w:val="es-ES"/>
        </w:rPr>
      </w:pPr>
      <w:r w:rsidRPr="00777DA3">
        <w:rPr>
          <w:rStyle w:val="Refdenotaalpie"/>
        </w:rPr>
        <w:footnoteRef/>
      </w:r>
      <w:r w:rsidRPr="00777DA3">
        <w:t xml:space="preserve"> “[S]e refiere a la concertación y coordinación con la Fuerza Pública y los organismos del Estado para la protección en favor de la población objeto y sus familias, en el marco de las estrategias y políticas públicas del Gobierno nacional”.</w:t>
      </w:r>
    </w:p>
  </w:footnote>
  <w:footnote w:id="820">
    <w:p w14:paraId="5C091D2B" w14:textId="77777777" w:rsidR="001F3006" w:rsidRPr="00777DA3" w:rsidRDefault="001F3006" w:rsidP="00C454A1">
      <w:pPr>
        <w:pStyle w:val="Textonotapie"/>
        <w:rPr>
          <w:lang w:val="es-ES"/>
        </w:rPr>
      </w:pPr>
      <w:r w:rsidRPr="00777DA3">
        <w:rPr>
          <w:rStyle w:val="Refdenotaalpie"/>
        </w:rPr>
        <w:footnoteRef/>
      </w:r>
      <w:r w:rsidRPr="00777DA3">
        <w:t xml:space="preserve"> “Esta acción se refiere a gestionar las situaciones de amenaza ante las autoridades competentes en protección y seguridad, con el fin de prevenir y mitigar las vulnerabilidades frente a los riesgos de la población atendida”.</w:t>
      </w:r>
    </w:p>
  </w:footnote>
  <w:footnote w:id="821">
    <w:p w14:paraId="64B0F4C1" w14:textId="77777777" w:rsidR="001F3006" w:rsidRPr="00777DA3" w:rsidRDefault="001F3006" w:rsidP="00C454A1">
      <w:pPr>
        <w:pStyle w:val="Textonotapie"/>
        <w:rPr>
          <w:lang w:val="es-ES"/>
        </w:rPr>
      </w:pPr>
      <w:r w:rsidRPr="00777DA3">
        <w:rPr>
          <w:rStyle w:val="Refdenotaalpie"/>
        </w:rPr>
        <w:footnoteRef/>
      </w:r>
      <w:r w:rsidRPr="00777DA3">
        <w:t xml:space="preserve"> “Este eje da cuenta del fortalecimiento de las capacidades individuales y colectivas de la población objeto de atención de la ARN, a través de la cultura de la legalidad y la convivencia pacífica, para la prevención y mitigación de los riesgos de reincidencia y victimización”.</w:t>
      </w:r>
    </w:p>
  </w:footnote>
  <w:footnote w:id="822">
    <w:p w14:paraId="73AA6CCC" w14:textId="77777777" w:rsidR="001F3006" w:rsidRPr="00777DA3" w:rsidRDefault="001F3006" w:rsidP="00C454A1">
      <w:pPr>
        <w:pStyle w:val="Textonotapie"/>
      </w:pPr>
      <w:r w:rsidRPr="00777DA3">
        <w:rPr>
          <w:rStyle w:val="Refdenotaalpie"/>
        </w:rPr>
        <w:footnoteRef/>
      </w:r>
      <w:r w:rsidRPr="00777DA3">
        <w:t xml:space="preserve"> Comunicación del 6 de febrero de 2025.</w:t>
      </w:r>
    </w:p>
  </w:footnote>
  <w:footnote w:id="823">
    <w:p w14:paraId="6C1CC265" w14:textId="77777777" w:rsidR="001F3006" w:rsidRPr="00777DA3" w:rsidRDefault="001F3006" w:rsidP="00C454A1">
      <w:pPr>
        <w:pStyle w:val="Textonotapie"/>
        <w:rPr>
          <w:lang w:val="es-MX"/>
        </w:rPr>
      </w:pPr>
      <w:r w:rsidRPr="00777DA3">
        <w:rPr>
          <w:rStyle w:val="Refdenotaalpie"/>
        </w:rPr>
        <w:footnoteRef/>
      </w:r>
      <w:r w:rsidRPr="00777DA3">
        <w:t xml:space="preserve"> </w:t>
      </w:r>
      <w:r w:rsidRPr="00777DA3">
        <w:rPr>
          <w:lang w:val="es-MX"/>
        </w:rPr>
        <w:t xml:space="preserve">Ib., </w:t>
      </w:r>
      <w:proofErr w:type="spellStart"/>
      <w:r w:rsidRPr="00777DA3">
        <w:rPr>
          <w:lang w:val="es-ES_tradnl"/>
        </w:rPr>
        <w:t>Pág</w:t>
      </w:r>
      <w:proofErr w:type="spellEnd"/>
      <w:r w:rsidRPr="00777DA3">
        <w:rPr>
          <w:lang w:val="es-MX"/>
        </w:rPr>
        <w:t xml:space="preserve">. 3. </w:t>
      </w:r>
    </w:p>
  </w:footnote>
  <w:footnote w:id="824">
    <w:p w14:paraId="265A994D" w14:textId="77777777" w:rsidR="001F3006" w:rsidRPr="00777DA3" w:rsidRDefault="001F3006" w:rsidP="00C454A1">
      <w:pPr>
        <w:pStyle w:val="Textonotapie"/>
        <w:rPr>
          <w:lang w:val="es-MX"/>
        </w:rPr>
      </w:pPr>
      <w:r w:rsidRPr="00777DA3">
        <w:rPr>
          <w:rStyle w:val="Refdenotaalpie"/>
        </w:rPr>
        <w:footnoteRef/>
      </w:r>
      <w:r w:rsidRPr="00777DA3">
        <w:t xml:space="preserve"> </w:t>
      </w:r>
      <w:r w:rsidRPr="00777DA3">
        <w:rPr>
          <w:lang w:val="es-MX"/>
        </w:rPr>
        <w:t xml:space="preserve">Ib., </w:t>
      </w:r>
      <w:r w:rsidRPr="00777DA3">
        <w:rPr>
          <w:lang w:val="es-ES_tradnl"/>
        </w:rPr>
        <w:t>Pág.</w:t>
      </w:r>
      <w:r w:rsidRPr="00777DA3">
        <w:rPr>
          <w:lang w:val="es-MX"/>
        </w:rPr>
        <w:t xml:space="preserve"> 4.</w:t>
      </w:r>
    </w:p>
  </w:footnote>
  <w:footnote w:id="825">
    <w:p w14:paraId="7CB7D524" w14:textId="77777777" w:rsidR="001F3006" w:rsidRPr="00777DA3" w:rsidRDefault="001F3006" w:rsidP="00C454A1">
      <w:pPr>
        <w:pStyle w:val="Textonotapie"/>
        <w:rPr>
          <w:lang w:val="es-MX"/>
        </w:rPr>
      </w:pPr>
      <w:r w:rsidRPr="00777DA3">
        <w:rPr>
          <w:rStyle w:val="Refdenotaalpie"/>
        </w:rPr>
        <w:footnoteRef/>
      </w:r>
      <w:r w:rsidRPr="00777DA3">
        <w:t xml:space="preserve"> </w:t>
      </w:r>
      <w:r w:rsidRPr="00777DA3">
        <w:rPr>
          <w:lang w:val="es-MX"/>
        </w:rPr>
        <w:t xml:space="preserve">Ib. </w:t>
      </w:r>
    </w:p>
  </w:footnote>
  <w:footnote w:id="826">
    <w:p w14:paraId="3378D2CB" w14:textId="77777777" w:rsidR="001F3006" w:rsidRPr="00777DA3" w:rsidRDefault="001F3006" w:rsidP="00C454A1">
      <w:pPr>
        <w:pStyle w:val="Textonotapie"/>
        <w:rPr>
          <w:lang w:val="es-MX"/>
        </w:rPr>
      </w:pPr>
      <w:r w:rsidRPr="00777DA3">
        <w:rPr>
          <w:rStyle w:val="Refdenotaalpie"/>
        </w:rPr>
        <w:footnoteRef/>
      </w:r>
      <w:r w:rsidRPr="00777DA3">
        <w:t xml:space="preserve"> </w:t>
      </w:r>
      <w:bookmarkStart w:id="233" w:name="_Hlk192117245"/>
      <w:r w:rsidRPr="00777DA3">
        <w:rPr>
          <w:lang w:val="es-MX"/>
        </w:rPr>
        <w:t xml:space="preserve">Ib., </w:t>
      </w:r>
      <w:proofErr w:type="spellStart"/>
      <w:r w:rsidRPr="00777DA3">
        <w:rPr>
          <w:lang w:val="es-ES_tradnl"/>
        </w:rPr>
        <w:t>Pág</w:t>
      </w:r>
      <w:proofErr w:type="spellEnd"/>
      <w:r w:rsidRPr="00777DA3">
        <w:rPr>
          <w:lang w:val="es-MX"/>
        </w:rPr>
        <w:t>. 6.</w:t>
      </w:r>
      <w:bookmarkEnd w:id="233"/>
    </w:p>
  </w:footnote>
  <w:footnote w:id="827">
    <w:p w14:paraId="3D3B9462" w14:textId="77777777" w:rsidR="001F3006" w:rsidRPr="00777DA3" w:rsidRDefault="001F3006" w:rsidP="00C454A1">
      <w:pPr>
        <w:pStyle w:val="Textonotapie"/>
        <w:rPr>
          <w:lang w:val="es-MX"/>
        </w:rPr>
      </w:pPr>
      <w:r w:rsidRPr="00777DA3">
        <w:rPr>
          <w:rStyle w:val="Refdenotaalpie"/>
        </w:rPr>
        <w:footnoteRef/>
      </w:r>
      <w:r w:rsidRPr="00777DA3">
        <w:t xml:space="preserve"> </w:t>
      </w:r>
      <w:r w:rsidRPr="00777DA3">
        <w:rPr>
          <w:lang w:val="es-MX"/>
        </w:rPr>
        <w:t xml:space="preserve">Ib. </w:t>
      </w:r>
    </w:p>
  </w:footnote>
  <w:footnote w:id="828">
    <w:p w14:paraId="31B836E3" w14:textId="77777777" w:rsidR="001F3006" w:rsidRPr="00777DA3" w:rsidRDefault="001F3006" w:rsidP="00C454A1">
      <w:pPr>
        <w:pStyle w:val="Textonotapie"/>
        <w:rPr>
          <w:lang w:val="es-MX"/>
        </w:rPr>
      </w:pPr>
      <w:r w:rsidRPr="00777DA3">
        <w:rPr>
          <w:rStyle w:val="Refdenotaalpie"/>
        </w:rPr>
        <w:footnoteRef/>
      </w:r>
      <w:r w:rsidRPr="00777DA3">
        <w:t xml:space="preserve"> Ib., </w:t>
      </w:r>
      <w:proofErr w:type="spellStart"/>
      <w:r w:rsidRPr="00777DA3">
        <w:rPr>
          <w:lang w:val="es-ES_tradnl"/>
        </w:rPr>
        <w:t>Pág</w:t>
      </w:r>
      <w:proofErr w:type="spellEnd"/>
      <w:r w:rsidRPr="00777DA3">
        <w:t>. 7.</w:t>
      </w:r>
    </w:p>
  </w:footnote>
  <w:footnote w:id="829">
    <w:p w14:paraId="031E80A7" w14:textId="77777777" w:rsidR="001F3006" w:rsidRPr="00777DA3" w:rsidRDefault="001F3006" w:rsidP="00C454A1">
      <w:pPr>
        <w:pStyle w:val="Textonotapie"/>
        <w:rPr>
          <w:lang w:val="es-MX"/>
        </w:rPr>
      </w:pPr>
      <w:r w:rsidRPr="00777DA3">
        <w:rPr>
          <w:rStyle w:val="Refdenotaalpie"/>
        </w:rPr>
        <w:footnoteRef/>
      </w:r>
      <w:r w:rsidRPr="00777DA3">
        <w:t xml:space="preserve"> Ib., </w:t>
      </w:r>
      <w:r w:rsidRPr="00777DA3">
        <w:rPr>
          <w:lang w:val="es-ES_tradnl"/>
        </w:rPr>
        <w:t>Pág.</w:t>
      </w:r>
      <w:r w:rsidRPr="00777DA3">
        <w:t xml:space="preserve"> 8.</w:t>
      </w:r>
    </w:p>
  </w:footnote>
  <w:footnote w:id="830">
    <w:p w14:paraId="443A4682" w14:textId="77777777" w:rsidR="001F3006" w:rsidRPr="00777DA3" w:rsidRDefault="001F3006" w:rsidP="00C454A1">
      <w:pPr>
        <w:pStyle w:val="Textonotapie"/>
        <w:rPr>
          <w:lang w:val="es-MX"/>
        </w:rPr>
      </w:pPr>
      <w:r w:rsidRPr="00777DA3">
        <w:rPr>
          <w:rStyle w:val="Refdenotaalpie"/>
        </w:rPr>
        <w:footnoteRef/>
      </w:r>
      <w:r w:rsidRPr="00777DA3">
        <w:t xml:space="preserve"> I</w:t>
      </w:r>
      <w:bookmarkStart w:id="234" w:name="_Hlk192117414"/>
      <w:r w:rsidRPr="00777DA3">
        <w:t xml:space="preserve">b., </w:t>
      </w:r>
      <w:proofErr w:type="spellStart"/>
      <w:r w:rsidRPr="00777DA3">
        <w:rPr>
          <w:lang w:val="es-ES_tradnl"/>
        </w:rPr>
        <w:t>Pág</w:t>
      </w:r>
      <w:proofErr w:type="spellEnd"/>
      <w:r w:rsidRPr="00777DA3">
        <w:t>. 11.</w:t>
      </w:r>
      <w:bookmarkEnd w:id="234"/>
    </w:p>
  </w:footnote>
  <w:footnote w:id="831">
    <w:p w14:paraId="0AAFB9C8" w14:textId="77777777" w:rsidR="001F3006" w:rsidRPr="00777DA3" w:rsidRDefault="001F3006" w:rsidP="00C454A1">
      <w:pPr>
        <w:pStyle w:val="Textonotapie"/>
        <w:rPr>
          <w:lang w:val="es-MX"/>
        </w:rPr>
      </w:pPr>
      <w:r w:rsidRPr="00777DA3">
        <w:rPr>
          <w:rStyle w:val="Refdenotaalpie"/>
        </w:rPr>
        <w:footnoteRef/>
      </w:r>
      <w:r w:rsidRPr="00777DA3">
        <w:t xml:space="preserve"> </w:t>
      </w:r>
      <w:r w:rsidRPr="00777DA3">
        <w:rPr>
          <w:lang w:val="es-MX"/>
        </w:rPr>
        <w:t xml:space="preserve">Ib. </w:t>
      </w:r>
    </w:p>
  </w:footnote>
  <w:footnote w:id="832">
    <w:p w14:paraId="1276DBE4" w14:textId="77777777" w:rsidR="001F3006" w:rsidRPr="00777DA3" w:rsidRDefault="001F3006" w:rsidP="00C454A1">
      <w:pPr>
        <w:pStyle w:val="Textonotapie"/>
        <w:rPr>
          <w:lang w:val="es-MX"/>
        </w:rPr>
      </w:pPr>
      <w:r w:rsidRPr="00777DA3">
        <w:rPr>
          <w:rStyle w:val="Refdenotaalpie"/>
        </w:rPr>
        <w:footnoteRef/>
      </w:r>
      <w:r w:rsidRPr="00777DA3">
        <w:t xml:space="preserve"> Ib., Pág. 11.</w:t>
      </w:r>
    </w:p>
  </w:footnote>
  <w:footnote w:id="833">
    <w:p w14:paraId="74DE7013" w14:textId="77777777" w:rsidR="001F3006" w:rsidRPr="00777DA3" w:rsidRDefault="001F3006" w:rsidP="00C454A1">
      <w:pPr>
        <w:rPr>
          <w:rFonts w:eastAsia="Times New Roman" w:cs="Times New Roman"/>
          <w:color w:val="000000" w:themeColor="text1"/>
          <w:sz w:val="20"/>
          <w:szCs w:val="20"/>
        </w:rPr>
      </w:pPr>
      <w:r w:rsidRPr="00777DA3">
        <w:rPr>
          <w:rFonts w:cs="Times New Roman"/>
          <w:sz w:val="20"/>
          <w:szCs w:val="20"/>
        </w:rPr>
        <w:footnoteRef/>
      </w:r>
      <w:r w:rsidRPr="00777DA3">
        <w:rPr>
          <w:rFonts w:cs="Times New Roman"/>
          <w:sz w:val="20"/>
          <w:szCs w:val="20"/>
        </w:rPr>
        <w:t xml:space="preserve"> </w:t>
      </w:r>
      <w:r w:rsidRPr="00777DA3">
        <w:rPr>
          <w:rFonts w:eastAsia="Times New Roman" w:cs="Times New Roman"/>
          <w:color w:val="000000" w:themeColor="text1"/>
          <w:sz w:val="20"/>
          <w:szCs w:val="20"/>
        </w:rPr>
        <w:t xml:space="preserve">Expediente digital. RE000361, </w:t>
      </w:r>
      <w:proofErr w:type="spellStart"/>
      <w:r w:rsidRPr="00777DA3">
        <w:rPr>
          <w:rFonts w:eastAsia="Times New Roman" w:cs="Times New Roman"/>
          <w:color w:val="000000" w:themeColor="text1"/>
          <w:sz w:val="20"/>
          <w:szCs w:val="20"/>
        </w:rPr>
        <w:t>Doc</w:t>
      </w:r>
      <w:proofErr w:type="spellEnd"/>
      <w:r w:rsidRPr="00777DA3">
        <w:rPr>
          <w:rFonts w:eastAsia="Aptos" w:cs="Times New Roman"/>
          <w:color w:val="000000" w:themeColor="text1"/>
          <w:sz w:val="20"/>
          <w:szCs w:val="20"/>
        </w:rPr>
        <w:t xml:space="preserve"> </w:t>
      </w:r>
      <w:r>
        <w:rPr>
          <w:rFonts w:eastAsia="Aptos" w:cs="Times New Roman"/>
          <w:color w:val="000000" w:themeColor="text1"/>
          <w:sz w:val="20"/>
          <w:szCs w:val="20"/>
        </w:rPr>
        <w:t>“</w:t>
      </w:r>
      <w:r w:rsidRPr="00CD4BDD">
        <w:rPr>
          <w:rFonts w:eastAsia="Times New Roman" w:cs="Times New Roman"/>
          <w:sz w:val="20"/>
          <w:szCs w:val="20"/>
        </w:rPr>
        <w:t xml:space="preserve">RE0000361-Pruebas del Expediente (Recepción y Paso al </w:t>
      </w:r>
      <w:proofErr w:type="gramStart"/>
      <w:r w:rsidRPr="00CD4BDD">
        <w:rPr>
          <w:rFonts w:eastAsia="Times New Roman" w:cs="Times New Roman"/>
          <w:sz w:val="20"/>
          <w:szCs w:val="20"/>
        </w:rPr>
        <w:t>Despacho)-(</w:t>
      </w:r>
      <w:proofErr w:type="gramEnd"/>
      <w:r w:rsidRPr="00CD4BDD">
        <w:rPr>
          <w:rFonts w:eastAsia="Times New Roman" w:cs="Times New Roman"/>
          <w:sz w:val="20"/>
          <w:szCs w:val="20"/>
        </w:rPr>
        <w:t>2025-03-04 09-02-40).</w:t>
      </w:r>
      <w:proofErr w:type="spellStart"/>
      <w:r w:rsidRPr="00CD4BDD">
        <w:rPr>
          <w:rFonts w:eastAsia="Times New Roman" w:cs="Times New Roman"/>
          <w:sz w:val="20"/>
          <w:szCs w:val="20"/>
        </w:rPr>
        <w:t>pdf</w:t>
      </w:r>
      <w:proofErr w:type="spellEnd"/>
      <w:r>
        <w:rPr>
          <w:rFonts w:eastAsia="Times New Roman" w:cs="Times New Roman"/>
          <w:sz w:val="20"/>
          <w:szCs w:val="20"/>
        </w:rPr>
        <w:t>”</w:t>
      </w:r>
      <w:r w:rsidRPr="00777DA3">
        <w:rPr>
          <w:rFonts w:eastAsia="Times New Roman" w:cs="Times New Roman"/>
          <w:color w:val="000000" w:themeColor="text1"/>
          <w:sz w:val="20"/>
          <w:szCs w:val="20"/>
        </w:rPr>
        <w:t xml:space="preserve">. </w:t>
      </w:r>
      <w:r w:rsidRPr="00777DA3">
        <w:rPr>
          <w:rFonts w:cs="Times New Roman"/>
          <w:sz w:val="20"/>
          <w:szCs w:val="20"/>
          <w:lang w:val="es-ES_tradnl"/>
        </w:rPr>
        <w:t>Pág.</w:t>
      </w:r>
      <w:r>
        <w:rPr>
          <w:rFonts w:cs="Times New Roman"/>
          <w:sz w:val="20"/>
          <w:szCs w:val="20"/>
          <w:lang w:val="es-ES_tradnl"/>
        </w:rPr>
        <w:t xml:space="preserve"> </w:t>
      </w:r>
      <w:r w:rsidRPr="00777DA3">
        <w:rPr>
          <w:rFonts w:eastAsia="Times New Roman" w:cs="Times New Roman"/>
          <w:color w:val="000000" w:themeColor="text1"/>
          <w:sz w:val="20"/>
          <w:szCs w:val="20"/>
        </w:rPr>
        <w:t>4.</w:t>
      </w:r>
    </w:p>
  </w:footnote>
  <w:footnote w:id="834">
    <w:p w14:paraId="147E763A" w14:textId="77777777" w:rsidR="001F3006" w:rsidRPr="00777DA3" w:rsidRDefault="001F3006" w:rsidP="00C454A1">
      <w:pPr>
        <w:rPr>
          <w:rFonts w:eastAsia="Times New Roman" w:cs="Times New Roman"/>
          <w:sz w:val="20"/>
          <w:szCs w:val="20"/>
        </w:rPr>
      </w:pPr>
      <w:r w:rsidRPr="00777DA3">
        <w:rPr>
          <w:rFonts w:cs="Times New Roman"/>
          <w:sz w:val="20"/>
          <w:szCs w:val="20"/>
        </w:rPr>
        <w:footnoteRef/>
      </w:r>
      <w:r w:rsidRPr="00777DA3">
        <w:rPr>
          <w:rFonts w:cs="Times New Roman"/>
          <w:sz w:val="20"/>
          <w:szCs w:val="20"/>
        </w:rPr>
        <w:t xml:space="preserve"> </w:t>
      </w:r>
      <w:r w:rsidRPr="00777DA3">
        <w:rPr>
          <w:rFonts w:eastAsia="Times New Roman" w:cs="Times New Roman"/>
          <w:sz w:val="20"/>
          <w:szCs w:val="20"/>
        </w:rPr>
        <w:t xml:space="preserve">Ib. </w:t>
      </w:r>
      <w:r w:rsidRPr="00777DA3">
        <w:rPr>
          <w:rFonts w:cs="Times New Roman"/>
          <w:sz w:val="20"/>
          <w:szCs w:val="20"/>
          <w:lang w:val="es-ES_tradnl"/>
        </w:rPr>
        <w:t>Pág.</w:t>
      </w:r>
      <w:r>
        <w:rPr>
          <w:rFonts w:cs="Times New Roman"/>
          <w:sz w:val="20"/>
          <w:szCs w:val="20"/>
          <w:lang w:val="es-ES_tradnl"/>
        </w:rPr>
        <w:t xml:space="preserve"> </w:t>
      </w:r>
      <w:r w:rsidRPr="00777DA3">
        <w:rPr>
          <w:rFonts w:eastAsia="Times New Roman" w:cs="Times New Roman"/>
          <w:sz w:val="20"/>
          <w:szCs w:val="20"/>
        </w:rPr>
        <w:t>4.</w:t>
      </w:r>
    </w:p>
    <w:p w14:paraId="528A4325" w14:textId="77777777" w:rsidR="001F3006" w:rsidRPr="00777DA3" w:rsidRDefault="001F3006" w:rsidP="00C454A1">
      <w:pPr>
        <w:rPr>
          <w:rFonts w:eastAsia="Times New Roman" w:cs="Times New Roman"/>
          <w:sz w:val="20"/>
          <w:szCs w:val="20"/>
        </w:rPr>
      </w:pPr>
    </w:p>
  </w:footnote>
  <w:footnote w:id="835">
    <w:p w14:paraId="1D3EC580" w14:textId="77777777" w:rsidR="001F3006" w:rsidRPr="00777DA3" w:rsidRDefault="001F3006" w:rsidP="00C454A1">
      <w:pPr>
        <w:rPr>
          <w:rFonts w:cs="Times New Roman"/>
          <w:sz w:val="20"/>
          <w:szCs w:val="20"/>
        </w:rPr>
      </w:pPr>
      <w:r w:rsidRPr="00777DA3">
        <w:rPr>
          <w:rFonts w:cs="Times New Roman"/>
          <w:sz w:val="20"/>
          <w:szCs w:val="20"/>
        </w:rPr>
        <w:footnoteRef/>
      </w:r>
      <w:r w:rsidRPr="00777DA3">
        <w:rPr>
          <w:rFonts w:cs="Times New Roman"/>
          <w:sz w:val="20"/>
          <w:szCs w:val="20"/>
        </w:rPr>
        <w:t xml:space="preserve"> </w:t>
      </w:r>
      <w:r w:rsidRPr="00777DA3">
        <w:rPr>
          <w:rFonts w:eastAsia="Times New Roman" w:cs="Times New Roman"/>
          <w:sz w:val="20"/>
          <w:szCs w:val="20"/>
        </w:rPr>
        <w:t xml:space="preserve">Ib. </w:t>
      </w:r>
      <w:r w:rsidRPr="00777DA3">
        <w:rPr>
          <w:rFonts w:cs="Times New Roman"/>
          <w:sz w:val="20"/>
          <w:szCs w:val="20"/>
          <w:lang w:val="es-ES_tradnl"/>
        </w:rPr>
        <w:t>Pág.</w:t>
      </w:r>
      <w:r w:rsidRPr="00777DA3">
        <w:rPr>
          <w:rFonts w:eastAsia="Times New Roman" w:cs="Times New Roman"/>
          <w:sz w:val="20"/>
          <w:szCs w:val="20"/>
        </w:rPr>
        <w:t xml:space="preserve"> 3.</w:t>
      </w:r>
    </w:p>
  </w:footnote>
  <w:footnote w:id="836">
    <w:p w14:paraId="0C2B77ED" w14:textId="77777777" w:rsidR="001F3006" w:rsidRPr="00777DA3" w:rsidRDefault="001F3006" w:rsidP="00C454A1">
      <w:pPr>
        <w:rPr>
          <w:rFonts w:cs="Times New Roman"/>
          <w:sz w:val="20"/>
          <w:szCs w:val="20"/>
        </w:rPr>
      </w:pPr>
      <w:r w:rsidRPr="00777DA3">
        <w:rPr>
          <w:rFonts w:cs="Times New Roman"/>
          <w:sz w:val="20"/>
          <w:szCs w:val="20"/>
        </w:rPr>
        <w:footnoteRef/>
      </w:r>
      <w:r w:rsidRPr="00777DA3">
        <w:rPr>
          <w:rFonts w:cs="Times New Roman"/>
          <w:sz w:val="20"/>
          <w:szCs w:val="20"/>
        </w:rPr>
        <w:t xml:space="preserve"> Ib.</w:t>
      </w:r>
    </w:p>
  </w:footnote>
  <w:footnote w:id="837">
    <w:p w14:paraId="7AA469F4" w14:textId="77777777" w:rsidR="001F3006" w:rsidRPr="00777DA3" w:rsidRDefault="001F3006" w:rsidP="00C454A1">
      <w:pPr>
        <w:rPr>
          <w:rFonts w:cs="Times New Roman"/>
          <w:sz w:val="20"/>
          <w:szCs w:val="20"/>
        </w:rPr>
      </w:pPr>
      <w:r w:rsidRPr="00777DA3">
        <w:rPr>
          <w:rFonts w:cs="Times New Roman"/>
          <w:sz w:val="20"/>
          <w:szCs w:val="20"/>
        </w:rPr>
        <w:footnoteRef/>
      </w:r>
      <w:r w:rsidRPr="00777DA3">
        <w:rPr>
          <w:rFonts w:cs="Times New Roman"/>
          <w:sz w:val="20"/>
          <w:szCs w:val="20"/>
        </w:rPr>
        <w:t xml:space="preserve"> Ib.</w:t>
      </w:r>
    </w:p>
  </w:footnote>
  <w:footnote w:id="838">
    <w:p w14:paraId="1081B1F3" w14:textId="77777777" w:rsidR="001F3006" w:rsidRPr="004D55EB" w:rsidRDefault="001F3006" w:rsidP="00C454A1">
      <w:pPr>
        <w:rPr>
          <w:rFonts w:cs="Times New Roman"/>
          <w:sz w:val="20"/>
          <w:szCs w:val="20"/>
          <w:lang w:val="es-MX"/>
        </w:rPr>
      </w:pPr>
      <w:r w:rsidRPr="00777DA3">
        <w:rPr>
          <w:rFonts w:cs="Times New Roman"/>
          <w:sz w:val="20"/>
          <w:szCs w:val="20"/>
        </w:rPr>
        <w:footnoteRef/>
      </w:r>
      <w:r w:rsidRPr="004D55EB">
        <w:rPr>
          <w:rFonts w:cs="Times New Roman"/>
          <w:sz w:val="20"/>
          <w:szCs w:val="20"/>
          <w:lang w:val="es-MX"/>
        </w:rPr>
        <w:t xml:space="preserve"> </w:t>
      </w:r>
      <w:r w:rsidRPr="004D55EB">
        <w:rPr>
          <w:rFonts w:eastAsia="Times New Roman" w:cs="Times New Roman"/>
          <w:sz w:val="20"/>
          <w:szCs w:val="20"/>
          <w:lang w:val="es-MX"/>
        </w:rPr>
        <w:t xml:space="preserve">Ib. </w:t>
      </w:r>
      <w:r w:rsidRPr="00777DA3">
        <w:rPr>
          <w:rFonts w:cs="Times New Roman"/>
          <w:sz w:val="20"/>
          <w:szCs w:val="20"/>
          <w:lang w:val="es-ES_tradnl"/>
        </w:rPr>
        <w:t>Pág.</w:t>
      </w:r>
      <w:r>
        <w:rPr>
          <w:rFonts w:cs="Times New Roman"/>
          <w:sz w:val="20"/>
          <w:szCs w:val="20"/>
          <w:lang w:val="es-ES_tradnl"/>
        </w:rPr>
        <w:t xml:space="preserve"> </w:t>
      </w:r>
      <w:r w:rsidRPr="004D55EB">
        <w:rPr>
          <w:rFonts w:eastAsia="Times New Roman" w:cs="Times New Roman"/>
          <w:sz w:val="20"/>
          <w:szCs w:val="20"/>
          <w:lang w:val="es-MX"/>
        </w:rPr>
        <w:t>4-6.</w:t>
      </w:r>
    </w:p>
  </w:footnote>
  <w:footnote w:id="839">
    <w:p w14:paraId="5A9477F0"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Intervención</w:t>
      </w:r>
      <w:r w:rsidRPr="00813B77">
        <w:rPr>
          <w:color w:val="000000" w:themeColor="text1"/>
          <w:lang w:val="es-ES"/>
        </w:rPr>
        <w:t xml:space="preserve"> de la Corporación Excelencia en la Justicia, pág. 9.</w:t>
      </w:r>
    </w:p>
  </w:footnote>
  <w:footnote w:id="840">
    <w:p w14:paraId="0CCA2907" w14:textId="77777777" w:rsidR="001F3006" w:rsidRPr="00813B77" w:rsidRDefault="001F3006" w:rsidP="00C454A1">
      <w:pPr>
        <w:pStyle w:val="Textonotapie"/>
      </w:pPr>
      <w:r w:rsidRPr="00813B77">
        <w:rPr>
          <w:rStyle w:val="Refdenotaalpie"/>
        </w:rPr>
        <w:footnoteRef/>
      </w:r>
      <w:r w:rsidRPr="00813B77">
        <w:t xml:space="preserve"> Ib.</w:t>
      </w:r>
    </w:p>
  </w:footnote>
  <w:footnote w:id="841">
    <w:p w14:paraId="4294A82A" w14:textId="77777777" w:rsidR="001F3006" w:rsidRPr="00813B77" w:rsidRDefault="001F3006" w:rsidP="00C454A1">
      <w:pPr>
        <w:pStyle w:val="Textonotapie"/>
      </w:pPr>
      <w:r w:rsidRPr="00813B77">
        <w:rPr>
          <w:rStyle w:val="Refdenotaalpie"/>
        </w:rPr>
        <w:footnoteRef/>
      </w:r>
      <w:r w:rsidRPr="00813B77">
        <w:t xml:space="preserve"> Ib., 10.</w:t>
      </w:r>
    </w:p>
  </w:footnote>
  <w:footnote w:id="842">
    <w:p w14:paraId="5C043D0E" w14:textId="77777777" w:rsidR="001F3006" w:rsidRPr="00813B77" w:rsidRDefault="001F3006" w:rsidP="00C454A1">
      <w:pPr>
        <w:pStyle w:val="Textonotapie"/>
      </w:pPr>
      <w:r w:rsidRPr="00813B77">
        <w:rPr>
          <w:rStyle w:val="Refdenotaalpie"/>
        </w:rPr>
        <w:footnoteRef/>
      </w:r>
      <w:r w:rsidRPr="00813B77">
        <w:t xml:space="preserve"> Ib., 11.</w:t>
      </w:r>
    </w:p>
  </w:footnote>
  <w:footnote w:id="843">
    <w:p w14:paraId="29A72E36" w14:textId="77777777" w:rsidR="001F3006" w:rsidRPr="00813B77" w:rsidRDefault="001F3006" w:rsidP="00C454A1">
      <w:pPr>
        <w:pStyle w:val="Textonotapie"/>
        <w:rPr>
          <w:rFonts w:eastAsia="Times"/>
          <w:lang w:val="es-ES"/>
        </w:rPr>
      </w:pPr>
      <w:r w:rsidRPr="00813B77">
        <w:rPr>
          <w:rStyle w:val="Refdenotaalpie"/>
          <w:rFonts w:eastAsia="Times"/>
          <w:lang w:val="es-ES"/>
        </w:rPr>
        <w:footnoteRef/>
      </w:r>
      <w:r w:rsidRPr="00813B77">
        <w:rPr>
          <w:rFonts w:eastAsia="Times"/>
          <w:lang w:val="es-ES"/>
        </w:rPr>
        <w:t xml:space="preserve"> Según el escrito hubo varios ciudadanos que suscribieron la intervención.</w:t>
      </w:r>
      <w:r w:rsidRPr="00813B77">
        <w:t xml:space="preserve"> El interviniente hizo la división del estudio de los presupuestos.</w:t>
      </w:r>
    </w:p>
  </w:footnote>
  <w:footnote w:id="844">
    <w:p w14:paraId="0DA48538" w14:textId="77777777" w:rsidR="001F3006" w:rsidRPr="00813B77" w:rsidRDefault="001F3006" w:rsidP="00C454A1">
      <w:pPr>
        <w:pStyle w:val="Textonotapie"/>
        <w:rPr>
          <w:lang w:val="es-ES"/>
        </w:rPr>
      </w:pPr>
      <w:r w:rsidRPr="00813B77">
        <w:rPr>
          <w:rStyle w:val="Refdenotaalpie"/>
          <w:lang w:val="es-ES"/>
        </w:rPr>
        <w:footnoteRef/>
      </w:r>
      <w:r w:rsidRPr="00813B77">
        <w:rPr>
          <w:lang w:val="es-ES"/>
        </w:rPr>
        <w:t xml:space="preserve"> Intervención de Abelardo de la </w:t>
      </w:r>
      <w:proofErr w:type="spellStart"/>
      <w:r w:rsidRPr="00813B77">
        <w:rPr>
          <w:lang w:val="es-ES"/>
        </w:rPr>
        <w:t>Espriella</w:t>
      </w:r>
      <w:proofErr w:type="spellEnd"/>
      <w:r w:rsidRPr="00813B77">
        <w:rPr>
          <w:lang w:val="es-ES"/>
        </w:rPr>
        <w:t>, pág. 8.</w:t>
      </w:r>
    </w:p>
  </w:footnote>
  <w:footnote w:id="845">
    <w:p w14:paraId="7B976046" w14:textId="77777777" w:rsidR="001F3006" w:rsidRPr="00813B77" w:rsidRDefault="001F3006" w:rsidP="00C454A1">
      <w:pPr>
        <w:pStyle w:val="Textonotapie"/>
      </w:pPr>
      <w:r w:rsidRPr="00813B77">
        <w:rPr>
          <w:rStyle w:val="Refdenotaalpie"/>
        </w:rPr>
        <w:footnoteRef/>
      </w:r>
      <w:r w:rsidRPr="00813B77">
        <w:t xml:space="preserve"> Ib., pág. 10.</w:t>
      </w:r>
    </w:p>
  </w:footnote>
  <w:footnote w:id="846">
    <w:p w14:paraId="795560B3" w14:textId="77777777" w:rsidR="001F3006" w:rsidRPr="00813B77" w:rsidRDefault="001F3006" w:rsidP="00C454A1">
      <w:pPr>
        <w:pStyle w:val="Textonotapie"/>
      </w:pPr>
      <w:r w:rsidRPr="00813B77">
        <w:rPr>
          <w:rStyle w:val="Refdenotaalpie"/>
        </w:rPr>
        <w:footnoteRef/>
      </w:r>
      <w:r w:rsidRPr="00813B77">
        <w:t xml:space="preserve"> Ib., pág. 9.</w:t>
      </w:r>
    </w:p>
  </w:footnote>
  <w:footnote w:id="847">
    <w:p w14:paraId="5B6BBC38" w14:textId="77777777" w:rsidR="001F3006" w:rsidRPr="00813B77" w:rsidRDefault="001F3006" w:rsidP="00C454A1">
      <w:pPr>
        <w:pStyle w:val="Textonotapie"/>
      </w:pPr>
      <w:r w:rsidRPr="00813B77">
        <w:rPr>
          <w:rStyle w:val="Refdenotaalpie"/>
        </w:rPr>
        <w:footnoteRef/>
      </w:r>
      <w:r w:rsidRPr="00813B77">
        <w:t xml:space="preserve"> Ib., pág. 10.</w:t>
      </w:r>
    </w:p>
  </w:footnote>
  <w:footnote w:id="848">
    <w:p w14:paraId="4F20A0A9" w14:textId="77777777" w:rsidR="001F3006" w:rsidRPr="00813B77" w:rsidRDefault="001F3006" w:rsidP="00C454A1">
      <w:pPr>
        <w:pStyle w:val="Textonotapie"/>
      </w:pPr>
      <w:r w:rsidRPr="00813B77">
        <w:rPr>
          <w:rStyle w:val="Refdenotaalpie"/>
        </w:rPr>
        <w:footnoteRef/>
      </w:r>
      <w:r w:rsidRPr="00813B77">
        <w:t xml:space="preserve"> Ib., pág. 11.</w:t>
      </w:r>
    </w:p>
  </w:footnote>
  <w:footnote w:id="849">
    <w:p w14:paraId="31C057F3" w14:textId="77777777" w:rsidR="001F3006" w:rsidRPr="00813B77" w:rsidRDefault="001F3006" w:rsidP="00C454A1">
      <w:pPr>
        <w:pStyle w:val="Textonotapie"/>
      </w:pPr>
      <w:r w:rsidRPr="00813B77">
        <w:rPr>
          <w:rStyle w:val="Refdenotaalpie"/>
        </w:rPr>
        <w:footnoteRef/>
      </w:r>
      <w:r w:rsidRPr="00813B77">
        <w:t xml:space="preserve"> Ib.</w:t>
      </w:r>
    </w:p>
  </w:footnote>
  <w:footnote w:id="850">
    <w:p w14:paraId="3AFAD5FA" w14:textId="77777777" w:rsidR="001F3006" w:rsidRPr="00813B77" w:rsidRDefault="001F3006" w:rsidP="00C454A1">
      <w:pPr>
        <w:pStyle w:val="Textonotapie"/>
      </w:pPr>
      <w:r w:rsidRPr="00813B77">
        <w:rPr>
          <w:rStyle w:val="Refdenotaalpie"/>
        </w:rPr>
        <w:footnoteRef/>
      </w:r>
      <w:r w:rsidRPr="00813B77">
        <w:t xml:space="preserve"> Ib., pág. 12.</w:t>
      </w:r>
    </w:p>
  </w:footnote>
  <w:footnote w:id="851">
    <w:p w14:paraId="43EFA359" w14:textId="77777777" w:rsidR="001F3006" w:rsidRPr="00813B77" w:rsidRDefault="001F3006" w:rsidP="00C454A1">
      <w:pPr>
        <w:pStyle w:val="Textonotapie"/>
      </w:pPr>
      <w:r w:rsidRPr="00813B77">
        <w:rPr>
          <w:rStyle w:val="Refdenotaalpie"/>
        </w:rPr>
        <w:footnoteRef/>
      </w:r>
      <w:r w:rsidRPr="00813B77">
        <w:t xml:space="preserve"> Ib., pág. 12.</w:t>
      </w:r>
    </w:p>
  </w:footnote>
  <w:footnote w:id="852">
    <w:p w14:paraId="5B5A6AC4" w14:textId="77777777" w:rsidR="001F3006" w:rsidRPr="00813B77" w:rsidRDefault="001F3006" w:rsidP="00C454A1">
      <w:pPr>
        <w:pStyle w:val="Textonotapie"/>
      </w:pPr>
      <w:r w:rsidRPr="00813B77">
        <w:rPr>
          <w:rStyle w:val="Refdenotaalpie"/>
        </w:rPr>
        <w:footnoteRef/>
      </w:r>
      <w:r w:rsidRPr="00813B77">
        <w:t xml:space="preserve"> Ib.</w:t>
      </w:r>
    </w:p>
  </w:footnote>
  <w:footnote w:id="853">
    <w:p w14:paraId="36BECE73" w14:textId="77777777" w:rsidR="001F3006" w:rsidRPr="00813B77" w:rsidRDefault="001F3006" w:rsidP="00C454A1">
      <w:pPr>
        <w:pStyle w:val="Textonotapie"/>
      </w:pPr>
      <w:r w:rsidRPr="00813B77">
        <w:rPr>
          <w:rStyle w:val="Refdenotaalpie"/>
        </w:rPr>
        <w:footnoteRef/>
      </w:r>
      <w:r w:rsidRPr="00813B77">
        <w:t xml:space="preserve"> Ib.</w:t>
      </w:r>
    </w:p>
  </w:footnote>
  <w:footnote w:id="854">
    <w:p w14:paraId="5102E52C" w14:textId="77777777" w:rsidR="001F3006" w:rsidRPr="00813B77" w:rsidRDefault="001F3006" w:rsidP="00C454A1">
      <w:pPr>
        <w:pStyle w:val="Textonotapie"/>
      </w:pPr>
      <w:r w:rsidRPr="00813B77">
        <w:rPr>
          <w:rStyle w:val="Refdenotaalpie"/>
        </w:rPr>
        <w:footnoteRef/>
      </w:r>
      <w:r w:rsidRPr="00813B77">
        <w:t xml:space="preserve"> Ib., pág. 4</w:t>
      </w:r>
    </w:p>
  </w:footnote>
  <w:footnote w:id="855">
    <w:p w14:paraId="771EA930" w14:textId="77777777" w:rsidR="001F3006" w:rsidRPr="00813B77" w:rsidRDefault="001F3006" w:rsidP="00C454A1">
      <w:pPr>
        <w:pStyle w:val="Textonotapie"/>
      </w:pPr>
      <w:r w:rsidRPr="00813B77">
        <w:rPr>
          <w:rStyle w:val="Refdenotaalpie"/>
        </w:rPr>
        <w:footnoteRef/>
      </w:r>
      <w:r w:rsidRPr="00813B77">
        <w:t xml:space="preserve"> </w:t>
      </w:r>
      <w:r w:rsidRPr="00813B77">
        <w:rPr>
          <w:lang w:val="es-ES"/>
        </w:rPr>
        <w:t xml:space="preserve">Intervención de </w:t>
      </w:r>
      <w:r w:rsidRPr="00813B77">
        <w:rPr>
          <w:color w:val="000000" w:themeColor="text1"/>
        </w:rPr>
        <w:t>Antioqueños por Colombia</w:t>
      </w:r>
      <w:r w:rsidRPr="00813B77">
        <w:rPr>
          <w:lang w:val="es-ES"/>
        </w:rPr>
        <w:t>,</w:t>
      </w:r>
      <w:r w:rsidRPr="00813B77">
        <w:rPr>
          <w:color w:val="000000" w:themeColor="text1"/>
          <w:lang w:val="es-ES"/>
        </w:rPr>
        <w:t xml:space="preserve"> </w:t>
      </w:r>
      <w:proofErr w:type="spellStart"/>
      <w:r w:rsidRPr="00813B77">
        <w:t>pág</w:t>
      </w:r>
      <w:proofErr w:type="spellEnd"/>
      <w:r w:rsidRPr="00813B77">
        <w:rPr>
          <w:color w:val="000000" w:themeColor="text1"/>
          <w:lang w:val="es-ES"/>
        </w:rPr>
        <w:t>. 4.</w:t>
      </w:r>
    </w:p>
  </w:footnote>
  <w:footnote w:id="856">
    <w:p w14:paraId="6E4D9F54" w14:textId="77777777" w:rsidR="001F3006" w:rsidRPr="00813B77" w:rsidRDefault="001F3006" w:rsidP="00C454A1">
      <w:pPr>
        <w:pStyle w:val="Textonotapie"/>
      </w:pPr>
      <w:r w:rsidRPr="00813B77">
        <w:rPr>
          <w:rStyle w:val="Refdenotaalpie"/>
        </w:rPr>
        <w:footnoteRef/>
      </w:r>
      <w:r w:rsidRPr="00813B77">
        <w:t xml:space="preserve"> Ib., pág. 7.</w:t>
      </w:r>
    </w:p>
  </w:footnote>
  <w:footnote w:id="857">
    <w:p w14:paraId="32E65453" w14:textId="77777777" w:rsidR="001F3006" w:rsidRPr="00813B77" w:rsidRDefault="001F3006" w:rsidP="00C454A1">
      <w:pPr>
        <w:pStyle w:val="Textonotapie"/>
      </w:pPr>
      <w:r w:rsidRPr="00813B77">
        <w:rPr>
          <w:rStyle w:val="Refdenotaalpie"/>
        </w:rPr>
        <w:footnoteRef/>
      </w:r>
      <w:r w:rsidRPr="00813B77">
        <w:t xml:space="preserve"> Ib., pág. 6.</w:t>
      </w:r>
    </w:p>
  </w:footnote>
  <w:footnote w:id="858">
    <w:p w14:paraId="493DC2E7" w14:textId="77777777" w:rsidR="001F3006" w:rsidRPr="00813B77" w:rsidRDefault="001F3006" w:rsidP="00C454A1">
      <w:pPr>
        <w:pStyle w:val="Textonotapie"/>
      </w:pPr>
      <w:r w:rsidRPr="00813B77">
        <w:rPr>
          <w:rStyle w:val="Refdenotaalpie"/>
        </w:rPr>
        <w:footnoteRef/>
      </w:r>
      <w:r w:rsidRPr="00813B77">
        <w:t xml:space="preserve"> Ib., págs. 6 y 7.</w:t>
      </w:r>
    </w:p>
  </w:footnote>
  <w:footnote w:id="859">
    <w:p w14:paraId="616AEE15" w14:textId="77777777" w:rsidR="001F3006" w:rsidRPr="00813B77" w:rsidRDefault="001F3006" w:rsidP="00C454A1">
      <w:pPr>
        <w:pStyle w:val="Textonotapie"/>
      </w:pPr>
      <w:r w:rsidRPr="00813B77">
        <w:rPr>
          <w:rStyle w:val="Refdenotaalpie"/>
        </w:rPr>
        <w:footnoteRef/>
      </w:r>
      <w:r w:rsidRPr="00813B77">
        <w:t xml:space="preserve"> </w:t>
      </w:r>
      <w:r w:rsidRPr="00813B77">
        <w:rPr>
          <w:lang w:val="es-ES"/>
        </w:rPr>
        <w:t xml:space="preserve">Intervención de </w:t>
      </w:r>
      <w:r w:rsidRPr="00813B77">
        <w:rPr>
          <w:color w:val="000000" w:themeColor="text1"/>
          <w:lang w:val="es-ES"/>
        </w:rPr>
        <w:t xml:space="preserve">Edwin Alexander Llanos Franco, </w:t>
      </w:r>
      <w:proofErr w:type="spellStart"/>
      <w:r w:rsidRPr="00813B77">
        <w:t>pág</w:t>
      </w:r>
      <w:proofErr w:type="spellEnd"/>
      <w:r w:rsidRPr="00813B77">
        <w:rPr>
          <w:color w:val="000000" w:themeColor="text1"/>
          <w:lang w:val="es-ES"/>
        </w:rPr>
        <w:t>. 3.</w:t>
      </w:r>
    </w:p>
  </w:footnote>
  <w:footnote w:id="860">
    <w:p w14:paraId="5E3C977C" w14:textId="77777777" w:rsidR="001F3006" w:rsidRPr="00813B77" w:rsidRDefault="001F3006" w:rsidP="00C454A1">
      <w:pPr>
        <w:pStyle w:val="Textonotapie"/>
      </w:pPr>
      <w:r w:rsidRPr="00813B77">
        <w:rPr>
          <w:rStyle w:val="Refdenotaalpie"/>
        </w:rPr>
        <w:footnoteRef/>
      </w:r>
      <w:r w:rsidRPr="00813B77">
        <w:t xml:space="preserve"> Ib.</w:t>
      </w:r>
    </w:p>
  </w:footnote>
  <w:footnote w:id="861">
    <w:p w14:paraId="558C538D" w14:textId="77777777" w:rsidR="001F3006" w:rsidRPr="00813B77" w:rsidRDefault="001F3006" w:rsidP="00C454A1">
      <w:pPr>
        <w:pStyle w:val="Textonotapie"/>
      </w:pPr>
      <w:r w:rsidRPr="00813B77">
        <w:rPr>
          <w:rStyle w:val="Refdenotaalpie"/>
        </w:rPr>
        <w:footnoteRef/>
      </w:r>
      <w:r w:rsidRPr="00813B77">
        <w:t xml:space="preserve"> Ib.</w:t>
      </w:r>
    </w:p>
  </w:footnote>
  <w:footnote w:id="862">
    <w:p w14:paraId="036E2A75" w14:textId="77777777" w:rsidR="001F3006" w:rsidRPr="00813B77" w:rsidRDefault="001F3006" w:rsidP="00C454A1">
      <w:pPr>
        <w:pStyle w:val="Textonotapie"/>
      </w:pPr>
      <w:r w:rsidRPr="00813B77">
        <w:rPr>
          <w:rStyle w:val="Refdenotaalpie"/>
        </w:rPr>
        <w:footnoteRef/>
      </w:r>
      <w:r w:rsidRPr="00813B77">
        <w:t xml:space="preserve"> Ib.</w:t>
      </w:r>
    </w:p>
  </w:footnote>
  <w:footnote w:id="863">
    <w:p w14:paraId="345F8300" w14:textId="77777777" w:rsidR="001F3006" w:rsidRPr="00813B77" w:rsidRDefault="001F3006" w:rsidP="00C454A1">
      <w:pPr>
        <w:pStyle w:val="Textonotapie"/>
      </w:pPr>
      <w:r w:rsidRPr="00813B77">
        <w:rPr>
          <w:rStyle w:val="Refdenotaalpie"/>
        </w:rPr>
        <w:footnoteRef/>
      </w:r>
      <w:r w:rsidRPr="00813B77">
        <w:t xml:space="preserve"> Ib.</w:t>
      </w:r>
    </w:p>
  </w:footnote>
  <w:footnote w:id="864">
    <w:p w14:paraId="4F316F31" w14:textId="77777777" w:rsidR="001F3006" w:rsidRPr="00813B77" w:rsidRDefault="001F3006" w:rsidP="00C454A1">
      <w:pPr>
        <w:pStyle w:val="Textonotapie"/>
        <w:spacing w:line="230" w:lineRule="auto"/>
        <w:rPr>
          <w:bCs/>
        </w:rPr>
      </w:pPr>
      <w:r w:rsidRPr="00813B77">
        <w:rPr>
          <w:rStyle w:val="Refdenotaalpie"/>
        </w:rPr>
        <w:footnoteRef/>
      </w:r>
      <w:r w:rsidRPr="00813B77">
        <w:t xml:space="preserve"> </w:t>
      </w:r>
      <w:r w:rsidRPr="00813B77">
        <w:rPr>
          <w:lang w:val="es-ES"/>
        </w:rPr>
        <w:t>Intervención</w:t>
      </w:r>
      <w:r w:rsidRPr="00813B77">
        <w:rPr>
          <w:color w:val="000000" w:themeColor="text1"/>
          <w:lang w:val="es-ES"/>
        </w:rPr>
        <w:t xml:space="preserve"> de </w:t>
      </w:r>
      <w:r w:rsidRPr="00813B77">
        <w:rPr>
          <w:bCs/>
          <w:color w:val="000000" w:themeColor="text1"/>
        </w:rPr>
        <w:t xml:space="preserve">Julián </w:t>
      </w:r>
      <w:proofErr w:type="spellStart"/>
      <w:r w:rsidRPr="00813B77">
        <w:rPr>
          <w:bCs/>
          <w:color w:val="000000" w:themeColor="text1"/>
        </w:rPr>
        <w:t>Uscátegui</w:t>
      </w:r>
      <w:proofErr w:type="spellEnd"/>
      <w:r w:rsidRPr="00813B77">
        <w:rPr>
          <w:bCs/>
          <w:color w:val="000000" w:themeColor="text1"/>
        </w:rPr>
        <w:t xml:space="preserve"> Pastrana,</w:t>
      </w:r>
      <w:r w:rsidRPr="00813B77">
        <w:rPr>
          <w:bCs/>
          <w:color w:val="000000" w:themeColor="text1"/>
          <w:lang w:val="es-ES"/>
        </w:rPr>
        <w:t xml:space="preserve"> </w:t>
      </w:r>
      <w:proofErr w:type="spellStart"/>
      <w:r w:rsidRPr="00813B77">
        <w:rPr>
          <w:bCs/>
        </w:rPr>
        <w:t>pág</w:t>
      </w:r>
      <w:proofErr w:type="spellEnd"/>
      <w:r w:rsidRPr="00813B77">
        <w:rPr>
          <w:bCs/>
          <w:color w:val="000000" w:themeColor="text1"/>
          <w:lang w:val="es-ES"/>
        </w:rPr>
        <w:t>. 2-3.</w:t>
      </w:r>
    </w:p>
  </w:footnote>
  <w:footnote w:id="865">
    <w:p w14:paraId="36837CA0" w14:textId="77777777" w:rsidR="001F3006" w:rsidRPr="00813B77" w:rsidRDefault="001F3006" w:rsidP="00C454A1">
      <w:pPr>
        <w:pStyle w:val="Textonotapie"/>
      </w:pPr>
      <w:r w:rsidRPr="00813B77">
        <w:rPr>
          <w:rStyle w:val="Refdenotaalpie"/>
        </w:rPr>
        <w:footnoteRef/>
      </w:r>
      <w:r w:rsidRPr="00813B77">
        <w:t xml:space="preserve"> Ib.</w:t>
      </w:r>
    </w:p>
  </w:footnote>
  <w:footnote w:id="866">
    <w:p w14:paraId="6D50C716" w14:textId="77777777" w:rsidR="001F3006" w:rsidRPr="00813B77" w:rsidRDefault="001F3006" w:rsidP="00C454A1">
      <w:pPr>
        <w:pStyle w:val="Textonotapie"/>
      </w:pPr>
      <w:r w:rsidRPr="00813B77">
        <w:rPr>
          <w:rStyle w:val="Refdenotaalpie"/>
        </w:rPr>
        <w:footnoteRef/>
      </w:r>
      <w:r w:rsidRPr="00813B77">
        <w:t xml:space="preserve"> Ib., pág. 4.</w:t>
      </w:r>
    </w:p>
  </w:footnote>
  <w:footnote w:id="867">
    <w:p w14:paraId="4EF28357" w14:textId="77777777" w:rsidR="001F3006" w:rsidRPr="00813B77" w:rsidRDefault="001F3006" w:rsidP="00C454A1">
      <w:pPr>
        <w:pStyle w:val="Textonotapie"/>
      </w:pPr>
      <w:r w:rsidRPr="00813B77">
        <w:rPr>
          <w:rStyle w:val="Refdenotaalpie"/>
        </w:rPr>
        <w:footnoteRef/>
      </w:r>
      <w:r w:rsidRPr="00813B77">
        <w:t xml:space="preserve"> Ib.</w:t>
      </w:r>
    </w:p>
  </w:footnote>
  <w:footnote w:id="868">
    <w:p w14:paraId="48A56D42" w14:textId="77777777" w:rsidR="001F3006" w:rsidRPr="00813B77" w:rsidRDefault="001F3006" w:rsidP="00C454A1">
      <w:pPr>
        <w:pStyle w:val="Textonotapie"/>
      </w:pPr>
      <w:r w:rsidRPr="00813B77">
        <w:rPr>
          <w:rStyle w:val="Refdenotaalpie"/>
        </w:rPr>
        <w:footnoteRef/>
      </w:r>
      <w:r w:rsidRPr="00813B77">
        <w:t xml:space="preserve"> Ib.</w:t>
      </w:r>
    </w:p>
  </w:footnote>
  <w:footnote w:id="869">
    <w:p w14:paraId="0D5D4FDA" w14:textId="77777777" w:rsidR="001F3006" w:rsidRPr="00813B77" w:rsidRDefault="001F3006" w:rsidP="00C454A1">
      <w:pPr>
        <w:pStyle w:val="Textonotapie"/>
      </w:pPr>
      <w:r w:rsidRPr="00813B77">
        <w:rPr>
          <w:rStyle w:val="Refdenotaalpie"/>
        </w:rPr>
        <w:footnoteRef/>
      </w:r>
      <w:r w:rsidRPr="00813B77">
        <w:t xml:space="preserve"> Ib., pág. 5.</w:t>
      </w:r>
    </w:p>
  </w:footnote>
  <w:footnote w:id="870">
    <w:p w14:paraId="4FCD0DA0" w14:textId="77777777" w:rsidR="001F3006" w:rsidRPr="00813B77" w:rsidRDefault="001F3006" w:rsidP="00C454A1">
      <w:pPr>
        <w:pStyle w:val="Textonotapie"/>
      </w:pPr>
      <w:r w:rsidRPr="00813B77">
        <w:rPr>
          <w:rStyle w:val="Refdenotaalpie"/>
        </w:rPr>
        <w:footnoteRef/>
      </w:r>
      <w:r w:rsidRPr="00813B77">
        <w:t xml:space="preserve"> Ib., pág. 6.</w:t>
      </w:r>
    </w:p>
  </w:footnote>
  <w:footnote w:id="871">
    <w:p w14:paraId="08908C25" w14:textId="77777777" w:rsidR="001F3006" w:rsidRPr="00813B77" w:rsidRDefault="001F3006" w:rsidP="00C454A1">
      <w:pPr>
        <w:pStyle w:val="Textonotapie"/>
      </w:pPr>
      <w:r w:rsidRPr="00813B77">
        <w:rPr>
          <w:rStyle w:val="Refdenotaalpie"/>
        </w:rPr>
        <w:footnoteRef/>
      </w:r>
      <w:r w:rsidRPr="00813B77">
        <w:t xml:space="preserve"> Ib.</w:t>
      </w:r>
    </w:p>
  </w:footnote>
  <w:footnote w:id="872">
    <w:p w14:paraId="2C5D12D4" w14:textId="77777777" w:rsidR="001F3006" w:rsidRPr="00813B77" w:rsidRDefault="001F3006" w:rsidP="00C454A1">
      <w:pPr>
        <w:pStyle w:val="Textonotapie"/>
        <w:spacing w:line="230" w:lineRule="auto"/>
      </w:pPr>
      <w:r w:rsidRPr="00813B77">
        <w:rPr>
          <w:rStyle w:val="Refdenotaalpie"/>
        </w:rPr>
        <w:footnoteRef/>
      </w:r>
      <w:r w:rsidRPr="00813B77">
        <w:t xml:space="preserve"> </w:t>
      </w:r>
      <w:r w:rsidRPr="00813B77">
        <w:rPr>
          <w:lang w:val="es-ES"/>
        </w:rPr>
        <w:t>Intervención</w:t>
      </w:r>
      <w:r w:rsidRPr="00813B77">
        <w:rPr>
          <w:color w:val="000000" w:themeColor="text1"/>
          <w:lang w:val="es-ES"/>
        </w:rPr>
        <w:t xml:space="preserve"> de la Universidad Santo Tomás de Bucaramanga, pág. 3.</w:t>
      </w:r>
    </w:p>
  </w:footnote>
  <w:footnote w:id="873">
    <w:p w14:paraId="09A80904" w14:textId="77777777" w:rsidR="001F3006" w:rsidRPr="00813B77" w:rsidRDefault="001F3006" w:rsidP="00C454A1">
      <w:pPr>
        <w:pStyle w:val="Textonotapie"/>
      </w:pPr>
      <w:r w:rsidRPr="00813B77">
        <w:rPr>
          <w:rStyle w:val="Refdenotaalpie"/>
        </w:rPr>
        <w:footnoteRef/>
      </w:r>
      <w:r w:rsidRPr="00813B77">
        <w:t xml:space="preserve"> Ib.</w:t>
      </w:r>
    </w:p>
  </w:footnote>
  <w:footnote w:id="874">
    <w:p w14:paraId="0E6E8233" w14:textId="77777777" w:rsidR="001F3006" w:rsidRPr="00813B77" w:rsidRDefault="001F3006" w:rsidP="00C454A1">
      <w:pPr>
        <w:pStyle w:val="Textonotapie"/>
      </w:pPr>
      <w:r w:rsidRPr="00813B77">
        <w:rPr>
          <w:rStyle w:val="Refdenotaalpie"/>
        </w:rPr>
        <w:footnoteRef/>
      </w:r>
      <w:r w:rsidRPr="00813B77">
        <w:t xml:space="preserve"> Ib.</w:t>
      </w:r>
    </w:p>
  </w:footnote>
  <w:footnote w:id="875">
    <w:p w14:paraId="4085844B" w14:textId="77777777" w:rsidR="001F3006" w:rsidRPr="00813B77" w:rsidRDefault="001F3006" w:rsidP="00C454A1">
      <w:pPr>
        <w:pStyle w:val="Textonotapie"/>
      </w:pPr>
      <w:r w:rsidRPr="00813B77">
        <w:rPr>
          <w:rStyle w:val="Refdenotaalpie"/>
        </w:rPr>
        <w:footnoteRef/>
      </w:r>
      <w:r w:rsidRPr="00813B77">
        <w:t xml:space="preserve"> Ib.</w:t>
      </w:r>
    </w:p>
  </w:footnote>
  <w:footnote w:id="876">
    <w:p w14:paraId="5D30F9B3"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5.</w:t>
      </w:r>
    </w:p>
  </w:footnote>
  <w:footnote w:id="877">
    <w:p w14:paraId="3AE83AAB" w14:textId="77777777" w:rsidR="001F3006" w:rsidRPr="00813B77" w:rsidRDefault="001F3006" w:rsidP="00C454A1">
      <w:pPr>
        <w:pStyle w:val="Textonotapie"/>
      </w:pPr>
      <w:r w:rsidRPr="00813B77">
        <w:rPr>
          <w:rStyle w:val="Refdenotaalpie"/>
        </w:rPr>
        <w:footnoteRef/>
      </w:r>
      <w:r w:rsidRPr="00813B77">
        <w:t xml:space="preserve"> Ib.</w:t>
      </w:r>
    </w:p>
  </w:footnote>
  <w:footnote w:id="878">
    <w:p w14:paraId="7A1F8883" w14:textId="77777777" w:rsidR="001F3006" w:rsidRPr="00813B77" w:rsidRDefault="001F3006" w:rsidP="00C454A1">
      <w:pPr>
        <w:pStyle w:val="Textonotapie"/>
      </w:pPr>
      <w:r w:rsidRPr="00813B77">
        <w:rPr>
          <w:rStyle w:val="Refdenotaalpie"/>
        </w:rPr>
        <w:footnoteRef/>
      </w:r>
      <w:r w:rsidRPr="00813B77">
        <w:t xml:space="preserve"> </w:t>
      </w:r>
      <w:r w:rsidRPr="00813B77">
        <w:rPr>
          <w:lang w:val="es-ES"/>
        </w:rPr>
        <w:t>Intervención de</w:t>
      </w:r>
      <w:r w:rsidRPr="00813B77">
        <w:rPr>
          <w:color w:val="000000" w:themeColor="text1"/>
          <w:lang w:val="es-ES"/>
        </w:rPr>
        <w:t xml:space="preserve"> </w:t>
      </w:r>
      <w:r w:rsidRPr="00813B77">
        <w:rPr>
          <w:color w:val="000000" w:themeColor="text1"/>
        </w:rPr>
        <w:t>Daniel Arias Rivera</w:t>
      </w:r>
      <w:r w:rsidRPr="00813B77">
        <w:rPr>
          <w:color w:val="000000" w:themeColor="text1"/>
          <w:lang w:val="es-ES"/>
        </w:rPr>
        <w:t xml:space="preserve"> pág. 2.</w:t>
      </w:r>
    </w:p>
  </w:footnote>
  <w:footnote w:id="879">
    <w:p w14:paraId="26C4F3FD"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3.</w:t>
      </w:r>
    </w:p>
  </w:footnote>
  <w:footnote w:id="880">
    <w:p w14:paraId="6CD1080D" w14:textId="77777777" w:rsidR="001F3006" w:rsidRPr="00813B77" w:rsidRDefault="001F3006" w:rsidP="00C454A1">
      <w:pPr>
        <w:pStyle w:val="Textonotapie"/>
      </w:pPr>
      <w:r w:rsidRPr="00813B77">
        <w:rPr>
          <w:rStyle w:val="Refdenotaalpie"/>
        </w:rPr>
        <w:footnoteRef/>
      </w:r>
      <w:r w:rsidRPr="00813B77">
        <w:t xml:space="preserve"> Ib.</w:t>
      </w:r>
    </w:p>
  </w:footnote>
  <w:footnote w:id="881">
    <w:p w14:paraId="2A2EBE14" w14:textId="77777777" w:rsidR="001F3006" w:rsidRPr="00813B77" w:rsidRDefault="001F3006" w:rsidP="00C454A1">
      <w:pPr>
        <w:pStyle w:val="Textonotapie"/>
      </w:pPr>
      <w:r w:rsidRPr="00813B77">
        <w:rPr>
          <w:rStyle w:val="Refdenotaalpie"/>
        </w:rPr>
        <w:footnoteRef/>
      </w:r>
      <w:r w:rsidRPr="00813B77">
        <w:t xml:space="preserve"> Ib.</w:t>
      </w:r>
    </w:p>
  </w:footnote>
  <w:footnote w:id="882">
    <w:p w14:paraId="5E3ED9B5" w14:textId="77777777" w:rsidR="001F3006" w:rsidRPr="00813B77" w:rsidRDefault="001F3006" w:rsidP="00C454A1">
      <w:pPr>
        <w:pStyle w:val="Textonotapie"/>
      </w:pPr>
      <w:r w:rsidRPr="00813B77">
        <w:rPr>
          <w:rStyle w:val="Refdenotaalpie"/>
        </w:rPr>
        <w:footnoteRef/>
      </w:r>
      <w:r w:rsidRPr="00813B77">
        <w:t xml:space="preserve"> Ib.</w:t>
      </w:r>
    </w:p>
  </w:footnote>
  <w:footnote w:id="883">
    <w:p w14:paraId="2C32E9CB" w14:textId="77777777" w:rsidR="001F3006" w:rsidRPr="00813B77" w:rsidRDefault="001F3006" w:rsidP="00C454A1">
      <w:pPr>
        <w:pStyle w:val="Textonotapie"/>
      </w:pPr>
      <w:r w:rsidRPr="00813B77">
        <w:rPr>
          <w:rStyle w:val="Refdenotaalpie"/>
        </w:rPr>
        <w:footnoteRef/>
      </w:r>
      <w:r w:rsidRPr="00813B77">
        <w:t xml:space="preserve"> Ib.</w:t>
      </w:r>
    </w:p>
  </w:footnote>
  <w:footnote w:id="884">
    <w:p w14:paraId="383FDFF2"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3-4.</w:t>
      </w:r>
    </w:p>
  </w:footnote>
  <w:footnote w:id="885">
    <w:p w14:paraId="057F2088" w14:textId="77777777" w:rsidR="001F3006" w:rsidRPr="00813B77" w:rsidRDefault="001F3006" w:rsidP="00C454A1">
      <w:pPr>
        <w:pStyle w:val="Textonotapie"/>
        <w:spacing w:line="230" w:lineRule="auto"/>
      </w:pPr>
      <w:r w:rsidRPr="00813B77">
        <w:rPr>
          <w:rStyle w:val="Refdenotaalpie"/>
        </w:rPr>
        <w:footnoteRef/>
      </w:r>
      <w:r w:rsidRPr="00813B77">
        <w:t xml:space="preserve"> </w:t>
      </w:r>
      <w:r w:rsidRPr="00813B77">
        <w:rPr>
          <w:color w:val="000000" w:themeColor="text1"/>
          <w:lang w:val="es-ES"/>
        </w:rPr>
        <w:t>Ib. pág. 4.</w:t>
      </w:r>
    </w:p>
  </w:footnote>
  <w:footnote w:id="886">
    <w:p w14:paraId="790FBE2C" w14:textId="77777777" w:rsidR="001F3006" w:rsidRPr="00813B77" w:rsidRDefault="001F3006" w:rsidP="00C454A1">
      <w:pPr>
        <w:pStyle w:val="Textonotapie"/>
        <w:spacing w:line="230" w:lineRule="auto"/>
      </w:pPr>
      <w:r w:rsidRPr="00813B77">
        <w:rPr>
          <w:rStyle w:val="Refdenotaalpie"/>
        </w:rPr>
        <w:footnoteRef/>
      </w:r>
      <w:r w:rsidRPr="00813B77">
        <w:t xml:space="preserve"> </w:t>
      </w:r>
      <w:r w:rsidRPr="00813B77">
        <w:rPr>
          <w:lang w:val="es-ES"/>
        </w:rPr>
        <w:t>Intervención</w:t>
      </w:r>
      <w:r w:rsidRPr="00813B77">
        <w:rPr>
          <w:color w:val="000000" w:themeColor="text1"/>
          <w:lang w:val="es-ES"/>
        </w:rPr>
        <w:t xml:space="preserve"> de la Universidad Libre, pág. 9.</w:t>
      </w:r>
    </w:p>
  </w:footnote>
  <w:footnote w:id="887">
    <w:p w14:paraId="6BFF83BC" w14:textId="77777777" w:rsidR="001F3006" w:rsidRPr="00813B77" w:rsidRDefault="001F3006" w:rsidP="00C454A1">
      <w:pPr>
        <w:pStyle w:val="Textonotapie"/>
      </w:pPr>
      <w:r w:rsidRPr="00813B77">
        <w:rPr>
          <w:rStyle w:val="Refdenotaalpie"/>
        </w:rPr>
        <w:footnoteRef/>
      </w:r>
      <w:r w:rsidRPr="00813B77">
        <w:t xml:space="preserve"> Ib.</w:t>
      </w:r>
    </w:p>
  </w:footnote>
  <w:footnote w:id="888">
    <w:p w14:paraId="446DB6E9" w14:textId="77777777" w:rsidR="001F3006" w:rsidRPr="00813B77" w:rsidRDefault="001F3006" w:rsidP="00C454A1">
      <w:pPr>
        <w:pStyle w:val="Textonotapie"/>
      </w:pPr>
      <w:r w:rsidRPr="00813B77">
        <w:rPr>
          <w:rStyle w:val="Refdenotaalpie"/>
        </w:rPr>
        <w:footnoteRef/>
      </w:r>
      <w:r w:rsidRPr="00813B77">
        <w:t xml:space="preserve"> Ib.</w:t>
      </w:r>
    </w:p>
  </w:footnote>
  <w:footnote w:id="889">
    <w:p w14:paraId="400EECF9"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11.</w:t>
      </w:r>
    </w:p>
  </w:footnote>
  <w:footnote w:id="890">
    <w:p w14:paraId="17A5EE9E"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12.</w:t>
      </w:r>
    </w:p>
  </w:footnote>
  <w:footnote w:id="891">
    <w:p w14:paraId="53BFD4ED" w14:textId="77777777" w:rsidR="001F3006" w:rsidRPr="00813B77" w:rsidRDefault="001F3006" w:rsidP="00C454A1">
      <w:pPr>
        <w:pStyle w:val="Textonotapie"/>
      </w:pPr>
      <w:r w:rsidRPr="00813B77">
        <w:rPr>
          <w:rStyle w:val="Refdenotaalpie"/>
        </w:rPr>
        <w:footnoteRef/>
      </w:r>
      <w:r w:rsidRPr="00813B77">
        <w:t xml:space="preserve"> Ib.</w:t>
      </w:r>
    </w:p>
  </w:footnote>
  <w:footnote w:id="892">
    <w:p w14:paraId="0158646A" w14:textId="77777777" w:rsidR="001F3006" w:rsidRPr="00813B77" w:rsidRDefault="001F3006" w:rsidP="00C454A1">
      <w:pPr>
        <w:pStyle w:val="Textonotapie"/>
      </w:pPr>
      <w:r w:rsidRPr="00813B77">
        <w:rPr>
          <w:rStyle w:val="Refdenotaalpie"/>
        </w:rPr>
        <w:footnoteRef/>
      </w:r>
      <w:r w:rsidRPr="00813B77">
        <w:t xml:space="preserve"> </w:t>
      </w:r>
      <w:r w:rsidRPr="00813B77">
        <w:rPr>
          <w:rFonts w:eastAsia="Aptos"/>
        </w:rPr>
        <w:t xml:space="preserve">Ib., </w:t>
      </w:r>
      <w:proofErr w:type="spellStart"/>
      <w:r w:rsidRPr="00813B77">
        <w:rPr>
          <w:color w:val="000000" w:themeColor="text1"/>
          <w:lang w:val="es-ES"/>
        </w:rPr>
        <w:t>pág</w:t>
      </w:r>
      <w:proofErr w:type="spellEnd"/>
      <w:r w:rsidRPr="00813B77">
        <w:rPr>
          <w:rFonts w:eastAsia="Aptos"/>
        </w:rPr>
        <w:t>. 13.</w:t>
      </w:r>
    </w:p>
  </w:footnote>
  <w:footnote w:id="893">
    <w:p w14:paraId="3710E198" w14:textId="77777777" w:rsidR="001F3006" w:rsidRPr="00813B77" w:rsidRDefault="001F3006" w:rsidP="00C454A1">
      <w:pPr>
        <w:pStyle w:val="Textonotapie"/>
      </w:pPr>
      <w:r w:rsidRPr="00813B77">
        <w:rPr>
          <w:rStyle w:val="Refdenotaalpie"/>
        </w:rPr>
        <w:footnoteRef/>
      </w:r>
      <w:r w:rsidRPr="00813B77">
        <w:t xml:space="preserve"> </w:t>
      </w:r>
      <w:r w:rsidRPr="00813B77">
        <w:rPr>
          <w:rFonts w:eastAsia="Aptos"/>
        </w:rPr>
        <w:t>Ib.</w:t>
      </w:r>
    </w:p>
  </w:footnote>
  <w:footnote w:id="894">
    <w:p w14:paraId="1DAB48B5"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14.</w:t>
      </w:r>
    </w:p>
  </w:footnote>
  <w:footnote w:id="895">
    <w:p w14:paraId="4F110771" w14:textId="77777777" w:rsidR="001F3006" w:rsidRPr="00813B77" w:rsidRDefault="001F3006" w:rsidP="00C454A1">
      <w:pPr>
        <w:pStyle w:val="Textonotapie"/>
      </w:pPr>
      <w:r w:rsidRPr="00813B77">
        <w:rPr>
          <w:rStyle w:val="Refdenotaalpie"/>
        </w:rPr>
        <w:footnoteRef/>
      </w:r>
      <w:r w:rsidRPr="00813B77">
        <w:t xml:space="preserve"> </w:t>
      </w:r>
      <w:r w:rsidRPr="00813B77">
        <w:rPr>
          <w:lang w:val="es-ES"/>
        </w:rPr>
        <w:t>Intervención</w:t>
      </w:r>
      <w:r w:rsidRPr="00813B77">
        <w:rPr>
          <w:color w:val="000000" w:themeColor="text1"/>
          <w:lang w:val="es-ES"/>
        </w:rPr>
        <w:t xml:space="preserve"> de </w:t>
      </w:r>
      <w:proofErr w:type="spellStart"/>
      <w:r w:rsidRPr="00813B77">
        <w:rPr>
          <w:color w:val="000000" w:themeColor="text1"/>
        </w:rPr>
        <w:t>Ingri</w:t>
      </w:r>
      <w:proofErr w:type="spellEnd"/>
      <w:r w:rsidRPr="00813B77">
        <w:rPr>
          <w:color w:val="000000" w:themeColor="text1"/>
        </w:rPr>
        <w:t xml:space="preserve"> </w:t>
      </w:r>
      <w:proofErr w:type="spellStart"/>
      <w:r w:rsidRPr="00813B77">
        <w:rPr>
          <w:color w:val="000000" w:themeColor="text1"/>
        </w:rPr>
        <w:t>Yurley</w:t>
      </w:r>
      <w:proofErr w:type="spellEnd"/>
      <w:r w:rsidRPr="00813B77">
        <w:rPr>
          <w:color w:val="000000" w:themeColor="text1"/>
        </w:rPr>
        <w:t xml:space="preserve"> Montero Martínez y otros</w:t>
      </w:r>
      <w:r w:rsidRPr="00813B77">
        <w:rPr>
          <w:color w:val="000000" w:themeColor="text1"/>
          <w:lang w:val="es-ES"/>
        </w:rPr>
        <w:t>, pág. 3.</w:t>
      </w:r>
    </w:p>
  </w:footnote>
  <w:footnote w:id="896">
    <w:p w14:paraId="5B576306"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4.</w:t>
      </w:r>
    </w:p>
  </w:footnote>
  <w:footnote w:id="897">
    <w:p w14:paraId="427EC960" w14:textId="77777777" w:rsidR="001F3006" w:rsidRPr="00813B77" w:rsidRDefault="001F3006" w:rsidP="00C454A1">
      <w:pPr>
        <w:pStyle w:val="Textonotapie"/>
      </w:pPr>
      <w:r w:rsidRPr="00813B77">
        <w:rPr>
          <w:rStyle w:val="Refdenotaalpie"/>
        </w:rPr>
        <w:footnoteRef/>
      </w:r>
      <w:r w:rsidRPr="00813B77">
        <w:t xml:space="preserve"> Ib.</w:t>
      </w:r>
    </w:p>
  </w:footnote>
  <w:footnote w:id="898">
    <w:p w14:paraId="15004CCE"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5.</w:t>
      </w:r>
    </w:p>
  </w:footnote>
  <w:footnote w:id="899">
    <w:p w14:paraId="478F4803" w14:textId="77777777" w:rsidR="001F3006" w:rsidRPr="00813B77" w:rsidRDefault="001F3006" w:rsidP="00C454A1">
      <w:pPr>
        <w:pStyle w:val="Textonotapie"/>
      </w:pPr>
      <w:r w:rsidRPr="00813B77">
        <w:rPr>
          <w:rStyle w:val="Refdenotaalpie"/>
        </w:rPr>
        <w:footnoteRef/>
      </w:r>
      <w:r w:rsidRPr="00813B77">
        <w:t xml:space="preserve"> Ib., </w:t>
      </w:r>
      <w:r w:rsidRPr="00813B77">
        <w:rPr>
          <w:color w:val="000000" w:themeColor="text1"/>
          <w:lang w:val="es-ES"/>
        </w:rPr>
        <w:t>págs.</w:t>
      </w:r>
      <w:r w:rsidRPr="00813B77">
        <w:t xml:space="preserve"> 11 y 12</w:t>
      </w:r>
    </w:p>
  </w:footnote>
  <w:footnote w:id="900">
    <w:p w14:paraId="5ECA7860" w14:textId="77777777" w:rsidR="001F3006" w:rsidRPr="00813B77" w:rsidRDefault="001F3006" w:rsidP="00C454A1">
      <w:pPr>
        <w:pStyle w:val="Textonotapie"/>
      </w:pPr>
      <w:r w:rsidRPr="00813B77">
        <w:rPr>
          <w:rStyle w:val="Refdenotaalpie"/>
        </w:rPr>
        <w:footnoteRef/>
      </w:r>
      <w:r w:rsidRPr="00813B77">
        <w:t xml:space="preserve"> Ib.</w:t>
      </w:r>
    </w:p>
  </w:footnote>
  <w:footnote w:id="901">
    <w:p w14:paraId="1878DA30"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13.</w:t>
      </w:r>
    </w:p>
  </w:footnote>
  <w:footnote w:id="902">
    <w:p w14:paraId="6F5718B5" w14:textId="77777777" w:rsidR="001F3006" w:rsidRPr="00813B77" w:rsidRDefault="001F3006" w:rsidP="00C454A1">
      <w:pPr>
        <w:pStyle w:val="Textonotapie"/>
      </w:pPr>
      <w:r w:rsidRPr="00813B77">
        <w:rPr>
          <w:rStyle w:val="Refdenotaalpie"/>
        </w:rPr>
        <w:footnoteRef/>
      </w:r>
      <w:r w:rsidRPr="00813B77">
        <w:t xml:space="preserve"> Ib. </w:t>
      </w:r>
      <w:proofErr w:type="spellStart"/>
      <w:r w:rsidRPr="00813B77">
        <w:rPr>
          <w:color w:val="000000" w:themeColor="text1"/>
          <w:lang w:val="es-ES"/>
        </w:rPr>
        <w:t>pág</w:t>
      </w:r>
      <w:proofErr w:type="spellEnd"/>
      <w:r w:rsidRPr="00813B77">
        <w:t>. 17.</w:t>
      </w:r>
    </w:p>
  </w:footnote>
  <w:footnote w:id="903">
    <w:p w14:paraId="7B5BDD93" w14:textId="77777777" w:rsidR="001F3006" w:rsidRPr="00813B77" w:rsidRDefault="001F3006" w:rsidP="00C454A1">
      <w:pPr>
        <w:pStyle w:val="Textonotapie"/>
        <w:rPr>
          <w:lang w:val="es-ES_tradnl"/>
        </w:rPr>
      </w:pPr>
      <w:r w:rsidRPr="00813B77">
        <w:rPr>
          <w:rStyle w:val="Refdenotaalpie"/>
        </w:rPr>
        <w:footnoteRef/>
      </w:r>
      <w:r w:rsidRPr="00813B77">
        <w:t xml:space="preserve"> </w:t>
      </w:r>
      <w:bookmarkStart w:id="240" w:name="_Hlk195049827"/>
      <w:r w:rsidRPr="00813B77">
        <w:rPr>
          <w:lang w:val="es-ES"/>
        </w:rPr>
        <w:t>Intervención</w:t>
      </w:r>
      <w:r w:rsidRPr="00813B77">
        <w:rPr>
          <w:color w:val="000000" w:themeColor="text1"/>
          <w:lang w:val="es-ES"/>
        </w:rPr>
        <w:t xml:space="preserve"> </w:t>
      </w:r>
      <w:bookmarkEnd w:id="240"/>
      <w:r w:rsidRPr="00813B77">
        <w:rPr>
          <w:color w:val="000000" w:themeColor="text1"/>
          <w:lang w:val="es-ES"/>
        </w:rPr>
        <w:t xml:space="preserve">de Fabio Enrique Pulido Ortiz, </w:t>
      </w:r>
      <w:r w:rsidRPr="00813B77">
        <w:rPr>
          <w:color w:val="000000" w:themeColor="text1"/>
        </w:rPr>
        <w:t>director del Doctorado en Derecho y de la Maestría en Derecho Constitucional de la Facultad de Derecho y Ciencias Políticas de la Universidad de La Sabana,</w:t>
      </w:r>
      <w:r w:rsidRPr="00813B77">
        <w:rPr>
          <w:color w:val="000000" w:themeColor="text1"/>
          <w:lang w:val="es-ES"/>
        </w:rPr>
        <w:t xml:space="preserve"> pág.</w:t>
      </w:r>
      <w:r>
        <w:rPr>
          <w:color w:val="000000" w:themeColor="text1"/>
          <w:lang w:val="es-ES"/>
        </w:rPr>
        <w:t xml:space="preserve"> </w:t>
      </w:r>
      <w:r w:rsidRPr="00813B77">
        <w:rPr>
          <w:color w:val="000000" w:themeColor="text1"/>
          <w:lang w:val="es-ES"/>
        </w:rPr>
        <w:t>3.</w:t>
      </w:r>
    </w:p>
  </w:footnote>
  <w:footnote w:id="904">
    <w:p w14:paraId="0E503A2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 xml:space="preserve">Ib., </w:t>
      </w:r>
      <w:bookmarkStart w:id="241" w:name="_Hlk195094370"/>
      <w:r w:rsidRPr="00813B77">
        <w:rPr>
          <w:color w:val="000000" w:themeColor="text1"/>
          <w:lang w:val="es-ES"/>
        </w:rPr>
        <w:t>pág</w:t>
      </w:r>
      <w:bookmarkEnd w:id="241"/>
      <w:r w:rsidRPr="00813B77">
        <w:rPr>
          <w:lang w:val="es-ES"/>
        </w:rPr>
        <w:t>. 23.</w:t>
      </w:r>
    </w:p>
  </w:footnote>
  <w:footnote w:id="905">
    <w:p w14:paraId="36D2C2DB" w14:textId="77777777" w:rsidR="001F3006" w:rsidRPr="00813B77" w:rsidRDefault="001F3006" w:rsidP="00C454A1">
      <w:pPr>
        <w:pStyle w:val="Textonotapie"/>
        <w:rPr>
          <w:lang w:val="es-ES_tradnl"/>
        </w:rPr>
      </w:pPr>
      <w:r w:rsidRPr="00813B77">
        <w:rPr>
          <w:rStyle w:val="Refdenotaalpie"/>
        </w:rPr>
        <w:footnoteRef/>
      </w:r>
      <w:r w:rsidRPr="00813B77">
        <w:t xml:space="preserve"> Ib.</w:t>
      </w:r>
    </w:p>
  </w:footnote>
  <w:footnote w:id="906">
    <w:p w14:paraId="4E8A0E3F"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 xml:space="preserve">Ib., </w:t>
      </w:r>
      <w:r w:rsidRPr="00813B77">
        <w:rPr>
          <w:color w:val="000000" w:themeColor="text1"/>
          <w:lang w:val="es-ES"/>
        </w:rPr>
        <w:t>pág</w:t>
      </w:r>
      <w:r w:rsidRPr="00813B77">
        <w:rPr>
          <w:lang w:val="es-ES"/>
        </w:rPr>
        <w:t>. 26.</w:t>
      </w:r>
    </w:p>
  </w:footnote>
  <w:footnote w:id="907">
    <w:p w14:paraId="215153B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 xml:space="preserve">Ib., </w:t>
      </w:r>
      <w:r w:rsidRPr="00813B77">
        <w:rPr>
          <w:color w:val="000000" w:themeColor="text1"/>
          <w:lang w:val="es-ES"/>
        </w:rPr>
        <w:t>pág</w:t>
      </w:r>
      <w:r w:rsidRPr="00813B77">
        <w:rPr>
          <w:lang w:val="es-ES"/>
        </w:rPr>
        <w:t>. 29.</w:t>
      </w:r>
    </w:p>
  </w:footnote>
  <w:footnote w:id="908">
    <w:p w14:paraId="480467BF" w14:textId="77777777" w:rsidR="001F3006" w:rsidRPr="00813B77" w:rsidRDefault="001F3006" w:rsidP="00C454A1">
      <w:pPr>
        <w:pStyle w:val="Textonotapie"/>
      </w:pPr>
      <w:r w:rsidRPr="00813B77">
        <w:rPr>
          <w:rStyle w:val="Refdenotaalpie"/>
        </w:rPr>
        <w:footnoteRef/>
      </w:r>
      <w:r w:rsidRPr="00813B77">
        <w:t xml:space="preserve"> </w:t>
      </w:r>
      <w:r w:rsidRPr="00813B77">
        <w:rPr>
          <w:lang w:val="es-ES"/>
        </w:rPr>
        <w:t>Intervención</w:t>
      </w:r>
      <w:r w:rsidRPr="00813B77">
        <w:t xml:space="preserve"> de Claudia Marcela Rodríguez Santos</w:t>
      </w:r>
      <w:bookmarkStart w:id="242" w:name="_Hlk195051031"/>
      <w:r w:rsidRPr="00813B77">
        <w:t xml:space="preserve">, </w:t>
      </w:r>
      <w:proofErr w:type="spellStart"/>
      <w:r w:rsidRPr="00813B77">
        <w:rPr>
          <w:color w:val="000000" w:themeColor="text1"/>
          <w:lang w:val="es-ES"/>
        </w:rPr>
        <w:t>pág</w:t>
      </w:r>
      <w:proofErr w:type="spellEnd"/>
      <w:r w:rsidRPr="00813B77">
        <w:t xml:space="preserve">. </w:t>
      </w:r>
      <w:bookmarkEnd w:id="242"/>
      <w:r w:rsidRPr="00813B77">
        <w:t>10.</w:t>
      </w:r>
    </w:p>
  </w:footnote>
  <w:footnote w:id="909">
    <w:p w14:paraId="6C0CD7EF"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 12.</w:t>
      </w:r>
    </w:p>
  </w:footnote>
  <w:footnote w:id="910">
    <w:p w14:paraId="43C4EBF4" w14:textId="77777777" w:rsidR="001F3006" w:rsidRPr="00813B77" w:rsidRDefault="001F3006" w:rsidP="00C454A1">
      <w:pPr>
        <w:pStyle w:val="Textonotapie"/>
      </w:pPr>
      <w:r w:rsidRPr="00813B77">
        <w:rPr>
          <w:rStyle w:val="Refdenotaalpie"/>
        </w:rPr>
        <w:footnoteRef/>
      </w:r>
      <w:r w:rsidRPr="00813B77">
        <w:t xml:space="preserve"> </w:t>
      </w:r>
      <w:r w:rsidRPr="00813B77">
        <w:rPr>
          <w:lang w:val="es-ES"/>
        </w:rPr>
        <w:t>Intervención</w:t>
      </w:r>
      <w:r w:rsidRPr="00813B77">
        <w:t xml:space="preserve"> de </w:t>
      </w:r>
      <w:r w:rsidRPr="00813B77">
        <w:rPr>
          <w:color w:val="000000" w:themeColor="text1"/>
          <w:lang w:val="es-ES"/>
        </w:rPr>
        <w:t>Fernando Mora, pág. 15.</w:t>
      </w:r>
    </w:p>
  </w:footnote>
  <w:footnote w:id="911">
    <w:p w14:paraId="749CBA7E" w14:textId="77777777" w:rsidR="001F3006" w:rsidRPr="00813B77" w:rsidRDefault="001F3006" w:rsidP="00C454A1">
      <w:pPr>
        <w:pStyle w:val="Textonotapie"/>
        <w:rPr>
          <w:lang w:val="es-ES"/>
        </w:rPr>
      </w:pPr>
      <w:r w:rsidRPr="00813B77">
        <w:rPr>
          <w:rStyle w:val="Refdenotaalpie"/>
          <w:lang w:val="es-ES"/>
        </w:rPr>
        <w:footnoteRef/>
      </w:r>
      <w:r w:rsidRPr="00813B77">
        <w:rPr>
          <w:lang w:val="es-ES"/>
        </w:rPr>
        <w:t xml:space="preserve"> Intervención</w:t>
      </w:r>
      <w:r w:rsidRPr="00813B77">
        <w:t xml:space="preserve"> de </w:t>
      </w:r>
      <w:proofErr w:type="spellStart"/>
      <w:r w:rsidRPr="00813B77">
        <w:rPr>
          <w:color w:val="000000" w:themeColor="text1"/>
          <w:lang w:val="es-ES"/>
        </w:rPr>
        <w:t>Duvalier</w:t>
      </w:r>
      <w:proofErr w:type="spellEnd"/>
      <w:r w:rsidRPr="00813B77">
        <w:rPr>
          <w:color w:val="000000" w:themeColor="text1"/>
          <w:lang w:val="es-ES"/>
        </w:rPr>
        <w:t xml:space="preserve"> Sánchez</w:t>
      </w:r>
      <w:r w:rsidRPr="00813B77">
        <w:rPr>
          <w:lang w:val="es-ES"/>
        </w:rPr>
        <w:t xml:space="preserve">, </w:t>
      </w:r>
      <w:r w:rsidRPr="00813B77">
        <w:t xml:space="preserve">en representación de la Comisión Accidental para el estudio del informe presentado por el Gobierno nacional sobre las causas que determinaron la Declaratoria de Conmoción Interior a la Cámara de Representantes, </w:t>
      </w:r>
      <w:r w:rsidRPr="00813B77">
        <w:rPr>
          <w:lang w:val="es-ES"/>
        </w:rPr>
        <w:t xml:space="preserve">pág. 95. </w:t>
      </w:r>
    </w:p>
  </w:footnote>
  <w:footnote w:id="912">
    <w:p w14:paraId="3BAB5F39"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color w:val="000000" w:themeColor="text1"/>
          <w:lang w:val="es-ES"/>
        </w:rPr>
        <w:t>Ib.,</w:t>
      </w:r>
      <w:r w:rsidRPr="00813B77">
        <w:rPr>
          <w:lang w:val="es-ES"/>
        </w:rPr>
        <w:t xml:space="preserve"> pág. 31</w:t>
      </w:r>
    </w:p>
  </w:footnote>
  <w:footnote w:id="913">
    <w:p w14:paraId="3870D377"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color w:val="000000" w:themeColor="text1"/>
          <w:lang w:val="es-ES"/>
        </w:rPr>
        <w:t>Ib.,</w:t>
      </w:r>
      <w:r w:rsidRPr="00813B77">
        <w:rPr>
          <w:lang w:val="es-ES"/>
        </w:rPr>
        <w:t xml:space="preserve"> pág. 23</w:t>
      </w:r>
    </w:p>
  </w:footnote>
  <w:footnote w:id="914">
    <w:p w14:paraId="5B6D5A30"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color w:val="000000" w:themeColor="text1"/>
          <w:lang w:val="es-ES"/>
        </w:rPr>
        <w:t>Ib.,</w:t>
      </w:r>
      <w:r w:rsidRPr="00813B77">
        <w:rPr>
          <w:lang w:val="es-ES"/>
        </w:rPr>
        <w:t xml:space="preserve"> pág. 33</w:t>
      </w:r>
    </w:p>
  </w:footnote>
  <w:footnote w:id="915">
    <w:p w14:paraId="0D29DB1A" w14:textId="77777777" w:rsidR="001F3006" w:rsidRPr="00813B77" w:rsidRDefault="001F3006" w:rsidP="00C454A1">
      <w:pPr>
        <w:pStyle w:val="Textonotapie"/>
      </w:pPr>
      <w:r w:rsidRPr="00813B77">
        <w:rPr>
          <w:rStyle w:val="Refdenotaalpie"/>
        </w:rPr>
        <w:footnoteRef/>
      </w:r>
      <w:r w:rsidRPr="00813B77">
        <w:t xml:space="preserve"> </w:t>
      </w:r>
      <w:bookmarkStart w:id="244" w:name="_Hlk195051853"/>
      <w:r w:rsidRPr="00813B77">
        <w:t xml:space="preserve">Ib., pág. </w:t>
      </w:r>
      <w:bookmarkEnd w:id="244"/>
      <w:r w:rsidRPr="00813B77">
        <w:t>34</w:t>
      </w:r>
    </w:p>
  </w:footnote>
  <w:footnote w:id="916">
    <w:p w14:paraId="19C72AFF" w14:textId="77777777" w:rsidR="001F3006" w:rsidRPr="00813B77" w:rsidRDefault="001F3006" w:rsidP="00C454A1">
      <w:pPr>
        <w:pStyle w:val="Textonotapie"/>
        <w:rPr>
          <w:lang w:val="es-ES_tradnl"/>
        </w:rPr>
      </w:pPr>
      <w:r w:rsidRPr="00813B77">
        <w:rPr>
          <w:rStyle w:val="Refdenotaalpie"/>
        </w:rPr>
        <w:footnoteRef/>
      </w:r>
      <w:r w:rsidRPr="00813B77">
        <w:rPr>
          <w:lang w:val="es-ES_tradnl"/>
        </w:rPr>
        <w:t xml:space="preserve"> </w:t>
      </w:r>
      <w:bookmarkStart w:id="245" w:name="_Hlk195053893"/>
      <w:r w:rsidRPr="00813B77">
        <w:rPr>
          <w:lang w:val="es-ES_tradnl"/>
        </w:rPr>
        <w:t xml:space="preserve">Intervención </w:t>
      </w:r>
      <w:r>
        <w:rPr>
          <w:lang w:val="es-ES_tradnl"/>
        </w:rPr>
        <w:t xml:space="preserve">de la </w:t>
      </w:r>
      <w:r w:rsidRPr="00813B77">
        <w:rPr>
          <w:lang w:val="es-ES_tradnl"/>
        </w:rPr>
        <w:t xml:space="preserve">Cámara de Representantes, </w:t>
      </w:r>
      <w:bookmarkEnd w:id="245"/>
      <w:r w:rsidRPr="00813B77">
        <w:rPr>
          <w:lang w:val="es-ES_tradnl"/>
        </w:rPr>
        <w:t>pág. 31.</w:t>
      </w:r>
    </w:p>
  </w:footnote>
  <w:footnote w:id="917">
    <w:p w14:paraId="08C9351C" w14:textId="77777777" w:rsidR="001F3006" w:rsidRPr="00813B77" w:rsidRDefault="001F3006" w:rsidP="00C454A1">
      <w:pPr>
        <w:pStyle w:val="Textonotapie"/>
        <w:rPr>
          <w:lang w:val="es-ES_tradnl"/>
        </w:rPr>
      </w:pPr>
      <w:r w:rsidRPr="00813B77">
        <w:rPr>
          <w:rStyle w:val="Refdenotaalpie"/>
        </w:rPr>
        <w:footnoteRef/>
      </w:r>
      <w:r w:rsidRPr="00813B77">
        <w:t xml:space="preserve"> </w:t>
      </w:r>
      <w:bookmarkStart w:id="246" w:name="_Hlk195051892"/>
      <w:r w:rsidRPr="00813B77">
        <w:rPr>
          <w:lang w:val="es-ES_tradnl"/>
        </w:rPr>
        <w:t xml:space="preserve">Ib., pág. </w:t>
      </w:r>
      <w:bookmarkEnd w:id="246"/>
      <w:r w:rsidRPr="00813B77">
        <w:rPr>
          <w:lang w:val="es-ES_tradnl"/>
        </w:rPr>
        <w:t>17.</w:t>
      </w:r>
    </w:p>
  </w:footnote>
  <w:footnote w:id="918">
    <w:p w14:paraId="2A0716B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16.</w:t>
      </w:r>
    </w:p>
  </w:footnote>
  <w:footnote w:id="919">
    <w:p w14:paraId="6CFE3B85"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8.</w:t>
      </w:r>
    </w:p>
  </w:footnote>
  <w:footnote w:id="920">
    <w:p w14:paraId="703E587F"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23.</w:t>
      </w:r>
    </w:p>
  </w:footnote>
  <w:footnote w:id="921">
    <w:p w14:paraId="22D5F1A8"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17.</w:t>
      </w:r>
    </w:p>
  </w:footnote>
  <w:footnote w:id="922">
    <w:p w14:paraId="04A474B4"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18.</w:t>
      </w:r>
    </w:p>
  </w:footnote>
  <w:footnote w:id="923">
    <w:p w14:paraId="341DD97C"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32.</w:t>
      </w:r>
    </w:p>
  </w:footnote>
  <w:footnote w:id="924">
    <w:p w14:paraId="782D3772"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18.</w:t>
      </w:r>
    </w:p>
  </w:footnote>
  <w:footnote w:id="925">
    <w:p w14:paraId="79B5029A"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33.</w:t>
      </w:r>
    </w:p>
  </w:footnote>
  <w:footnote w:id="926">
    <w:p w14:paraId="3031C74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18.</w:t>
      </w:r>
    </w:p>
  </w:footnote>
  <w:footnote w:id="927">
    <w:p w14:paraId="00B5E574"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18.</w:t>
      </w:r>
    </w:p>
  </w:footnote>
  <w:footnote w:id="928">
    <w:p w14:paraId="5D3048A3"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34.</w:t>
      </w:r>
    </w:p>
  </w:footnote>
  <w:footnote w:id="929">
    <w:p w14:paraId="205F8995"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pág. 18.</w:t>
      </w:r>
    </w:p>
  </w:footnote>
  <w:footnote w:id="930">
    <w:p w14:paraId="0C2DDB72"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La Cámara, además, hizo referencia a varias declaraciones del Ministerio del Interior, del Ministerio de Defensa, del Ministerio de Hacienda y Crédito Público, del Ministerio de Justicia y del Derecho, de la Defensoría del Pueblo y del Alto Comisionado para la Paz (págs. 18-22). Estas entidades resaltaron la necesidad de adoptar medidas extraordinarias para </w:t>
      </w:r>
      <w:r w:rsidRPr="00813B77">
        <w:rPr>
          <w:i/>
          <w:iCs/>
          <w:lang w:val="es-ES_tradnl"/>
        </w:rPr>
        <w:t xml:space="preserve">(i) </w:t>
      </w:r>
      <w:r w:rsidRPr="00813B77">
        <w:rPr>
          <w:lang w:val="es-ES_tradnl"/>
        </w:rPr>
        <w:t xml:space="preserve">superar las “inflexibilidades” en el gasto del Presupuesto General de la Nación, del Sistema General de Participaciones, y del Sistema General de Regalías, </w:t>
      </w:r>
      <w:r w:rsidRPr="00813B77">
        <w:rPr>
          <w:i/>
          <w:iCs/>
          <w:lang w:val="es-ES_tradnl"/>
        </w:rPr>
        <w:t xml:space="preserve">(ii) </w:t>
      </w:r>
      <w:r w:rsidRPr="00813B77">
        <w:rPr>
          <w:lang w:val="es-ES_tradnl"/>
        </w:rPr>
        <w:t xml:space="preserve"> asegurar la atención humanitaria, </w:t>
      </w:r>
      <w:r w:rsidRPr="00813B77">
        <w:rPr>
          <w:i/>
          <w:iCs/>
          <w:lang w:val="es-ES_tradnl"/>
        </w:rPr>
        <w:t xml:space="preserve">(iii) </w:t>
      </w:r>
      <w:r w:rsidRPr="00813B77">
        <w:rPr>
          <w:lang w:val="es-ES_tradnl"/>
        </w:rPr>
        <w:t xml:space="preserve">hacer frente al incremento súbito de la violencia, con cerca de 41 homicidios y 25.000 personas confinadas, </w:t>
      </w:r>
      <w:r w:rsidRPr="00813B77">
        <w:rPr>
          <w:i/>
          <w:iCs/>
          <w:lang w:val="es-ES_tradnl"/>
        </w:rPr>
        <w:t xml:space="preserve">(iv) </w:t>
      </w:r>
      <w:r w:rsidRPr="00813B77">
        <w:rPr>
          <w:lang w:val="es-ES_tradnl"/>
        </w:rPr>
        <w:t xml:space="preserve">llevar a cabo operaciones de apoyo y rescate para la población civil, </w:t>
      </w:r>
      <w:r w:rsidRPr="00813B77">
        <w:rPr>
          <w:i/>
          <w:iCs/>
          <w:lang w:val="es-ES_tradnl"/>
        </w:rPr>
        <w:t xml:space="preserve">(v)  </w:t>
      </w:r>
      <w:r w:rsidRPr="00813B77">
        <w:rPr>
          <w:lang w:val="es-ES_tradnl"/>
        </w:rPr>
        <w:t xml:space="preserve">contrarrestar el desplazamiento forzado de cerca de 48000 personas, </w:t>
      </w:r>
      <w:r w:rsidRPr="00813B77">
        <w:rPr>
          <w:i/>
          <w:iCs/>
          <w:lang w:val="es-ES_tradnl"/>
        </w:rPr>
        <w:t xml:space="preserve">(vi) </w:t>
      </w:r>
      <w:r w:rsidRPr="00813B77">
        <w:rPr>
          <w:lang w:val="es-ES_tradnl"/>
        </w:rPr>
        <w:t xml:space="preserve">recuperar el control de la frontera con Venezuela y de los flujos migratorios, y </w:t>
      </w:r>
      <w:r w:rsidRPr="00813B77">
        <w:rPr>
          <w:i/>
          <w:iCs/>
          <w:lang w:val="es-ES_tradnl"/>
        </w:rPr>
        <w:t xml:space="preserve">(vii) </w:t>
      </w:r>
      <w:r w:rsidRPr="00813B77">
        <w:rPr>
          <w:lang w:val="es-ES_tradnl"/>
        </w:rPr>
        <w:t>garantizar el acceso a la administración de justicia libre de amenazas. En especial, la Defensoría del Pueblo afirmó que “si bien era previsible y se anunció en la alerta temprana, la magnitud del conflicto era impensable y ha desbordado las capacidades de todos”.</w:t>
      </w:r>
    </w:p>
  </w:footnote>
  <w:footnote w:id="931">
    <w:p w14:paraId="56484E5F" w14:textId="77777777" w:rsidR="001F3006" w:rsidRPr="00813B77" w:rsidRDefault="001F3006" w:rsidP="00C454A1">
      <w:pPr>
        <w:pStyle w:val="Textonotapie"/>
        <w:rPr>
          <w:i/>
          <w:iCs/>
          <w:lang w:val="es-ES_tradnl"/>
        </w:rPr>
      </w:pPr>
      <w:r w:rsidRPr="00813B77">
        <w:rPr>
          <w:rStyle w:val="Refdenotaalpie"/>
        </w:rPr>
        <w:footnoteRef/>
      </w:r>
      <w:r w:rsidRPr="00813B77">
        <w:t xml:space="preserve"> </w:t>
      </w:r>
      <w:r w:rsidRPr="00813B77">
        <w:rPr>
          <w:lang w:val="es-ES_tradnl"/>
        </w:rPr>
        <w:t xml:space="preserve">Intervención Cámara de Representantes, pág. 5. El liderazgo social del Catatumbo corroboró esta percepción. Ver, por ejemplo, declaraciones de José del Carmen Abril, Bertha Machado (pág. 9) y </w:t>
      </w:r>
      <w:proofErr w:type="spellStart"/>
      <w:r w:rsidRPr="00813B77">
        <w:rPr>
          <w:lang w:val="es-ES_tradnl"/>
        </w:rPr>
        <w:t>Dairo</w:t>
      </w:r>
      <w:proofErr w:type="spellEnd"/>
      <w:r w:rsidRPr="00813B77">
        <w:rPr>
          <w:lang w:val="es-ES_tradnl"/>
        </w:rPr>
        <w:t xml:space="preserve"> Abril (pág. 13).</w:t>
      </w:r>
    </w:p>
  </w:footnote>
  <w:footnote w:id="932">
    <w:p w14:paraId="2EF387ED" w14:textId="77777777" w:rsidR="001F3006" w:rsidRPr="00813B77" w:rsidRDefault="001F3006" w:rsidP="00C454A1">
      <w:pPr>
        <w:pStyle w:val="Textonotapie"/>
        <w:rPr>
          <w:lang w:val="es-ES_tradnl"/>
        </w:rPr>
      </w:pPr>
      <w:r w:rsidRPr="00813B77">
        <w:rPr>
          <w:rStyle w:val="Refdenotaalpie"/>
        </w:rPr>
        <w:footnoteRef/>
      </w:r>
      <w:r w:rsidRPr="00813B77">
        <w:t xml:space="preserve"> </w:t>
      </w:r>
      <w:bookmarkStart w:id="247" w:name="_Hlk195053915"/>
      <w:r w:rsidRPr="00813B77">
        <w:rPr>
          <w:lang w:val="es-ES_tradnl"/>
        </w:rPr>
        <w:t xml:space="preserve">Intervención Cámara de Representantes, pág. 34. </w:t>
      </w:r>
      <w:bookmarkEnd w:id="247"/>
      <w:r w:rsidRPr="00813B77">
        <w:rPr>
          <w:lang w:val="es-ES_tradnl"/>
        </w:rPr>
        <w:t>En especial, la Cámara manifestó que el ELN ha incrementado en 27,98% entre 2019 y 2024.</w:t>
      </w:r>
    </w:p>
  </w:footnote>
  <w:footnote w:id="933">
    <w:p w14:paraId="4FB25AC6"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pág. 4. </w:t>
      </w:r>
    </w:p>
  </w:footnote>
  <w:footnote w:id="934">
    <w:p w14:paraId="0851494E" w14:textId="77777777" w:rsidR="001F3006" w:rsidRPr="00813B77" w:rsidRDefault="001F3006" w:rsidP="00C454A1">
      <w:pPr>
        <w:pStyle w:val="Textonotapie"/>
      </w:pPr>
      <w:r w:rsidRPr="00813B77">
        <w:rPr>
          <w:rStyle w:val="Refdenotaalpie"/>
        </w:rPr>
        <w:footnoteRef/>
      </w:r>
      <w:r w:rsidRPr="00813B77">
        <w:t xml:space="preserve"> Intervención de Alejandro Linares Cantillo, pág. 17.</w:t>
      </w:r>
    </w:p>
  </w:footnote>
  <w:footnote w:id="935">
    <w:p w14:paraId="3175F3FA" w14:textId="77777777" w:rsidR="001F3006" w:rsidRPr="00813B77" w:rsidRDefault="001F3006" w:rsidP="00C454A1">
      <w:pPr>
        <w:pStyle w:val="Textonotapie"/>
      </w:pPr>
      <w:r w:rsidRPr="00813B77">
        <w:rPr>
          <w:rStyle w:val="Refdenotaalpie"/>
        </w:rPr>
        <w:footnoteRef/>
      </w:r>
      <w:r w:rsidRPr="00813B77">
        <w:t xml:space="preserve"> Ib., </w:t>
      </w:r>
      <w:r w:rsidRPr="00813B77">
        <w:rPr>
          <w:lang w:val="es-ES"/>
        </w:rPr>
        <w:t xml:space="preserve">pág. </w:t>
      </w:r>
      <w:r w:rsidRPr="00813B77">
        <w:t>33.</w:t>
      </w:r>
    </w:p>
  </w:footnote>
  <w:footnote w:id="936">
    <w:p w14:paraId="151D91F8" w14:textId="77777777" w:rsidR="001F3006" w:rsidRPr="00813B77" w:rsidRDefault="001F3006" w:rsidP="00C454A1">
      <w:pPr>
        <w:pStyle w:val="Textonotapie"/>
      </w:pPr>
      <w:r w:rsidRPr="00813B77">
        <w:rPr>
          <w:rStyle w:val="Refdenotaalpie"/>
        </w:rPr>
        <w:footnoteRef/>
      </w:r>
      <w:r w:rsidRPr="00813B77">
        <w:t xml:space="preserve"> Ib., </w:t>
      </w:r>
      <w:r w:rsidRPr="00813B77">
        <w:rPr>
          <w:lang w:val="es-ES"/>
        </w:rPr>
        <w:t xml:space="preserve">pág. </w:t>
      </w:r>
      <w:r w:rsidRPr="00813B77">
        <w:t>38.</w:t>
      </w:r>
    </w:p>
  </w:footnote>
  <w:footnote w:id="937">
    <w:p w14:paraId="2A7589E6" w14:textId="77777777" w:rsidR="001F3006" w:rsidRPr="00813B77" w:rsidRDefault="001F3006" w:rsidP="00C454A1">
      <w:pPr>
        <w:pStyle w:val="Textonotapie"/>
      </w:pPr>
      <w:r w:rsidRPr="00813B77">
        <w:rPr>
          <w:rStyle w:val="Refdenotaalpie"/>
        </w:rPr>
        <w:footnoteRef/>
      </w:r>
      <w:r w:rsidRPr="00813B77">
        <w:t xml:space="preserve"> Ib., </w:t>
      </w:r>
      <w:r w:rsidRPr="00813B77">
        <w:rPr>
          <w:lang w:val="es-ES"/>
        </w:rPr>
        <w:t xml:space="preserve">pág. </w:t>
      </w:r>
      <w:r w:rsidRPr="00813B77">
        <w:t>39.</w:t>
      </w:r>
    </w:p>
  </w:footnote>
  <w:footnote w:id="938">
    <w:p w14:paraId="7A37F5DF" w14:textId="77777777" w:rsidR="001F3006" w:rsidRPr="00813B77" w:rsidRDefault="001F3006" w:rsidP="00C454A1">
      <w:pPr>
        <w:pStyle w:val="Textonotapie"/>
      </w:pPr>
      <w:r w:rsidRPr="00813B77">
        <w:rPr>
          <w:rStyle w:val="Refdenotaalpie"/>
        </w:rPr>
        <w:footnoteRef/>
      </w:r>
      <w:r w:rsidRPr="00813B77">
        <w:t xml:space="preserve"> Ib., </w:t>
      </w:r>
      <w:r w:rsidRPr="00813B77">
        <w:rPr>
          <w:lang w:val="es-ES"/>
        </w:rPr>
        <w:t xml:space="preserve">pág. </w:t>
      </w:r>
      <w:r w:rsidRPr="00813B77">
        <w:t>40.</w:t>
      </w:r>
    </w:p>
  </w:footnote>
  <w:footnote w:id="939">
    <w:p w14:paraId="4FE06A7D"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lang w:val="es-ES"/>
        </w:rPr>
        <w:t>Intervención de la Fundación para el Estado del Derecho.</w:t>
      </w:r>
    </w:p>
  </w:footnote>
  <w:footnote w:id="940">
    <w:p w14:paraId="6F622EA0" w14:textId="77777777" w:rsidR="001F3006" w:rsidRPr="00813B77" w:rsidRDefault="001F3006" w:rsidP="00C454A1">
      <w:pPr>
        <w:pStyle w:val="Textonotapie"/>
        <w:rPr>
          <w:lang w:val="es-ES"/>
        </w:rPr>
      </w:pPr>
      <w:r w:rsidRPr="00813B77">
        <w:rPr>
          <w:rStyle w:val="Refdenotaalpie"/>
        </w:rPr>
        <w:footnoteRef/>
      </w:r>
      <w:r w:rsidRPr="00813B77">
        <w:t xml:space="preserve"> Ib., </w:t>
      </w:r>
      <w:r w:rsidRPr="00813B77">
        <w:rPr>
          <w:lang w:val="es-ES"/>
        </w:rPr>
        <w:t>pág. 5.</w:t>
      </w:r>
    </w:p>
  </w:footnote>
  <w:footnote w:id="941">
    <w:p w14:paraId="24A39B93" w14:textId="77777777" w:rsidR="001F3006" w:rsidRPr="00813B77" w:rsidRDefault="001F3006" w:rsidP="00C454A1">
      <w:pPr>
        <w:pStyle w:val="Textonotapie"/>
      </w:pPr>
      <w:r w:rsidRPr="00813B77">
        <w:rPr>
          <w:rStyle w:val="Refdenotaalpie"/>
        </w:rPr>
        <w:footnoteRef/>
      </w:r>
      <w:r w:rsidRPr="00813B77">
        <w:t xml:space="preserve"> Ib., pág. 6.</w:t>
      </w:r>
    </w:p>
  </w:footnote>
  <w:footnote w:id="942">
    <w:p w14:paraId="33941C29" w14:textId="77777777" w:rsidR="001F3006" w:rsidRPr="00813B77" w:rsidRDefault="001F3006" w:rsidP="00C454A1">
      <w:pPr>
        <w:pStyle w:val="Textonotapie"/>
      </w:pPr>
      <w:r w:rsidRPr="00813B77">
        <w:rPr>
          <w:rStyle w:val="Refdenotaalpie"/>
        </w:rPr>
        <w:footnoteRef/>
      </w:r>
      <w:r w:rsidRPr="00813B77">
        <w:t xml:space="preserve"> Ib.</w:t>
      </w:r>
    </w:p>
  </w:footnote>
  <w:footnote w:id="943">
    <w:p w14:paraId="54092EDB" w14:textId="77777777" w:rsidR="001F3006" w:rsidRPr="00813B77" w:rsidRDefault="001F3006" w:rsidP="00C454A1">
      <w:pPr>
        <w:pStyle w:val="Textonotapie"/>
      </w:pPr>
      <w:r w:rsidRPr="00813B77">
        <w:rPr>
          <w:rStyle w:val="Refdenotaalpie"/>
        </w:rPr>
        <w:footnoteRef/>
      </w:r>
      <w:r w:rsidRPr="00813B77">
        <w:t xml:space="preserve"> Ib., pág. 8.</w:t>
      </w:r>
    </w:p>
  </w:footnote>
  <w:footnote w:id="944">
    <w:p w14:paraId="7F5758DA" w14:textId="77777777" w:rsidR="001F3006" w:rsidRPr="00813B77" w:rsidRDefault="001F3006" w:rsidP="00C454A1">
      <w:pPr>
        <w:pStyle w:val="Textonotapie"/>
      </w:pPr>
      <w:r w:rsidRPr="00813B77">
        <w:rPr>
          <w:rStyle w:val="Refdenotaalpie"/>
        </w:rPr>
        <w:footnoteRef/>
      </w:r>
      <w:r w:rsidRPr="00813B77">
        <w:t xml:space="preserve"> Ib., pág. 9.</w:t>
      </w:r>
    </w:p>
  </w:footnote>
  <w:footnote w:id="945">
    <w:p w14:paraId="54F8A678" w14:textId="77777777" w:rsidR="001F3006" w:rsidRPr="00813B77" w:rsidRDefault="001F3006" w:rsidP="00C454A1">
      <w:pPr>
        <w:pStyle w:val="Textonotapie"/>
      </w:pPr>
      <w:r w:rsidRPr="00813B77">
        <w:rPr>
          <w:rStyle w:val="Refdenotaalpie"/>
        </w:rPr>
        <w:footnoteRef/>
      </w:r>
      <w:r w:rsidRPr="00813B77">
        <w:t xml:space="preserve"> Ib., pág. 18.</w:t>
      </w:r>
    </w:p>
  </w:footnote>
  <w:footnote w:id="946">
    <w:p w14:paraId="62172C6C" w14:textId="77777777" w:rsidR="001F3006" w:rsidRPr="00813B77" w:rsidRDefault="001F3006" w:rsidP="00C454A1">
      <w:pPr>
        <w:pStyle w:val="Textonotapie"/>
      </w:pPr>
      <w:r w:rsidRPr="00813B77">
        <w:rPr>
          <w:rStyle w:val="Refdenotaalpie"/>
        </w:rPr>
        <w:footnoteRef/>
      </w:r>
      <w:r w:rsidRPr="00813B77">
        <w:t xml:space="preserve"> Ib.</w:t>
      </w:r>
    </w:p>
  </w:footnote>
  <w:footnote w:id="947">
    <w:p w14:paraId="2E101B7A" w14:textId="77777777" w:rsidR="001F3006" w:rsidRPr="00813B77" w:rsidRDefault="001F3006" w:rsidP="00C454A1">
      <w:pPr>
        <w:pStyle w:val="Textonotapie"/>
      </w:pPr>
      <w:r w:rsidRPr="00813B77">
        <w:rPr>
          <w:rStyle w:val="Refdenotaalpie"/>
        </w:rPr>
        <w:footnoteRef/>
      </w:r>
      <w:r w:rsidRPr="00813B77">
        <w:t xml:space="preserve"> Ib., pág. 19.</w:t>
      </w:r>
    </w:p>
  </w:footnote>
  <w:footnote w:id="948">
    <w:p w14:paraId="3AFAF4E8" w14:textId="77777777" w:rsidR="001F3006" w:rsidRPr="00813B77" w:rsidRDefault="001F3006" w:rsidP="00C454A1">
      <w:pPr>
        <w:pStyle w:val="Textonotapie"/>
      </w:pPr>
      <w:r w:rsidRPr="00813B77">
        <w:rPr>
          <w:rStyle w:val="Refdenotaalpie"/>
        </w:rPr>
        <w:footnoteRef/>
      </w:r>
      <w:r w:rsidRPr="00813B77">
        <w:t xml:space="preserve"> Ib., pág. 21.</w:t>
      </w:r>
    </w:p>
  </w:footnote>
  <w:footnote w:id="949">
    <w:p w14:paraId="48923D1A" w14:textId="77777777" w:rsidR="001F3006" w:rsidRPr="00813B77" w:rsidRDefault="001F3006" w:rsidP="00C454A1">
      <w:pPr>
        <w:pStyle w:val="Textonotapie"/>
      </w:pPr>
      <w:r w:rsidRPr="00813B77">
        <w:rPr>
          <w:rStyle w:val="Refdenotaalpie"/>
        </w:rPr>
        <w:footnoteRef/>
      </w:r>
      <w:r w:rsidRPr="00813B77">
        <w:t xml:space="preserve"> Ib.</w:t>
      </w:r>
    </w:p>
  </w:footnote>
  <w:footnote w:id="950">
    <w:p w14:paraId="2D3ED99A" w14:textId="77777777" w:rsidR="001F3006" w:rsidRPr="00813B77" w:rsidRDefault="001F3006" w:rsidP="00C454A1">
      <w:pPr>
        <w:pStyle w:val="Textonotapie"/>
      </w:pPr>
      <w:r w:rsidRPr="00813B77">
        <w:rPr>
          <w:rStyle w:val="Refdenotaalpie"/>
        </w:rPr>
        <w:footnoteRef/>
      </w:r>
      <w:r w:rsidRPr="00813B77">
        <w:t xml:space="preserve"> Ib., pág. 22.</w:t>
      </w:r>
    </w:p>
  </w:footnote>
  <w:footnote w:id="951">
    <w:p w14:paraId="5F2EA38A" w14:textId="77777777" w:rsidR="001F3006" w:rsidRPr="00813B77" w:rsidRDefault="001F3006" w:rsidP="00C454A1">
      <w:pPr>
        <w:pStyle w:val="Textonotapie"/>
      </w:pPr>
      <w:r w:rsidRPr="00813B77">
        <w:rPr>
          <w:rStyle w:val="Refdenotaalpie"/>
        </w:rPr>
        <w:footnoteRef/>
      </w:r>
      <w:r w:rsidRPr="00813B77">
        <w:t xml:space="preserve"> Ib.</w:t>
      </w:r>
    </w:p>
  </w:footnote>
  <w:footnote w:id="952">
    <w:p w14:paraId="1B44C09F" w14:textId="77777777" w:rsidR="001F3006" w:rsidRPr="00813B77" w:rsidRDefault="001F3006" w:rsidP="00C454A1">
      <w:pPr>
        <w:pStyle w:val="Textonotapie"/>
      </w:pPr>
      <w:r w:rsidRPr="00813B77">
        <w:rPr>
          <w:rStyle w:val="Refdenotaalpie"/>
        </w:rPr>
        <w:footnoteRef/>
      </w:r>
      <w:r w:rsidRPr="00813B77">
        <w:t xml:space="preserve"> Ib., pág. 24.</w:t>
      </w:r>
    </w:p>
  </w:footnote>
  <w:footnote w:id="953">
    <w:p w14:paraId="379E6549" w14:textId="77777777" w:rsidR="001F3006" w:rsidRPr="00813B77" w:rsidRDefault="001F3006" w:rsidP="00C454A1">
      <w:pPr>
        <w:pStyle w:val="Textonotapie"/>
      </w:pPr>
      <w:r w:rsidRPr="00813B77">
        <w:rPr>
          <w:rStyle w:val="Refdenotaalpie"/>
        </w:rPr>
        <w:footnoteRef/>
      </w:r>
      <w:r w:rsidRPr="00813B77">
        <w:t xml:space="preserve"> Ib., pág. 26.</w:t>
      </w:r>
    </w:p>
  </w:footnote>
  <w:footnote w:id="954">
    <w:p w14:paraId="52A06CF9" w14:textId="77777777" w:rsidR="001F3006" w:rsidRPr="00813B77" w:rsidRDefault="001F3006" w:rsidP="00C454A1">
      <w:pPr>
        <w:pStyle w:val="Textonotapie"/>
        <w:rPr>
          <w:lang w:val="es-ES"/>
        </w:rPr>
      </w:pPr>
      <w:r w:rsidRPr="00813B77">
        <w:rPr>
          <w:rStyle w:val="Refdenotaalpie"/>
          <w:lang w:val="es-ES"/>
        </w:rPr>
        <w:footnoteRef/>
      </w:r>
      <w:r w:rsidRPr="00813B77">
        <w:rPr>
          <w:lang w:val="es-ES"/>
        </w:rPr>
        <w:t xml:space="preserve"> Intervención de David Luna Sánchez, </w:t>
      </w:r>
      <w:r w:rsidRPr="00813B77">
        <w:t>pág.</w:t>
      </w:r>
      <w:r w:rsidRPr="00813B77">
        <w:rPr>
          <w:lang w:val="es-ES"/>
        </w:rPr>
        <w:t xml:space="preserve"> 10.</w:t>
      </w:r>
    </w:p>
  </w:footnote>
  <w:footnote w:id="955">
    <w:p w14:paraId="6F8162EC" w14:textId="77777777" w:rsidR="001F3006" w:rsidRPr="00813B77" w:rsidRDefault="001F3006" w:rsidP="00C454A1">
      <w:pPr>
        <w:pStyle w:val="Textonotapie"/>
      </w:pPr>
      <w:r w:rsidRPr="00813B77">
        <w:rPr>
          <w:rStyle w:val="Refdenotaalpie"/>
        </w:rPr>
        <w:footnoteRef/>
      </w:r>
      <w:r w:rsidRPr="00813B77">
        <w:t xml:space="preserve"> Ib., pág. 11.</w:t>
      </w:r>
    </w:p>
  </w:footnote>
  <w:footnote w:id="956">
    <w:p w14:paraId="51BCE91A" w14:textId="77777777" w:rsidR="001F3006" w:rsidRPr="00813B77" w:rsidRDefault="001F3006" w:rsidP="00C454A1">
      <w:pPr>
        <w:pStyle w:val="Textonotapie"/>
      </w:pPr>
      <w:r w:rsidRPr="00813B77">
        <w:rPr>
          <w:rStyle w:val="Refdenotaalpie"/>
        </w:rPr>
        <w:footnoteRef/>
      </w:r>
      <w:r w:rsidRPr="00813B77">
        <w:t xml:space="preserve"> Ib., pág. 16.</w:t>
      </w:r>
    </w:p>
  </w:footnote>
  <w:footnote w:id="957">
    <w:p w14:paraId="57475D8A" w14:textId="77777777" w:rsidR="001F3006" w:rsidRPr="00813B77" w:rsidRDefault="001F3006" w:rsidP="00C454A1">
      <w:pPr>
        <w:pStyle w:val="Textonotapie"/>
      </w:pPr>
      <w:r w:rsidRPr="00813B77">
        <w:rPr>
          <w:rStyle w:val="Refdenotaalpie"/>
        </w:rPr>
        <w:footnoteRef/>
      </w:r>
      <w:r w:rsidRPr="00813B77">
        <w:t xml:space="preserve"> Ib., pág. 18.</w:t>
      </w:r>
    </w:p>
  </w:footnote>
  <w:footnote w:id="958">
    <w:p w14:paraId="67DC61D4" w14:textId="77777777" w:rsidR="001F3006" w:rsidRPr="00813B77" w:rsidRDefault="001F3006" w:rsidP="00C454A1">
      <w:pPr>
        <w:pStyle w:val="Textonotapie"/>
      </w:pPr>
      <w:r w:rsidRPr="00813B77">
        <w:rPr>
          <w:rStyle w:val="Refdenotaalpie"/>
        </w:rPr>
        <w:footnoteRef/>
      </w:r>
      <w:r w:rsidRPr="00813B77">
        <w:t xml:space="preserve"> Ib., pág. 18.</w:t>
      </w:r>
    </w:p>
  </w:footnote>
  <w:footnote w:id="959">
    <w:p w14:paraId="0CA1F509"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lang w:val="es-ES"/>
        </w:rPr>
        <w:t xml:space="preserve">Intervención de la </w:t>
      </w:r>
      <w:r w:rsidRPr="00813B77">
        <w:t>Universidad Sergio Arboleda</w:t>
      </w:r>
      <w:r w:rsidRPr="00813B77">
        <w:rPr>
          <w:lang w:val="es-ES"/>
        </w:rPr>
        <w:t>, pág. 4.</w:t>
      </w:r>
    </w:p>
  </w:footnote>
  <w:footnote w:id="960">
    <w:p w14:paraId="3C4206C7" w14:textId="77777777" w:rsidR="001F3006" w:rsidRPr="00813B77" w:rsidRDefault="001F3006" w:rsidP="00C454A1">
      <w:pPr>
        <w:pStyle w:val="Textonotapie"/>
      </w:pPr>
      <w:r w:rsidRPr="00813B77">
        <w:rPr>
          <w:rStyle w:val="Refdenotaalpie"/>
        </w:rPr>
        <w:footnoteRef/>
      </w:r>
      <w:r w:rsidRPr="00813B77">
        <w:t xml:space="preserve"> Ib., pág. 7.</w:t>
      </w:r>
    </w:p>
  </w:footnote>
  <w:footnote w:id="961">
    <w:p w14:paraId="4C0AD616" w14:textId="77777777" w:rsidR="001F3006" w:rsidRPr="00813B77" w:rsidRDefault="001F3006" w:rsidP="00C454A1">
      <w:pPr>
        <w:pStyle w:val="Textonotapie"/>
      </w:pPr>
      <w:r w:rsidRPr="00813B77">
        <w:rPr>
          <w:rStyle w:val="Refdenotaalpie"/>
        </w:rPr>
        <w:footnoteRef/>
      </w:r>
      <w:r w:rsidRPr="00813B77">
        <w:t xml:space="preserve"> Ib., pág. 9.</w:t>
      </w:r>
    </w:p>
  </w:footnote>
  <w:footnote w:id="962">
    <w:p w14:paraId="56C3E302" w14:textId="77777777" w:rsidR="001F3006" w:rsidRPr="00813B77" w:rsidRDefault="001F3006" w:rsidP="00C454A1">
      <w:pPr>
        <w:pStyle w:val="Textonotapie"/>
      </w:pPr>
      <w:r w:rsidRPr="00813B77">
        <w:rPr>
          <w:rStyle w:val="Refdenotaalpie"/>
        </w:rPr>
        <w:footnoteRef/>
      </w:r>
      <w:r w:rsidRPr="00813B77">
        <w:t xml:space="preserve"> Intervención de Ana María Barbosa y otros, pág. 17.</w:t>
      </w:r>
    </w:p>
  </w:footnote>
  <w:footnote w:id="963">
    <w:p w14:paraId="33E89579" w14:textId="77777777" w:rsidR="001F3006" w:rsidRPr="00813B77" w:rsidRDefault="001F3006" w:rsidP="00C454A1">
      <w:pPr>
        <w:pStyle w:val="Textonotapie"/>
      </w:pPr>
      <w:r w:rsidRPr="00813B77">
        <w:rPr>
          <w:rStyle w:val="Refdenotaalpie"/>
        </w:rPr>
        <w:footnoteRef/>
      </w:r>
      <w:r w:rsidRPr="00813B77">
        <w:t xml:space="preserve"> Ib., págs. 20 y 23.</w:t>
      </w:r>
    </w:p>
  </w:footnote>
  <w:footnote w:id="964">
    <w:p w14:paraId="7CBB2350" w14:textId="77777777" w:rsidR="001F3006" w:rsidRPr="00813B77" w:rsidRDefault="001F3006" w:rsidP="00C454A1">
      <w:pPr>
        <w:pStyle w:val="Textonotapie"/>
      </w:pPr>
      <w:r w:rsidRPr="00813B77">
        <w:rPr>
          <w:rStyle w:val="Refdenotaalpie"/>
        </w:rPr>
        <w:footnoteRef/>
      </w:r>
      <w:r w:rsidRPr="00813B77">
        <w:t xml:space="preserve"> Ib., pág. 26.</w:t>
      </w:r>
    </w:p>
  </w:footnote>
  <w:footnote w:id="965">
    <w:p w14:paraId="3246A488" w14:textId="77777777" w:rsidR="001F3006" w:rsidRPr="00813B77" w:rsidRDefault="001F3006" w:rsidP="00C454A1">
      <w:pPr>
        <w:pStyle w:val="Textonotapie"/>
      </w:pPr>
      <w:r w:rsidRPr="00813B77">
        <w:rPr>
          <w:rStyle w:val="Refdenotaalpie"/>
        </w:rPr>
        <w:footnoteRef/>
      </w:r>
      <w:r w:rsidRPr="00813B77">
        <w:t xml:space="preserve"> Ib., pág. 27.</w:t>
      </w:r>
    </w:p>
  </w:footnote>
  <w:footnote w:id="966">
    <w:p w14:paraId="5B22C19B" w14:textId="77777777" w:rsidR="001F3006" w:rsidRPr="00813B77" w:rsidRDefault="001F3006" w:rsidP="00C454A1">
      <w:pPr>
        <w:pStyle w:val="Textonotapie"/>
      </w:pPr>
      <w:r w:rsidRPr="00813B77">
        <w:rPr>
          <w:rStyle w:val="Refdenotaalpie"/>
        </w:rPr>
        <w:footnoteRef/>
      </w:r>
      <w:r w:rsidRPr="00813B77">
        <w:t xml:space="preserve"> Ib., pág. 30.</w:t>
      </w:r>
    </w:p>
  </w:footnote>
  <w:footnote w:id="967">
    <w:p w14:paraId="5F6A4D18" w14:textId="77777777" w:rsidR="001F3006" w:rsidRPr="00813B77" w:rsidRDefault="001F3006" w:rsidP="00C454A1">
      <w:pPr>
        <w:pStyle w:val="Textonotapie"/>
      </w:pPr>
      <w:r w:rsidRPr="00813B77">
        <w:rPr>
          <w:rStyle w:val="Refdenotaalpie"/>
        </w:rPr>
        <w:footnoteRef/>
      </w:r>
      <w:r w:rsidRPr="00813B77">
        <w:t xml:space="preserve"> Intervención de la Agencia Nacional de Defensa Jurídica del Estado, pág. 8. </w:t>
      </w:r>
    </w:p>
  </w:footnote>
  <w:footnote w:id="968">
    <w:p w14:paraId="0C1C803E" w14:textId="77777777" w:rsidR="001F3006" w:rsidRPr="00813B77" w:rsidRDefault="001F3006" w:rsidP="00C454A1">
      <w:pPr>
        <w:pStyle w:val="Textonotapie"/>
      </w:pPr>
      <w:r w:rsidRPr="00813B77">
        <w:rPr>
          <w:rStyle w:val="Refdenotaalpie"/>
        </w:rPr>
        <w:footnoteRef/>
      </w:r>
      <w:r w:rsidRPr="00813B77">
        <w:t xml:space="preserve"> Ib., pág. 8.</w:t>
      </w:r>
    </w:p>
  </w:footnote>
  <w:footnote w:id="969">
    <w:p w14:paraId="3C707AED" w14:textId="77777777" w:rsidR="001F3006" w:rsidRPr="00813B77" w:rsidRDefault="001F3006" w:rsidP="00C454A1">
      <w:pPr>
        <w:pStyle w:val="Textonotapie"/>
      </w:pPr>
      <w:r w:rsidRPr="00813B77">
        <w:rPr>
          <w:rStyle w:val="Refdenotaalpie"/>
        </w:rPr>
        <w:footnoteRef/>
      </w:r>
      <w:r w:rsidRPr="00813B77">
        <w:t xml:space="preserve"> Ib., pág. 18.</w:t>
      </w:r>
    </w:p>
  </w:footnote>
  <w:footnote w:id="970">
    <w:p w14:paraId="4228BCF9" w14:textId="77777777" w:rsidR="001F3006" w:rsidRPr="00813B77" w:rsidRDefault="001F3006" w:rsidP="00C454A1">
      <w:pPr>
        <w:pStyle w:val="Textonotapie"/>
      </w:pPr>
      <w:r w:rsidRPr="00813B77">
        <w:rPr>
          <w:rStyle w:val="Refdenotaalpie"/>
        </w:rPr>
        <w:footnoteRef/>
      </w:r>
      <w:r w:rsidRPr="00813B77">
        <w:t xml:space="preserve"> Ib., pág. 19.</w:t>
      </w:r>
    </w:p>
  </w:footnote>
  <w:footnote w:id="971">
    <w:p w14:paraId="2FE6855C" w14:textId="77777777" w:rsidR="001F3006" w:rsidRPr="00813B77" w:rsidRDefault="001F3006" w:rsidP="00C454A1">
      <w:pPr>
        <w:pStyle w:val="Textonotapie"/>
      </w:pPr>
      <w:r w:rsidRPr="00813B77">
        <w:rPr>
          <w:rStyle w:val="Refdenotaalpie"/>
        </w:rPr>
        <w:footnoteRef/>
      </w:r>
      <w:r w:rsidRPr="00813B77">
        <w:t xml:space="preserve"> Ib., pág. 20.</w:t>
      </w:r>
    </w:p>
  </w:footnote>
  <w:footnote w:id="972">
    <w:p w14:paraId="3996D94A" w14:textId="77777777" w:rsidR="001F3006" w:rsidRPr="00813B77" w:rsidRDefault="001F3006" w:rsidP="00C454A1">
      <w:pPr>
        <w:pStyle w:val="Textonotapie"/>
      </w:pPr>
      <w:r w:rsidRPr="00813B77">
        <w:rPr>
          <w:rStyle w:val="Refdenotaalpie"/>
        </w:rPr>
        <w:footnoteRef/>
      </w:r>
      <w:r w:rsidRPr="00813B77">
        <w:t xml:space="preserve"> Ib. </w:t>
      </w:r>
    </w:p>
  </w:footnote>
  <w:footnote w:id="973">
    <w:p w14:paraId="6B1AAE91" w14:textId="77777777" w:rsidR="001F3006" w:rsidRPr="00060BEB" w:rsidRDefault="001F3006" w:rsidP="00C454A1">
      <w:pPr>
        <w:pStyle w:val="Textonotapie"/>
      </w:pPr>
      <w:r w:rsidRPr="00060BEB">
        <w:rPr>
          <w:rStyle w:val="Refdenotaalpie"/>
        </w:rPr>
        <w:footnoteRef/>
      </w:r>
      <w:r w:rsidRPr="00060BEB">
        <w:t xml:space="preserve"> Ib. </w:t>
      </w:r>
    </w:p>
  </w:footnote>
  <w:footnote w:id="974">
    <w:p w14:paraId="79A7E3D6" w14:textId="77777777" w:rsidR="001F3006" w:rsidRPr="00060BEB" w:rsidRDefault="001F3006" w:rsidP="00C454A1">
      <w:pPr>
        <w:pStyle w:val="Textonotapie"/>
      </w:pPr>
      <w:r w:rsidRPr="00060BEB">
        <w:rPr>
          <w:rStyle w:val="Refdenotaalpie"/>
        </w:rPr>
        <w:footnoteRef/>
      </w:r>
      <w:r w:rsidRPr="00060BEB">
        <w:t xml:space="preserve"> Decreto 895 de 2017, Decreto 2124 de 2017, desarrollos del numeral 3.4. del Acuerdo Final de Paz, Decreto 154 de 2017, Decreto 665 de 2024, y el Plan Estratégico de Seguridad y Protección, entre otros.</w:t>
      </w:r>
    </w:p>
  </w:footnote>
  <w:footnote w:id="975">
    <w:p w14:paraId="38DC8FFD" w14:textId="77777777" w:rsidR="001F3006" w:rsidRPr="00060BEB" w:rsidRDefault="001F3006" w:rsidP="00C454A1">
      <w:pPr>
        <w:pStyle w:val="Textonotapie"/>
      </w:pPr>
      <w:r w:rsidRPr="00060BEB">
        <w:rPr>
          <w:rStyle w:val="Refdenotaalpie"/>
        </w:rPr>
        <w:footnoteRef/>
      </w:r>
      <w:r w:rsidRPr="00060BEB">
        <w:t xml:space="preserve"> Intervención de la Dirección de Impuestos y Aduanas Nacionales - DIAN, pág. 6.</w:t>
      </w:r>
    </w:p>
  </w:footnote>
  <w:footnote w:id="976">
    <w:p w14:paraId="008CB182" w14:textId="77777777" w:rsidR="001F3006" w:rsidRPr="002A21AF" w:rsidRDefault="001F3006" w:rsidP="00C454A1">
      <w:pPr>
        <w:pStyle w:val="Textonotapie"/>
      </w:pPr>
      <w:r w:rsidRPr="002A21AF">
        <w:rPr>
          <w:rStyle w:val="Refdenotaalpie"/>
        </w:rPr>
        <w:footnoteRef/>
      </w:r>
      <w:r w:rsidRPr="002A21AF">
        <w:t xml:space="preserve"> </w:t>
      </w:r>
      <w:bookmarkStart w:id="249" w:name="_Hlk195219377"/>
      <w:r w:rsidRPr="002A21AF">
        <w:t>Ib., pág. 8.</w:t>
      </w:r>
      <w:bookmarkEnd w:id="249"/>
    </w:p>
  </w:footnote>
  <w:footnote w:id="977">
    <w:p w14:paraId="30827E7A" w14:textId="77777777" w:rsidR="001F3006" w:rsidRPr="002A21AF" w:rsidRDefault="001F3006" w:rsidP="00C454A1">
      <w:pPr>
        <w:pStyle w:val="Textonotapie"/>
      </w:pPr>
      <w:r w:rsidRPr="002A21AF">
        <w:rPr>
          <w:rStyle w:val="Refdenotaalpie"/>
        </w:rPr>
        <w:footnoteRef/>
      </w:r>
      <w:r w:rsidRPr="002A21AF">
        <w:t xml:space="preserve"> Ib., pág. 9.</w:t>
      </w:r>
    </w:p>
  </w:footnote>
  <w:footnote w:id="978">
    <w:p w14:paraId="193AD548" w14:textId="77777777" w:rsidR="001F3006" w:rsidRPr="000C467E" w:rsidRDefault="001F3006" w:rsidP="00C454A1">
      <w:pPr>
        <w:pStyle w:val="Textonotapie"/>
      </w:pPr>
      <w:r w:rsidRPr="000C467E">
        <w:rPr>
          <w:rStyle w:val="Refdenotaalpie"/>
        </w:rPr>
        <w:footnoteRef/>
      </w:r>
      <w:r w:rsidRPr="000C467E">
        <w:t xml:space="preserve"> Ib. </w:t>
      </w:r>
    </w:p>
  </w:footnote>
  <w:footnote w:id="979">
    <w:p w14:paraId="0114EAAA" w14:textId="77777777" w:rsidR="001F3006" w:rsidRPr="000C467E" w:rsidRDefault="001F3006" w:rsidP="00C454A1">
      <w:pPr>
        <w:pStyle w:val="Textonotapie"/>
      </w:pPr>
      <w:r w:rsidRPr="000C467E">
        <w:rPr>
          <w:rStyle w:val="Refdenotaalpie"/>
        </w:rPr>
        <w:footnoteRef/>
      </w:r>
      <w:r w:rsidRPr="000C467E">
        <w:t xml:space="preserve"> Ib., pág. 10.</w:t>
      </w:r>
    </w:p>
  </w:footnote>
  <w:footnote w:id="980">
    <w:p w14:paraId="1A7B19C5" w14:textId="77777777" w:rsidR="001F3006" w:rsidRPr="000C467E" w:rsidRDefault="001F3006" w:rsidP="00C454A1">
      <w:pPr>
        <w:pStyle w:val="Textonotapie"/>
      </w:pPr>
      <w:r w:rsidRPr="000C467E">
        <w:rPr>
          <w:rStyle w:val="Refdenotaalpie"/>
        </w:rPr>
        <w:footnoteRef/>
      </w:r>
      <w:r w:rsidRPr="000C467E">
        <w:t xml:space="preserve"> Intervención de Emilio José Archila Peñalosa y Margarita Rosa Hernández Valderrama, págs. 3 y 4.</w:t>
      </w:r>
    </w:p>
  </w:footnote>
  <w:footnote w:id="981">
    <w:p w14:paraId="7F985785" w14:textId="77777777" w:rsidR="001F3006" w:rsidRPr="00EC2EC7" w:rsidRDefault="001F3006" w:rsidP="00C454A1">
      <w:pPr>
        <w:pStyle w:val="Textonotapie"/>
      </w:pPr>
      <w:r w:rsidRPr="00EC2EC7">
        <w:rPr>
          <w:rStyle w:val="Refdenotaalpie"/>
        </w:rPr>
        <w:footnoteRef/>
      </w:r>
      <w:r w:rsidRPr="00EC2EC7">
        <w:t xml:space="preserve"> Ib., pág. 8.</w:t>
      </w:r>
    </w:p>
  </w:footnote>
  <w:footnote w:id="982">
    <w:p w14:paraId="126278D0" w14:textId="77777777" w:rsidR="001F3006" w:rsidRPr="00EC2EC7" w:rsidRDefault="001F3006" w:rsidP="00C454A1">
      <w:pPr>
        <w:pStyle w:val="Textonotapie"/>
      </w:pPr>
      <w:r w:rsidRPr="00EC2EC7">
        <w:rPr>
          <w:rStyle w:val="Refdenotaalpie"/>
        </w:rPr>
        <w:footnoteRef/>
      </w:r>
      <w:r w:rsidRPr="00EC2EC7">
        <w:t xml:space="preserve"> Ib., pág. 9.</w:t>
      </w:r>
    </w:p>
  </w:footnote>
  <w:footnote w:id="983">
    <w:p w14:paraId="66C181D3" w14:textId="77777777" w:rsidR="001F3006" w:rsidRPr="00EC2EC7" w:rsidRDefault="001F3006" w:rsidP="00C454A1">
      <w:pPr>
        <w:pStyle w:val="Textonotapie"/>
      </w:pPr>
      <w:r w:rsidRPr="00EC2EC7">
        <w:rPr>
          <w:rStyle w:val="Refdenotaalpie"/>
        </w:rPr>
        <w:footnoteRef/>
      </w:r>
      <w:r w:rsidRPr="00EC2EC7">
        <w:t xml:space="preserve"> Ib. </w:t>
      </w:r>
    </w:p>
  </w:footnote>
  <w:footnote w:id="984">
    <w:p w14:paraId="289E79AF" w14:textId="77777777" w:rsidR="001F3006" w:rsidRPr="00EC2EC7" w:rsidRDefault="001F3006" w:rsidP="00C454A1">
      <w:pPr>
        <w:pStyle w:val="Textonotapie"/>
      </w:pPr>
      <w:r w:rsidRPr="00EC2EC7">
        <w:rPr>
          <w:rStyle w:val="Refdenotaalpie"/>
        </w:rPr>
        <w:footnoteRef/>
      </w:r>
      <w:r w:rsidRPr="00EC2EC7">
        <w:t xml:space="preserve"> Intervención de la Fiscalía General de la Nación.</w:t>
      </w:r>
    </w:p>
  </w:footnote>
  <w:footnote w:id="985">
    <w:p w14:paraId="62AEF5FB" w14:textId="77777777" w:rsidR="001F3006" w:rsidRPr="006159A8" w:rsidRDefault="001F3006" w:rsidP="00C454A1">
      <w:pPr>
        <w:pStyle w:val="Textonotapie"/>
      </w:pPr>
      <w:r>
        <w:rPr>
          <w:rStyle w:val="Refdenotaalpie"/>
        </w:rPr>
        <w:footnoteRef/>
      </w:r>
      <w:r w:rsidRPr="006159A8">
        <w:t xml:space="preserve"> </w:t>
      </w:r>
      <w:r w:rsidRPr="009A5756">
        <w:t>Intervención de Tania María Camila Luna Blanco y otros miembros de la Clínica de Acciones y Litigio de Interés Público – CALIP de la Facultad de Ciencias Jurídicas de la Pontificia Universidad Javeriana, pág. 21.</w:t>
      </w:r>
    </w:p>
  </w:footnote>
  <w:footnote w:id="986">
    <w:p w14:paraId="6D1F7BFE" w14:textId="77777777" w:rsidR="001F3006" w:rsidRPr="00CB56C2" w:rsidRDefault="001F3006" w:rsidP="00C454A1">
      <w:pPr>
        <w:pStyle w:val="Textonotapie"/>
      </w:pPr>
      <w:r>
        <w:rPr>
          <w:rStyle w:val="Refdenotaalpie"/>
        </w:rPr>
        <w:footnoteRef/>
      </w:r>
      <w:r w:rsidRPr="00CB56C2">
        <w:t xml:space="preserve"> </w:t>
      </w:r>
      <w:r w:rsidRPr="00EC2EC7">
        <w:t xml:space="preserve">Ib., pág. </w:t>
      </w:r>
      <w:r>
        <w:t>13</w:t>
      </w:r>
      <w:r w:rsidRPr="00EC2EC7">
        <w:t>.</w:t>
      </w:r>
    </w:p>
  </w:footnote>
  <w:footnote w:id="987">
    <w:p w14:paraId="6BE4A8FF" w14:textId="77777777" w:rsidR="001F3006" w:rsidRPr="009A5756" w:rsidRDefault="001F3006" w:rsidP="00C454A1">
      <w:pPr>
        <w:pStyle w:val="Textonotapie"/>
      </w:pPr>
      <w:r>
        <w:rPr>
          <w:rStyle w:val="Refdenotaalpie"/>
        </w:rPr>
        <w:footnoteRef/>
      </w:r>
      <w:r w:rsidRPr="009A5756">
        <w:t xml:space="preserve"> </w:t>
      </w:r>
      <w:r w:rsidRPr="00EC2EC7">
        <w:t xml:space="preserve">Ib., pág. </w:t>
      </w:r>
      <w:r>
        <w:t>23</w:t>
      </w:r>
      <w:r w:rsidRPr="00EC2EC7">
        <w:t>.</w:t>
      </w:r>
    </w:p>
  </w:footnote>
  <w:footnote w:id="988">
    <w:p w14:paraId="3E3423DE" w14:textId="77777777" w:rsidR="001F3006" w:rsidRPr="00813B77" w:rsidRDefault="001F3006" w:rsidP="00C454A1">
      <w:pPr>
        <w:pStyle w:val="Textonotapie"/>
      </w:pPr>
      <w:r w:rsidRPr="00813B77">
        <w:rPr>
          <w:rStyle w:val="Refdenotaalpie"/>
          <w:lang w:val="es-ES"/>
        </w:rPr>
        <w:footnoteRef/>
      </w:r>
      <w:r w:rsidRPr="00813B77">
        <w:rPr>
          <w:lang w:val="es-ES"/>
        </w:rPr>
        <w:t xml:space="preserve"> </w:t>
      </w:r>
      <w:r>
        <w:rPr>
          <w:lang w:val="es-ES"/>
        </w:rPr>
        <w:t>Intervención de Daniel Eduardo Londoño De Vivero.</w:t>
      </w:r>
    </w:p>
  </w:footnote>
  <w:footnote w:id="989">
    <w:p w14:paraId="7150BE68" w14:textId="77777777" w:rsidR="001F3006" w:rsidRPr="00813B77" w:rsidRDefault="001F3006" w:rsidP="00C454A1">
      <w:pPr>
        <w:pStyle w:val="Textonotapie"/>
      </w:pPr>
      <w:r w:rsidRPr="00813B77">
        <w:rPr>
          <w:rStyle w:val="Refdenotaalpie"/>
        </w:rPr>
        <w:footnoteRef/>
      </w:r>
      <w:r w:rsidRPr="00813B77">
        <w:t xml:space="preserve"> Ib.</w:t>
      </w:r>
      <w:r>
        <w:t>,</w:t>
      </w:r>
      <w:r w:rsidRPr="00813B77">
        <w:t xml:space="preserve"> p</w:t>
      </w:r>
      <w:r>
        <w:t>ág</w:t>
      </w:r>
      <w:r w:rsidRPr="00813B77">
        <w:t>. 47.</w:t>
      </w:r>
    </w:p>
  </w:footnote>
  <w:footnote w:id="990">
    <w:p w14:paraId="41A595EA" w14:textId="77777777" w:rsidR="001F3006" w:rsidRPr="00813B77" w:rsidRDefault="001F3006" w:rsidP="00C454A1">
      <w:pPr>
        <w:pStyle w:val="Textonotapie"/>
      </w:pPr>
      <w:r w:rsidRPr="00813B77">
        <w:rPr>
          <w:rStyle w:val="Refdenotaalpie"/>
        </w:rPr>
        <w:footnoteRef/>
      </w:r>
      <w:r w:rsidRPr="00813B77">
        <w:t xml:space="preserve"> Ib.</w:t>
      </w:r>
      <w:r>
        <w:t>,</w:t>
      </w:r>
      <w:r w:rsidRPr="00813B77">
        <w:t xml:space="preserve"> p</w:t>
      </w:r>
      <w:r>
        <w:t>ág</w:t>
      </w:r>
      <w:r w:rsidRPr="00813B77">
        <w:t>. 49.</w:t>
      </w:r>
    </w:p>
  </w:footnote>
  <w:footnote w:id="991">
    <w:p w14:paraId="08750ED9" w14:textId="77777777" w:rsidR="001F3006" w:rsidRPr="00813B77" w:rsidRDefault="001F3006" w:rsidP="00C454A1">
      <w:pPr>
        <w:pStyle w:val="Textonotapie"/>
      </w:pPr>
      <w:r w:rsidRPr="00813B77">
        <w:rPr>
          <w:rStyle w:val="Refdenotaalpie"/>
        </w:rPr>
        <w:footnoteRef/>
      </w:r>
      <w:r w:rsidRPr="00813B77">
        <w:t xml:space="preserve"> Ib.</w:t>
      </w:r>
      <w:r>
        <w:t>,</w:t>
      </w:r>
      <w:r w:rsidRPr="00813B77">
        <w:t xml:space="preserve"> p</w:t>
      </w:r>
      <w:r>
        <w:t>ágs</w:t>
      </w:r>
      <w:r w:rsidRPr="00813B77">
        <w:t>. 52</w:t>
      </w:r>
      <w:r>
        <w:t xml:space="preserve"> y </w:t>
      </w:r>
      <w:r w:rsidRPr="00813B77">
        <w:t>53.</w:t>
      </w:r>
    </w:p>
  </w:footnote>
  <w:footnote w:id="992">
    <w:p w14:paraId="0DC75056" w14:textId="77777777" w:rsidR="001F3006" w:rsidRPr="00813B77" w:rsidRDefault="001F3006" w:rsidP="00C454A1">
      <w:pPr>
        <w:pStyle w:val="Textonotapie"/>
      </w:pPr>
      <w:r w:rsidRPr="00813B77">
        <w:rPr>
          <w:rStyle w:val="Refdenotaalpie"/>
        </w:rPr>
        <w:footnoteRef/>
      </w:r>
      <w:r w:rsidRPr="00813B77">
        <w:t xml:space="preserve"> Ib.</w:t>
      </w:r>
      <w:r>
        <w:t>,</w:t>
      </w:r>
      <w:r w:rsidRPr="00813B77">
        <w:t xml:space="preserve"> p</w:t>
      </w:r>
      <w:r>
        <w:t>ágs</w:t>
      </w:r>
      <w:r w:rsidRPr="00813B77">
        <w:t>. 56</w:t>
      </w:r>
      <w:r>
        <w:t xml:space="preserve"> y </w:t>
      </w:r>
      <w:r w:rsidRPr="00813B77">
        <w:t>57.</w:t>
      </w:r>
    </w:p>
  </w:footnote>
  <w:footnote w:id="993">
    <w:p w14:paraId="32619AE1" w14:textId="77777777" w:rsidR="001F3006" w:rsidRPr="00813B77" w:rsidRDefault="001F3006" w:rsidP="00C454A1">
      <w:pPr>
        <w:pStyle w:val="Textonotapie"/>
      </w:pPr>
      <w:r w:rsidRPr="00813B77">
        <w:rPr>
          <w:rStyle w:val="Refdenotaalpie"/>
        </w:rPr>
        <w:footnoteRef/>
      </w:r>
      <w:r w:rsidRPr="00813B77">
        <w:t xml:space="preserve"> Ib.</w:t>
      </w:r>
      <w:r>
        <w:t>,</w:t>
      </w:r>
      <w:r w:rsidRPr="00813B77">
        <w:t xml:space="preserve"> p</w:t>
      </w:r>
      <w:r>
        <w:t>ág</w:t>
      </w:r>
      <w:r w:rsidRPr="00813B77">
        <w:t>. 8</w:t>
      </w:r>
    </w:p>
  </w:footnote>
  <w:footnote w:id="994">
    <w:p w14:paraId="657F86F2" w14:textId="77777777" w:rsidR="001F3006" w:rsidRPr="00813B77" w:rsidRDefault="001F3006" w:rsidP="00C454A1">
      <w:pPr>
        <w:pStyle w:val="Textonotapie"/>
      </w:pPr>
      <w:r w:rsidRPr="00813B77">
        <w:rPr>
          <w:rStyle w:val="Refdenotaalpie"/>
        </w:rPr>
        <w:footnoteRef/>
      </w:r>
      <w:r w:rsidRPr="00813B77">
        <w:t xml:space="preserve"> </w:t>
      </w:r>
      <w:r>
        <w:rPr>
          <w:lang w:val="es-ES"/>
        </w:rPr>
        <w:t xml:space="preserve">Intervención de </w:t>
      </w:r>
      <w:r w:rsidRPr="00C64F9E">
        <w:t>Juan Alberto Londoño Martínez</w:t>
      </w:r>
      <w:r w:rsidRPr="00813B77">
        <w:t>., p</w:t>
      </w:r>
      <w:r>
        <w:t>ág.</w:t>
      </w:r>
      <w:r w:rsidRPr="00813B77">
        <w:t xml:space="preserve"> 10.</w:t>
      </w:r>
    </w:p>
  </w:footnote>
  <w:footnote w:id="995">
    <w:p w14:paraId="6868F09E"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xml:space="preserve"> 13</w:t>
      </w:r>
      <w:r>
        <w:t>.</w:t>
      </w:r>
    </w:p>
  </w:footnote>
  <w:footnote w:id="996">
    <w:p w14:paraId="1CE3BD29"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16</w:t>
      </w:r>
      <w:r>
        <w:t>.</w:t>
      </w:r>
    </w:p>
  </w:footnote>
  <w:footnote w:id="997">
    <w:p w14:paraId="67DC869D" w14:textId="77777777" w:rsidR="001F3006" w:rsidRPr="00813B77" w:rsidRDefault="001F3006" w:rsidP="00C454A1">
      <w:pPr>
        <w:pStyle w:val="Textonotapie"/>
      </w:pPr>
      <w:r w:rsidRPr="00813B77">
        <w:rPr>
          <w:rStyle w:val="Refdenotaalpie"/>
        </w:rPr>
        <w:footnoteRef/>
      </w:r>
      <w:r w:rsidRPr="00813B77">
        <w:t xml:space="preserve"> Ib.</w:t>
      </w:r>
    </w:p>
  </w:footnote>
  <w:footnote w:id="998">
    <w:p w14:paraId="12252222" w14:textId="77777777" w:rsidR="001F3006" w:rsidRPr="00813B77" w:rsidRDefault="001F3006" w:rsidP="00C454A1">
      <w:pPr>
        <w:pStyle w:val="Textonotapie"/>
        <w:rPr>
          <w:lang w:val="es-ES"/>
        </w:rPr>
      </w:pPr>
      <w:r w:rsidRPr="00813B77">
        <w:rPr>
          <w:rStyle w:val="Refdenotaalpie"/>
          <w:lang w:val="es-ES"/>
        </w:rPr>
        <w:footnoteRef/>
      </w:r>
      <w:r w:rsidRPr="00813B77">
        <w:rPr>
          <w:lang w:val="es-ES"/>
        </w:rPr>
        <w:t xml:space="preserve"> </w:t>
      </w:r>
      <w:r>
        <w:rPr>
          <w:lang w:val="es-ES"/>
        </w:rPr>
        <w:t>Intervención de la Clínica de Interés Público en Derechos Humanos de la Sergio Arboleda, pág. 3.</w:t>
      </w:r>
    </w:p>
  </w:footnote>
  <w:footnote w:id="999">
    <w:p w14:paraId="359B37D0"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5</w:t>
      </w:r>
    </w:p>
  </w:footnote>
  <w:footnote w:id="1000">
    <w:p w14:paraId="1EB8E8A7"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8.</w:t>
      </w:r>
    </w:p>
  </w:footnote>
  <w:footnote w:id="1001">
    <w:p w14:paraId="36C20A16" w14:textId="77777777" w:rsidR="001F3006" w:rsidRPr="00813B77" w:rsidRDefault="001F3006" w:rsidP="00C454A1">
      <w:pPr>
        <w:pStyle w:val="Textonotapie"/>
        <w:rPr>
          <w:lang w:val="es-ES"/>
        </w:rPr>
      </w:pPr>
      <w:r w:rsidRPr="00813B77">
        <w:rPr>
          <w:rStyle w:val="Refdenotaalpie"/>
          <w:lang w:val="es-ES"/>
        </w:rPr>
        <w:footnoteRef/>
      </w:r>
      <w:r w:rsidRPr="00813B77">
        <w:rPr>
          <w:lang w:val="es-ES"/>
        </w:rPr>
        <w:t xml:space="preserve"> </w:t>
      </w:r>
      <w:r>
        <w:rPr>
          <w:lang w:val="es-ES"/>
        </w:rPr>
        <w:t>Intervención de la Federación Nacional de Productores de Carbón, pág. 6.</w:t>
      </w:r>
    </w:p>
  </w:footnote>
  <w:footnote w:id="1002">
    <w:p w14:paraId="4D09C967" w14:textId="77777777" w:rsidR="001F3006" w:rsidRPr="00813B77" w:rsidRDefault="001F3006" w:rsidP="00C454A1">
      <w:pPr>
        <w:pStyle w:val="Textonotapie"/>
      </w:pPr>
      <w:r w:rsidRPr="00813B77">
        <w:rPr>
          <w:rStyle w:val="Refdenotaalpie"/>
          <w:lang w:val="es-ES"/>
        </w:rPr>
        <w:footnoteRef/>
      </w:r>
      <w:r w:rsidRPr="00813B77">
        <w:rPr>
          <w:lang w:val="es-ES"/>
        </w:rPr>
        <w:t xml:space="preserve"> Ib. En pie de página comparten estos links: https://www.infobae.com/colombia/2024/02/16/eln-quiere-controlar-la-entrada-y-salida-del-carbon-en-el-catatumbo-mandan-c o m o - s i - f u e </w:t>
      </w:r>
      <w:proofErr w:type="spellStart"/>
      <w:r w:rsidRPr="00813B77">
        <w:rPr>
          <w:lang w:val="es-ES"/>
        </w:rPr>
        <w:t>ran</w:t>
      </w:r>
      <w:proofErr w:type="spellEnd"/>
      <w:r w:rsidRPr="00813B77">
        <w:rPr>
          <w:lang w:val="es-ES"/>
        </w:rPr>
        <w:t>-la-autoridad/; https://www.laopinion.com.co/economia/el-eln-presiona-para-manejar-su-antojo-el-carbon-en-el-catatumbo https://www.eluniversal.com.co/colombia/denuncian-que-el-ein-extorsiona-a-los-pequenos-mineros-en-el-catatumbo-CK9972646; httos://www.wradio.com co/2024/02/20/la-compleja-realidad-de-los-productores-del-carbon-ante-grupos-al-margen-de-la-Ley/</w:t>
      </w:r>
    </w:p>
  </w:footnote>
  <w:footnote w:id="1003">
    <w:p w14:paraId="0B806557"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12</w:t>
      </w:r>
      <w:r>
        <w:t>.</w:t>
      </w:r>
    </w:p>
  </w:footnote>
  <w:footnote w:id="1004">
    <w:p w14:paraId="57BC63D1" w14:textId="77777777" w:rsidR="001F3006" w:rsidRPr="00045C19" w:rsidRDefault="001F3006" w:rsidP="00C454A1">
      <w:pPr>
        <w:pStyle w:val="Textonotapie"/>
      </w:pPr>
      <w:r w:rsidRPr="00045C19">
        <w:rPr>
          <w:rStyle w:val="Refdenotaalpie"/>
        </w:rPr>
        <w:footnoteRef/>
      </w:r>
      <w:r w:rsidRPr="00045C19">
        <w:t xml:space="preserve"> </w:t>
      </w:r>
      <w:r w:rsidRPr="00045C19">
        <w:rPr>
          <w:lang w:val="es-ES"/>
        </w:rPr>
        <w:t xml:space="preserve">Intervención de Luis Jaime Salgar </w:t>
      </w:r>
      <w:proofErr w:type="spellStart"/>
      <w:r w:rsidRPr="00045C19">
        <w:rPr>
          <w:lang w:val="es-ES"/>
        </w:rPr>
        <w:t>Vegalara</w:t>
      </w:r>
      <w:proofErr w:type="spellEnd"/>
      <w:r w:rsidRPr="00045C19">
        <w:rPr>
          <w:lang w:val="es-ES"/>
        </w:rPr>
        <w:t xml:space="preserve">, pág. 5. </w:t>
      </w:r>
    </w:p>
  </w:footnote>
  <w:footnote w:id="1005">
    <w:p w14:paraId="714E1F04" w14:textId="77777777" w:rsidR="001F3006" w:rsidRPr="00DE31B8" w:rsidRDefault="001F3006" w:rsidP="00C454A1">
      <w:pPr>
        <w:pStyle w:val="Textonotapie"/>
      </w:pPr>
      <w:r w:rsidRPr="00045C19">
        <w:rPr>
          <w:rStyle w:val="Refdenotaalpie"/>
        </w:rPr>
        <w:footnoteRef/>
      </w:r>
      <w:r w:rsidRPr="00DE31B8">
        <w:t xml:space="preserve"> Ib.</w:t>
      </w:r>
    </w:p>
  </w:footnote>
  <w:footnote w:id="1006">
    <w:p w14:paraId="5D08D157" w14:textId="77777777" w:rsidR="001F3006" w:rsidRPr="00045C19" w:rsidRDefault="001F3006" w:rsidP="00C454A1">
      <w:pPr>
        <w:pStyle w:val="Textonotapie"/>
      </w:pPr>
      <w:r w:rsidRPr="00045C19">
        <w:rPr>
          <w:rStyle w:val="Refdenotaalpie"/>
        </w:rPr>
        <w:footnoteRef/>
      </w:r>
      <w:r w:rsidRPr="00045C19">
        <w:t xml:space="preserve"> Ib., pág. 7. </w:t>
      </w:r>
    </w:p>
  </w:footnote>
  <w:footnote w:id="1007">
    <w:p w14:paraId="3653DE3B" w14:textId="77777777" w:rsidR="001F3006" w:rsidRPr="00045C19" w:rsidRDefault="001F3006" w:rsidP="00C454A1">
      <w:pPr>
        <w:pStyle w:val="Textonotapie"/>
      </w:pPr>
      <w:r w:rsidRPr="00045C19">
        <w:rPr>
          <w:rStyle w:val="Refdenotaalpie"/>
        </w:rPr>
        <w:footnoteRef/>
      </w:r>
      <w:r w:rsidRPr="00045C19">
        <w:t xml:space="preserve"> Ib. </w:t>
      </w:r>
    </w:p>
  </w:footnote>
  <w:footnote w:id="1008">
    <w:p w14:paraId="4A815F4A" w14:textId="77777777" w:rsidR="001F3006" w:rsidRPr="00045C19" w:rsidRDefault="001F3006" w:rsidP="00C454A1">
      <w:pPr>
        <w:pStyle w:val="Textonotapie"/>
      </w:pPr>
      <w:r w:rsidRPr="00045C19">
        <w:rPr>
          <w:rStyle w:val="Refdenotaalpie"/>
        </w:rPr>
        <w:footnoteRef/>
      </w:r>
      <w:r w:rsidRPr="00045C19">
        <w:t xml:space="preserve"> Ib., </w:t>
      </w:r>
      <w:proofErr w:type="spellStart"/>
      <w:r w:rsidRPr="00045C19">
        <w:t>pág</w:t>
      </w:r>
      <w:proofErr w:type="spellEnd"/>
      <w:r w:rsidRPr="00045C19">
        <w:t xml:space="preserve"> 9. </w:t>
      </w:r>
    </w:p>
  </w:footnote>
  <w:footnote w:id="1009">
    <w:p w14:paraId="60317C43" w14:textId="77777777" w:rsidR="001F3006" w:rsidRPr="00045C19" w:rsidRDefault="001F3006" w:rsidP="00C454A1">
      <w:pPr>
        <w:pStyle w:val="Textonotapie"/>
      </w:pPr>
      <w:r w:rsidRPr="00045C19">
        <w:rPr>
          <w:rStyle w:val="Refdenotaalpie"/>
        </w:rPr>
        <w:footnoteRef/>
      </w:r>
      <w:r w:rsidRPr="00045C19">
        <w:t xml:space="preserve"> Ib.</w:t>
      </w:r>
    </w:p>
  </w:footnote>
  <w:footnote w:id="1010">
    <w:p w14:paraId="65790322" w14:textId="77777777" w:rsidR="001F3006" w:rsidRPr="006918BC" w:rsidRDefault="001F3006" w:rsidP="00C454A1">
      <w:pPr>
        <w:pStyle w:val="Textonotapie"/>
        <w:rPr>
          <w:lang w:val="es-ES"/>
        </w:rPr>
      </w:pPr>
      <w:r w:rsidRPr="00813B77">
        <w:rPr>
          <w:rStyle w:val="Refdenotaalpie"/>
          <w:lang w:val="es-ES"/>
        </w:rPr>
        <w:footnoteRef/>
      </w:r>
      <w:r w:rsidRPr="00813B77">
        <w:rPr>
          <w:lang w:val="es-ES"/>
        </w:rPr>
        <w:t xml:space="preserve"> </w:t>
      </w:r>
      <w:r>
        <w:rPr>
          <w:lang w:val="es-ES"/>
        </w:rPr>
        <w:t xml:space="preserve">Intervención de </w:t>
      </w:r>
      <w:proofErr w:type="spellStart"/>
      <w:r>
        <w:rPr>
          <w:lang w:val="es-ES"/>
        </w:rPr>
        <w:t>Jahel</w:t>
      </w:r>
      <w:proofErr w:type="spellEnd"/>
      <w:r>
        <w:rPr>
          <w:lang w:val="es-ES"/>
        </w:rPr>
        <w:t xml:space="preserve"> Quiroga Carillo, pág. 12.</w:t>
      </w:r>
    </w:p>
  </w:footnote>
  <w:footnote w:id="1011">
    <w:p w14:paraId="6E7A25A9"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xml:space="preserve"> 11</w:t>
      </w:r>
      <w:r>
        <w:t>.</w:t>
      </w:r>
    </w:p>
  </w:footnote>
  <w:footnote w:id="1012">
    <w:p w14:paraId="5F03BD54"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xml:space="preserve"> 15</w:t>
      </w:r>
      <w:r>
        <w:t>.</w:t>
      </w:r>
    </w:p>
  </w:footnote>
  <w:footnote w:id="1013">
    <w:p w14:paraId="2D831FF3"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xml:space="preserve"> 13</w:t>
      </w:r>
    </w:p>
  </w:footnote>
  <w:footnote w:id="1014">
    <w:p w14:paraId="1A6D7E5A" w14:textId="77777777" w:rsidR="001F3006" w:rsidRPr="006918BC" w:rsidRDefault="001F3006" w:rsidP="00C454A1">
      <w:pPr>
        <w:pStyle w:val="Textonotapie"/>
        <w:rPr>
          <w:lang w:val="es-ES"/>
        </w:rPr>
      </w:pPr>
      <w:r w:rsidRPr="00813B77">
        <w:rPr>
          <w:rStyle w:val="Refdenotaalpie"/>
          <w:lang w:val="es-ES"/>
        </w:rPr>
        <w:footnoteRef/>
      </w:r>
      <w:r w:rsidRPr="00813B77">
        <w:rPr>
          <w:lang w:val="es-ES"/>
        </w:rPr>
        <w:t xml:space="preserve"> </w:t>
      </w:r>
      <w:r>
        <w:rPr>
          <w:lang w:val="es-ES"/>
        </w:rPr>
        <w:t xml:space="preserve">Intervención de </w:t>
      </w:r>
      <w:proofErr w:type="spellStart"/>
      <w:r>
        <w:rPr>
          <w:lang w:val="es-ES"/>
        </w:rPr>
        <w:t>Jahel</w:t>
      </w:r>
      <w:proofErr w:type="spellEnd"/>
      <w:r>
        <w:rPr>
          <w:lang w:val="es-ES"/>
        </w:rPr>
        <w:t xml:space="preserve"> Quiroga Carillo, pág. 12.</w:t>
      </w:r>
    </w:p>
  </w:footnote>
  <w:footnote w:id="1015">
    <w:p w14:paraId="75950AB3"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xml:space="preserve"> 11</w:t>
      </w:r>
      <w:r>
        <w:t>.</w:t>
      </w:r>
    </w:p>
  </w:footnote>
  <w:footnote w:id="1016">
    <w:p w14:paraId="71C86438"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xml:space="preserve"> 15</w:t>
      </w:r>
      <w:r>
        <w:t>.</w:t>
      </w:r>
    </w:p>
  </w:footnote>
  <w:footnote w:id="1017">
    <w:p w14:paraId="2FB9A777"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xml:space="preserve"> 13</w:t>
      </w:r>
    </w:p>
  </w:footnote>
  <w:footnote w:id="1018">
    <w:p w14:paraId="005A4219" w14:textId="77777777" w:rsidR="001F3006" w:rsidRPr="00813B77" w:rsidRDefault="001F3006" w:rsidP="00C454A1">
      <w:pPr>
        <w:pStyle w:val="Textonotapie"/>
        <w:rPr>
          <w:lang w:val="es-ES_tradnl"/>
        </w:rPr>
      </w:pPr>
      <w:r w:rsidRPr="00813B77">
        <w:rPr>
          <w:rStyle w:val="Refdenotaalpie"/>
        </w:rPr>
        <w:footnoteRef/>
      </w:r>
      <w:r w:rsidRPr="00813B77">
        <w:t xml:space="preserve"> </w:t>
      </w:r>
      <w:r>
        <w:t xml:space="preserve">Intervención de la Defensoría del Pueblo, </w:t>
      </w:r>
      <w:r w:rsidRPr="00813B77">
        <w:t>p</w:t>
      </w:r>
      <w:r>
        <w:t>ág</w:t>
      </w:r>
      <w:r w:rsidRPr="00813B77">
        <w:t>. 3.</w:t>
      </w:r>
    </w:p>
  </w:footnote>
  <w:footnote w:id="1019">
    <w:p w14:paraId="21A65F99"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20">
    <w:p w14:paraId="06AE3200"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21">
    <w:p w14:paraId="63C0DB73"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Ib., p</w:t>
      </w:r>
      <w:r>
        <w:rPr>
          <w:lang w:val="es-ES"/>
        </w:rPr>
        <w:t>ág.</w:t>
      </w:r>
      <w:r w:rsidRPr="00813B77">
        <w:rPr>
          <w:lang w:val="es-ES"/>
        </w:rPr>
        <w:t xml:space="preserve"> 4.</w:t>
      </w:r>
    </w:p>
  </w:footnote>
  <w:footnote w:id="1022">
    <w:p w14:paraId="78AFC67B"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Ib., p</w:t>
      </w:r>
      <w:r>
        <w:rPr>
          <w:lang w:val="es-ES"/>
        </w:rPr>
        <w:t>ág</w:t>
      </w:r>
      <w:r w:rsidRPr="00813B77">
        <w:rPr>
          <w:lang w:val="es-ES"/>
        </w:rPr>
        <w:t>. 8.</w:t>
      </w:r>
    </w:p>
  </w:footnote>
  <w:footnote w:id="1023">
    <w:p w14:paraId="0A5E589E"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w:t>
      </w:r>
      <w:r>
        <w:rPr>
          <w:lang w:val="es-ES_tradnl"/>
        </w:rPr>
        <w:t xml:space="preserve">pág. </w:t>
      </w:r>
      <w:r w:rsidRPr="00813B77">
        <w:rPr>
          <w:lang w:val="es-ES_tradnl"/>
        </w:rPr>
        <w:t>21.</w:t>
      </w:r>
    </w:p>
  </w:footnote>
  <w:footnote w:id="1024">
    <w:p w14:paraId="607A69A8"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w:t>
      </w:r>
      <w:r>
        <w:rPr>
          <w:lang w:val="es-ES_tradnl"/>
        </w:rPr>
        <w:t xml:space="preserve">pág. </w:t>
      </w:r>
      <w:r w:rsidRPr="00813B77">
        <w:rPr>
          <w:lang w:val="es-ES_tradnl"/>
        </w:rPr>
        <w:t>22.</w:t>
      </w:r>
    </w:p>
  </w:footnote>
  <w:footnote w:id="1025">
    <w:p w14:paraId="53343E14"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26">
    <w:p w14:paraId="163E5C43"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w:t>
      </w:r>
      <w:r>
        <w:rPr>
          <w:lang w:val="es-ES_tradnl"/>
        </w:rPr>
        <w:t xml:space="preserve">pág. </w:t>
      </w:r>
      <w:r w:rsidRPr="00813B77">
        <w:rPr>
          <w:lang w:val="es-ES_tradnl"/>
        </w:rPr>
        <w:t>23.</w:t>
      </w:r>
    </w:p>
  </w:footnote>
  <w:footnote w:id="1027">
    <w:p w14:paraId="71662564"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w:t>
      </w:r>
      <w:r>
        <w:rPr>
          <w:lang w:val="es-ES_tradnl"/>
        </w:rPr>
        <w:t xml:space="preserve">pág. </w:t>
      </w:r>
      <w:r w:rsidRPr="00813B77">
        <w:rPr>
          <w:lang w:val="es-ES_tradnl"/>
        </w:rPr>
        <w:t>24.</w:t>
      </w:r>
    </w:p>
  </w:footnote>
  <w:footnote w:id="1028">
    <w:p w14:paraId="76B5703A"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w:t>
      </w:r>
      <w:r>
        <w:rPr>
          <w:lang w:val="es-ES_tradnl"/>
        </w:rPr>
        <w:t xml:space="preserve">pág. </w:t>
      </w:r>
      <w:r w:rsidRPr="00813B77">
        <w:rPr>
          <w:lang w:val="es-ES_tradnl"/>
        </w:rPr>
        <w:t>25.</w:t>
      </w:r>
    </w:p>
  </w:footnote>
  <w:footnote w:id="1029">
    <w:p w14:paraId="299F4780"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w:t>
      </w:r>
      <w:r>
        <w:rPr>
          <w:lang w:val="es-ES_tradnl"/>
        </w:rPr>
        <w:t xml:space="preserve">pág. </w:t>
      </w:r>
      <w:r w:rsidRPr="00813B77">
        <w:rPr>
          <w:lang w:val="es-ES_tradnl"/>
        </w:rPr>
        <w:t>27.</w:t>
      </w:r>
    </w:p>
  </w:footnote>
  <w:footnote w:id="1030">
    <w:p w14:paraId="5E86B8AA"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w:t>
      </w:r>
      <w:r>
        <w:rPr>
          <w:lang w:val="es-ES_tradnl"/>
        </w:rPr>
        <w:t xml:space="preserve">pág. </w:t>
      </w:r>
      <w:r w:rsidRPr="00813B77">
        <w:rPr>
          <w:lang w:val="es-ES_tradnl"/>
        </w:rPr>
        <w:t>28.</w:t>
      </w:r>
    </w:p>
  </w:footnote>
  <w:footnote w:id="1031">
    <w:p w14:paraId="7167305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r>
        <w:rPr>
          <w:lang w:val="es-ES_tradnl"/>
        </w:rPr>
        <w:t xml:space="preserve"> pág.</w:t>
      </w:r>
      <w:r w:rsidRPr="00813B77">
        <w:rPr>
          <w:lang w:val="es-ES_tradnl"/>
        </w:rPr>
        <w:t xml:space="preserve"> 29.</w:t>
      </w:r>
    </w:p>
  </w:footnote>
  <w:footnote w:id="1032">
    <w:p w14:paraId="1EB5761C"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33">
    <w:p w14:paraId="3280CC3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34">
    <w:p w14:paraId="12263A3D"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r>
        <w:rPr>
          <w:lang w:val="es-ES_tradnl"/>
        </w:rPr>
        <w:t xml:space="preserve"> pág.</w:t>
      </w:r>
      <w:r w:rsidRPr="00813B77">
        <w:rPr>
          <w:lang w:val="es-ES_tradnl"/>
        </w:rPr>
        <w:t xml:space="preserve"> 30.</w:t>
      </w:r>
    </w:p>
  </w:footnote>
  <w:footnote w:id="1035">
    <w:p w14:paraId="5F94DFBE" w14:textId="77777777" w:rsidR="001F3006" w:rsidRPr="009D1DCD" w:rsidRDefault="001F3006" w:rsidP="00C454A1">
      <w:pPr>
        <w:pStyle w:val="Textonotapie"/>
      </w:pPr>
      <w:r w:rsidRPr="000852C4">
        <w:rPr>
          <w:rStyle w:val="Refdenotaalpie"/>
        </w:rPr>
        <w:footnoteRef/>
      </w:r>
      <w:r w:rsidRPr="009D1DCD">
        <w:t xml:space="preserve"> Ib., pág. 29.</w:t>
      </w:r>
    </w:p>
  </w:footnote>
  <w:footnote w:id="1036">
    <w:p w14:paraId="6D5874F5"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Ib., </w:t>
      </w:r>
      <w:r>
        <w:rPr>
          <w:lang w:val="es-ES_tradnl"/>
        </w:rPr>
        <w:t xml:space="preserve">pág. </w:t>
      </w:r>
      <w:r w:rsidRPr="00813B77">
        <w:rPr>
          <w:lang w:val="es-ES_tradnl"/>
        </w:rPr>
        <w:t>40.</w:t>
      </w:r>
    </w:p>
  </w:footnote>
  <w:footnote w:id="1037">
    <w:p w14:paraId="758BBB49"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38">
    <w:p w14:paraId="0C9CC919" w14:textId="77777777" w:rsidR="001F3006" w:rsidRPr="00236B73" w:rsidRDefault="001F3006" w:rsidP="00C454A1">
      <w:pPr>
        <w:pStyle w:val="Textonotapie"/>
        <w:rPr>
          <w:lang w:val="es-ES"/>
        </w:rPr>
      </w:pPr>
      <w:r>
        <w:rPr>
          <w:rStyle w:val="Refdenotaalpie"/>
        </w:rPr>
        <w:footnoteRef/>
      </w:r>
      <w:r w:rsidRPr="00236B73">
        <w:rPr>
          <w:lang w:val="es-ES"/>
        </w:rPr>
        <w:t xml:space="preserve"> Ib., pág. 29. </w:t>
      </w:r>
    </w:p>
  </w:footnote>
  <w:footnote w:id="1039">
    <w:p w14:paraId="75DB7502"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40">
    <w:p w14:paraId="7F24BF04" w14:textId="77777777" w:rsidR="001F3006" w:rsidRPr="00813B77" w:rsidRDefault="001F3006" w:rsidP="00C454A1">
      <w:pPr>
        <w:pStyle w:val="Textonotapie"/>
        <w:rPr>
          <w:lang w:val="es-ES_tradnl"/>
        </w:rPr>
      </w:pPr>
      <w:r w:rsidRPr="00813B77">
        <w:rPr>
          <w:rStyle w:val="Refdenotaalpie"/>
        </w:rPr>
        <w:footnoteRef/>
      </w:r>
      <w:r w:rsidRPr="00813B77">
        <w:t xml:space="preserve"> </w:t>
      </w:r>
      <w:r>
        <w:t xml:space="preserve">Intervención de Juan Manuel </w:t>
      </w:r>
      <w:proofErr w:type="spellStart"/>
      <w:r>
        <w:t>Charry</w:t>
      </w:r>
      <w:proofErr w:type="spellEnd"/>
      <w:r>
        <w:t xml:space="preserve">, </w:t>
      </w:r>
      <w:r w:rsidRPr="00813B77">
        <w:t>p</w:t>
      </w:r>
      <w:r>
        <w:t>ág.</w:t>
      </w:r>
      <w:r w:rsidRPr="00813B77">
        <w:t xml:space="preserve"> 6</w:t>
      </w:r>
      <w:r>
        <w:t>.</w:t>
      </w:r>
    </w:p>
  </w:footnote>
  <w:footnote w:id="1041">
    <w:p w14:paraId="3FC0EEDE"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lang w:val="es-ES"/>
        </w:rPr>
        <w:t>Ib., p</w:t>
      </w:r>
      <w:r>
        <w:rPr>
          <w:lang w:val="es-ES"/>
        </w:rPr>
        <w:t>ág</w:t>
      </w:r>
      <w:r w:rsidRPr="00813B77">
        <w:rPr>
          <w:lang w:val="es-ES"/>
        </w:rPr>
        <w:t>. 8.</w:t>
      </w:r>
    </w:p>
  </w:footnote>
  <w:footnote w:id="1042">
    <w:p w14:paraId="6798A292"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Ib.</w:t>
      </w:r>
    </w:p>
  </w:footnote>
  <w:footnote w:id="1043">
    <w:p w14:paraId="65A1B8C4"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Ib.</w:t>
      </w:r>
    </w:p>
  </w:footnote>
  <w:footnote w:id="1044">
    <w:p w14:paraId="083A2F77" w14:textId="77777777" w:rsidR="001F3006" w:rsidRPr="00813B77" w:rsidRDefault="001F3006" w:rsidP="00C454A1">
      <w:pPr>
        <w:pStyle w:val="Textonotapie"/>
        <w:rPr>
          <w:b/>
          <w:bCs/>
        </w:rPr>
      </w:pPr>
      <w:r w:rsidRPr="00813B77">
        <w:rPr>
          <w:rStyle w:val="Refdenotaalpie"/>
        </w:rPr>
        <w:footnoteRef/>
      </w:r>
      <w:r w:rsidRPr="00813B77">
        <w:t xml:space="preserve"> </w:t>
      </w:r>
      <w:r w:rsidRPr="00813B77">
        <w:rPr>
          <w:lang w:val="es-ES"/>
        </w:rPr>
        <w:t>Ib.</w:t>
      </w:r>
    </w:p>
  </w:footnote>
  <w:footnote w:id="1045">
    <w:p w14:paraId="3B3BB02A"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Ib., p</w:t>
      </w:r>
      <w:r>
        <w:rPr>
          <w:lang w:val="es-ES"/>
        </w:rPr>
        <w:t>ág</w:t>
      </w:r>
      <w:r w:rsidRPr="00813B77">
        <w:rPr>
          <w:lang w:val="es-ES"/>
        </w:rPr>
        <w:t>. 10.</w:t>
      </w:r>
    </w:p>
  </w:footnote>
  <w:footnote w:id="1046">
    <w:p w14:paraId="7BE1FD1E"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
        </w:rPr>
        <w:t>Ib., p</w:t>
      </w:r>
      <w:r>
        <w:rPr>
          <w:lang w:val="es-ES"/>
        </w:rPr>
        <w:t>ág</w:t>
      </w:r>
      <w:r w:rsidRPr="00813B77">
        <w:rPr>
          <w:lang w:val="es-ES"/>
        </w:rPr>
        <w:t>. 11.</w:t>
      </w:r>
    </w:p>
  </w:footnote>
  <w:footnote w:id="1047">
    <w:p w14:paraId="27B85B24" w14:textId="77777777" w:rsidR="001F3006" w:rsidRPr="00813B77" w:rsidRDefault="001F3006" w:rsidP="00C454A1">
      <w:pPr>
        <w:pStyle w:val="Textonotapie"/>
      </w:pPr>
      <w:r w:rsidRPr="00813B77">
        <w:rPr>
          <w:rStyle w:val="Refdenotaalpie"/>
        </w:rPr>
        <w:footnoteRef/>
      </w:r>
      <w:r w:rsidRPr="00813B77">
        <w:t xml:space="preserve"> </w:t>
      </w:r>
      <w:r w:rsidRPr="00813B77">
        <w:rPr>
          <w:lang w:val="es-ES"/>
        </w:rPr>
        <w:t>Ib., p. 12.</w:t>
      </w:r>
      <w:r w:rsidRPr="0001612F">
        <w:t xml:space="preserve"> </w:t>
      </w:r>
      <w:r w:rsidRPr="00813B77">
        <w:t>Al respecto, el interviniente mencionó a la Consejería Presidencial de Estabilización y Consolidación, las fuerzas de tarea conjunta.</w:t>
      </w:r>
    </w:p>
  </w:footnote>
  <w:footnote w:id="1048">
    <w:p w14:paraId="668D35A3"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w:t>
      </w:r>
      <w:r>
        <w:rPr>
          <w:lang w:val="es-ES_tradnl"/>
        </w:rPr>
        <w:t>ág</w:t>
      </w:r>
      <w:r w:rsidRPr="00813B77">
        <w:rPr>
          <w:lang w:val="es-ES_tradnl"/>
        </w:rPr>
        <w:t>. 15.</w:t>
      </w:r>
    </w:p>
  </w:footnote>
  <w:footnote w:id="1049">
    <w:p w14:paraId="524FABF2"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50">
    <w:p w14:paraId="558434CF" w14:textId="77777777" w:rsidR="001F3006" w:rsidRPr="00813B77" w:rsidRDefault="001F3006" w:rsidP="00C454A1">
      <w:pPr>
        <w:pStyle w:val="Textonotapie"/>
        <w:rPr>
          <w:lang w:val="es-ES_tradnl"/>
        </w:rPr>
      </w:pPr>
      <w:r w:rsidRPr="00813B77">
        <w:rPr>
          <w:rStyle w:val="Refdenotaalpie"/>
        </w:rPr>
        <w:footnoteRef/>
      </w:r>
      <w:r w:rsidRPr="00813B77">
        <w:t xml:space="preserve"> I</w:t>
      </w:r>
      <w:r w:rsidRPr="00813B77">
        <w:rPr>
          <w:lang w:val="es-ES_tradnl"/>
        </w:rPr>
        <w:t>b., p</w:t>
      </w:r>
      <w:r>
        <w:rPr>
          <w:lang w:val="es-ES_tradnl"/>
        </w:rPr>
        <w:t>ág</w:t>
      </w:r>
      <w:r w:rsidRPr="00813B77">
        <w:rPr>
          <w:lang w:val="es-ES_tradnl"/>
        </w:rPr>
        <w:t>. 15.</w:t>
      </w:r>
    </w:p>
  </w:footnote>
  <w:footnote w:id="1051">
    <w:p w14:paraId="4BEAD77E"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17.</w:t>
      </w:r>
    </w:p>
  </w:footnote>
  <w:footnote w:id="1052">
    <w:p w14:paraId="0B59E50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w:t>
      </w:r>
    </w:p>
  </w:footnote>
  <w:footnote w:id="1053">
    <w:p w14:paraId="12B2FDE1" w14:textId="77777777" w:rsidR="001F3006" w:rsidRPr="00813B77" w:rsidRDefault="001F3006" w:rsidP="00C454A1">
      <w:pPr>
        <w:pStyle w:val="Textonotapie"/>
      </w:pPr>
      <w:r w:rsidRPr="00813B77">
        <w:rPr>
          <w:rStyle w:val="Refdenotaalpie"/>
        </w:rPr>
        <w:footnoteRef/>
      </w:r>
      <w:r w:rsidRPr="00813B77">
        <w:t xml:space="preserve"> Intervención de la Asociación Colombiana de Minería, pág. 8. </w:t>
      </w:r>
    </w:p>
  </w:footnote>
  <w:footnote w:id="1054">
    <w:p w14:paraId="77C26226" w14:textId="77777777" w:rsidR="001F3006" w:rsidRPr="00813B77" w:rsidRDefault="001F3006" w:rsidP="00C454A1">
      <w:pPr>
        <w:pStyle w:val="Textonotapie"/>
      </w:pPr>
      <w:r w:rsidRPr="00813B77">
        <w:rPr>
          <w:rStyle w:val="Refdenotaalpie"/>
        </w:rPr>
        <w:footnoteRef/>
      </w:r>
      <w:r w:rsidRPr="00813B77">
        <w:t xml:space="preserve"> Ib., pág. 9. </w:t>
      </w:r>
    </w:p>
  </w:footnote>
  <w:footnote w:id="1055">
    <w:p w14:paraId="773C3B98" w14:textId="77777777" w:rsidR="001F3006" w:rsidRPr="00813B77" w:rsidRDefault="001F3006" w:rsidP="00C454A1">
      <w:pPr>
        <w:pStyle w:val="Textonotapie"/>
      </w:pPr>
      <w:r w:rsidRPr="00813B77">
        <w:rPr>
          <w:rStyle w:val="Refdenotaalpie"/>
        </w:rPr>
        <w:footnoteRef/>
      </w:r>
      <w:r w:rsidRPr="00813B77">
        <w:t xml:space="preserve"> Ib., pág. 10. </w:t>
      </w:r>
    </w:p>
  </w:footnote>
  <w:footnote w:id="1056">
    <w:p w14:paraId="5CC736B8" w14:textId="77777777" w:rsidR="001F3006" w:rsidRPr="00813B77" w:rsidRDefault="001F3006" w:rsidP="00C454A1">
      <w:pPr>
        <w:pStyle w:val="Textonotapie"/>
      </w:pPr>
      <w:r w:rsidRPr="00813B77">
        <w:rPr>
          <w:rStyle w:val="Refdenotaalpie"/>
        </w:rPr>
        <w:footnoteRef/>
      </w:r>
      <w:r w:rsidRPr="00813B77">
        <w:t xml:space="preserve"> Ib., pág</w:t>
      </w:r>
      <w:r>
        <w:t>.</w:t>
      </w:r>
      <w:r w:rsidRPr="00813B77">
        <w:t xml:space="preserve"> 11. </w:t>
      </w:r>
    </w:p>
  </w:footnote>
  <w:footnote w:id="1057">
    <w:p w14:paraId="618B1E76" w14:textId="77777777" w:rsidR="001F3006" w:rsidRPr="00813B77" w:rsidRDefault="001F3006" w:rsidP="00C454A1">
      <w:pPr>
        <w:pStyle w:val="Textonotapie"/>
      </w:pPr>
      <w:r w:rsidRPr="00813B77">
        <w:rPr>
          <w:rStyle w:val="Refdenotaalpie"/>
        </w:rPr>
        <w:footnoteRef/>
      </w:r>
      <w:r w:rsidRPr="00813B77">
        <w:t xml:space="preserve"> Ib., pág</w:t>
      </w:r>
      <w:r>
        <w:t>.</w:t>
      </w:r>
      <w:r w:rsidRPr="00813B77">
        <w:t xml:space="preserve"> 14. </w:t>
      </w:r>
    </w:p>
  </w:footnote>
  <w:footnote w:id="1058">
    <w:p w14:paraId="311C8B1B" w14:textId="77777777" w:rsidR="001F3006" w:rsidRPr="00813B77" w:rsidRDefault="001F3006" w:rsidP="00C454A1">
      <w:pPr>
        <w:pStyle w:val="Textonotapie"/>
      </w:pPr>
      <w:r w:rsidRPr="00813B77">
        <w:rPr>
          <w:rStyle w:val="Refdenotaalpie"/>
        </w:rPr>
        <w:footnoteRef/>
      </w:r>
      <w:r w:rsidRPr="00813B77">
        <w:t xml:space="preserve"> Ib., pág. 14. </w:t>
      </w:r>
    </w:p>
  </w:footnote>
  <w:footnote w:id="1059">
    <w:p w14:paraId="2F11566A" w14:textId="77777777" w:rsidR="001F3006" w:rsidRPr="00813B77" w:rsidRDefault="001F3006" w:rsidP="00C454A1">
      <w:pPr>
        <w:pStyle w:val="Textonotapie"/>
      </w:pPr>
      <w:r w:rsidRPr="00813B77">
        <w:rPr>
          <w:rStyle w:val="Refdenotaalpie"/>
        </w:rPr>
        <w:footnoteRef/>
      </w:r>
      <w:r w:rsidRPr="00813B77">
        <w:t xml:space="preserve"> Ib., pág. 18. </w:t>
      </w:r>
    </w:p>
  </w:footnote>
  <w:footnote w:id="1060">
    <w:p w14:paraId="472CDE8C" w14:textId="77777777" w:rsidR="001F3006" w:rsidRPr="00813B77" w:rsidRDefault="001F3006" w:rsidP="00C454A1">
      <w:pPr>
        <w:pStyle w:val="Textonotapie"/>
      </w:pPr>
      <w:r w:rsidRPr="00813B77">
        <w:rPr>
          <w:rStyle w:val="Refdenotaalpie"/>
        </w:rPr>
        <w:footnoteRef/>
      </w:r>
      <w:r w:rsidRPr="00813B77">
        <w:t xml:space="preserve"> Ib., pág. 20.</w:t>
      </w:r>
    </w:p>
  </w:footnote>
  <w:footnote w:id="1061">
    <w:p w14:paraId="1F6289FC" w14:textId="77777777" w:rsidR="001F3006" w:rsidRPr="00813B77" w:rsidRDefault="001F3006" w:rsidP="00C454A1">
      <w:pPr>
        <w:pStyle w:val="Textonotapie"/>
      </w:pPr>
      <w:r w:rsidRPr="00813B77">
        <w:rPr>
          <w:rStyle w:val="Refdenotaalpie"/>
        </w:rPr>
        <w:footnoteRef/>
      </w:r>
      <w:r w:rsidRPr="00813B77">
        <w:t xml:space="preserve"> Ib., pág. 20. </w:t>
      </w:r>
    </w:p>
  </w:footnote>
  <w:footnote w:id="1062">
    <w:p w14:paraId="22545C52" w14:textId="77777777" w:rsidR="001F3006" w:rsidRPr="00813B77" w:rsidRDefault="001F3006" w:rsidP="00C454A1">
      <w:pPr>
        <w:pStyle w:val="Textonotapie"/>
      </w:pPr>
      <w:r w:rsidRPr="00813B77">
        <w:rPr>
          <w:rStyle w:val="Refdenotaalpie"/>
        </w:rPr>
        <w:footnoteRef/>
      </w:r>
      <w:r w:rsidRPr="00813B77">
        <w:t xml:space="preserve"> Ib., pág. 22.</w:t>
      </w:r>
    </w:p>
  </w:footnote>
  <w:footnote w:id="1063">
    <w:p w14:paraId="19666C1D" w14:textId="77777777" w:rsidR="001F3006" w:rsidRPr="00813B77" w:rsidRDefault="001F3006" w:rsidP="00C454A1">
      <w:pPr>
        <w:pStyle w:val="Textonotapie"/>
      </w:pPr>
      <w:r w:rsidRPr="00813B77">
        <w:rPr>
          <w:rStyle w:val="Refdenotaalpie"/>
        </w:rPr>
        <w:footnoteRef/>
      </w:r>
      <w:r w:rsidRPr="00813B77">
        <w:t xml:space="preserve"> Ib., pág. 22</w:t>
      </w:r>
    </w:p>
  </w:footnote>
  <w:footnote w:id="1064">
    <w:p w14:paraId="094E6277" w14:textId="77777777" w:rsidR="001F3006" w:rsidRPr="00813B77" w:rsidRDefault="001F3006" w:rsidP="00C454A1">
      <w:pPr>
        <w:pStyle w:val="Textonotapie"/>
        <w:rPr>
          <w:lang w:val="es-ES_tradnl"/>
        </w:rPr>
      </w:pPr>
      <w:r w:rsidRPr="00813B77">
        <w:rPr>
          <w:rStyle w:val="Refdenotaalpie"/>
        </w:rPr>
        <w:footnoteRef/>
      </w:r>
      <w:r w:rsidRPr="00813B77">
        <w:t xml:space="preserve"> </w:t>
      </w:r>
      <w:r>
        <w:t xml:space="preserve">Intervención de la ciudadana </w:t>
      </w:r>
      <w:r w:rsidRPr="00813B77">
        <w:rPr>
          <w:lang w:val="es-ES_tradnl"/>
        </w:rPr>
        <w:t xml:space="preserve">Paloma Susana Valencia </w:t>
      </w:r>
      <w:proofErr w:type="spellStart"/>
      <w:r w:rsidRPr="00813B77">
        <w:rPr>
          <w:lang w:val="es-ES_tradnl"/>
        </w:rPr>
        <w:t>Laserna</w:t>
      </w:r>
      <w:proofErr w:type="spellEnd"/>
      <w:r>
        <w:rPr>
          <w:lang w:val="es-ES_tradnl"/>
        </w:rPr>
        <w:t xml:space="preserve">, </w:t>
      </w:r>
      <w:r w:rsidRPr="00813B77">
        <w:rPr>
          <w:lang w:val="es-ES_tradnl"/>
        </w:rPr>
        <w:t>p</w:t>
      </w:r>
      <w:r>
        <w:rPr>
          <w:lang w:val="es-ES_tradnl"/>
        </w:rPr>
        <w:t>ágs</w:t>
      </w:r>
      <w:r w:rsidRPr="00813B77">
        <w:rPr>
          <w:lang w:val="es-ES_tradnl"/>
        </w:rPr>
        <w:t xml:space="preserve">. 2 </w:t>
      </w:r>
      <w:r>
        <w:rPr>
          <w:lang w:val="es-ES_tradnl"/>
        </w:rPr>
        <w:t>y</w:t>
      </w:r>
      <w:r w:rsidRPr="00813B77">
        <w:rPr>
          <w:lang w:val="es-ES_tradnl"/>
        </w:rPr>
        <w:t xml:space="preserve"> 10.</w:t>
      </w:r>
    </w:p>
  </w:footnote>
  <w:footnote w:id="1065">
    <w:p w14:paraId="1F241F1D"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xml:space="preserve"> p</w:t>
      </w:r>
      <w:r>
        <w:rPr>
          <w:lang w:val="es-ES_tradnl"/>
        </w:rPr>
        <w:t>ág</w:t>
      </w:r>
      <w:r w:rsidRPr="00813B77">
        <w:rPr>
          <w:lang w:val="es-ES_tradnl"/>
        </w:rPr>
        <w:t>. 10.</w:t>
      </w:r>
    </w:p>
  </w:footnote>
  <w:footnote w:id="1066">
    <w:p w14:paraId="47CA51A2"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ágs</w:t>
      </w:r>
      <w:r w:rsidRPr="00813B77">
        <w:rPr>
          <w:lang w:val="es-ES_tradnl"/>
        </w:rPr>
        <w:t>. 2</w:t>
      </w:r>
      <w:r>
        <w:rPr>
          <w:lang w:val="es-ES_tradnl"/>
        </w:rPr>
        <w:t xml:space="preserve"> y </w:t>
      </w:r>
      <w:r w:rsidRPr="00813B77">
        <w:rPr>
          <w:lang w:val="es-ES_tradnl"/>
        </w:rPr>
        <w:t>3.</w:t>
      </w:r>
    </w:p>
  </w:footnote>
  <w:footnote w:id="1067">
    <w:p w14:paraId="37AA933C"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p</w:t>
      </w:r>
      <w:r>
        <w:rPr>
          <w:lang w:val="es-ES_tradnl"/>
        </w:rPr>
        <w:t>ág</w:t>
      </w:r>
      <w:r w:rsidRPr="00813B77">
        <w:rPr>
          <w:lang w:val="es-ES_tradnl"/>
        </w:rPr>
        <w:t>. 6.</w:t>
      </w:r>
    </w:p>
  </w:footnote>
  <w:footnote w:id="1068">
    <w:p w14:paraId="25DF4768"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p</w:t>
      </w:r>
      <w:r>
        <w:rPr>
          <w:lang w:val="es-ES_tradnl"/>
        </w:rPr>
        <w:t>ág</w:t>
      </w:r>
      <w:r w:rsidRPr="00813B77">
        <w:rPr>
          <w:lang w:val="es-ES_tradnl"/>
        </w:rPr>
        <w:t>. 4.</w:t>
      </w:r>
    </w:p>
  </w:footnote>
  <w:footnote w:id="1069">
    <w:p w14:paraId="01C315C2"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ágs</w:t>
      </w:r>
      <w:r w:rsidRPr="00813B77">
        <w:rPr>
          <w:lang w:val="es-ES_tradnl"/>
        </w:rPr>
        <w:t>. 4</w:t>
      </w:r>
      <w:r>
        <w:rPr>
          <w:lang w:val="es-ES_tradnl"/>
        </w:rPr>
        <w:t xml:space="preserve"> y </w:t>
      </w:r>
      <w:r w:rsidRPr="00813B77">
        <w:rPr>
          <w:lang w:val="es-ES_tradnl"/>
        </w:rPr>
        <w:t xml:space="preserve">6. La interviniente también aseguró que una falta de motivación semejante sobre el requisito de suficiencia llevó a la Corte Constitucional, en su momento, a declarar la inconstitucionalidad del Decreto Legislativo 3929 de 2008. Además, precisó que de conformidad con la sentencia C-070 de 2009, la presunta necesidad de “incorporar nuevas fuentes de recursos en el Presupuesto General de la Nación para cubrir gastos no previstos con anterioridad no constituye un análisis del alcance de los poderes de policía de los cuales está revestido el Presidente”. Por otro lado, sostuvo que el Gobierno </w:t>
      </w:r>
      <w:r>
        <w:rPr>
          <w:lang w:val="es-ES_tradnl"/>
        </w:rPr>
        <w:t>n</w:t>
      </w:r>
      <w:r w:rsidRPr="00813B77">
        <w:rPr>
          <w:lang w:val="es-ES_tradnl"/>
        </w:rPr>
        <w:t>acional no argumentó por qué, por ejemplo, no tramitó una “Ley de adición presupuestal, tal como realizó en 2023 mediante la Ley 2299”.</w:t>
      </w:r>
    </w:p>
  </w:footnote>
  <w:footnote w:id="1070">
    <w:p w14:paraId="34267710"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8.</w:t>
      </w:r>
    </w:p>
  </w:footnote>
  <w:footnote w:id="1071">
    <w:p w14:paraId="42B27483"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p</w:t>
      </w:r>
      <w:r>
        <w:rPr>
          <w:lang w:val="es-ES_tradnl"/>
        </w:rPr>
        <w:t>ág</w:t>
      </w:r>
      <w:r w:rsidRPr="00813B77">
        <w:rPr>
          <w:lang w:val="es-ES_tradnl"/>
        </w:rPr>
        <w:t>. 9.</w:t>
      </w:r>
    </w:p>
  </w:footnote>
  <w:footnote w:id="1072">
    <w:p w14:paraId="532C8BF2"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 xml:space="preserve">En la intervención participaron: Carolina Jiménez </w:t>
      </w:r>
      <w:proofErr w:type="spellStart"/>
      <w:r w:rsidRPr="00813B77">
        <w:rPr>
          <w:lang w:val="es-ES_tradnl"/>
        </w:rPr>
        <w:t>Bellicia</w:t>
      </w:r>
      <w:proofErr w:type="spellEnd"/>
      <w:r w:rsidRPr="00813B77">
        <w:rPr>
          <w:lang w:val="es-ES_tradnl"/>
        </w:rPr>
        <w:t xml:space="preserve">, como coordinadora del Grupo de Gerencia de Defensa Judicial del DAPRE; </w:t>
      </w:r>
      <w:proofErr w:type="spellStart"/>
      <w:r w:rsidRPr="00813B77">
        <w:rPr>
          <w:lang w:val="es-ES_tradnl"/>
        </w:rPr>
        <w:t>Letty</w:t>
      </w:r>
      <w:proofErr w:type="spellEnd"/>
      <w:r w:rsidRPr="00813B77">
        <w:rPr>
          <w:lang w:val="es-ES_tradnl"/>
        </w:rPr>
        <w:t xml:space="preserve"> </w:t>
      </w:r>
      <w:proofErr w:type="spellStart"/>
      <w:r w:rsidRPr="00813B77">
        <w:rPr>
          <w:lang w:val="es-ES_tradnl"/>
        </w:rPr>
        <w:t>Rosmira</w:t>
      </w:r>
      <w:proofErr w:type="spellEnd"/>
      <w:r w:rsidRPr="00813B77">
        <w:rPr>
          <w:lang w:val="es-ES_tradnl"/>
        </w:rPr>
        <w:t xml:space="preserve"> Leal Maldonado, como directora jurídica del Ministerio del interior; Camilo Andrés Escobar Gutiérrez, como jefe de la Oficina Asesora Jurídica del Ministerio de Relaciones Exteriores; Óscar </w:t>
      </w:r>
      <w:proofErr w:type="spellStart"/>
      <w:r w:rsidRPr="00813B77">
        <w:rPr>
          <w:lang w:val="es-ES_tradnl"/>
        </w:rPr>
        <w:t>Januario</w:t>
      </w:r>
      <w:proofErr w:type="spellEnd"/>
      <w:r w:rsidRPr="00813B77">
        <w:rPr>
          <w:lang w:val="es-ES_tradnl"/>
        </w:rPr>
        <w:t xml:space="preserve"> Bocanegra Ramírez, como delegado del Ministro de Hacienda y Crédito Público; Óscar Mauricio Ceballos Martínez, como Director de Desarrollo del Derecho y del Ordenamiento Jurídico del Ministerio de Justicia y del Derecho; Luis Hernán </w:t>
      </w:r>
      <w:proofErr w:type="spellStart"/>
      <w:r w:rsidRPr="00813B77">
        <w:rPr>
          <w:lang w:val="es-ES_tradnl"/>
        </w:rPr>
        <w:t>Tutalcha</w:t>
      </w:r>
      <w:proofErr w:type="spellEnd"/>
      <w:r w:rsidRPr="00813B77">
        <w:rPr>
          <w:lang w:val="es-ES_tradnl"/>
        </w:rPr>
        <w:t xml:space="preserve"> Ruiz, como jefe de la Oficina Asesora Jurídica del Ministerio de Defensa Nacional; Jorge Enrique </w:t>
      </w:r>
      <w:proofErr w:type="spellStart"/>
      <w:r w:rsidRPr="00813B77">
        <w:rPr>
          <w:lang w:val="es-ES_tradnl"/>
        </w:rPr>
        <w:t>Moncaleano</w:t>
      </w:r>
      <w:proofErr w:type="spellEnd"/>
      <w:r w:rsidRPr="00813B77">
        <w:rPr>
          <w:lang w:val="es-ES_tradnl"/>
        </w:rPr>
        <w:t xml:space="preserve"> Ospina, como jefe de la Oficina Asesora Jurídica del Ministerio de Agricultura; Rodolfo Salas Figueroa, como Director de Desarrollo del Derecho y del Ordenamiento Jurídico del Ministerio de Salud y Protección Social; Andrés Felipe </w:t>
      </w:r>
      <w:proofErr w:type="spellStart"/>
      <w:r w:rsidRPr="00813B77">
        <w:rPr>
          <w:lang w:val="es-ES_tradnl"/>
        </w:rPr>
        <w:t>Quinterio</w:t>
      </w:r>
      <w:proofErr w:type="spellEnd"/>
      <w:r w:rsidRPr="00813B77">
        <w:rPr>
          <w:lang w:val="es-ES_tradnl"/>
        </w:rPr>
        <w:t xml:space="preserve"> Valencia, como jefe de la Oficina Asesora Jurídica del Ministerio de Trabajo; Jorge Eduardo Salgado Ardila, como jefe de la Oficina Asesora Jurídica del Ministerio de Minas y Energía; Mónica Fernanda Yajaira Leonel Martínez, como jefe de la Oficina Asesora Jurídica del Ministerio de Comercio, Industria y Turismo; William Felipe Hurtado Quintero, como jefe de la Oficina Asesora Jurídica del Ministerio de Educación; Alicia Andrea Baquero Ortegón, como jefe de la Oficina Asesora Jurídica del Ministerio de Ambiente y Desarrollo Sostenible; Nelson Alirio Muñoz Leguizamón, como jefe de la Oficina Asesora Jurídica del Ministerio de Vivienda, Ciudad y Territorio; Lucas Leonardo Quevedo Barrero, como director técnico de la Dirección Jurídica del Ministerio de Tecnologías de la Información y las Comunicaciones; Jorge Guillermo Salazar Chávez, como jefe (E) de la Oficina Asesora Jurídica del Ministerio de Transporte; Óscar Javier Fonseca Gómez, como jefe de la Oficina Asesora Jurídica del Ministerio de las Culturas, las Artes y los Saberes; Miguel Antonio de la Hoz García, como jefe de la Oficina Asesora Jurídica del Ministerio del Deporte; Octavio Hernando Sandoval Rozo, como jefe de la Oficina Asesora Jurídica del Ministerio de Ciencia, Tecnología e Innovación; y Efraín Alberto Becerra Gómez, como jefe de la Oficina Asesora Jurídica del Ministerio de Igualdad y Equidad.</w:t>
      </w:r>
    </w:p>
  </w:footnote>
  <w:footnote w:id="1073">
    <w:p w14:paraId="6F01B24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B13F46">
        <w:rPr>
          <w:lang w:val="es-ES_tradnl"/>
        </w:rPr>
        <w:t xml:space="preserve">Carolina Jiménez </w:t>
      </w:r>
      <w:proofErr w:type="spellStart"/>
      <w:r w:rsidRPr="00B13F46">
        <w:rPr>
          <w:lang w:val="es-ES_tradnl"/>
        </w:rPr>
        <w:t>Bellicia</w:t>
      </w:r>
      <w:proofErr w:type="spellEnd"/>
      <w:r w:rsidRPr="00B13F46">
        <w:rPr>
          <w:lang w:val="es-ES_tradnl"/>
        </w:rPr>
        <w:t xml:space="preserve"> y otros funcionarios del Gobierno </w:t>
      </w:r>
      <w:r>
        <w:rPr>
          <w:lang w:val="es-ES_tradnl"/>
        </w:rPr>
        <w:t>n</w:t>
      </w:r>
      <w:r w:rsidRPr="00B13F46">
        <w:rPr>
          <w:lang w:val="es-ES_tradnl"/>
        </w:rPr>
        <w:t>acional</w:t>
      </w:r>
      <w:r>
        <w:rPr>
          <w:lang w:val="es-ES_tradnl"/>
        </w:rPr>
        <w:t xml:space="preserve">, </w:t>
      </w:r>
      <w:r w:rsidRPr="00813B77">
        <w:rPr>
          <w:lang w:val="es-ES_tradnl"/>
        </w:rPr>
        <w:t>p</w:t>
      </w:r>
      <w:r>
        <w:rPr>
          <w:lang w:val="es-ES_tradnl"/>
        </w:rPr>
        <w:t>ágs</w:t>
      </w:r>
      <w:r w:rsidRPr="00813B77">
        <w:rPr>
          <w:lang w:val="es-ES_tradnl"/>
        </w:rPr>
        <w:t>. 2</w:t>
      </w:r>
      <w:r>
        <w:rPr>
          <w:lang w:val="es-ES_tradnl"/>
        </w:rPr>
        <w:t xml:space="preserve"> y </w:t>
      </w:r>
      <w:r w:rsidRPr="00813B77">
        <w:rPr>
          <w:lang w:val="es-ES_tradnl"/>
        </w:rPr>
        <w:t>3.</w:t>
      </w:r>
    </w:p>
  </w:footnote>
  <w:footnote w:id="1074">
    <w:p w14:paraId="2F2064AC"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p</w:t>
      </w:r>
      <w:r>
        <w:rPr>
          <w:lang w:val="es-ES_tradnl"/>
        </w:rPr>
        <w:t>ág</w:t>
      </w:r>
      <w:r w:rsidRPr="00813B77">
        <w:rPr>
          <w:lang w:val="es-ES_tradnl"/>
        </w:rPr>
        <w:t xml:space="preserve">. 4. </w:t>
      </w:r>
    </w:p>
  </w:footnote>
  <w:footnote w:id="1075">
    <w:p w14:paraId="08C2D41C"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xml:space="preserve"> p</w:t>
      </w:r>
      <w:r>
        <w:rPr>
          <w:lang w:val="es-ES_tradnl"/>
        </w:rPr>
        <w:t>ág</w:t>
      </w:r>
      <w:r w:rsidRPr="00813B77">
        <w:rPr>
          <w:lang w:val="es-ES_tradnl"/>
        </w:rPr>
        <w:t xml:space="preserve">. 8-9. </w:t>
      </w:r>
    </w:p>
  </w:footnote>
  <w:footnote w:id="1076">
    <w:p w14:paraId="354FDD6F" w14:textId="77777777" w:rsidR="001F3006" w:rsidRPr="00813B77" w:rsidRDefault="001F3006" w:rsidP="00C454A1">
      <w:pPr>
        <w:pStyle w:val="Textonotapie"/>
      </w:pPr>
      <w:r w:rsidRPr="00813B77">
        <w:rPr>
          <w:rStyle w:val="Refdenotaalpie"/>
        </w:rPr>
        <w:footnoteRef/>
      </w:r>
      <w:r w:rsidRPr="00813B77">
        <w:t xml:space="preserve"> </w:t>
      </w:r>
      <w:r>
        <w:rPr>
          <w:lang w:val="es-ES_tradnl"/>
        </w:rPr>
        <w:t>Ib.</w:t>
      </w:r>
      <w:r w:rsidRPr="00813B77">
        <w:rPr>
          <w:lang w:val="es-ES_tradnl"/>
        </w:rPr>
        <w:t>, p</w:t>
      </w:r>
      <w:r>
        <w:rPr>
          <w:lang w:val="es-ES_tradnl"/>
        </w:rPr>
        <w:t>ág</w:t>
      </w:r>
      <w:r w:rsidRPr="00813B77">
        <w:rPr>
          <w:lang w:val="es-ES_tradnl"/>
        </w:rPr>
        <w:t xml:space="preserve">. 10. </w:t>
      </w:r>
    </w:p>
  </w:footnote>
  <w:footnote w:id="1077">
    <w:p w14:paraId="53EECC0E" w14:textId="77777777" w:rsidR="001F3006" w:rsidRPr="00813B77" w:rsidRDefault="001F3006" w:rsidP="00C454A1">
      <w:pPr>
        <w:pStyle w:val="Textonotapie"/>
        <w:rPr>
          <w:lang w:val="es-ES_tradnl"/>
        </w:rPr>
      </w:pPr>
      <w:r w:rsidRPr="00813B77">
        <w:rPr>
          <w:rStyle w:val="Refdenotaalpie"/>
        </w:rPr>
        <w:footnoteRef/>
      </w:r>
      <w:r>
        <w:t xml:space="preserve"> Ib.,</w:t>
      </w:r>
      <w:r w:rsidRPr="00813B77">
        <w:rPr>
          <w:lang w:val="es-ES_tradnl"/>
        </w:rPr>
        <w:t xml:space="preserve"> p</w:t>
      </w:r>
      <w:r>
        <w:rPr>
          <w:lang w:val="es-ES_tradnl"/>
        </w:rPr>
        <w:t>ág</w:t>
      </w:r>
      <w:r w:rsidRPr="00813B77">
        <w:rPr>
          <w:lang w:val="es-ES_tradnl"/>
        </w:rPr>
        <w:t xml:space="preserve">. 10. </w:t>
      </w:r>
    </w:p>
  </w:footnote>
  <w:footnote w:id="1078">
    <w:p w14:paraId="0B172209" w14:textId="77777777" w:rsidR="001F3006" w:rsidRPr="00813B77" w:rsidRDefault="001F3006" w:rsidP="00C454A1">
      <w:pPr>
        <w:pStyle w:val="Textonotapie"/>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xml:space="preserve">. 10. </w:t>
      </w:r>
    </w:p>
  </w:footnote>
  <w:footnote w:id="1079">
    <w:p w14:paraId="11816ACB"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p</w:t>
      </w:r>
      <w:r>
        <w:rPr>
          <w:lang w:val="es-ES_tradnl"/>
        </w:rPr>
        <w:t>ág</w:t>
      </w:r>
      <w:r w:rsidRPr="00813B77">
        <w:rPr>
          <w:lang w:val="es-ES_tradnl"/>
        </w:rPr>
        <w:t>. 12.</w:t>
      </w:r>
    </w:p>
  </w:footnote>
  <w:footnote w:id="1080">
    <w:p w14:paraId="2CEAB814"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13.</w:t>
      </w:r>
    </w:p>
  </w:footnote>
  <w:footnote w:id="1081">
    <w:p w14:paraId="43A491EF"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xml:space="preserve"> 14. </w:t>
      </w:r>
    </w:p>
  </w:footnote>
  <w:footnote w:id="1082">
    <w:p w14:paraId="1B7F6048"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ágs.</w:t>
      </w:r>
      <w:r w:rsidRPr="00813B77">
        <w:rPr>
          <w:lang w:val="es-ES_tradnl"/>
        </w:rPr>
        <w:t xml:space="preserve"> 14</w:t>
      </w:r>
      <w:r>
        <w:rPr>
          <w:lang w:val="es-ES_tradnl"/>
        </w:rPr>
        <w:t xml:space="preserve"> y </w:t>
      </w:r>
      <w:r w:rsidRPr="00813B77">
        <w:rPr>
          <w:lang w:val="es-ES_tradnl"/>
        </w:rPr>
        <w:t xml:space="preserve">20. </w:t>
      </w:r>
    </w:p>
  </w:footnote>
  <w:footnote w:id="1083">
    <w:p w14:paraId="009D7790"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21.</w:t>
      </w:r>
    </w:p>
  </w:footnote>
  <w:footnote w:id="1084">
    <w:p w14:paraId="340074C7"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xml:space="preserve"> p</w:t>
      </w:r>
      <w:r>
        <w:rPr>
          <w:lang w:val="es-ES_tradnl"/>
        </w:rPr>
        <w:t>ág</w:t>
      </w:r>
      <w:r w:rsidRPr="00813B77">
        <w:rPr>
          <w:lang w:val="es-ES_tradnl"/>
        </w:rPr>
        <w:t>. 22.</w:t>
      </w:r>
    </w:p>
  </w:footnote>
  <w:footnote w:id="1085">
    <w:p w14:paraId="108CC93E"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p</w:t>
      </w:r>
      <w:r>
        <w:rPr>
          <w:lang w:val="es-ES_tradnl"/>
        </w:rPr>
        <w:t>ág</w:t>
      </w:r>
      <w:r w:rsidRPr="00813B77">
        <w:rPr>
          <w:lang w:val="es-ES_tradnl"/>
        </w:rPr>
        <w:t xml:space="preserve">. 23. De acuerdo con los intervinientes, el carácter grave e imprevisible de la situación que dio origen al estado de conmoción interior surgió de los siguientes hechos: “(i) 102 firmantes del acuerdo final de paz fueron desplazados de la región del Catatumbo, junto con sus familias, (ii) 5 fueron asesinados y (iii) 11 se encontraban desaparecidos. De igual manera, y con respecto a la población civil, se presentaron las situaciones que se enuncian: (iv) al menos 38 homicidios, incluidos 5 firmantes del acuerdo final de paz; (v) 36.137 personas desplazadas de la región del Catatumbo; (vi) 395 personas evacuadas de las zonas de conflicto, entre ellas 14 firmantes del acuerdo final de paz y 17 de sus familiares, y 52 personas que esperaban ser evacuadas de esas zonas; (vii) 16.482 personas desplazadas resguardadas en albergues y refugios en distintos municipios de Norte de Santander; (viii) entre 400 y 700 migrantes diarios a territorio venezolano; y (ix) 7.122 personas confinadas en los municipios de </w:t>
      </w:r>
      <w:proofErr w:type="spellStart"/>
      <w:r w:rsidRPr="00813B77">
        <w:rPr>
          <w:lang w:val="es-ES_tradnl"/>
        </w:rPr>
        <w:t>Tibú</w:t>
      </w:r>
      <w:proofErr w:type="spellEnd"/>
      <w:r w:rsidRPr="00813B77">
        <w:rPr>
          <w:lang w:val="es-ES_tradnl"/>
        </w:rPr>
        <w:t xml:space="preserve">, </w:t>
      </w:r>
      <w:proofErr w:type="spellStart"/>
      <w:r w:rsidRPr="00813B77">
        <w:rPr>
          <w:lang w:val="es-ES_tradnl"/>
        </w:rPr>
        <w:t>Teorama</w:t>
      </w:r>
      <w:proofErr w:type="spellEnd"/>
      <w:r w:rsidRPr="00813B77">
        <w:rPr>
          <w:lang w:val="es-ES_tradnl"/>
        </w:rPr>
        <w:t xml:space="preserve"> y San Calixto”.</w:t>
      </w:r>
    </w:p>
  </w:footnote>
  <w:footnote w:id="1086">
    <w:p w14:paraId="0411116D"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37.</w:t>
      </w:r>
    </w:p>
  </w:footnote>
  <w:footnote w:id="1087">
    <w:p w14:paraId="1DD63FC7" w14:textId="77777777" w:rsidR="001F3006" w:rsidRPr="00813B77" w:rsidRDefault="001F3006" w:rsidP="00C454A1">
      <w:pPr>
        <w:pStyle w:val="Textonotapie"/>
        <w:rPr>
          <w:lang w:val="es-ES_tradnl"/>
        </w:rPr>
      </w:pPr>
      <w:r w:rsidRPr="00813B77">
        <w:rPr>
          <w:rStyle w:val="Refdenotaalpie"/>
        </w:rPr>
        <w:footnoteRef/>
      </w:r>
      <w:r>
        <w:t xml:space="preserve"> I</w:t>
      </w:r>
      <w:r>
        <w:rPr>
          <w:lang w:val="es-ES_tradnl"/>
        </w:rPr>
        <w:t>b</w:t>
      </w:r>
      <w:r w:rsidRPr="00813B77">
        <w:rPr>
          <w:lang w:val="es-ES_tradnl"/>
        </w:rPr>
        <w:t>.</w:t>
      </w:r>
      <w:r>
        <w:rPr>
          <w:lang w:val="es-ES_tradnl"/>
        </w:rPr>
        <w:t>, pág.</w:t>
      </w:r>
      <w:r w:rsidRPr="00813B77">
        <w:rPr>
          <w:lang w:val="es-ES_tradnl"/>
        </w:rPr>
        <w:t xml:space="preserve"> 31.</w:t>
      </w:r>
    </w:p>
  </w:footnote>
  <w:footnote w:id="1088">
    <w:p w14:paraId="3F5987D4"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ágs</w:t>
      </w:r>
      <w:r w:rsidRPr="00813B77">
        <w:rPr>
          <w:lang w:val="es-ES_tradnl"/>
        </w:rPr>
        <w:t>. 32</w:t>
      </w:r>
      <w:r>
        <w:rPr>
          <w:lang w:val="es-ES_tradnl"/>
        </w:rPr>
        <w:t xml:space="preserve"> y </w:t>
      </w:r>
      <w:r w:rsidRPr="00813B77">
        <w:rPr>
          <w:lang w:val="es-ES_tradnl"/>
        </w:rPr>
        <w:t>34.</w:t>
      </w:r>
    </w:p>
  </w:footnote>
  <w:footnote w:id="1089">
    <w:p w14:paraId="68BC99A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31.</w:t>
      </w:r>
    </w:p>
  </w:footnote>
  <w:footnote w:id="1090">
    <w:p w14:paraId="265EB445"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38.</w:t>
      </w:r>
    </w:p>
  </w:footnote>
  <w:footnote w:id="1091">
    <w:p w14:paraId="1A367B6F"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w:t>
      </w:r>
    </w:p>
  </w:footnote>
  <w:footnote w:id="1092">
    <w:p w14:paraId="372A05ED"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ágs</w:t>
      </w:r>
      <w:r w:rsidRPr="00813B77">
        <w:rPr>
          <w:lang w:val="es-ES_tradnl"/>
        </w:rPr>
        <w:t>. 38</w:t>
      </w:r>
      <w:r>
        <w:rPr>
          <w:lang w:val="es-ES_tradnl"/>
        </w:rPr>
        <w:t xml:space="preserve"> y </w:t>
      </w:r>
      <w:r w:rsidRPr="00813B77">
        <w:rPr>
          <w:lang w:val="es-ES_tradnl"/>
        </w:rPr>
        <w:t>39.</w:t>
      </w:r>
    </w:p>
  </w:footnote>
  <w:footnote w:id="1093">
    <w:p w14:paraId="62321C34"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39</w:t>
      </w:r>
      <w:r>
        <w:rPr>
          <w:lang w:val="es-ES_tradnl"/>
        </w:rPr>
        <w:t xml:space="preserve"> y </w:t>
      </w:r>
      <w:r w:rsidRPr="00813B77">
        <w:rPr>
          <w:lang w:val="es-ES_tradnl"/>
        </w:rPr>
        <w:t>46.</w:t>
      </w:r>
    </w:p>
  </w:footnote>
  <w:footnote w:id="1094">
    <w:p w14:paraId="3770DF31"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Ib.</w:t>
      </w:r>
      <w:r w:rsidRPr="00813B77">
        <w:rPr>
          <w:lang w:val="es-ES_tradnl"/>
        </w:rPr>
        <w:t>, p</w:t>
      </w:r>
      <w:r>
        <w:rPr>
          <w:lang w:val="es-ES_tradnl"/>
        </w:rPr>
        <w:t>ág</w:t>
      </w:r>
      <w:r w:rsidRPr="00813B77">
        <w:rPr>
          <w:lang w:val="es-ES_tradnl"/>
        </w:rPr>
        <w:t>. 47.</w:t>
      </w:r>
    </w:p>
  </w:footnote>
  <w:footnote w:id="1095">
    <w:p w14:paraId="002F2EA6" w14:textId="77777777" w:rsidR="001F3006" w:rsidRPr="00813B77" w:rsidRDefault="001F3006" w:rsidP="00C454A1">
      <w:pPr>
        <w:pStyle w:val="Textonotapie"/>
        <w:rPr>
          <w:lang w:val="es-ES_tradnl"/>
        </w:rPr>
      </w:pPr>
      <w:r w:rsidRPr="00813B77">
        <w:rPr>
          <w:rStyle w:val="Refdenotaalpie"/>
        </w:rPr>
        <w:footnoteRef/>
      </w:r>
      <w:r w:rsidRPr="00813B77">
        <w:t xml:space="preserve"> </w:t>
      </w:r>
      <w:r>
        <w:rPr>
          <w:lang w:val="es-ES_tradnl"/>
        </w:rPr>
        <w:t xml:space="preserve">Ib., </w:t>
      </w:r>
      <w:r w:rsidRPr="00813B77">
        <w:rPr>
          <w:lang w:val="es-ES_tradnl"/>
        </w:rPr>
        <w:t>p</w:t>
      </w:r>
      <w:r>
        <w:rPr>
          <w:lang w:val="es-ES_tradnl"/>
        </w:rPr>
        <w:t>ág</w:t>
      </w:r>
      <w:r w:rsidRPr="00813B77">
        <w:rPr>
          <w:lang w:val="es-ES_tradnl"/>
        </w:rPr>
        <w:t>. 14.</w:t>
      </w:r>
    </w:p>
  </w:footnote>
  <w:footnote w:id="1096">
    <w:p w14:paraId="2D1D5399" w14:textId="77777777" w:rsidR="001F3006" w:rsidRPr="00813B77" w:rsidRDefault="001F3006" w:rsidP="00C454A1">
      <w:pPr>
        <w:pStyle w:val="Textonotapie"/>
      </w:pPr>
      <w:r w:rsidRPr="00813B77">
        <w:rPr>
          <w:rStyle w:val="Refdenotaalpie"/>
        </w:rPr>
        <w:footnoteRef/>
      </w:r>
      <w:r w:rsidRPr="00813B77">
        <w:t xml:space="preserve"> Intervención de la Federación Nacional de Comerciantes Empresarios - FENALCO, pág. 5. </w:t>
      </w:r>
    </w:p>
  </w:footnote>
  <w:footnote w:id="1097">
    <w:p w14:paraId="591CDE63" w14:textId="77777777" w:rsidR="001F3006" w:rsidRPr="00813B77" w:rsidRDefault="001F3006" w:rsidP="00C454A1">
      <w:pPr>
        <w:pStyle w:val="Textonotapie"/>
      </w:pPr>
      <w:r w:rsidRPr="00813B77">
        <w:rPr>
          <w:rStyle w:val="Refdenotaalpie"/>
        </w:rPr>
        <w:footnoteRef/>
      </w:r>
      <w:r w:rsidRPr="00813B77">
        <w:t xml:space="preserve"> Ib., pág. 5. </w:t>
      </w:r>
    </w:p>
  </w:footnote>
  <w:footnote w:id="1098">
    <w:p w14:paraId="438C60F8" w14:textId="77777777" w:rsidR="001F3006" w:rsidRPr="00813B77" w:rsidRDefault="001F3006" w:rsidP="00C454A1">
      <w:pPr>
        <w:pStyle w:val="Textonotapie"/>
      </w:pPr>
      <w:r w:rsidRPr="00813B77">
        <w:rPr>
          <w:rStyle w:val="Refdenotaalpie"/>
        </w:rPr>
        <w:footnoteRef/>
      </w:r>
      <w:r w:rsidRPr="00813B77">
        <w:t xml:space="preserve"> Ib., pág. 6. </w:t>
      </w:r>
    </w:p>
  </w:footnote>
  <w:footnote w:id="1099">
    <w:p w14:paraId="7B70DE3C" w14:textId="77777777" w:rsidR="001F3006" w:rsidRPr="00813B77" w:rsidRDefault="001F3006" w:rsidP="00C454A1">
      <w:pPr>
        <w:pStyle w:val="Textonotapie"/>
      </w:pPr>
      <w:r w:rsidRPr="00813B77">
        <w:rPr>
          <w:rStyle w:val="Refdenotaalpie"/>
        </w:rPr>
        <w:footnoteRef/>
      </w:r>
      <w:r w:rsidRPr="00813B77">
        <w:t xml:space="preserve"> Ib., pág. 7.</w:t>
      </w:r>
    </w:p>
  </w:footnote>
  <w:footnote w:id="1100">
    <w:p w14:paraId="340AA353" w14:textId="77777777" w:rsidR="001F3006" w:rsidRPr="00813B77" w:rsidRDefault="001F3006" w:rsidP="00C454A1">
      <w:pPr>
        <w:pStyle w:val="Textonotapie"/>
        <w:rPr>
          <w:lang w:val="es-MX"/>
        </w:rPr>
      </w:pPr>
      <w:r w:rsidRPr="00813B77">
        <w:rPr>
          <w:rStyle w:val="Refdenotaalpie"/>
        </w:rPr>
        <w:footnoteRef/>
      </w:r>
      <w:r w:rsidRPr="00813B77">
        <w:t xml:space="preserve"> Ib., pág. 9.</w:t>
      </w:r>
    </w:p>
  </w:footnote>
  <w:footnote w:id="1101">
    <w:p w14:paraId="172886FD" w14:textId="77777777" w:rsidR="001F3006" w:rsidRPr="00813B77" w:rsidRDefault="001F3006" w:rsidP="00C454A1">
      <w:pPr>
        <w:pStyle w:val="Textonotapie"/>
        <w:rPr>
          <w:lang w:val="es-MX"/>
        </w:rPr>
      </w:pPr>
      <w:r w:rsidRPr="00813B77">
        <w:rPr>
          <w:rStyle w:val="Refdenotaalpie"/>
        </w:rPr>
        <w:footnoteRef/>
      </w:r>
      <w:r w:rsidRPr="00813B77">
        <w:t xml:space="preserve"> Intervención de la </w:t>
      </w:r>
      <w:r w:rsidRPr="00813B77">
        <w:rPr>
          <w:lang w:val="es-419"/>
        </w:rPr>
        <w:t>Asociación Nacional de Empresarios de Colombia - ANDI</w:t>
      </w:r>
      <w:r w:rsidRPr="00813B77">
        <w:t xml:space="preserve"> remitida a la Secretaría de la Corte Constitucional el 4 de marzo de 2025.</w:t>
      </w:r>
    </w:p>
  </w:footnote>
  <w:footnote w:id="1102">
    <w:p w14:paraId="08CF579A" w14:textId="77777777" w:rsidR="001F3006" w:rsidRPr="00813B77" w:rsidRDefault="001F3006" w:rsidP="00C454A1">
      <w:pPr>
        <w:pStyle w:val="Textonotapie"/>
      </w:pPr>
      <w:r w:rsidRPr="00813B77">
        <w:rPr>
          <w:rStyle w:val="Refdenotaalpie"/>
        </w:rPr>
        <w:footnoteRef/>
      </w:r>
      <w:r w:rsidRPr="00813B77">
        <w:t xml:space="preserve"> </w:t>
      </w:r>
      <w:r>
        <w:t>Ib., p</w:t>
      </w:r>
      <w:r w:rsidRPr="00813B77">
        <w:t xml:space="preserve">ág. 2. </w:t>
      </w:r>
    </w:p>
  </w:footnote>
  <w:footnote w:id="1103">
    <w:p w14:paraId="1560718F" w14:textId="77777777" w:rsidR="001F3006" w:rsidRPr="00813B77" w:rsidRDefault="001F3006" w:rsidP="00C454A1">
      <w:pPr>
        <w:pStyle w:val="Textonotapie"/>
      </w:pPr>
      <w:r w:rsidRPr="00813B77">
        <w:rPr>
          <w:rStyle w:val="Refdenotaalpie"/>
        </w:rPr>
        <w:footnoteRef/>
      </w:r>
      <w:r w:rsidRPr="00813B77">
        <w:t xml:space="preserve"> Ib., pág. 4. </w:t>
      </w:r>
    </w:p>
  </w:footnote>
  <w:footnote w:id="1104">
    <w:p w14:paraId="2FF140C9" w14:textId="77777777" w:rsidR="001F3006" w:rsidRPr="00813B77" w:rsidRDefault="001F3006" w:rsidP="00C454A1">
      <w:pPr>
        <w:pStyle w:val="Textonotapie"/>
      </w:pPr>
      <w:r w:rsidRPr="00813B77">
        <w:rPr>
          <w:rStyle w:val="Refdenotaalpie"/>
        </w:rPr>
        <w:footnoteRef/>
      </w:r>
      <w:r w:rsidRPr="00813B77">
        <w:t xml:space="preserve"> Ib., pág. 6. </w:t>
      </w:r>
    </w:p>
  </w:footnote>
  <w:footnote w:id="1105">
    <w:p w14:paraId="554F1D95" w14:textId="77777777" w:rsidR="001F3006" w:rsidRPr="00813B77" w:rsidRDefault="001F3006" w:rsidP="00C454A1">
      <w:pPr>
        <w:pStyle w:val="Textonotapie"/>
      </w:pPr>
      <w:r w:rsidRPr="00813B77">
        <w:rPr>
          <w:rStyle w:val="Refdenotaalpie"/>
        </w:rPr>
        <w:footnoteRef/>
      </w:r>
      <w:r w:rsidRPr="00813B77">
        <w:t xml:space="preserve"> Intervención del Comité Permanente por la Defensa de los Derechos Humanos, pág. 5.</w:t>
      </w:r>
    </w:p>
  </w:footnote>
  <w:footnote w:id="1106">
    <w:p w14:paraId="572ED0AB" w14:textId="77777777" w:rsidR="001F3006" w:rsidRPr="00813B77" w:rsidRDefault="001F3006" w:rsidP="00C454A1">
      <w:pPr>
        <w:pStyle w:val="Textonotapie"/>
      </w:pPr>
      <w:r w:rsidRPr="00813B77">
        <w:rPr>
          <w:rStyle w:val="Refdenotaalpie"/>
        </w:rPr>
        <w:footnoteRef/>
      </w:r>
      <w:r w:rsidRPr="00813B77">
        <w:t xml:space="preserve"> Ib., pág. 6.</w:t>
      </w:r>
    </w:p>
  </w:footnote>
  <w:footnote w:id="1107">
    <w:p w14:paraId="3A080D68" w14:textId="77777777" w:rsidR="001F3006" w:rsidRPr="00813B77" w:rsidRDefault="001F3006" w:rsidP="00C454A1">
      <w:pPr>
        <w:pStyle w:val="Textonotapie"/>
      </w:pPr>
      <w:r w:rsidRPr="00813B77">
        <w:rPr>
          <w:rStyle w:val="Refdenotaalpie"/>
        </w:rPr>
        <w:footnoteRef/>
      </w:r>
      <w:r w:rsidRPr="00813B77">
        <w:t xml:space="preserve"> Ib., pág. 9.</w:t>
      </w:r>
    </w:p>
  </w:footnote>
  <w:footnote w:id="1108">
    <w:p w14:paraId="61F72E17" w14:textId="77777777" w:rsidR="001F3006" w:rsidRPr="00813B77" w:rsidRDefault="001F3006" w:rsidP="00C454A1">
      <w:pPr>
        <w:pStyle w:val="Textonotapie"/>
      </w:pPr>
      <w:r w:rsidRPr="00813B77">
        <w:rPr>
          <w:rStyle w:val="Refdenotaalpie"/>
        </w:rPr>
        <w:footnoteRef/>
      </w:r>
      <w:r w:rsidRPr="00813B77">
        <w:t xml:space="preserve"> Ib.</w:t>
      </w:r>
    </w:p>
  </w:footnote>
  <w:footnote w:id="1109">
    <w:p w14:paraId="62B003FE" w14:textId="77777777" w:rsidR="001F3006" w:rsidRPr="00813B77" w:rsidRDefault="001F3006" w:rsidP="00C454A1">
      <w:pPr>
        <w:pStyle w:val="Textonotapie"/>
      </w:pPr>
      <w:r w:rsidRPr="00813B77">
        <w:rPr>
          <w:rStyle w:val="Refdenotaalpie"/>
        </w:rPr>
        <w:footnoteRef/>
      </w:r>
      <w:r w:rsidRPr="00813B77">
        <w:t xml:space="preserve"> Ib.</w:t>
      </w:r>
    </w:p>
  </w:footnote>
  <w:footnote w:id="1110">
    <w:p w14:paraId="159606BC" w14:textId="77777777" w:rsidR="001F3006" w:rsidRPr="00813B77" w:rsidRDefault="001F3006" w:rsidP="00C454A1">
      <w:pPr>
        <w:pStyle w:val="Textonotapie"/>
      </w:pPr>
      <w:r w:rsidRPr="00813B77">
        <w:rPr>
          <w:rStyle w:val="Refdenotaalpie"/>
        </w:rPr>
        <w:footnoteRef/>
      </w:r>
      <w:r w:rsidRPr="00813B77">
        <w:t xml:space="preserve"> Ib.</w:t>
      </w:r>
    </w:p>
  </w:footnote>
  <w:footnote w:id="1111">
    <w:p w14:paraId="378D1D82" w14:textId="77777777" w:rsidR="001F3006" w:rsidRPr="00813B77" w:rsidRDefault="001F3006" w:rsidP="00C454A1">
      <w:pPr>
        <w:pStyle w:val="Textonotapie"/>
      </w:pPr>
      <w:r w:rsidRPr="00813B77">
        <w:rPr>
          <w:rStyle w:val="Refdenotaalpie"/>
        </w:rPr>
        <w:footnoteRef/>
      </w:r>
      <w:r w:rsidRPr="00813B77">
        <w:t xml:space="preserve"> Ib., pág. 10.</w:t>
      </w:r>
    </w:p>
  </w:footnote>
  <w:footnote w:id="1112">
    <w:p w14:paraId="3BB1DB72" w14:textId="77777777" w:rsidR="001F3006" w:rsidRPr="00813B77" w:rsidRDefault="001F3006" w:rsidP="00C454A1">
      <w:pPr>
        <w:pStyle w:val="Textonotapie"/>
      </w:pPr>
      <w:r w:rsidRPr="00813B77">
        <w:rPr>
          <w:rStyle w:val="Refdenotaalpie"/>
        </w:rPr>
        <w:footnoteRef/>
      </w:r>
      <w:r w:rsidRPr="00813B77">
        <w:t xml:space="preserve"> Ib.</w:t>
      </w:r>
    </w:p>
  </w:footnote>
  <w:footnote w:id="1113">
    <w:p w14:paraId="313C6860" w14:textId="77777777" w:rsidR="001F3006" w:rsidRPr="00813B77" w:rsidRDefault="001F3006" w:rsidP="00C454A1">
      <w:pPr>
        <w:pStyle w:val="Textonotapie"/>
      </w:pPr>
      <w:r w:rsidRPr="00813B77">
        <w:rPr>
          <w:rStyle w:val="Refdenotaalpie"/>
        </w:rPr>
        <w:footnoteRef/>
      </w:r>
      <w:r w:rsidRPr="00813B77">
        <w:t xml:space="preserve"> Ib., pág. 11.</w:t>
      </w:r>
    </w:p>
  </w:footnote>
  <w:footnote w:id="1114">
    <w:p w14:paraId="757CFB0C" w14:textId="77777777" w:rsidR="001F3006" w:rsidRPr="00813B77" w:rsidRDefault="001F3006" w:rsidP="00C454A1">
      <w:pPr>
        <w:pStyle w:val="Textonotapie"/>
      </w:pPr>
      <w:r w:rsidRPr="00813B77">
        <w:rPr>
          <w:rStyle w:val="Refdenotaalpie"/>
        </w:rPr>
        <w:footnoteRef/>
      </w:r>
      <w:r w:rsidRPr="00813B77">
        <w:t xml:space="preserve"> Ib.</w:t>
      </w:r>
    </w:p>
  </w:footnote>
  <w:footnote w:id="1115">
    <w:p w14:paraId="56B7E2D6" w14:textId="77777777" w:rsidR="001F3006" w:rsidRPr="00813B77" w:rsidRDefault="001F3006" w:rsidP="00C454A1">
      <w:pPr>
        <w:pStyle w:val="Textonotapie"/>
      </w:pPr>
      <w:r w:rsidRPr="00813B77">
        <w:rPr>
          <w:rStyle w:val="Refdenotaalpie"/>
        </w:rPr>
        <w:footnoteRef/>
      </w:r>
      <w:r w:rsidRPr="00813B77">
        <w:t xml:space="preserve"> Ib., pág. 13.</w:t>
      </w:r>
    </w:p>
  </w:footnote>
  <w:footnote w:id="1116">
    <w:p w14:paraId="6785FFBC" w14:textId="77777777" w:rsidR="001F3006" w:rsidRPr="00813B77" w:rsidRDefault="001F3006" w:rsidP="00C454A1">
      <w:pPr>
        <w:pStyle w:val="Textonotapie"/>
      </w:pPr>
      <w:r w:rsidRPr="00813B77">
        <w:rPr>
          <w:rStyle w:val="Refdenotaalpie"/>
        </w:rPr>
        <w:footnoteRef/>
      </w:r>
      <w:r w:rsidRPr="00813B77">
        <w:t xml:space="preserve"> Ib., pág. 50.</w:t>
      </w:r>
    </w:p>
  </w:footnote>
  <w:footnote w:id="1117">
    <w:p w14:paraId="1AB0C0E4" w14:textId="77777777" w:rsidR="001F3006" w:rsidRPr="00813B77" w:rsidRDefault="001F3006" w:rsidP="00C454A1">
      <w:pPr>
        <w:pStyle w:val="Textonotapie"/>
        <w:rPr>
          <w:lang w:val="es-ES"/>
        </w:rPr>
      </w:pPr>
      <w:r w:rsidRPr="00813B77">
        <w:rPr>
          <w:rStyle w:val="Refdenotaalpie"/>
          <w:lang w:val="es-ES"/>
        </w:rPr>
        <w:footnoteRef/>
      </w:r>
      <w:r w:rsidRPr="00813B77">
        <w:rPr>
          <w:lang w:val="es-ES"/>
        </w:rPr>
        <w:t xml:space="preserve"> </w:t>
      </w:r>
      <w:r>
        <w:rPr>
          <w:lang w:val="es-ES"/>
        </w:rPr>
        <w:t xml:space="preserve">Intervención del </w:t>
      </w:r>
      <w:r w:rsidRPr="0001612F">
        <w:rPr>
          <w:lang w:val="es-ES"/>
        </w:rPr>
        <w:t>Centro de Estudios de Derecho, Justicia y Sociedad (</w:t>
      </w:r>
      <w:proofErr w:type="spellStart"/>
      <w:r w:rsidRPr="0001612F">
        <w:rPr>
          <w:lang w:val="es-ES"/>
        </w:rPr>
        <w:t>Dejusticia</w:t>
      </w:r>
      <w:proofErr w:type="spellEnd"/>
      <w:r w:rsidRPr="0001612F">
        <w:rPr>
          <w:lang w:val="es-ES"/>
        </w:rPr>
        <w:t>)</w:t>
      </w:r>
      <w:r>
        <w:rPr>
          <w:lang w:val="es-ES"/>
        </w:rPr>
        <w:t>,</w:t>
      </w:r>
      <w:r w:rsidRPr="00813B77">
        <w:rPr>
          <w:lang w:val="es-ES"/>
        </w:rPr>
        <w:t xml:space="preserve"> p</w:t>
      </w:r>
      <w:r>
        <w:rPr>
          <w:lang w:val="es-ES"/>
        </w:rPr>
        <w:t>ág.</w:t>
      </w:r>
      <w:r w:rsidRPr="00813B77">
        <w:rPr>
          <w:lang w:val="es-ES"/>
        </w:rPr>
        <w:t xml:space="preserve"> 4</w:t>
      </w:r>
      <w:r>
        <w:rPr>
          <w:lang w:val="es-ES"/>
        </w:rPr>
        <w:t>-</w:t>
      </w:r>
      <w:r w:rsidRPr="00813B77">
        <w:rPr>
          <w:lang w:val="es-ES"/>
        </w:rPr>
        <w:t>5.</w:t>
      </w:r>
    </w:p>
  </w:footnote>
  <w:footnote w:id="1118">
    <w:p w14:paraId="09E4AC65"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5.</w:t>
      </w:r>
    </w:p>
  </w:footnote>
  <w:footnote w:id="1119">
    <w:p w14:paraId="24B64FB2"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7.</w:t>
      </w:r>
    </w:p>
  </w:footnote>
  <w:footnote w:id="1120">
    <w:p w14:paraId="011C3191"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8.</w:t>
      </w:r>
    </w:p>
  </w:footnote>
  <w:footnote w:id="1121">
    <w:p w14:paraId="31A6293F" w14:textId="77777777" w:rsidR="001F3006" w:rsidRPr="00813B77" w:rsidRDefault="001F3006" w:rsidP="00C454A1">
      <w:pPr>
        <w:pStyle w:val="Textonotapie"/>
      </w:pPr>
      <w:r w:rsidRPr="00813B77">
        <w:rPr>
          <w:rStyle w:val="Refdenotaalpie"/>
        </w:rPr>
        <w:footnoteRef/>
      </w:r>
      <w:r w:rsidRPr="00813B77">
        <w:t xml:space="preserve"> Ib., p</w:t>
      </w:r>
      <w:r>
        <w:t>ág.</w:t>
      </w:r>
      <w:r w:rsidRPr="00813B77">
        <w:t xml:space="preserve"> 16.</w:t>
      </w:r>
    </w:p>
  </w:footnote>
  <w:footnote w:id="1122">
    <w:p w14:paraId="4E8917C0" w14:textId="77777777" w:rsidR="001F3006" w:rsidRPr="00813B77" w:rsidRDefault="001F3006" w:rsidP="00C454A1">
      <w:pPr>
        <w:pStyle w:val="Textonotapie"/>
        <w:rPr>
          <w:lang w:val="es-ES"/>
        </w:rPr>
      </w:pPr>
      <w:r w:rsidRPr="00813B77">
        <w:rPr>
          <w:rStyle w:val="Refdenotaalpie"/>
        </w:rPr>
        <w:footnoteRef/>
      </w:r>
      <w:r w:rsidRPr="00813B77">
        <w:t xml:space="preserve"> Intervención del Colectivo de Abogadas y Abogados José Alvear Restrepo - CAJAR remitida a la Secretaría de la Corte Constitucional el 4 de marzo de 2025.Intervención ciudadana del 3 de marzo de 2025.</w:t>
      </w:r>
    </w:p>
  </w:footnote>
  <w:footnote w:id="1123">
    <w:p w14:paraId="7C60F920" w14:textId="77777777" w:rsidR="001F3006" w:rsidRPr="00813B77" w:rsidRDefault="001F3006" w:rsidP="00C454A1">
      <w:pPr>
        <w:pStyle w:val="Textonotapie"/>
      </w:pPr>
      <w:r w:rsidRPr="00813B77">
        <w:rPr>
          <w:rStyle w:val="Refdenotaalpie"/>
        </w:rPr>
        <w:footnoteRef/>
      </w:r>
      <w:r w:rsidRPr="00813B77">
        <w:t xml:space="preserve"> Ib., pág. 1.</w:t>
      </w:r>
    </w:p>
  </w:footnote>
  <w:footnote w:id="1124">
    <w:p w14:paraId="2F423703"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lang w:val="es-ES"/>
        </w:rPr>
        <w:t>Ib., pág. 11.</w:t>
      </w:r>
    </w:p>
  </w:footnote>
  <w:footnote w:id="1125">
    <w:p w14:paraId="1A4547A2"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lang w:val="es-ES"/>
        </w:rPr>
        <w:t>Ib., pág. 9.</w:t>
      </w:r>
    </w:p>
  </w:footnote>
  <w:footnote w:id="1126">
    <w:p w14:paraId="6ED9C7A6"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lang w:val="es-ES"/>
        </w:rPr>
        <w:t>Ib., pág. 10-11.</w:t>
      </w:r>
    </w:p>
  </w:footnote>
  <w:footnote w:id="1127">
    <w:p w14:paraId="33CD152E" w14:textId="77777777" w:rsidR="001F3006" w:rsidRPr="00813B77" w:rsidRDefault="001F3006" w:rsidP="00C454A1">
      <w:pPr>
        <w:pStyle w:val="Textonotapie"/>
        <w:rPr>
          <w:lang w:val="es-ES"/>
        </w:rPr>
      </w:pPr>
      <w:r w:rsidRPr="00813B77">
        <w:rPr>
          <w:rStyle w:val="Refdenotaalpie"/>
        </w:rPr>
        <w:footnoteRef/>
      </w:r>
      <w:r w:rsidRPr="00813B77">
        <w:t xml:space="preserve"> </w:t>
      </w:r>
      <w:r w:rsidRPr="00813B77">
        <w:rPr>
          <w:lang w:val="es-ES"/>
        </w:rPr>
        <w:t>Ib., pág. 11.</w:t>
      </w:r>
    </w:p>
  </w:footnote>
  <w:footnote w:id="1128">
    <w:p w14:paraId="5DB25283" w14:textId="77777777" w:rsidR="001F3006" w:rsidRPr="00813B77" w:rsidRDefault="001F3006" w:rsidP="00C454A1">
      <w:pPr>
        <w:pStyle w:val="Textonotapie"/>
      </w:pPr>
      <w:r w:rsidRPr="00813B77">
        <w:rPr>
          <w:rStyle w:val="Refdenotaalpie"/>
        </w:rPr>
        <w:footnoteRef/>
      </w:r>
      <w:r w:rsidRPr="00813B77">
        <w:t xml:space="preserve"> Ib., pág. 13.</w:t>
      </w:r>
    </w:p>
  </w:footnote>
  <w:footnote w:id="1129">
    <w:p w14:paraId="1D144C66" w14:textId="77777777" w:rsidR="001F3006" w:rsidRPr="00813B77" w:rsidRDefault="001F3006" w:rsidP="00C454A1">
      <w:pPr>
        <w:pStyle w:val="Textonotapie"/>
      </w:pPr>
      <w:r w:rsidRPr="00813B77">
        <w:rPr>
          <w:rStyle w:val="Refdenotaalpie"/>
        </w:rPr>
        <w:footnoteRef/>
      </w:r>
      <w:r w:rsidRPr="00813B77">
        <w:t xml:space="preserve"> Ib., pág. 17.</w:t>
      </w:r>
    </w:p>
  </w:footnote>
  <w:footnote w:id="1130">
    <w:p w14:paraId="2EC3B29B" w14:textId="77777777" w:rsidR="001F3006" w:rsidRPr="00813B77" w:rsidRDefault="001F3006" w:rsidP="00C454A1">
      <w:pPr>
        <w:pStyle w:val="Textonotapie"/>
      </w:pPr>
      <w:r w:rsidRPr="00813B77">
        <w:rPr>
          <w:rStyle w:val="Refdenotaalpie"/>
        </w:rPr>
        <w:footnoteRef/>
      </w:r>
      <w:r w:rsidRPr="00813B77">
        <w:t xml:space="preserve"> Ib.</w:t>
      </w:r>
    </w:p>
  </w:footnote>
  <w:footnote w:id="1131">
    <w:p w14:paraId="24A7BE13" w14:textId="77777777" w:rsidR="001F3006" w:rsidRPr="00813B77" w:rsidRDefault="001F3006" w:rsidP="00C454A1">
      <w:pPr>
        <w:pStyle w:val="Textonotapie"/>
      </w:pPr>
      <w:r w:rsidRPr="00813B77">
        <w:rPr>
          <w:rStyle w:val="Refdenotaalpie"/>
        </w:rPr>
        <w:footnoteRef/>
      </w:r>
      <w:r w:rsidRPr="00813B77">
        <w:t xml:space="preserve"> Ib.</w:t>
      </w:r>
    </w:p>
  </w:footnote>
  <w:footnote w:id="1132">
    <w:p w14:paraId="5233A99B" w14:textId="77777777" w:rsidR="001F3006" w:rsidRPr="00813B77" w:rsidRDefault="001F3006" w:rsidP="00C454A1">
      <w:pPr>
        <w:pStyle w:val="Textonotapie"/>
      </w:pPr>
      <w:r w:rsidRPr="00813B77">
        <w:rPr>
          <w:rStyle w:val="Refdenotaalpie"/>
        </w:rPr>
        <w:footnoteRef/>
      </w:r>
      <w:r w:rsidRPr="00813B77">
        <w:t xml:space="preserve"> Ib.</w:t>
      </w:r>
    </w:p>
  </w:footnote>
  <w:footnote w:id="1133">
    <w:p w14:paraId="22FE7CD2" w14:textId="77777777" w:rsidR="001F3006" w:rsidRPr="00813B77" w:rsidRDefault="001F3006" w:rsidP="00C454A1">
      <w:pPr>
        <w:pStyle w:val="Textonotapie"/>
      </w:pPr>
      <w:r w:rsidRPr="00813B77">
        <w:rPr>
          <w:rStyle w:val="Refdenotaalpie"/>
        </w:rPr>
        <w:footnoteRef/>
      </w:r>
      <w:r w:rsidRPr="00813B77">
        <w:t xml:space="preserve"> Ib.</w:t>
      </w:r>
    </w:p>
  </w:footnote>
  <w:footnote w:id="1134">
    <w:p w14:paraId="18075224" w14:textId="77777777" w:rsidR="001F3006" w:rsidRPr="00813B77" w:rsidRDefault="001F3006" w:rsidP="00C454A1">
      <w:pPr>
        <w:pStyle w:val="Textonotapie"/>
      </w:pPr>
      <w:r w:rsidRPr="00813B77">
        <w:rPr>
          <w:rStyle w:val="Refdenotaalpie"/>
        </w:rPr>
        <w:footnoteRef/>
      </w:r>
      <w:r w:rsidRPr="00813B77">
        <w:t xml:space="preserve"> Ib., pág. 19.</w:t>
      </w:r>
    </w:p>
  </w:footnote>
  <w:footnote w:id="1135">
    <w:p w14:paraId="6BE6FE5A" w14:textId="77777777" w:rsidR="001F3006" w:rsidRPr="00813B77" w:rsidRDefault="001F3006" w:rsidP="00C454A1">
      <w:pPr>
        <w:pStyle w:val="Textonotapie"/>
      </w:pPr>
      <w:r w:rsidRPr="00813B77">
        <w:rPr>
          <w:rStyle w:val="Refdenotaalpie"/>
        </w:rPr>
        <w:footnoteRef/>
      </w:r>
      <w:r w:rsidRPr="00813B77">
        <w:t xml:space="preserve"> Ib., pág. 22.</w:t>
      </w:r>
    </w:p>
  </w:footnote>
  <w:footnote w:id="1136">
    <w:p w14:paraId="17B8A348" w14:textId="77777777" w:rsidR="001F3006" w:rsidRPr="00813B77" w:rsidRDefault="001F3006" w:rsidP="00C454A1">
      <w:pPr>
        <w:pStyle w:val="Textonotapie"/>
      </w:pPr>
      <w:r w:rsidRPr="00813B77">
        <w:rPr>
          <w:rStyle w:val="Refdenotaalpie"/>
        </w:rPr>
        <w:footnoteRef/>
      </w:r>
      <w:r w:rsidRPr="00813B77">
        <w:t xml:space="preserve"> Ib.</w:t>
      </w:r>
    </w:p>
  </w:footnote>
  <w:footnote w:id="1137">
    <w:p w14:paraId="215CB9E1" w14:textId="77777777" w:rsidR="001F3006" w:rsidRPr="00813B77" w:rsidRDefault="001F3006" w:rsidP="00C454A1">
      <w:pPr>
        <w:pStyle w:val="Textonotapie"/>
      </w:pPr>
      <w:r w:rsidRPr="00813B77">
        <w:rPr>
          <w:rStyle w:val="Refdenotaalpie"/>
        </w:rPr>
        <w:footnoteRef/>
      </w:r>
      <w:r w:rsidRPr="00813B77">
        <w:t xml:space="preserve"> Ib.</w:t>
      </w:r>
    </w:p>
  </w:footnote>
  <w:footnote w:id="1138">
    <w:p w14:paraId="7D53B378" w14:textId="77777777" w:rsidR="001F3006" w:rsidRPr="00813B77" w:rsidRDefault="001F3006" w:rsidP="00C454A1">
      <w:pPr>
        <w:pStyle w:val="Textonotapie"/>
      </w:pPr>
      <w:r w:rsidRPr="00813B77">
        <w:rPr>
          <w:rStyle w:val="Refdenotaalpie"/>
        </w:rPr>
        <w:footnoteRef/>
      </w:r>
      <w:r w:rsidRPr="00813B77">
        <w:t xml:space="preserve"> Ib.</w:t>
      </w:r>
    </w:p>
  </w:footnote>
  <w:footnote w:id="1139">
    <w:p w14:paraId="0F18EE6B" w14:textId="77777777" w:rsidR="001F3006" w:rsidRPr="00813B77" w:rsidRDefault="001F3006" w:rsidP="00C454A1">
      <w:pPr>
        <w:pStyle w:val="Textonotapie"/>
      </w:pPr>
      <w:r w:rsidRPr="00813B77">
        <w:rPr>
          <w:rStyle w:val="Refdenotaalpie"/>
        </w:rPr>
        <w:footnoteRef/>
      </w:r>
      <w:r w:rsidRPr="00813B77">
        <w:t xml:space="preserve"> Ib., pág. 23.</w:t>
      </w:r>
    </w:p>
  </w:footnote>
  <w:footnote w:id="1140">
    <w:p w14:paraId="4A7F4108" w14:textId="77777777" w:rsidR="001F3006" w:rsidRPr="00813B77" w:rsidRDefault="001F3006" w:rsidP="00C454A1">
      <w:pPr>
        <w:pStyle w:val="Textonotapie"/>
      </w:pPr>
      <w:r w:rsidRPr="00813B77">
        <w:rPr>
          <w:rStyle w:val="Refdenotaalpie"/>
        </w:rPr>
        <w:footnoteRef/>
      </w:r>
      <w:r w:rsidRPr="00813B77">
        <w:t xml:space="preserve"> Ib.</w:t>
      </w:r>
    </w:p>
  </w:footnote>
  <w:footnote w:id="1141">
    <w:p w14:paraId="0EEEB8A9" w14:textId="77777777" w:rsidR="001F3006" w:rsidRPr="00813B77" w:rsidRDefault="001F3006" w:rsidP="00C454A1">
      <w:pPr>
        <w:pStyle w:val="Textonotapie"/>
      </w:pPr>
      <w:r w:rsidRPr="00813B77">
        <w:rPr>
          <w:rStyle w:val="Refdenotaalpie"/>
        </w:rPr>
        <w:footnoteRef/>
      </w:r>
      <w:r w:rsidRPr="00813B77">
        <w:t xml:space="preserve"> Ib., pág. 27.</w:t>
      </w:r>
    </w:p>
  </w:footnote>
  <w:footnote w:id="1142">
    <w:p w14:paraId="772EDC52" w14:textId="77777777" w:rsidR="001F3006" w:rsidRPr="00813B77" w:rsidRDefault="001F3006" w:rsidP="00C454A1">
      <w:pPr>
        <w:pStyle w:val="Textonotapie"/>
        <w:rPr>
          <w:lang w:val="es-MX"/>
        </w:rPr>
      </w:pPr>
      <w:r w:rsidRPr="00813B77">
        <w:rPr>
          <w:rStyle w:val="Refdenotaalpie"/>
        </w:rPr>
        <w:footnoteRef/>
      </w:r>
      <w:r w:rsidRPr="00813B77">
        <w:t xml:space="preserve"> </w:t>
      </w:r>
      <w:r w:rsidRPr="00813B77">
        <w:rPr>
          <w:lang w:val="es-MX"/>
        </w:rPr>
        <w:t xml:space="preserve">Ib., pág. 32. </w:t>
      </w:r>
    </w:p>
  </w:footnote>
  <w:footnote w:id="1143">
    <w:p w14:paraId="5BC72714" w14:textId="77777777" w:rsidR="001F3006" w:rsidRPr="00B20436" w:rsidRDefault="001F3006" w:rsidP="00C454A1">
      <w:pPr>
        <w:pStyle w:val="Textonotapie"/>
      </w:pPr>
      <w:r w:rsidRPr="00813B77">
        <w:rPr>
          <w:rStyle w:val="Refdenotaalpie"/>
        </w:rPr>
        <w:footnoteRef/>
      </w:r>
      <w:r w:rsidRPr="00813B77">
        <w:t xml:space="preserve"> </w:t>
      </w:r>
      <w:r>
        <w:t xml:space="preserve">Intervención de la Fiscalía General de la Nación – Subdirección de Política Criminal y Articulación, pág. 3. </w:t>
      </w:r>
    </w:p>
  </w:footnote>
  <w:footnote w:id="1144">
    <w:p w14:paraId="02331CAF"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Ib., p</w:t>
      </w:r>
      <w:r>
        <w:rPr>
          <w:lang w:val="es-ES_tradnl"/>
        </w:rPr>
        <w:t>ág</w:t>
      </w:r>
      <w:r w:rsidRPr="00813B77">
        <w:rPr>
          <w:lang w:val="es-ES_tradnl"/>
        </w:rPr>
        <w:t>. 4.</w:t>
      </w:r>
    </w:p>
  </w:footnote>
  <w:footnote w:id="1145">
    <w:p w14:paraId="7DE0270F" w14:textId="77777777" w:rsidR="001F3006" w:rsidRPr="00813B77" w:rsidRDefault="001F3006" w:rsidP="00C454A1">
      <w:pPr>
        <w:pStyle w:val="Textonotapie"/>
        <w:rPr>
          <w:lang w:val="es-ES_tradnl"/>
        </w:rPr>
      </w:pPr>
      <w:r w:rsidRPr="00813B77">
        <w:rPr>
          <w:rStyle w:val="Refdenotaalpie"/>
        </w:rPr>
        <w:footnoteRef/>
      </w:r>
      <w:r w:rsidRPr="00813B77">
        <w:t xml:space="preserve"> </w:t>
      </w:r>
      <w:r w:rsidRPr="00813B77">
        <w:rPr>
          <w:lang w:val="es-ES_tradnl"/>
        </w:rPr>
        <w:t>Señaló que estas cifras podrían ser mucho mayores teniendo en cuenta la información reportada por la Defensoría del Pueblo y la Oficina de las Naciones Unidas para los derechos humanos.</w:t>
      </w:r>
    </w:p>
  </w:footnote>
  <w:footnote w:id="1146">
    <w:p w14:paraId="35B6F1AF" w14:textId="77777777" w:rsidR="001F3006" w:rsidRPr="00832A23" w:rsidRDefault="001F3006" w:rsidP="001F3006">
      <w:pPr>
        <w:pStyle w:val="Textonotapie"/>
      </w:pPr>
      <w:r w:rsidRPr="001F3006">
        <w:rPr>
          <w:rStyle w:val="Refdenotaalpie"/>
        </w:rPr>
        <w:footnoteRef/>
      </w:r>
      <w:r w:rsidRPr="00832A23">
        <w:t xml:space="preserve"> Corte Constitucional, sentencia C-300 de 1994. “Si bien es posible hipotéticamente decretar el Estado de conmoción interior por causa de un deficiente funcionamiento del Estado y, en este caso, de una </w:t>
      </w:r>
      <w:proofErr w:type="gramStart"/>
      <w:r w:rsidRPr="00832A23">
        <w:t>parte</w:t>
      </w:r>
      <w:proofErr w:type="gramEnd"/>
      <w:r w:rsidRPr="00832A23">
        <w:t xml:space="preserve"> del aparato judicial, en la práctica, ello implica un serio esfuerzo de demostración de parte del ejecutivo en cuanto a la existencia de las condiciones fácticas exigidas por el artículo 213. </w:t>
      </w:r>
      <w:r w:rsidRPr="00832A23">
        <w:rPr>
          <w:u w:val="single"/>
        </w:rPr>
        <w:t>En este evento, más que en ningún otro, la carga de la prueba de la conmoción exige un rigor especial, de tal manera que la sospecha de una simple instrumentalización gubernamental para solucionar problemas políticos quede totalmente despejada</w:t>
      </w:r>
      <w:r w:rsidRPr="00832A23">
        <w:t xml:space="preserve">”. </w:t>
      </w:r>
    </w:p>
  </w:footnote>
  <w:footnote w:id="1147">
    <w:p w14:paraId="4662971F" w14:textId="77777777" w:rsidR="001F3006" w:rsidRPr="00832A23" w:rsidRDefault="001F3006" w:rsidP="001F3006">
      <w:pPr>
        <w:pStyle w:val="Textonotapie"/>
      </w:pPr>
      <w:r w:rsidRPr="001F3006">
        <w:rPr>
          <w:rStyle w:val="Refdenotaalpie"/>
        </w:rPr>
        <w:footnoteRef/>
      </w:r>
      <w:r w:rsidRPr="00832A23">
        <w:t xml:space="preserve"> Resalto que estos tres elementos también diferencian este caso del que la Corte resolvió en la sentencia C-802 de 2002. A diferencia de lo que ocurre en este caso, en la sentencia C-802 de 2002 no existían indicios que permitieran inferir que el Gobierno Nacional había contribuido por acción u omisión a la crisis. Tampoco existía una sospecha de instrumentalización.</w:t>
      </w:r>
    </w:p>
  </w:footnote>
  <w:footnote w:id="1148">
    <w:p w14:paraId="4F4C6437" w14:textId="77777777" w:rsidR="001F3006" w:rsidRPr="00832A23" w:rsidRDefault="001F3006" w:rsidP="001F3006">
      <w:pPr>
        <w:pStyle w:val="Textonotapie"/>
      </w:pPr>
      <w:r w:rsidRPr="001F3006">
        <w:rPr>
          <w:rStyle w:val="Refdenotaalpie"/>
        </w:rPr>
        <w:footnoteRef/>
      </w:r>
      <w:r w:rsidRPr="00832A23">
        <w:t xml:space="preserve"> Corte Constitucional, sentencia C-383 de 2023. “De ahí que en aquellos casos en los que extraordinaria y temporalmente se justifique la declaratoria de un EEESE por fenómenos extremos de variabilidad climática, el control judicial de constitucionalidad debe ser estricto. Se impone, entonces, una carga argumentativa reforzada en cabeza del Gobierno para </w:t>
      </w:r>
      <w:r w:rsidRPr="00832A23">
        <w:rPr>
          <w:i/>
          <w:iCs/>
        </w:rPr>
        <w:t>demostrar la insuficiencia o falta de idoneidad de las medidas ordinarias</w:t>
      </w:r>
      <w:r w:rsidRPr="00832A23">
        <w:t> que dispone el ordenamiento jurídico”.</w:t>
      </w:r>
    </w:p>
  </w:footnote>
  <w:footnote w:id="1149">
    <w:p w14:paraId="40AD77A9" w14:textId="77777777" w:rsidR="001F3006" w:rsidRPr="00832A23" w:rsidRDefault="001F3006" w:rsidP="001F3006">
      <w:pPr>
        <w:pStyle w:val="Textonotapie"/>
      </w:pPr>
      <w:r w:rsidRPr="001F3006">
        <w:rPr>
          <w:rStyle w:val="Refdenotaalpie"/>
        </w:rPr>
        <w:footnoteRef/>
      </w:r>
      <w:r w:rsidRPr="00832A23">
        <w:t xml:space="preserve"> En particular, para “para coadyuvar en el deber de protección a las personas residentes en Colombia, el servicio de seguridad y del cumplimiento de los fines esenciales del Estado” (</w:t>
      </w:r>
      <w:proofErr w:type="spellStart"/>
      <w:r w:rsidRPr="00832A23">
        <w:t>ibid</w:t>
      </w:r>
      <w:proofErr w:type="spellEnd"/>
      <w:r w:rsidRPr="00832A23">
        <w:t>.).</w:t>
      </w:r>
    </w:p>
  </w:footnote>
  <w:footnote w:id="1150">
    <w:p w14:paraId="59D45487" w14:textId="77777777" w:rsidR="001F3006" w:rsidRPr="00832A23" w:rsidRDefault="001F3006" w:rsidP="001F3006">
      <w:pPr>
        <w:pStyle w:val="Textonotapie"/>
      </w:pPr>
      <w:r w:rsidRPr="001F3006">
        <w:rPr>
          <w:rStyle w:val="Refdenotaalpie"/>
        </w:rPr>
        <w:footnoteRef/>
      </w:r>
      <w:r w:rsidRPr="00832A23">
        <w:t xml:space="preserve"> </w:t>
      </w:r>
      <w:r w:rsidRPr="00832A23">
        <w:rPr>
          <w:i/>
          <w:iCs/>
        </w:rPr>
        <w:t>Cfr</w:t>
      </w:r>
      <w:r w:rsidRPr="00832A23">
        <w:t>. Resolución 01869 de 2017 y Resolución 01871 de 2017, del CGFM.</w:t>
      </w:r>
    </w:p>
  </w:footnote>
  <w:footnote w:id="1151">
    <w:p w14:paraId="41BB997B" w14:textId="77777777" w:rsidR="001F3006" w:rsidRPr="00832A23" w:rsidRDefault="001F3006" w:rsidP="001F3006">
      <w:pPr>
        <w:pStyle w:val="Textonotapie"/>
      </w:pPr>
      <w:r w:rsidRPr="001F3006">
        <w:rPr>
          <w:rStyle w:val="Refdenotaalpie"/>
        </w:rPr>
        <w:footnoteRef/>
      </w:r>
      <w:r w:rsidRPr="00832A23">
        <w:t xml:space="preserve"> </w:t>
      </w:r>
      <w:r w:rsidRPr="00832A23">
        <w:rPr>
          <w:i/>
          <w:iCs/>
        </w:rPr>
        <w:t>Cfr</w:t>
      </w:r>
      <w:r w:rsidRPr="00832A23">
        <w:t>. Artículos 201, 205, 213, 214, 217, 220, 226, 233, 234, 235, 236, 239, 240, 241, 242, 243, 244, y 247 a 250 del Código de Procedimiento Penal, así como los artículos 12, 18 a 25 y 30 a 31 de la Ley 1908 de 2018, entre otros.</w:t>
      </w:r>
    </w:p>
  </w:footnote>
  <w:footnote w:id="1152">
    <w:p w14:paraId="54FBE6BD" w14:textId="77777777" w:rsidR="001F3006" w:rsidRPr="00832A23" w:rsidRDefault="001F3006" w:rsidP="001F3006">
      <w:pPr>
        <w:pStyle w:val="Textonotapie"/>
      </w:pPr>
      <w:r w:rsidRPr="001F3006">
        <w:rPr>
          <w:rStyle w:val="Refdenotaalpie"/>
        </w:rPr>
        <w:footnoteRef/>
      </w:r>
      <w:r w:rsidRPr="00832A23">
        <w:t xml:space="preserve"> Fuerza Aérea Colombiana. Informe de Gestión 2022, p. 16.</w:t>
      </w:r>
    </w:p>
  </w:footnote>
  <w:footnote w:id="1153">
    <w:p w14:paraId="5ECFBF71" w14:textId="77777777" w:rsidR="001F3006" w:rsidRPr="00832A23" w:rsidRDefault="001F3006" w:rsidP="001F3006">
      <w:pPr>
        <w:pStyle w:val="Textonotapie"/>
      </w:pPr>
      <w:r w:rsidRPr="001F3006">
        <w:rPr>
          <w:rStyle w:val="Refdenotaalpie"/>
        </w:rPr>
        <w:footnoteRef/>
      </w:r>
      <w:r w:rsidRPr="00832A23">
        <w:t xml:space="preserve"> Fuerza Aérea Colombiana. Manual de Términos. FAC-0.1-B.</w:t>
      </w:r>
    </w:p>
  </w:footnote>
  <w:footnote w:id="1154">
    <w:p w14:paraId="62F049A2" w14:textId="77777777" w:rsidR="001F3006" w:rsidRPr="00832A23" w:rsidRDefault="001F3006" w:rsidP="001F3006">
      <w:pPr>
        <w:pStyle w:val="Textonotapie"/>
      </w:pPr>
      <w:r w:rsidRPr="001F3006">
        <w:rPr>
          <w:rStyle w:val="Refdenotaalpie"/>
        </w:rPr>
        <w:footnoteRef/>
      </w:r>
      <w:r w:rsidRPr="00832A23">
        <w:t xml:space="preserve"> Resolución 01869 de 2017 y Resolución 01871 de 2017, del CGFM.</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EDA6E" w14:textId="48633535" w:rsidR="001F3006" w:rsidRDefault="001F3006" w:rsidP="002D1DBE">
    <w:pPr>
      <w:pStyle w:val="Encabezado"/>
      <w:jc w:val="right"/>
      <w:rPr>
        <w:rFonts w:cs="Times New Roman"/>
        <w:i/>
        <w:sz w:val="20"/>
        <w:szCs w:val="20"/>
      </w:rPr>
    </w:pPr>
    <w:r>
      <w:rPr>
        <w:rFonts w:cs="Times New Roman"/>
        <w:i/>
        <w:sz w:val="20"/>
        <w:szCs w:val="20"/>
      </w:rPr>
      <w:t>RE-361</w:t>
    </w:r>
  </w:p>
  <w:p w14:paraId="77FABCEE" w14:textId="079DDCFC" w:rsidR="001F3006" w:rsidRDefault="001F3006" w:rsidP="000C220D">
    <w:pPr>
      <w:pStyle w:val="Encabezado"/>
      <w:jc w:val="center"/>
      <w:rPr>
        <w:rFonts w:cs="Times New Roman"/>
        <w:i/>
        <w:sz w:val="20"/>
        <w:szCs w:val="20"/>
      </w:rPr>
    </w:pPr>
  </w:p>
  <w:p w14:paraId="1C1A2197" w14:textId="77777777" w:rsidR="001F3006" w:rsidRPr="00A34AE4" w:rsidRDefault="001F3006" w:rsidP="001D081B">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0FFA"/>
    <w:multiLevelType w:val="hybridMultilevel"/>
    <w:tmpl w:val="8F6C96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81B45"/>
    <w:multiLevelType w:val="hybridMultilevel"/>
    <w:tmpl w:val="4D785E58"/>
    <w:lvl w:ilvl="0" w:tplc="5810B010">
      <w:start w:val="1"/>
      <w:numFmt w:val="lowerRoman"/>
      <w:lvlText w:val="%1."/>
      <w:lvlJc w:val="right"/>
      <w:pPr>
        <w:ind w:left="540" w:hanging="180"/>
      </w:pPr>
    </w:lvl>
    <w:lvl w:ilvl="1" w:tplc="F79E28E2" w:tentative="1">
      <w:start w:val="1"/>
      <w:numFmt w:val="lowerLetter"/>
      <w:lvlText w:val="%2."/>
      <w:lvlJc w:val="left"/>
      <w:pPr>
        <w:ind w:left="1440" w:hanging="360"/>
      </w:pPr>
    </w:lvl>
    <w:lvl w:ilvl="2" w:tplc="BD10B3B2" w:tentative="1">
      <w:start w:val="1"/>
      <w:numFmt w:val="lowerRoman"/>
      <w:lvlText w:val="%3."/>
      <w:lvlJc w:val="right"/>
      <w:pPr>
        <w:ind w:left="2160" w:hanging="180"/>
      </w:pPr>
    </w:lvl>
    <w:lvl w:ilvl="3" w:tplc="63506E70" w:tentative="1">
      <w:start w:val="1"/>
      <w:numFmt w:val="decimal"/>
      <w:lvlText w:val="%4."/>
      <w:lvlJc w:val="left"/>
      <w:pPr>
        <w:ind w:left="2880" w:hanging="360"/>
      </w:pPr>
    </w:lvl>
    <w:lvl w:ilvl="4" w:tplc="3188BC98" w:tentative="1">
      <w:start w:val="1"/>
      <w:numFmt w:val="lowerLetter"/>
      <w:lvlText w:val="%5."/>
      <w:lvlJc w:val="left"/>
      <w:pPr>
        <w:ind w:left="3600" w:hanging="360"/>
      </w:pPr>
    </w:lvl>
    <w:lvl w:ilvl="5" w:tplc="BDBECCDA" w:tentative="1">
      <w:start w:val="1"/>
      <w:numFmt w:val="lowerRoman"/>
      <w:lvlText w:val="%6."/>
      <w:lvlJc w:val="right"/>
      <w:pPr>
        <w:ind w:left="4320" w:hanging="180"/>
      </w:pPr>
    </w:lvl>
    <w:lvl w:ilvl="6" w:tplc="6CE62D44" w:tentative="1">
      <w:start w:val="1"/>
      <w:numFmt w:val="decimal"/>
      <w:lvlText w:val="%7."/>
      <w:lvlJc w:val="left"/>
      <w:pPr>
        <w:ind w:left="5040" w:hanging="360"/>
      </w:pPr>
    </w:lvl>
    <w:lvl w:ilvl="7" w:tplc="D2E4FB16" w:tentative="1">
      <w:start w:val="1"/>
      <w:numFmt w:val="lowerLetter"/>
      <w:lvlText w:val="%8."/>
      <w:lvlJc w:val="left"/>
      <w:pPr>
        <w:ind w:left="5760" w:hanging="360"/>
      </w:pPr>
    </w:lvl>
    <w:lvl w:ilvl="8" w:tplc="46EC474C" w:tentative="1">
      <w:start w:val="1"/>
      <w:numFmt w:val="lowerRoman"/>
      <w:lvlText w:val="%9."/>
      <w:lvlJc w:val="right"/>
      <w:pPr>
        <w:ind w:left="6480" w:hanging="180"/>
      </w:pPr>
    </w:lvl>
  </w:abstractNum>
  <w:abstractNum w:abstractNumId="2" w15:restartNumberingAfterBreak="0">
    <w:nsid w:val="03F278B2"/>
    <w:multiLevelType w:val="hybridMultilevel"/>
    <w:tmpl w:val="41FEFCB0"/>
    <w:lvl w:ilvl="0" w:tplc="3B9E9A88">
      <w:start w:val="1"/>
      <w:numFmt w:val="bullet"/>
      <w:lvlText w:val=""/>
      <w:lvlJc w:val="left"/>
      <w:pPr>
        <w:ind w:left="1361" w:hanging="360"/>
      </w:pPr>
      <w:rPr>
        <w:rFonts w:ascii="Symbol" w:hAnsi="Symbol" w:hint="default"/>
      </w:rPr>
    </w:lvl>
    <w:lvl w:ilvl="1" w:tplc="E0E8E7E8">
      <w:start w:val="1"/>
      <w:numFmt w:val="bullet"/>
      <w:lvlText w:val="o"/>
      <w:lvlJc w:val="left"/>
      <w:pPr>
        <w:ind w:left="2081" w:hanging="360"/>
      </w:pPr>
      <w:rPr>
        <w:rFonts w:ascii="Courier New" w:hAnsi="Courier New" w:hint="default"/>
      </w:rPr>
    </w:lvl>
    <w:lvl w:ilvl="2" w:tplc="694C0122" w:tentative="1">
      <w:start w:val="1"/>
      <w:numFmt w:val="bullet"/>
      <w:lvlText w:val=""/>
      <w:lvlJc w:val="left"/>
      <w:pPr>
        <w:ind w:left="2801" w:hanging="360"/>
      </w:pPr>
      <w:rPr>
        <w:rFonts w:ascii="Wingdings" w:hAnsi="Wingdings" w:hint="default"/>
      </w:rPr>
    </w:lvl>
    <w:lvl w:ilvl="3" w:tplc="B9E03FB2" w:tentative="1">
      <w:start w:val="1"/>
      <w:numFmt w:val="bullet"/>
      <w:lvlText w:val=""/>
      <w:lvlJc w:val="left"/>
      <w:pPr>
        <w:ind w:left="3521" w:hanging="360"/>
      </w:pPr>
      <w:rPr>
        <w:rFonts w:ascii="Symbol" w:hAnsi="Symbol" w:hint="default"/>
      </w:rPr>
    </w:lvl>
    <w:lvl w:ilvl="4" w:tplc="EF10BCC4" w:tentative="1">
      <w:start w:val="1"/>
      <w:numFmt w:val="bullet"/>
      <w:lvlText w:val="o"/>
      <w:lvlJc w:val="left"/>
      <w:pPr>
        <w:ind w:left="4241" w:hanging="360"/>
      </w:pPr>
      <w:rPr>
        <w:rFonts w:ascii="Courier New" w:hAnsi="Courier New" w:hint="default"/>
      </w:rPr>
    </w:lvl>
    <w:lvl w:ilvl="5" w:tplc="54661E6C" w:tentative="1">
      <w:start w:val="1"/>
      <w:numFmt w:val="bullet"/>
      <w:lvlText w:val=""/>
      <w:lvlJc w:val="left"/>
      <w:pPr>
        <w:ind w:left="4961" w:hanging="360"/>
      </w:pPr>
      <w:rPr>
        <w:rFonts w:ascii="Wingdings" w:hAnsi="Wingdings" w:hint="default"/>
      </w:rPr>
    </w:lvl>
    <w:lvl w:ilvl="6" w:tplc="7C28AD40" w:tentative="1">
      <w:start w:val="1"/>
      <w:numFmt w:val="bullet"/>
      <w:lvlText w:val=""/>
      <w:lvlJc w:val="left"/>
      <w:pPr>
        <w:ind w:left="5681" w:hanging="360"/>
      </w:pPr>
      <w:rPr>
        <w:rFonts w:ascii="Symbol" w:hAnsi="Symbol" w:hint="default"/>
      </w:rPr>
    </w:lvl>
    <w:lvl w:ilvl="7" w:tplc="0078540A" w:tentative="1">
      <w:start w:val="1"/>
      <w:numFmt w:val="bullet"/>
      <w:lvlText w:val="o"/>
      <w:lvlJc w:val="left"/>
      <w:pPr>
        <w:ind w:left="6401" w:hanging="360"/>
      </w:pPr>
      <w:rPr>
        <w:rFonts w:ascii="Courier New" w:hAnsi="Courier New" w:hint="default"/>
      </w:rPr>
    </w:lvl>
    <w:lvl w:ilvl="8" w:tplc="853EFCE0" w:tentative="1">
      <w:start w:val="1"/>
      <w:numFmt w:val="bullet"/>
      <w:lvlText w:val=""/>
      <w:lvlJc w:val="left"/>
      <w:pPr>
        <w:ind w:left="7121" w:hanging="360"/>
      </w:pPr>
      <w:rPr>
        <w:rFonts w:ascii="Wingdings" w:hAnsi="Wingdings" w:hint="default"/>
      </w:rPr>
    </w:lvl>
  </w:abstractNum>
  <w:abstractNum w:abstractNumId="3" w15:restartNumberingAfterBreak="0">
    <w:nsid w:val="065C238B"/>
    <w:multiLevelType w:val="hybridMultilevel"/>
    <w:tmpl w:val="680888D6"/>
    <w:lvl w:ilvl="0" w:tplc="626EADD6">
      <w:start w:val="2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A7578B"/>
    <w:multiLevelType w:val="hybridMultilevel"/>
    <w:tmpl w:val="B77A62E8"/>
    <w:lvl w:ilvl="0" w:tplc="59B624C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93270B"/>
    <w:multiLevelType w:val="hybridMultilevel"/>
    <w:tmpl w:val="C9182DE8"/>
    <w:lvl w:ilvl="0" w:tplc="72906804">
      <w:start w:val="2"/>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08B71442"/>
    <w:multiLevelType w:val="hybridMultilevel"/>
    <w:tmpl w:val="79DA2722"/>
    <w:lvl w:ilvl="0" w:tplc="EE62E6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61F9A5"/>
    <w:multiLevelType w:val="hybridMultilevel"/>
    <w:tmpl w:val="5808949E"/>
    <w:lvl w:ilvl="0" w:tplc="1E4A50F2">
      <w:start w:val="1"/>
      <w:numFmt w:val="decimal"/>
      <w:lvlText w:val="%1."/>
      <w:lvlJc w:val="left"/>
      <w:pPr>
        <w:ind w:left="720" w:hanging="360"/>
      </w:pPr>
    </w:lvl>
    <w:lvl w:ilvl="1" w:tplc="BE2E8A16">
      <w:start w:val="1"/>
      <w:numFmt w:val="lowerLetter"/>
      <w:lvlText w:val="%2."/>
      <w:lvlJc w:val="left"/>
      <w:pPr>
        <w:ind w:left="1440" w:hanging="360"/>
      </w:pPr>
    </w:lvl>
    <w:lvl w:ilvl="2" w:tplc="F2A2FB52">
      <w:start w:val="1"/>
      <w:numFmt w:val="lowerRoman"/>
      <w:lvlText w:val="%3."/>
      <w:lvlJc w:val="right"/>
      <w:pPr>
        <w:ind w:left="2160" w:hanging="180"/>
      </w:pPr>
    </w:lvl>
    <w:lvl w:ilvl="3" w:tplc="3C6098FC">
      <w:start w:val="1"/>
      <w:numFmt w:val="decimal"/>
      <w:lvlText w:val="%4."/>
      <w:lvlJc w:val="left"/>
      <w:pPr>
        <w:ind w:left="2880" w:hanging="360"/>
      </w:pPr>
    </w:lvl>
    <w:lvl w:ilvl="4" w:tplc="9E6C3BBA">
      <w:start w:val="1"/>
      <w:numFmt w:val="lowerLetter"/>
      <w:lvlText w:val="%5."/>
      <w:lvlJc w:val="left"/>
      <w:pPr>
        <w:ind w:left="3600" w:hanging="360"/>
      </w:pPr>
    </w:lvl>
    <w:lvl w:ilvl="5" w:tplc="CBC4951E">
      <w:start w:val="1"/>
      <w:numFmt w:val="lowerRoman"/>
      <w:lvlText w:val="%6."/>
      <w:lvlJc w:val="right"/>
      <w:pPr>
        <w:ind w:left="4320" w:hanging="180"/>
      </w:pPr>
    </w:lvl>
    <w:lvl w:ilvl="6" w:tplc="33C8D422">
      <w:start w:val="1"/>
      <w:numFmt w:val="decimal"/>
      <w:lvlText w:val="%7."/>
      <w:lvlJc w:val="left"/>
      <w:pPr>
        <w:ind w:left="5040" w:hanging="360"/>
      </w:pPr>
    </w:lvl>
    <w:lvl w:ilvl="7" w:tplc="C234C244">
      <w:start w:val="1"/>
      <w:numFmt w:val="lowerLetter"/>
      <w:lvlText w:val="%8."/>
      <w:lvlJc w:val="left"/>
      <w:pPr>
        <w:ind w:left="5760" w:hanging="360"/>
      </w:pPr>
    </w:lvl>
    <w:lvl w:ilvl="8" w:tplc="53AEBED0">
      <w:start w:val="1"/>
      <w:numFmt w:val="lowerRoman"/>
      <w:lvlText w:val="%9."/>
      <w:lvlJc w:val="right"/>
      <w:pPr>
        <w:ind w:left="6480" w:hanging="180"/>
      </w:pPr>
    </w:lvl>
  </w:abstractNum>
  <w:abstractNum w:abstractNumId="8" w15:restartNumberingAfterBreak="0">
    <w:nsid w:val="0AC25C77"/>
    <w:multiLevelType w:val="multilevel"/>
    <w:tmpl w:val="03820980"/>
    <w:lvl w:ilvl="0">
      <w:start w:val="1"/>
      <w:numFmt w:val="decimal"/>
      <w:lvlText w:val="%1."/>
      <w:lvlJc w:val="left"/>
      <w:pPr>
        <w:ind w:left="1494" w:hanging="360"/>
      </w:pPr>
      <w:rPr>
        <w:rFonts w:hint="default"/>
      </w:rPr>
    </w:lvl>
    <w:lvl w:ilvl="1">
      <w:start w:val="2"/>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9" w15:restartNumberingAfterBreak="0">
    <w:nsid w:val="0EA50F65"/>
    <w:multiLevelType w:val="hybridMultilevel"/>
    <w:tmpl w:val="F6F26E26"/>
    <w:lvl w:ilvl="0" w:tplc="0BEE254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C947F6"/>
    <w:multiLevelType w:val="hybridMultilevel"/>
    <w:tmpl w:val="5BE61BA0"/>
    <w:lvl w:ilvl="0" w:tplc="1BBA0470">
      <w:start w:val="1"/>
      <w:numFmt w:val="decimal"/>
      <w:lvlText w:val="%1."/>
      <w:lvlJc w:val="left"/>
      <w:pPr>
        <w:ind w:left="720" w:hanging="360"/>
      </w:pPr>
    </w:lvl>
    <w:lvl w:ilvl="1" w:tplc="A4CE0FCA">
      <w:start w:val="1"/>
      <w:numFmt w:val="lowerLetter"/>
      <w:lvlText w:val="%2."/>
      <w:lvlJc w:val="left"/>
      <w:pPr>
        <w:ind w:left="1440" w:hanging="360"/>
      </w:pPr>
    </w:lvl>
    <w:lvl w:ilvl="2" w:tplc="2FDA414E">
      <w:start w:val="1"/>
      <w:numFmt w:val="lowerRoman"/>
      <w:lvlText w:val="%3."/>
      <w:lvlJc w:val="right"/>
      <w:pPr>
        <w:ind w:left="2160" w:hanging="180"/>
      </w:pPr>
    </w:lvl>
    <w:lvl w:ilvl="3" w:tplc="E19CD8C2">
      <w:start w:val="1"/>
      <w:numFmt w:val="decimal"/>
      <w:lvlText w:val="%4."/>
      <w:lvlJc w:val="left"/>
      <w:pPr>
        <w:ind w:left="2880" w:hanging="360"/>
      </w:pPr>
    </w:lvl>
    <w:lvl w:ilvl="4" w:tplc="0B480BF8">
      <w:start w:val="1"/>
      <w:numFmt w:val="lowerLetter"/>
      <w:lvlText w:val="%5."/>
      <w:lvlJc w:val="left"/>
      <w:pPr>
        <w:ind w:left="3600" w:hanging="360"/>
      </w:pPr>
    </w:lvl>
    <w:lvl w:ilvl="5" w:tplc="7ACECA76">
      <w:start w:val="1"/>
      <w:numFmt w:val="lowerRoman"/>
      <w:lvlText w:val="%6."/>
      <w:lvlJc w:val="right"/>
      <w:pPr>
        <w:ind w:left="4320" w:hanging="180"/>
      </w:pPr>
    </w:lvl>
    <w:lvl w:ilvl="6" w:tplc="86C24142">
      <w:start w:val="1"/>
      <w:numFmt w:val="decimal"/>
      <w:lvlText w:val="%7."/>
      <w:lvlJc w:val="left"/>
      <w:pPr>
        <w:ind w:left="5040" w:hanging="360"/>
      </w:pPr>
    </w:lvl>
    <w:lvl w:ilvl="7" w:tplc="0818039E">
      <w:start w:val="1"/>
      <w:numFmt w:val="lowerLetter"/>
      <w:lvlText w:val="%8."/>
      <w:lvlJc w:val="left"/>
      <w:pPr>
        <w:ind w:left="5760" w:hanging="360"/>
      </w:pPr>
    </w:lvl>
    <w:lvl w:ilvl="8" w:tplc="428454CA">
      <w:start w:val="1"/>
      <w:numFmt w:val="lowerRoman"/>
      <w:lvlText w:val="%9."/>
      <w:lvlJc w:val="right"/>
      <w:pPr>
        <w:ind w:left="6480" w:hanging="180"/>
      </w:pPr>
    </w:lvl>
  </w:abstractNum>
  <w:abstractNum w:abstractNumId="11" w15:restartNumberingAfterBreak="0">
    <w:nsid w:val="12395533"/>
    <w:multiLevelType w:val="hybridMultilevel"/>
    <w:tmpl w:val="5BE61BA0"/>
    <w:styleLink w:val="Listaactual3"/>
    <w:lvl w:ilvl="0" w:tplc="1E6A3B72">
      <w:start w:val="1"/>
      <w:numFmt w:val="decimal"/>
      <w:lvlText w:val="%1."/>
      <w:lvlJc w:val="left"/>
      <w:pPr>
        <w:ind w:left="720" w:hanging="360"/>
      </w:pPr>
    </w:lvl>
    <w:lvl w:ilvl="1" w:tplc="F31C4032">
      <w:start w:val="1"/>
      <w:numFmt w:val="lowerLetter"/>
      <w:lvlText w:val="%2."/>
      <w:lvlJc w:val="left"/>
      <w:pPr>
        <w:ind w:left="1440" w:hanging="360"/>
      </w:pPr>
    </w:lvl>
    <w:lvl w:ilvl="2" w:tplc="539867E4">
      <w:start w:val="1"/>
      <w:numFmt w:val="lowerRoman"/>
      <w:lvlText w:val="%3."/>
      <w:lvlJc w:val="right"/>
      <w:pPr>
        <w:ind w:left="2160" w:hanging="180"/>
      </w:pPr>
    </w:lvl>
    <w:lvl w:ilvl="3" w:tplc="187CC6D2">
      <w:start w:val="1"/>
      <w:numFmt w:val="decimal"/>
      <w:lvlText w:val="%4."/>
      <w:lvlJc w:val="left"/>
      <w:pPr>
        <w:ind w:left="2880" w:hanging="360"/>
      </w:pPr>
    </w:lvl>
    <w:lvl w:ilvl="4" w:tplc="011277A0">
      <w:start w:val="1"/>
      <w:numFmt w:val="lowerLetter"/>
      <w:lvlText w:val="%5."/>
      <w:lvlJc w:val="left"/>
      <w:pPr>
        <w:ind w:left="3600" w:hanging="360"/>
      </w:pPr>
    </w:lvl>
    <w:lvl w:ilvl="5" w:tplc="983CD02E">
      <w:start w:val="1"/>
      <w:numFmt w:val="lowerRoman"/>
      <w:lvlText w:val="%6."/>
      <w:lvlJc w:val="right"/>
      <w:pPr>
        <w:ind w:left="4320" w:hanging="180"/>
      </w:pPr>
    </w:lvl>
    <w:lvl w:ilvl="6" w:tplc="2CAAFD9E">
      <w:start w:val="1"/>
      <w:numFmt w:val="decimal"/>
      <w:lvlText w:val="%7."/>
      <w:lvlJc w:val="left"/>
      <w:pPr>
        <w:ind w:left="5040" w:hanging="360"/>
      </w:pPr>
    </w:lvl>
    <w:lvl w:ilvl="7" w:tplc="5CC2F3FE">
      <w:start w:val="1"/>
      <w:numFmt w:val="lowerLetter"/>
      <w:lvlText w:val="%8."/>
      <w:lvlJc w:val="left"/>
      <w:pPr>
        <w:ind w:left="5760" w:hanging="360"/>
      </w:pPr>
    </w:lvl>
    <w:lvl w:ilvl="8" w:tplc="F1BE8514">
      <w:start w:val="1"/>
      <w:numFmt w:val="lowerRoman"/>
      <w:lvlText w:val="%9."/>
      <w:lvlJc w:val="right"/>
      <w:pPr>
        <w:ind w:left="6480" w:hanging="180"/>
      </w:pPr>
    </w:lvl>
  </w:abstractNum>
  <w:abstractNum w:abstractNumId="12" w15:restartNumberingAfterBreak="0">
    <w:nsid w:val="1269C37B"/>
    <w:multiLevelType w:val="hybridMultilevel"/>
    <w:tmpl w:val="8228B588"/>
    <w:lvl w:ilvl="0" w:tplc="9828A7F8">
      <w:start w:val="1"/>
      <w:numFmt w:val="bullet"/>
      <w:lvlText w:val=""/>
      <w:lvlJc w:val="left"/>
      <w:pPr>
        <w:ind w:left="720" w:hanging="360"/>
      </w:pPr>
      <w:rPr>
        <w:rFonts w:ascii="Symbol" w:hAnsi="Symbol" w:hint="default"/>
      </w:rPr>
    </w:lvl>
    <w:lvl w:ilvl="1" w:tplc="68B8F68C">
      <w:start w:val="1"/>
      <w:numFmt w:val="bullet"/>
      <w:lvlText w:val="o"/>
      <w:lvlJc w:val="left"/>
      <w:pPr>
        <w:ind w:left="1440" w:hanging="360"/>
      </w:pPr>
      <w:rPr>
        <w:rFonts w:ascii="Courier New" w:hAnsi="Courier New" w:hint="default"/>
      </w:rPr>
    </w:lvl>
    <w:lvl w:ilvl="2" w:tplc="19FE7B4C">
      <w:start w:val="1"/>
      <w:numFmt w:val="bullet"/>
      <w:lvlText w:val=""/>
      <w:lvlJc w:val="left"/>
      <w:pPr>
        <w:ind w:left="2160" w:hanging="360"/>
      </w:pPr>
      <w:rPr>
        <w:rFonts w:ascii="Wingdings" w:hAnsi="Wingdings" w:hint="default"/>
      </w:rPr>
    </w:lvl>
    <w:lvl w:ilvl="3" w:tplc="A54E4000">
      <w:start w:val="1"/>
      <w:numFmt w:val="bullet"/>
      <w:lvlText w:val=""/>
      <w:lvlJc w:val="left"/>
      <w:pPr>
        <w:ind w:left="2880" w:hanging="360"/>
      </w:pPr>
      <w:rPr>
        <w:rFonts w:ascii="Symbol" w:hAnsi="Symbol" w:hint="default"/>
      </w:rPr>
    </w:lvl>
    <w:lvl w:ilvl="4" w:tplc="A72235F2">
      <w:start w:val="1"/>
      <w:numFmt w:val="bullet"/>
      <w:lvlText w:val="o"/>
      <w:lvlJc w:val="left"/>
      <w:pPr>
        <w:ind w:left="3600" w:hanging="360"/>
      </w:pPr>
      <w:rPr>
        <w:rFonts w:ascii="Courier New" w:hAnsi="Courier New" w:hint="default"/>
      </w:rPr>
    </w:lvl>
    <w:lvl w:ilvl="5" w:tplc="E3B4F840">
      <w:start w:val="1"/>
      <w:numFmt w:val="bullet"/>
      <w:lvlText w:val=""/>
      <w:lvlJc w:val="left"/>
      <w:pPr>
        <w:ind w:left="4320" w:hanging="360"/>
      </w:pPr>
      <w:rPr>
        <w:rFonts w:ascii="Wingdings" w:hAnsi="Wingdings" w:hint="default"/>
      </w:rPr>
    </w:lvl>
    <w:lvl w:ilvl="6" w:tplc="3EBAC6C0">
      <w:start w:val="1"/>
      <w:numFmt w:val="bullet"/>
      <w:lvlText w:val=""/>
      <w:lvlJc w:val="left"/>
      <w:pPr>
        <w:ind w:left="5040" w:hanging="360"/>
      </w:pPr>
      <w:rPr>
        <w:rFonts w:ascii="Symbol" w:hAnsi="Symbol" w:hint="default"/>
      </w:rPr>
    </w:lvl>
    <w:lvl w:ilvl="7" w:tplc="4A54EC52">
      <w:start w:val="1"/>
      <w:numFmt w:val="bullet"/>
      <w:lvlText w:val="o"/>
      <w:lvlJc w:val="left"/>
      <w:pPr>
        <w:ind w:left="5760" w:hanging="360"/>
      </w:pPr>
      <w:rPr>
        <w:rFonts w:ascii="Courier New" w:hAnsi="Courier New" w:hint="default"/>
      </w:rPr>
    </w:lvl>
    <w:lvl w:ilvl="8" w:tplc="8B2EF36C">
      <w:start w:val="1"/>
      <w:numFmt w:val="bullet"/>
      <w:lvlText w:val=""/>
      <w:lvlJc w:val="left"/>
      <w:pPr>
        <w:ind w:left="6480" w:hanging="360"/>
      </w:pPr>
      <w:rPr>
        <w:rFonts w:ascii="Wingdings" w:hAnsi="Wingdings" w:hint="default"/>
      </w:rPr>
    </w:lvl>
  </w:abstractNum>
  <w:abstractNum w:abstractNumId="13" w15:restartNumberingAfterBreak="0">
    <w:nsid w:val="14B22424"/>
    <w:multiLevelType w:val="hybridMultilevel"/>
    <w:tmpl w:val="77E62F6E"/>
    <w:lvl w:ilvl="0" w:tplc="30CA1180">
      <w:start w:val="1"/>
      <w:numFmt w:val="bullet"/>
      <w:lvlText w:val=""/>
      <w:lvlJc w:val="left"/>
      <w:pPr>
        <w:ind w:left="720" w:hanging="360"/>
      </w:pPr>
      <w:rPr>
        <w:rFonts w:ascii="Symbol" w:hAnsi="Symbol" w:hint="default"/>
      </w:rPr>
    </w:lvl>
    <w:lvl w:ilvl="1" w:tplc="97AAE3B4">
      <w:start w:val="1"/>
      <w:numFmt w:val="bullet"/>
      <w:lvlText w:val="o"/>
      <w:lvlJc w:val="left"/>
      <w:pPr>
        <w:ind w:left="1440" w:hanging="360"/>
      </w:pPr>
      <w:rPr>
        <w:rFonts w:ascii="Courier New" w:hAnsi="Courier New" w:hint="default"/>
      </w:rPr>
    </w:lvl>
    <w:lvl w:ilvl="2" w:tplc="2C1EE7B4" w:tentative="1">
      <w:start w:val="1"/>
      <w:numFmt w:val="bullet"/>
      <w:lvlText w:val=""/>
      <w:lvlJc w:val="left"/>
      <w:pPr>
        <w:ind w:left="2160" w:hanging="360"/>
      </w:pPr>
      <w:rPr>
        <w:rFonts w:ascii="Wingdings" w:hAnsi="Wingdings" w:hint="default"/>
      </w:rPr>
    </w:lvl>
    <w:lvl w:ilvl="3" w:tplc="7736CA86" w:tentative="1">
      <w:start w:val="1"/>
      <w:numFmt w:val="bullet"/>
      <w:lvlText w:val=""/>
      <w:lvlJc w:val="left"/>
      <w:pPr>
        <w:ind w:left="2880" w:hanging="360"/>
      </w:pPr>
      <w:rPr>
        <w:rFonts w:ascii="Symbol" w:hAnsi="Symbol" w:hint="default"/>
      </w:rPr>
    </w:lvl>
    <w:lvl w:ilvl="4" w:tplc="17CEA18C" w:tentative="1">
      <w:start w:val="1"/>
      <w:numFmt w:val="bullet"/>
      <w:lvlText w:val="o"/>
      <w:lvlJc w:val="left"/>
      <w:pPr>
        <w:ind w:left="3600" w:hanging="360"/>
      </w:pPr>
      <w:rPr>
        <w:rFonts w:ascii="Courier New" w:hAnsi="Courier New" w:hint="default"/>
      </w:rPr>
    </w:lvl>
    <w:lvl w:ilvl="5" w:tplc="0AF00512" w:tentative="1">
      <w:start w:val="1"/>
      <w:numFmt w:val="bullet"/>
      <w:lvlText w:val=""/>
      <w:lvlJc w:val="left"/>
      <w:pPr>
        <w:ind w:left="4320" w:hanging="360"/>
      </w:pPr>
      <w:rPr>
        <w:rFonts w:ascii="Wingdings" w:hAnsi="Wingdings" w:hint="default"/>
      </w:rPr>
    </w:lvl>
    <w:lvl w:ilvl="6" w:tplc="C9928F6A" w:tentative="1">
      <w:start w:val="1"/>
      <w:numFmt w:val="bullet"/>
      <w:lvlText w:val=""/>
      <w:lvlJc w:val="left"/>
      <w:pPr>
        <w:ind w:left="5040" w:hanging="360"/>
      </w:pPr>
      <w:rPr>
        <w:rFonts w:ascii="Symbol" w:hAnsi="Symbol" w:hint="default"/>
      </w:rPr>
    </w:lvl>
    <w:lvl w:ilvl="7" w:tplc="726C221C" w:tentative="1">
      <w:start w:val="1"/>
      <w:numFmt w:val="bullet"/>
      <w:lvlText w:val="o"/>
      <w:lvlJc w:val="left"/>
      <w:pPr>
        <w:ind w:left="5760" w:hanging="360"/>
      </w:pPr>
      <w:rPr>
        <w:rFonts w:ascii="Courier New" w:hAnsi="Courier New" w:hint="default"/>
      </w:rPr>
    </w:lvl>
    <w:lvl w:ilvl="8" w:tplc="F4527F4E" w:tentative="1">
      <w:start w:val="1"/>
      <w:numFmt w:val="bullet"/>
      <w:lvlText w:val=""/>
      <w:lvlJc w:val="left"/>
      <w:pPr>
        <w:ind w:left="6480" w:hanging="360"/>
      </w:pPr>
      <w:rPr>
        <w:rFonts w:ascii="Wingdings" w:hAnsi="Wingdings" w:hint="default"/>
      </w:rPr>
    </w:lvl>
  </w:abstractNum>
  <w:abstractNum w:abstractNumId="14" w15:restartNumberingAfterBreak="0">
    <w:nsid w:val="15162870"/>
    <w:multiLevelType w:val="hybridMultilevel"/>
    <w:tmpl w:val="912A70EA"/>
    <w:lvl w:ilvl="0" w:tplc="0B8EA918">
      <w:start w:val="3"/>
      <w:numFmt w:val="bullet"/>
      <w:lvlText w:val="-"/>
      <w:lvlJc w:val="left"/>
      <w:pPr>
        <w:ind w:left="720" w:hanging="360"/>
      </w:pPr>
      <w:rPr>
        <w:rFonts w:ascii="Times New Roman" w:hAnsi="Times New Roman" w:hint="default"/>
      </w:rPr>
    </w:lvl>
    <w:lvl w:ilvl="1" w:tplc="67C42794" w:tentative="1">
      <w:start w:val="1"/>
      <w:numFmt w:val="bullet"/>
      <w:lvlText w:val="o"/>
      <w:lvlJc w:val="left"/>
      <w:pPr>
        <w:ind w:left="1440" w:hanging="360"/>
      </w:pPr>
      <w:rPr>
        <w:rFonts w:ascii="Courier New" w:hAnsi="Courier New" w:hint="default"/>
      </w:rPr>
    </w:lvl>
    <w:lvl w:ilvl="2" w:tplc="A8AE90E2" w:tentative="1">
      <w:start w:val="1"/>
      <w:numFmt w:val="bullet"/>
      <w:lvlText w:val=""/>
      <w:lvlJc w:val="left"/>
      <w:pPr>
        <w:ind w:left="2160" w:hanging="360"/>
      </w:pPr>
      <w:rPr>
        <w:rFonts w:ascii="Wingdings" w:hAnsi="Wingdings" w:hint="default"/>
      </w:rPr>
    </w:lvl>
    <w:lvl w:ilvl="3" w:tplc="B0789C4E" w:tentative="1">
      <w:start w:val="1"/>
      <w:numFmt w:val="bullet"/>
      <w:lvlText w:val=""/>
      <w:lvlJc w:val="left"/>
      <w:pPr>
        <w:ind w:left="2880" w:hanging="360"/>
      </w:pPr>
      <w:rPr>
        <w:rFonts w:ascii="Symbol" w:hAnsi="Symbol" w:hint="default"/>
      </w:rPr>
    </w:lvl>
    <w:lvl w:ilvl="4" w:tplc="DA6CEB90" w:tentative="1">
      <w:start w:val="1"/>
      <w:numFmt w:val="bullet"/>
      <w:lvlText w:val="o"/>
      <w:lvlJc w:val="left"/>
      <w:pPr>
        <w:ind w:left="3600" w:hanging="360"/>
      </w:pPr>
      <w:rPr>
        <w:rFonts w:ascii="Courier New" w:hAnsi="Courier New" w:hint="default"/>
      </w:rPr>
    </w:lvl>
    <w:lvl w:ilvl="5" w:tplc="949A50EA" w:tentative="1">
      <w:start w:val="1"/>
      <w:numFmt w:val="bullet"/>
      <w:lvlText w:val=""/>
      <w:lvlJc w:val="left"/>
      <w:pPr>
        <w:ind w:left="4320" w:hanging="360"/>
      </w:pPr>
      <w:rPr>
        <w:rFonts w:ascii="Wingdings" w:hAnsi="Wingdings" w:hint="default"/>
      </w:rPr>
    </w:lvl>
    <w:lvl w:ilvl="6" w:tplc="A03A613E" w:tentative="1">
      <w:start w:val="1"/>
      <w:numFmt w:val="bullet"/>
      <w:lvlText w:val=""/>
      <w:lvlJc w:val="left"/>
      <w:pPr>
        <w:ind w:left="5040" w:hanging="360"/>
      </w:pPr>
      <w:rPr>
        <w:rFonts w:ascii="Symbol" w:hAnsi="Symbol" w:hint="default"/>
      </w:rPr>
    </w:lvl>
    <w:lvl w:ilvl="7" w:tplc="ED4C15B4" w:tentative="1">
      <w:start w:val="1"/>
      <w:numFmt w:val="bullet"/>
      <w:lvlText w:val="o"/>
      <w:lvlJc w:val="left"/>
      <w:pPr>
        <w:ind w:left="5760" w:hanging="360"/>
      </w:pPr>
      <w:rPr>
        <w:rFonts w:ascii="Courier New" w:hAnsi="Courier New" w:hint="default"/>
      </w:rPr>
    </w:lvl>
    <w:lvl w:ilvl="8" w:tplc="09126776" w:tentative="1">
      <w:start w:val="1"/>
      <w:numFmt w:val="bullet"/>
      <w:lvlText w:val=""/>
      <w:lvlJc w:val="left"/>
      <w:pPr>
        <w:ind w:left="6480" w:hanging="360"/>
      </w:pPr>
      <w:rPr>
        <w:rFonts w:ascii="Wingdings" w:hAnsi="Wingdings" w:hint="default"/>
      </w:rPr>
    </w:lvl>
  </w:abstractNum>
  <w:abstractNum w:abstractNumId="15" w15:restartNumberingAfterBreak="0">
    <w:nsid w:val="18121053"/>
    <w:multiLevelType w:val="hybridMultilevel"/>
    <w:tmpl w:val="EFF643C0"/>
    <w:lvl w:ilvl="0" w:tplc="A0824306">
      <w:start w:val="1"/>
      <w:numFmt w:val="bullet"/>
      <w:lvlText w:val="-"/>
      <w:lvlJc w:val="left"/>
      <w:pPr>
        <w:ind w:left="720" w:hanging="360"/>
      </w:pPr>
      <w:rPr>
        <w:rFonts w:ascii="Symbol" w:hAnsi="Symbol" w:hint="default"/>
      </w:rPr>
    </w:lvl>
    <w:lvl w:ilvl="1" w:tplc="CC6600AC">
      <w:start w:val="1"/>
      <w:numFmt w:val="bullet"/>
      <w:lvlText w:val="o"/>
      <w:lvlJc w:val="left"/>
      <w:pPr>
        <w:ind w:left="1440" w:hanging="360"/>
      </w:pPr>
      <w:rPr>
        <w:rFonts w:ascii="Courier New" w:hAnsi="Courier New" w:hint="default"/>
      </w:rPr>
    </w:lvl>
    <w:lvl w:ilvl="2" w:tplc="0824B4A4">
      <w:start w:val="1"/>
      <w:numFmt w:val="bullet"/>
      <w:lvlText w:val=""/>
      <w:lvlJc w:val="left"/>
      <w:pPr>
        <w:ind w:left="2160" w:hanging="360"/>
      </w:pPr>
      <w:rPr>
        <w:rFonts w:ascii="Wingdings" w:hAnsi="Wingdings" w:hint="default"/>
      </w:rPr>
    </w:lvl>
    <w:lvl w:ilvl="3" w:tplc="67743A52">
      <w:start w:val="1"/>
      <w:numFmt w:val="bullet"/>
      <w:lvlText w:val=""/>
      <w:lvlJc w:val="left"/>
      <w:pPr>
        <w:ind w:left="2880" w:hanging="360"/>
      </w:pPr>
      <w:rPr>
        <w:rFonts w:ascii="Symbol" w:hAnsi="Symbol" w:hint="default"/>
      </w:rPr>
    </w:lvl>
    <w:lvl w:ilvl="4" w:tplc="D30E600C">
      <w:start w:val="1"/>
      <w:numFmt w:val="bullet"/>
      <w:lvlText w:val="o"/>
      <w:lvlJc w:val="left"/>
      <w:pPr>
        <w:ind w:left="3600" w:hanging="360"/>
      </w:pPr>
      <w:rPr>
        <w:rFonts w:ascii="Courier New" w:hAnsi="Courier New" w:hint="default"/>
      </w:rPr>
    </w:lvl>
    <w:lvl w:ilvl="5" w:tplc="221A847A">
      <w:start w:val="1"/>
      <w:numFmt w:val="bullet"/>
      <w:lvlText w:val=""/>
      <w:lvlJc w:val="left"/>
      <w:pPr>
        <w:ind w:left="4320" w:hanging="360"/>
      </w:pPr>
      <w:rPr>
        <w:rFonts w:ascii="Wingdings" w:hAnsi="Wingdings" w:hint="default"/>
      </w:rPr>
    </w:lvl>
    <w:lvl w:ilvl="6" w:tplc="CE064C6E">
      <w:start w:val="1"/>
      <w:numFmt w:val="bullet"/>
      <w:lvlText w:val=""/>
      <w:lvlJc w:val="left"/>
      <w:pPr>
        <w:ind w:left="5040" w:hanging="360"/>
      </w:pPr>
      <w:rPr>
        <w:rFonts w:ascii="Symbol" w:hAnsi="Symbol" w:hint="default"/>
      </w:rPr>
    </w:lvl>
    <w:lvl w:ilvl="7" w:tplc="943C6CD6">
      <w:start w:val="1"/>
      <w:numFmt w:val="bullet"/>
      <w:lvlText w:val="o"/>
      <w:lvlJc w:val="left"/>
      <w:pPr>
        <w:ind w:left="5760" w:hanging="360"/>
      </w:pPr>
      <w:rPr>
        <w:rFonts w:ascii="Courier New" w:hAnsi="Courier New" w:hint="default"/>
      </w:rPr>
    </w:lvl>
    <w:lvl w:ilvl="8" w:tplc="A7B0BC70">
      <w:start w:val="1"/>
      <w:numFmt w:val="bullet"/>
      <w:lvlText w:val=""/>
      <w:lvlJc w:val="left"/>
      <w:pPr>
        <w:ind w:left="6480" w:hanging="360"/>
      </w:pPr>
      <w:rPr>
        <w:rFonts w:ascii="Wingdings" w:hAnsi="Wingdings" w:hint="default"/>
      </w:rPr>
    </w:lvl>
  </w:abstractNum>
  <w:abstractNum w:abstractNumId="16" w15:restartNumberingAfterBreak="0">
    <w:nsid w:val="1A086691"/>
    <w:multiLevelType w:val="hybridMultilevel"/>
    <w:tmpl w:val="39C0D1A4"/>
    <w:lvl w:ilvl="0" w:tplc="C37AC41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ACF2DDE"/>
    <w:multiLevelType w:val="hybridMultilevel"/>
    <w:tmpl w:val="4AA033A0"/>
    <w:lvl w:ilvl="0" w:tplc="8E802F0C">
      <w:start w:val="1"/>
      <w:numFmt w:val="lowerRoman"/>
      <w:lvlText w:val="(%1)"/>
      <w:lvlJc w:val="left"/>
      <w:pPr>
        <w:ind w:left="1382" w:hanging="720"/>
      </w:pPr>
      <w:rPr>
        <w:rFonts w:hint="default"/>
        <w:i/>
      </w:rPr>
    </w:lvl>
    <w:lvl w:ilvl="1" w:tplc="080A0019" w:tentative="1">
      <w:start w:val="1"/>
      <w:numFmt w:val="lowerLetter"/>
      <w:lvlText w:val="%2."/>
      <w:lvlJc w:val="left"/>
      <w:pPr>
        <w:ind w:left="1742" w:hanging="360"/>
      </w:pPr>
    </w:lvl>
    <w:lvl w:ilvl="2" w:tplc="080A001B" w:tentative="1">
      <w:start w:val="1"/>
      <w:numFmt w:val="lowerRoman"/>
      <w:lvlText w:val="%3."/>
      <w:lvlJc w:val="right"/>
      <w:pPr>
        <w:ind w:left="2462" w:hanging="180"/>
      </w:pPr>
    </w:lvl>
    <w:lvl w:ilvl="3" w:tplc="080A000F" w:tentative="1">
      <w:start w:val="1"/>
      <w:numFmt w:val="decimal"/>
      <w:lvlText w:val="%4."/>
      <w:lvlJc w:val="left"/>
      <w:pPr>
        <w:ind w:left="3182" w:hanging="360"/>
      </w:pPr>
    </w:lvl>
    <w:lvl w:ilvl="4" w:tplc="080A0019" w:tentative="1">
      <w:start w:val="1"/>
      <w:numFmt w:val="lowerLetter"/>
      <w:lvlText w:val="%5."/>
      <w:lvlJc w:val="left"/>
      <w:pPr>
        <w:ind w:left="3902" w:hanging="360"/>
      </w:pPr>
    </w:lvl>
    <w:lvl w:ilvl="5" w:tplc="080A001B" w:tentative="1">
      <w:start w:val="1"/>
      <w:numFmt w:val="lowerRoman"/>
      <w:lvlText w:val="%6."/>
      <w:lvlJc w:val="right"/>
      <w:pPr>
        <w:ind w:left="4622" w:hanging="180"/>
      </w:pPr>
    </w:lvl>
    <w:lvl w:ilvl="6" w:tplc="080A000F" w:tentative="1">
      <w:start w:val="1"/>
      <w:numFmt w:val="decimal"/>
      <w:lvlText w:val="%7."/>
      <w:lvlJc w:val="left"/>
      <w:pPr>
        <w:ind w:left="5342" w:hanging="360"/>
      </w:pPr>
    </w:lvl>
    <w:lvl w:ilvl="7" w:tplc="080A0019" w:tentative="1">
      <w:start w:val="1"/>
      <w:numFmt w:val="lowerLetter"/>
      <w:lvlText w:val="%8."/>
      <w:lvlJc w:val="left"/>
      <w:pPr>
        <w:ind w:left="6062" w:hanging="360"/>
      </w:pPr>
    </w:lvl>
    <w:lvl w:ilvl="8" w:tplc="080A001B" w:tentative="1">
      <w:start w:val="1"/>
      <w:numFmt w:val="lowerRoman"/>
      <w:lvlText w:val="%9."/>
      <w:lvlJc w:val="right"/>
      <w:pPr>
        <w:ind w:left="6782" w:hanging="180"/>
      </w:pPr>
    </w:lvl>
  </w:abstractNum>
  <w:abstractNum w:abstractNumId="18" w15:restartNumberingAfterBreak="0">
    <w:nsid w:val="1AD524D3"/>
    <w:multiLevelType w:val="multilevel"/>
    <w:tmpl w:val="EC9A77F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1BCD011A"/>
    <w:multiLevelType w:val="hybridMultilevel"/>
    <w:tmpl w:val="675E03FC"/>
    <w:lvl w:ilvl="0" w:tplc="1D56B3B6">
      <w:start w:val="1"/>
      <w:numFmt w:val="lowerRoman"/>
      <w:lvlText w:val="%1."/>
      <w:lvlJc w:val="left"/>
      <w:pPr>
        <w:ind w:left="720" w:hanging="360"/>
      </w:pPr>
    </w:lvl>
    <w:lvl w:ilvl="1" w:tplc="CC8829B8">
      <w:start w:val="1"/>
      <w:numFmt w:val="lowerLetter"/>
      <w:lvlText w:val="%2."/>
      <w:lvlJc w:val="left"/>
      <w:pPr>
        <w:ind w:left="1440" w:hanging="360"/>
      </w:pPr>
    </w:lvl>
    <w:lvl w:ilvl="2" w:tplc="C7EAF180">
      <w:start w:val="1"/>
      <w:numFmt w:val="lowerRoman"/>
      <w:lvlText w:val="%3."/>
      <w:lvlJc w:val="right"/>
      <w:pPr>
        <w:ind w:left="2160" w:hanging="180"/>
      </w:pPr>
    </w:lvl>
    <w:lvl w:ilvl="3" w:tplc="488E05E2">
      <w:start w:val="1"/>
      <w:numFmt w:val="decimal"/>
      <w:lvlText w:val="%4."/>
      <w:lvlJc w:val="left"/>
      <w:pPr>
        <w:ind w:left="2880" w:hanging="360"/>
      </w:pPr>
    </w:lvl>
    <w:lvl w:ilvl="4" w:tplc="1E6EDCBA">
      <w:start w:val="1"/>
      <w:numFmt w:val="lowerLetter"/>
      <w:lvlText w:val="%5."/>
      <w:lvlJc w:val="left"/>
      <w:pPr>
        <w:ind w:left="3600" w:hanging="360"/>
      </w:pPr>
    </w:lvl>
    <w:lvl w:ilvl="5" w:tplc="76DAFC30">
      <w:start w:val="1"/>
      <w:numFmt w:val="lowerRoman"/>
      <w:lvlText w:val="%6."/>
      <w:lvlJc w:val="right"/>
      <w:pPr>
        <w:ind w:left="4320" w:hanging="180"/>
      </w:pPr>
    </w:lvl>
    <w:lvl w:ilvl="6" w:tplc="7CD22344">
      <w:start w:val="1"/>
      <w:numFmt w:val="decimal"/>
      <w:lvlText w:val="%7."/>
      <w:lvlJc w:val="left"/>
      <w:pPr>
        <w:ind w:left="5040" w:hanging="360"/>
      </w:pPr>
    </w:lvl>
    <w:lvl w:ilvl="7" w:tplc="65D40A98">
      <w:start w:val="1"/>
      <w:numFmt w:val="lowerLetter"/>
      <w:lvlText w:val="%8."/>
      <w:lvlJc w:val="left"/>
      <w:pPr>
        <w:ind w:left="5760" w:hanging="360"/>
      </w:pPr>
    </w:lvl>
    <w:lvl w:ilvl="8" w:tplc="ABB8646A">
      <w:start w:val="1"/>
      <w:numFmt w:val="lowerRoman"/>
      <w:lvlText w:val="%9."/>
      <w:lvlJc w:val="right"/>
      <w:pPr>
        <w:ind w:left="6480" w:hanging="180"/>
      </w:pPr>
    </w:lvl>
  </w:abstractNum>
  <w:abstractNum w:abstractNumId="20" w15:restartNumberingAfterBreak="0">
    <w:nsid w:val="1EC71E6B"/>
    <w:multiLevelType w:val="hybridMultilevel"/>
    <w:tmpl w:val="65748050"/>
    <w:lvl w:ilvl="0" w:tplc="F89632DA">
      <w:start w:val="1"/>
      <w:numFmt w:val="decimal"/>
      <w:lvlText w:val="(vi)"/>
      <w:lvlJc w:val="left"/>
      <w:pPr>
        <w:ind w:left="720" w:hanging="360"/>
      </w:pPr>
    </w:lvl>
    <w:lvl w:ilvl="1" w:tplc="5A2A8F84">
      <w:start w:val="1"/>
      <w:numFmt w:val="lowerLetter"/>
      <w:lvlText w:val="%2."/>
      <w:lvlJc w:val="left"/>
      <w:pPr>
        <w:ind w:left="1440" w:hanging="360"/>
      </w:pPr>
    </w:lvl>
    <w:lvl w:ilvl="2" w:tplc="59EC254A">
      <w:start w:val="1"/>
      <w:numFmt w:val="lowerRoman"/>
      <w:lvlText w:val="%3."/>
      <w:lvlJc w:val="right"/>
      <w:pPr>
        <w:ind w:left="2160" w:hanging="180"/>
      </w:pPr>
    </w:lvl>
    <w:lvl w:ilvl="3" w:tplc="F50A3CCC">
      <w:start w:val="1"/>
      <w:numFmt w:val="decimal"/>
      <w:lvlText w:val="%4."/>
      <w:lvlJc w:val="left"/>
      <w:pPr>
        <w:ind w:left="2880" w:hanging="360"/>
      </w:pPr>
    </w:lvl>
    <w:lvl w:ilvl="4" w:tplc="CE5C29EA">
      <w:start w:val="1"/>
      <w:numFmt w:val="lowerLetter"/>
      <w:lvlText w:val="%5."/>
      <w:lvlJc w:val="left"/>
      <w:pPr>
        <w:ind w:left="3600" w:hanging="360"/>
      </w:pPr>
    </w:lvl>
    <w:lvl w:ilvl="5" w:tplc="82E4EE1A">
      <w:start w:val="1"/>
      <w:numFmt w:val="lowerRoman"/>
      <w:lvlText w:val="%6."/>
      <w:lvlJc w:val="right"/>
      <w:pPr>
        <w:ind w:left="4320" w:hanging="180"/>
      </w:pPr>
    </w:lvl>
    <w:lvl w:ilvl="6" w:tplc="E8AEE448">
      <w:start w:val="1"/>
      <w:numFmt w:val="decimal"/>
      <w:lvlText w:val="%7."/>
      <w:lvlJc w:val="left"/>
      <w:pPr>
        <w:ind w:left="5040" w:hanging="360"/>
      </w:pPr>
    </w:lvl>
    <w:lvl w:ilvl="7" w:tplc="31EC8244">
      <w:start w:val="1"/>
      <w:numFmt w:val="lowerLetter"/>
      <w:lvlText w:val="%8."/>
      <w:lvlJc w:val="left"/>
      <w:pPr>
        <w:ind w:left="5760" w:hanging="360"/>
      </w:pPr>
    </w:lvl>
    <w:lvl w:ilvl="8" w:tplc="0C7426AA">
      <w:start w:val="1"/>
      <w:numFmt w:val="lowerRoman"/>
      <w:lvlText w:val="%9."/>
      <w:lvlJc w:val="right"/>
      <w:pPr>
        <w:ind w:left="6480" w:hanging="180"/>
      </w:pPr>
    </w:lvl>
  </w:abstractNum>
  <w:abstractNum w:abstractNumId="21" w15:restartNumberingAfterBreak="0">
    <w:nsid w:val="216B192F"/>
    <w:multiLevelType w:val="hybridMultilevel"/>
    <w:tmpl w:val="31C6EB8E"/>
    <w:lvl w:ilvl="0" w:tplc="57F61282">
      <w:start w:val="1"/>
      <w:numFmt w:val="bullet"/>
      <w:lvlText w:val="-"/>
      <w:lvlJc w:val="left"/>
      <w:pPr>
        <w:ind w:left="720" w:hanging="360"/>
      </w:pPr>
      <w:rPr>
        <w:rFonts w:ascii="Symbol" w:hAnsi="Symbol" w:hint="default"/>
      </w:rPr>
    </w:lvl>
    <w:lvl w:ilvl="1" w:tplc="4F10B28C">
      <w:start w:val="1"/>
      <w:numFmt w:val="bullet"/>
      <w:lvlText w:val="o"/>
      <w:lvlJc w:val="left"/>
      <w:pPr>
        <w:ind w:left="1440" w:hanging="360"/>
      </w:pPr>
      <w:rPr>
        <w:rFonts w:ascii="Courier New" w:hAnsi="Courier New" w:hint="default"/>
      </w:rPr>
    </w:lvl>
    <w:lvl w:ilvl="2" w:tplc="58308056">
      <w:start w:val="1"/>
      <w:numFmt w:val="bullet"/>
      <w:lvlText w:val=""/>
      <w:lvlJc w:val="left"/>
      <w:pPr>
        <w:ind w:left="2160" w:hanging="360"/>
      </w:pPr>
      <w:rPr>
        <w:rFonts w:ascii="Wingdings" w:hAnsi="Wingdings" w:hint="default"/>
      </w:rPr>
    </w:lvl>
    <w:lvl w:ilvl="3" w:tplc="D47E9314">
      <w:start w:val="1"/>
      <w:numFmt w:val="bullet"/>
      <w:lvlText w:val=""/>
      <w:lvlJc w:val="left"/>
      <w:pPr>
        <w:ind w:left="2880" w:hanging="360"/>
      </w:pPr>
      <w:rPr>
        <w:rFonts w:ascii="Symbol" w:hAnsi="Symbol" w:hint="default"/>
      </w:rPr>
    </w:lvl>
    <w:lvl w:ilvl="4" w:tplc="EC96D1FC">
      <w:start w:val="1"/>
      <w:numFmt w:val="bullet"/>
      <w:lvlText w:val="o"/>
      <w:lvlJc w:val="left"/>
      <w:pPr>
        <w:ind w:left="3600" w:hanging="360"/>
      </w:pPr>
      <w:rPr>
        <w:rFonts w:ascii="Courier New" w:hAnsi="Courier New" w:hint="default"/>
      </w:rPr>
    </w:lvl>
    <w:lvl w:ilvl="5" w:tplc="41B66D68">
      <w:start w:val="1"/>
      <w:numFmt w:val="bullet"/>
      <w:lvlText w:val=""/>
      <w:lvlJc w:val="left"/>
      <w:pPr>
        <w:ind w:left="4320" w:hanging="360"/>
      </w:pPr>
      <w:rPr>
        <w:rFonts w:ascii="Wingdings" w:hAnsi="Wingdings" w:hint="default"/>
      </w:rPr>
    </w:lvl>
    <w:lvl w:ilvl="6" w:tplc="8C96DAC6">
      <w:start w:val="1"/>
      <w:numFmt w:val="bullet"/>
      <w:lvlText w:val=""/>
      <w:lvlJc w:val="left"/>
      <w:pPr>
        <w:ind w:left="5040" w:hanging="360"/>
      </w:pPr>
      <w:rPr>
        <w:rFonts w:ascii="Symbol" w:hAnsi="Symbol" w:hint="default"/>
      </w:rPr>
    </w:lvl>
    <w:lvl w:ilvl="7" w:tplc="681A34FA">
      <w:start w:val="1"/>
      <w:numFmt w:val="bullet"/>
      <w:lvlText w:val="o"/>
      <w:lvlJc w:val="left"/>
      <w:pPr>
        <w:ind w:left="5760" w:hanging="360"/>
      </w:pPr>
      <w:rPr>
        <w:rFonts w:ascii="Courier New" w:hAnsi="Courier New" w:hint="default"/>
      </w:rPr>
    </w:lvl>
    <w:lvl w:ilvl="8" w:tplc="D1CC09EC">
      <w:start w:val="1"/>
      <w:numFmt w:val="bullet"/>
      <w:lvlText w:val=""/>
      <w:lvlJc w:val="left"/>
      <w:pPr>
        <w:ind w:left="6480" w:hanging="360"/>
      </w:pPr>
      <w:rPr>
        <w:rFonts w:ascii="Wingdings" w:hAnsi="Wingdings" w:hint="default"/>
      </w:rPr>
    </w:lvl>
  </w:abstractNum>
  <w:abstractNum w:abstractNumId="22" w15:restartNumberingAfterBreak="0">
    <w:nsid w:val="21CA7F46"/>
    <w:multiLevelType w:val="multilevel"/>
    <w:tmpl w:val="EDA6BF7C"/>
    <w:lvl w:ilvl="0">
      <w:start w:val="1"/>
      <w:numFmt w:val="lowerRoman"/>
      <w:lvlText w:val="(%1)"/>
      <w:lvlJc w:val="left"/>
      <w:pPr>
        <w:tabs>
          <w:tab w:val="num" w:pos="720"/>
        </w:tabs>
        <w:ind w:left="720" w:hanging="360"/>
      </w:pPr>
      <w:rPr>
        <w:rFonts w:ascii="Times New Roman" w:eastAsia="Times New Roman" w:hAnsi="Times New Roman" w:cs="Times New Roman"/>
        <w:b w:val="0"/>
        <w:bCs w:val="0"/>
        <w:i/>
        <w:i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4956C7"/>
    <w:multiLevelType w:val="hybridMultilevel"/>
    <w:tmpl w:val="54D4DE3E"/>
    <w:lvl w:ilvl="0" w:tplc="D54688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D435ED"/>
    <w:multiLevelType w:val="multilevel"/>
    <w:tmpl w:val="FFFFFFFF"/>
    <w:lvl w:ilvl="0">
      <w:start w:val="1"/>
      <w:numFmt w:val="upperRoman"/>
      <w:pStyle w:val="Ttulo11"/>
      <w:lvlText w:val="%1."/>
      <w:lvlJc w:val="left"/>
      <w:rPr>
        <w:rFonts w:cs="Times New Roman"/>
        <w:b/>
        <w:i w:val="0"/>
      </w:rPr>
    </w:lvl>
    <w:lvl w:ilvl="1">
      <w:start w:val="1"/>
      <w:numFmt w:val="upperLetter"/>
      <w:pStyle w:val="Ttulo21"/>
      <w:lvlText w:val="%2."/>
      <w:lvlJc w:val="left"/>
      <w:pPr>
        <w:ind w:left="720"/>
      </w:pPr>
      <w:rPr>
        <w:rFonts w:cs="Times New Roman"/>
        <w:b/>
        <w:i w:val="0"/>
      </w:rPr>
    </w:lvl>
    <w:lvl w:ilvl="2">
      <w:start w:val="1"/>
      <w:numFmt w:val="decimal"/>
      <w:pStyle w:val="Ttulo31"/>
      <w:lvlText w:val="%3."/>
      <w:lvlJc w:val="left"/>
      <w:pPr>
        <w:ind w:left="1440"/>
      </w:pPr>
      <w:rPr>
        <w:rFonts w:cs="Times New Roman"/>
        <w:b/>
        <w:i w:val="0"/>
      </w:rPr>
    </w:lvl>
    <w:lvl w:ilvl="3">
      <w:start w:val="1"/>
      <w:numFmt w:val="lowerLetter"/>
      <w:pStyle w:val="Ttulo41"/>
      <w:lvlText w:val="%4)"/>
      <w:lvlJc w:val="left"/>
      <w:pPr>
        <w:ind w:left="2160"/>
      </w:pPr>
      <w:rPr>
        <w:rFonts w:cs="Times New Roman"/>
        <w:b/>
        <w:i w:val="0"/>
      </w:rPr>
    </w:lvl>
    <w:lvl w:ilvl="4">
      <w:start w:val="1"/>
      <w:numFmt w:val="decimal"/>
      <w:pStyle w:val="Ttulo51"/>
      <w:lvlText w:val="(%5)"/>
      <w:lvlJc w:val="left"/>
      <w:pPr>
        <w:ind w:left="2880"/>
      </w:pPr>
      <w:rPr>
        <w:rFonts w:cs="Times New Roman"/>
        <w:b/>
        <w:i w:val="0"/>
      </w:rPr>
    </w:lvl>
    <w:lvl w:ilvl="5">
      <w:start w:val="1"/>
      <w:numFmt w:val="lowerLetter"/>
      <w:pStyle w:val="Ttulo61"/>
      <w:lvlText w:val="(%6)"/>
      <w:lvlJc w:val="left"/>
      <w:pPr>
        <w:ind w:left="3600"/>
      </w:pPr>
      <w:rPr>
        <w:rFonts w:cs="Times New Roman"/>
        <w:b/>
        <w:i w:val="0"/>
      </w:rPr>
    </w:lvl>
    <w:lvl w:ilvl="6">
      <w:start w:val="1"/>
      <w:numFmt w:val="lowerRoman"/>
      <w:pStyle w:val="Ttulo71"/>
      <w:lvlText w:val="(%7)"/>
      <w:lvlJc w:val="left"/>
      <w:pPr>
        <w:ind w:left="4320"/>
      </w:pPr>
      <w:rPr>
        <w:rFonts w:cs="Times New Roman"/>
        <w:b/>
        <w:i w:val="0"/>
      </w:rPr>
    </w:lvl>
    <w:lvl w:ilvl="7">
      <w:start w:val="1"/>
      <w:numFmt w:val="lowerLetter"/>
      <w:pStyle w:val="Ttulo81"/>
      <w:lvlText w:val="(%8)"/>
      <w:lvlJc w:val="left"/>
      <w:pPr>
        <w:ind w:left="5040"/>
      </w:pPr>
      <w:rPr>
        <w:rFonts w:cs="Times New Roman"/>
      </w:rPr>
    </w:lvl>
    <w:lvl w:ilvl="8">
      <w:start w:val="1"/>
      <w:numFmt w:val="lowerRoman"/>
      <w:pStyle w:val="Ttulo91"/>
      <w:lvlText w:val="(%9)"/>
      <w:lvlJc w:val="left"/>
      <w:pPr>
        <w:ind w:left="5760"/>
      </w:pPr>
      <w:rPr>
        <w:rFonts w:cs="Times New Roman"/>
      </w:rPr>
    </w:lvl>
  </w:abstractNum>
  <w:abstractNum w:abstractNumId="25" w15:restartNumberingAfterBreak="0">
    <w:nsid w:val="26889A3C"/>
    <w:multiLevelType w:val="hybridMultilevel"/>
    <w:tmpl w:val="FFFFFFFF"/>
    <w:lvl w:ilvl="0" w:tplc="3894EC80">
      <w:start w:val="1"/>
      <w:numFmt w:val="bullet"/>
      <w:lvlText w:val="-"/>
      <w:lvlJc w:val="left"/>
      <w:pPr>
        <w:ind w:left="720" w:hanging="360"/>
      </w:pPr>
      <w:rPr>
        <w:rFonts w:ascii="Aptos" w:hAnsi="Aptos" w:hint="default"/>
      </w:rPr>
    </w:lvl>
    <w:lvl w:ilvl="1" w:tplc="67EE89E2">
      <w:start w:val="1"/>
      <w:numFmt w:val="bullet"/>
      <w:lvlText w:val="o"/>
      <w:lvlJc w:val="left"/>
      <w:pPr>
        <w:ind w:left="1440" w:hanging="360"/>
      </w:pPr>
      <w:rPr>
        <w:rFonts w:ascii="Courier New" w:hAnsi="Courier New" w:hint="default"/>
      </w:rPr>
    </w:lvl>
    <w:lvl w:ilvl="2" w:tplc="2F6CD138">
      <w:start w:val="1"/>
      <w:numFmt w:val="bullet"/>
      <w:lvlText w:val=""/>
      <w:lvlJc w:val="left"/>
      <w:pPr>
        <w:ind w:left="2160" w:hanging="360"/>
      </w:pPr>
      <w:rPr>
        <w:rFonts w:ascii="Wingdings" w:hAnsi="Wingdings" w:hint="default"/>
      </w:rPr>
    </w:lvl>
    <w:lvl w:ilvl="3" w:tplc="CCCC2990">
      <w:start w:val="1"/>
      <w:numFmt w:val="bullet"/>
      <w:lvlText w:val=""/>
      <w:lvlJc w:val="left"/>
      <w:pPr>
        <w:ind w:left="2880" w:hanging="360"/>
      </w:pPr>
      <w:rPr>
        <w:rFonts w:ascii="Symbol" w:hAnsi="Symbol" w:hint="default"/>
      </w:rPr>
    </w:lvl>
    <w:lvl w:ilvl="4" w:tplc="D7184E4C">
      <w:start w:val="1"/>
      <w:numFmt w:val="bullet"/>
      <w:lvlText w:val="o"/>
      <w:lvlJc w:val="left"/>
      <w:pPr>
        <w:ind w:left="3600" w:hanging="360"/>
      </w:pPr>
      <w:rPr>
        <w:rFonts w:ascii="Courier New" w:hAnsi="Courier New" w:hint="default"/>
      </w:rPr>
    </w:lvl>
    <w:lvl w:ilvl="5" w:tplc="348C64A8">
      <w:start w:val="1"/>
      <w:numFmt w:val="bullet"/>
      <w:lvlText w:val=""/>
      <w:lvlJc w:val="left"/>
      <w:pPr>
        <w:ind w:left="4320" w:hanging="360"/>
      </w:pPr>
      <w:rPr>
        <w:rFonts w:ascii="Wingdings" w:hAnsi="Wingdings" w:hint="default"/>
      </w:rPr>
    </w:lvl>
    <w:lvl w:ilvl="6" w:tplc="E342204E">
      <w:start w:val="1"/>
      <w:numFmt w:val="bullet"/>
      <w:lvlText w:val=""/>
      <w:lvlJc w:val="left"/>
      <w:pPr>
        <w:ind w:left="5040" w:hanging="360"/>
      </w:pPr>
      <w:rPr>
        <w:rFonts w:ascii="Symbol" w:hAnsi="Symbol" w:hint="default"/>
      </w:rPr>
    </w:lvl>
    <w:lvl w:ilvl="7" w:tplc="97426356">
      <w:start w:val="1"/>
      <w:numFmt w:val="bullet"/>
      <w:lvlText w:val="o"/>
      <w:lvlJc w:val="left"/>
      <w:pPr>
        <w:ind w:left="5760" w:hanging="360"/>
      </w:pPr>
      <w:rPr>
        <w:rFonts w:ascii="Courier New" w:hAnsi="Courier New" w:hint="default"/>
      </w:rPr>
    </w:lvl>
    <w:lvl w:ilvl="8" w:tplc="62048A70">
      <w:start w:val="1"/>
      <w:numFmt w:val="bullet"/>
      <w:lvlText w:val=""/>
      <w:lvlJc w:val="left"/>
      <w:pPr>
        <w:ind w:left="6480" w:hanging="360"/>
      </w:pPr>
      <w:rPr>
        <w:rFonts w:ascii="Wingdings" w:hAnsi="Wingdings" w:hint="default"/>
      </w:rPr>
    </w:lvl>
  </w:abstractNum>
  <w:abstractNum w:abstractNumId="26" w15:restartNumberingAfterBreak="0">
    <w:nsid w:val="275239C2"/>
    <w:multiLevelType w:val="hybridMultilevel"/>
    <w:tmpl w:val="3404F3AE"/>
    <w:lvl w:ilvl="0" w:tplc="9EF6E744">
      <w:start w:val="1"/>
      <w:numFmt w:val="bullet"/>
      <w:lvlText w:val=""/>
      <w:lvlJc w:val="left"/>
      <w:pPr>
        <w:ind w:left="720" w:hanging="360"/>
      </w:pPr>
      <w:rPr>
        <w:rFonts w:ascii="Symbol" w:hAnsi="Symbol" w:hint="default"/>
      </w:rPr>
    </w:lvl>
    <w:lvl w:ilvl="1" w:tplc="A7641AC0" w:tentative="1">
      <w:start w:val="1"/>
      <w:numFmt w:val="bullet"/>
      <w:lvlText w:val="o"/>
      <w:lvlJc w:val="left"/>
      <w:pPr>
        <w:ind w:left="1440" w:hanging="360"/>
      </w:pPr>
      <w:rPr>
        <w:rFonts w:ascii="Courier New" w:hAnsi="Courier New" w:hint="default"/>
      </w:rPr>
    </w:lvl>
    <w:lvl w:ilvl="2" w:tplc="AD807E54" w:tentative="1">
      <w:start w:val="1"/>
      <w:numFmt w:val="bullet"/>
      <w:lvlText w:val=""/>
      <w:lvlJc w:val="left"/>
      <w:pPr>
        <w:ind w:left="2160" w:hanging="360"/>
      </w:pPr>
      <w:rPr>
        <w:rFonts w:ascii="Wingdings" w:hAnsi="Wingdings" w:hint="default"/>
      </w:rPr>
    </w:lvl>
    <w:lvl w:ilvl="3" w:tplc="E6D6505C" w:tentative="1">
      <w:start w:val="1"/>
      <w:numFmt w:val="bullet"/>
      <w:lvlText w:val=""/>
      <w:lvlJc w:val="left"/>
      <w:pPr>
        <w:ind w:left="2880" w:hanging="360"/>
      </w:pPr>
      <w:rPr>
        <w:rFonts w:ascii="Symbol" w:hAnsi="Symbol" w:hint="default"/>
      </w:rPr>
    </w:lvl>
    <w:lvl w:ilvl="4" w:tplc="5C689D88" w:tentative="1">
      <w:start w:val="1"/>
      <w:numFmt w:val="bullet"/>
      <w:lvlText w:val="o"/>
      <w:lvlJc w:val="left"/>
      <w:pPr>
        <w:ind w:left="3600" w:hanging="360"/>
      </w:pPr>
      <w:rPr>
        <w:rFonts w:ascii="Courier New" w:hAnsi="Courier New" w:hint="default"/>
      </w:rPr>
    </w:lvl>
    <w:lvl w:ilvl="5" w:tplc="DE5CEC34" w:tentative="1">
      <w:start w:val="1"/>
      <w:numFmt w:val="bullet"/>
      <w:lvlText w:val=""/>
      <w:lvlJc w:val="left"/>
      <w:pPr>
        <w:ind w:left="4320" w:hanging="360"/>
      </w:pPr>
      <w:rPr>
        <w:rFonts w:ascii="Wingdings" w:hAnsi="Wingdings" w:hint="default"/>
      </w:rPr>
    </w:lvl>
    <w:lvl w:ilvl="6" w:tplc="0EECAED4" w:tentative="1">
      <w:start w:val="1"/>
      <w:numFmt w:val="bullet"/>
      <w:lvlText w:val=""/>
      <w:lvlJc w:val="left"/>
      <w:pPr>
        <w:ind w:left="5040" w:hanging="360"/>
      </w:pPr>
      <w:rPr>
        <w:rFonts w:ascii="Symbol" w:hAnsi="Symbol" w:hint="default"/>
      </w:rPr>
    </w:lvl>
    <w:lvl w:ilvl="7" w:tplc="A342A814" w:tentative="1">
      <w:start w:val="1"/>
      <w:numFmt w:val="bullet"/>
      <w:lvlText w:val="o"/>
      <w:lvlJc w:val="left"/>
      <w:pPr>
        <w:ind w:left="5760" w:hanging="360"/>
      </w:pPr>
      <w:rPr>
        <w:rFonts w:ascii="Courier New" w:hAnsi="Courier New" w:hint="default"/>
      </w:rPr>
    </w:lvl>
    <w:lvl w:ilvl="8" w:tplc="AF9A3224" w:tentative="1">
      <w:start w:val="1"/>
      <w:numFmt w:val="bullet"/>
      <w:lvlText w:val=""/>
      <w:lvlJc w:val="left"/>
      <w:pPr>
        <w:ind w:left="6480" w:hanging="360"/>
      </w:pPr>
      <w:rPr>
        <w:rFonts w:ascii="Wingdings" w:hAnsi="Wingdings" w:hint="default"/>
      </w:rPr>
    </w:lvl>
  </w:abstractNum>
  <w:abstractNum w:abstractNumId="27" w15:restartNumberingAfterBreak="0">
    <w:nsid w:val="27604270"/>
    <w:multiLevelType w:val="hybridMultilevel"/>
    <w:tmpl w:val="43E04022"/>
    <w:lvl w:ilvl="0" w:tplc="38BE288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8190CE9"/>
    <w:multiLevelType w:val="hybridMultilevel"/>
    <w:tmpl w:val="4AFAB87E"/>
    <w:lvl w:ilvl="0" w:tplc="DACA174E">
      <w:start w:val="1"/>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8C78040"/>
    <w:multiLevelType w:val="hybridMultilevel"/>
    <w:tmpl w:val="293A1E2C"/>
    <w:lvl w:ilvl="0" w:tplc="F5EE3E5E">
      <w:start w:val="1"/>
      <w:numFmt w:val="bullet"/>
      <w:lvlText w:val=""/>
      <w:lvlJc w:val="left"/>
      <w:pPr>
        <w:ind w:left="720" w:hanging="360"/>
      </w:pPr>
      <w:rPr>
        <w:rFonts w:ascii="Symbol" w:hAnsi="Symbol" w:hint="default"/>
      </w:rPr>
    </w:lvl>
    <w:lvl w:ilvl="1" w:tplc="259C2F3A">
      <w:start w:val="1"/>
      <w:numFmt w:val="bullet"/>
      <w:lvlText w:val="o"/>
      <w:lvlJc w:val="left"/>
      <w:pPr>
        <w:ind w:left="1440" w:hanging="360"/>
      </w:pPr>
      <w:rPr>
        <w:rFonts w:ascii="Courier New" w:hAnsi="Courier New" w:hint="default"/>
      </w:rPr>
    </w:lvl>
    <w:lvl w:ilvl="2" w:tplc="156E6DC8">
      <w:start w:val="1"/>
      <w:numFmt w:val="bullet"/>
      <w:lvlText w:val=""/>
      <w:lvlJc w:val="left"/>
      <w:pPr>
        <w:ind w:left="2160" w:hanging="360"/>
      </w:pPr>
      <w:rPr>
        <w:rFonts w:ascii="Wingdings" w:hAnsi="Wingdings" w:hint="default"/>
      </w:rPr>
    </w:lvl>
    <w:lvl w:ilvl="3" w:tplc="02608DAE">
      <w:start w:val="1"/>
      <w:numFmt w:val="bullet"/>
      <w:lvlText w:val=""/>
      <w:lvlJc w:val="left"/>
      <w:pPr>
        <w:ind w:left="2880" w:hanging="360"/>
      </w:pPr>
      <w:rPr>
        <w:rFonts w:ascii="Symbol" w:hAnsi="Symbol" w:hint="default"/>
      </w:rPr>
    </w:lvl>
    <w:lvl w:ilvl="4" w:tplc="B420D7E8">
      <w:start w:val="1"/>
      <w:numFmt w:val="bullet"/>
      <w:lvlText w:val="o"/>
      <w:lvlJc w:val="left"/>
      <w:pPr>
        <w:ind w:left="3600" w:hanging="360"/>
      </w:pPr>
      <w:rPr>
        <w:rFonts w:ascii="Courier New" w:hAnsi="Courier New" w:hint="default"/>
      </w:rPr>
    </w:lvl>
    <w:lvl w:ilvl="5" w:tplc="803E29DA">
      <w:start w:val="1"/>
      <w:numFmt w:val="bullet"/>
      <w:lvlText w:val=""/>
      <w:lvlJc w:val="left"/>
      <w:pPr>
        <w:ind w:left="4320" w:hanging="360"/>
      </w:pPr>
      <w:rPr>
        <w:rFonts w:ascii="Wingdings" w:hAnsi="Wingdings" w:hint="default"/>
      </w:rPr>
    </w:lvl>
    <w:lvl w:ilvl="6" w:tplc="0B120D1C">
      <w:start w:val="1"/>
      <w:numFmt w:val="bullet"/>
      <w:lvlText w:val=""/>
      <w:lvlJc w:val="left"/>
      <w:pPr>
        <w:ind w:left="5040" w:hanging="360"/>
      </w:pPr>
      <w:rPr>
        <w:rFonts w:ascii="Symbol" w:hAnsi="Symbol" w:hint="default"/>
      </w:rPr>
    </w:lvl>
    <w:lvl w:ilvl="7" w:tplc="6AC6CA82">
      <w:start w:val="1"/>
      <w:numFmt w:val="bullet"/>
      <w:lvlText w:val="o"/>
      <w:lvlJc w:val="left"/>
      <w:pPr>
        <w:ind w:left="5760" w:hanging="360"/>
      </w:pPr>
      <w:rPr>
        <w:rFonts w:ascii="Courier New" w:hAnsi="Courier New" w:hint="default"/>
      </w:rPr>
    </w:lvl>
    <w:lvl w:ilvl="8" w:tplc="6178B972">
      <w:start w:val="1"/>
      <w:numFmt w:val="bullet"/>
      <w:lvlText w:val=""/>
      <w:lvlJc w:val="left"/>
      <w:pPr>
        <w:ind w:left="6480" w:hanging="360"/>
      </w:pPr>
      <w:rPr>
        <w:rFonts w:ascii="Wingdings" w:hAnsi="Wingdings" w:hint="default"/>
      </w:rPr>
    </w:lvl>
  </w:abstractNum>
  <w:abstractNum w:abstractNumId="30" w15:restartNumberingAfterBreak="0">
    <w:nsid w:val="28E47152"/>
    <w:multiLevelType w:val="hybridMultilevel"/>
    <w:tmpl w:val="5AD4DF18"/>
    <w:lvl w:ilvl="0" w:tplc="CE6EE69A">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1F0CE1"/>
    <w:multiLevelType w:val="hybridMultilevel"/>
    <w:tmpl w:val="39364B74"/>
    <w:lvl w:ilvl="0" w:tplc="6F8A6E0C">
      <w:start w:val="1"/>
      <w:numFmt w:val="lowerRoman"/>
      <w:lvlText w:val="(%1)"/>
      <w:lvlJc w:val="left"/>
      <w:pPr>
        <w:ind w:left="1080" w:hanging="72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2A17FD1"/>
    <w:multiLevelType w:val="hybridMultilevel"/>
    <w:tmpl w:val="7A184C22"/>
    <w:lvl w:ilvl="0" w:tplc="201C30B8">
      <w:start w:val="1"/>
      <w:numFmt w:val="decimal"/>
      <w:lvlText w:val="%1."/>
      <w:lvlJc w:val="left"/>
      <w:pPr>
        <w:ind w:left="2880" w:hanging="360"/>
      </w:pPr>
    </w:lvl>
    <w:lvl w:ilvl="1" w:tplc="62EC92C6" w:tentative="1">
      <w:start w:val="1"/>
      <w:numFmt w:val="lowerLetter"/>
      <w:lvlText w:val="%2."/>
      <w:lvlJc w:val="left"/>
      <w:pPr>
        <w:ind w:left="1440" w:hanging="360"/>
      </w:pPr>
    </w:lvl>
    <w:lvl w:ilvl="2" w:tplc="2AE4B35E" w:tentative="1">
      <w:start w:val="1"/>
      <w:numFmt w:val="lowerRoman"/>
      <w:lvlText w:val="%3."/>
      <w:lvlJc w:val="right"/>
      <w:pPr>
        <w:ind w:left="2160" w:hanging="180"/>
      </w:pPr>
    </w:lvl>
    <w:lvl w:ilvl="3" w:tplc="971EED5A" w:tentative="1">
      <w:start w:val="1"/>
      <w:numFmt w:val="decimal"/>
      <w:lvlText w:val="%4."/>
      <w:lvlJc w:val="left"/>
      <w:pPr>
        <w:ind w:left="2880" w:hanging="360"/>
      </w:pPr>
    </w:lvl>
    <w:lvl w:ilvl="4" w:tplc="420E689A" w:tentative="1">
      <w:start w:val="1"/>
      <w:numFmt w:val="lowerLetter"/>
      <w:lvlText w:val="%5."/>
      <w:lvlJc w:val="left"/>
      <w:pPr>
        <w:ind w:left="3600" w:hanging="360"/>
      </w:pPr>
    </w:lvl>
    <w:lvl w:ilvl="5" w:tplc="5FF0E0E2" w:tentative="1">
      <w:start w:val="1"/>
      <w:numFmt w:val="lowerRoman"/>
      <w:lvlText w:val="%6."/>
      <w:lvlJc w:val="right"/>
      <w:pPr>
        <w:ind w:left="4320" w:hanging="180"/>
      </w:pPr>
    </w:lvl>
    <w:lvl w:ilvl="6" w:tplc="BEB81B54" w:tentative="1">
      <w:start w:val="1"/>
      <w:numFmt w:val="decimal"/>
      <w:lvlText w:val="%7."/>
      <w:lvlJc w:val="left"/>
      <w:pPr>
        <w:ind w:left="5040" w:hanging="360"/>
      </w:pPr>
    </w:lvl>
    <w:lvl w:ilvl="7" w:tplc="D352B13E" w:tentative="1">
      <w:start w:val="1"/>
      <w:numFmt w:val="lowerLetter"/>
      <w:lvlText w:val="%8."/>
      <w:lvlJc w:val="left"/>
      <w:pPr>
        <w:ind w:left="5760" w:hanging="360"/>
      </w:pPr>
    </w:lvl>
    <w:lvl w:ilvl="8" w:tplc="2FBCC278" w:tentative="1">
      <w:start w:val="1"/>
      <w:numFmt w:val="lowerRoman"/>
      <w:lvlText w:val="%9."/>
      <w:lvlJc w:val="right"/>
      <w:pPr>
        <w:ind w:left="6480" w:hanging="180"/>
      </w:pPr>
    </w:lvl>
  </w:abstractNum>
  <w:abstractNum w:abstractNumId="33" w15:restartNumberingAfterBreak="0">
    <w:nsid w:val="331B4039"/>
    <w:multiLevelType w:val="hybridMultilevel"/>
    <w:tmpl w:val="12243988"/>
    <w:lvl w:ilvl="0" w:tplc="080A0019">
      <w:start w:val="1"/>
      <w:numFmt w:val="lowerLetter"/>
      <w:lvlText w:val="%1."/>
      <w:lvlJc w:val="left"/>
      <w:pPr>
        <w:ind w:left="720" w:hanging="360"/>
      </w:pPr>
      <w:rPr>
        <w:rFonts w:hint="default"/>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34" w15:restartNumberingAfterBreak="0">
    <w:nsid w:val="3987FBED"/>
    <w:multiLevelType w:val="hybridMultilevel"/>
    <w:tmpl w:val="9042BF26"/>
    <w:styleLink w:val="Listaactual1"/>
    <w:lvl w:ilvl="0" w:tplc="725C9F5A">
      <w:start w:val="1"/>
      <w:numFmt w:val="bullet"/>
      <w:lvlText w:val="-"/>
      <w:lvlJc w:val="left"/>
      <w:pPr>
        <w:ind w:left="720" w:hanging="360"/>
      </w:pPr>
      <w:rPr>
        <w:rFonts w:ascii="&quot;Times New Roman&quot;,serif" w:hAnsi="&quot;Times New Roman&quot;,serif" w:hint="default"/>
      </w:rPr>
    </w:lvl>
    <w:lvl w:ilvl="1" w:tplc="D0C6F9E6">
      <w:start w:val="1"/>
      <w:numFmt w:val="bullet"/>
      <w:lvlText w:val="o"/>
      <w:lvlJc w:val="left"/>
      <w:pPr>
        <w:ind w:left="1440" w:hanging="360"/>
      </w:pPr>
      <w:rPr>
        <w:rFonts w:ascii="Courier New" w:hAnsi="Courier New" w:hint="default"/>
      </w:rPr>
    </w:lvl>
    <w:lvl w:ilvl="2" w:tplc="931C4612">
      <w:start w:val="1"/>
      <w:numFmt w:val="bullet"/>
      <w:lvlText w:val=""/>
      <w:lvlJc w:val="left"/>
      <w:pPr>
        <w:ind w:left="2160" w:hanging="360"/>
      </w:pPr>
      <w:rPr>
        <w:rFonts w:ascii="Wingdings" w:hAnsi="Wingdings" w:hint="default"/>
      </w:rPr>
    </w:lvl>
    <w:lvl w:ilvl="3" w:tplc="96FEF892">
      <w:start w:val="1"/>
      <w:numFmt w:val="bullet"/>
      <w:lvlText w:val=""/>
      <w:lvlJc w:val="left"/>
      <w:pPr>
        <w:ind w:left="2880" w:hanging="360"/>
      </w:pPr>
      <w:rPr>
        <w:rFonts w:ascii="Symbol" w:hAnsi="Symbol" w:hint="default"/>
      </w:rPr>
    </w:lvl>
    <w:lvl w:ilvl="4" w:tplc="7EF04ED0">
      <w:start w:val="1"/>
      <w:numFmt w:val="bullet"/>
      <w:lvlText w:val="o"/>
      <w:lvlJc w:val="left"/>
      <w:pPr>
        <w:ind w:left="3600" w:hanging="360"/>
      </w:pPr>
      <w:rPr>
        <w:rFonts w:ascii="Courier New" w:hAnsi="Courier New" w:hint="default"/>
      </w:rPr>
    </w:lvl>
    <w:lvl w:ilvl="5" w:tplc="E6ACD8D8">
      <w:start w:val="1"/>
      <w:numFmt w:val="bullet"/>
      <w:lvlText w:val=""/>
      <w:lvlJc w:val="left"/>
      <w:pPr>
        <w:ind w:left="4320" w:hanging="360"/>
      </w:pPr>
      <w:rPr>
        <w:rFonts w:ascii="Wingdings" w:hAnsi="Wingdings" w:hint="default"/>
      </w:rPr>
    </w:lvl>
    <w:lvl w:ilvl="6" w:tplc="8C307906">
      <w:start w:val="1"/>
      <w:numFmt w:val="bullet"/>
      <w:lvlText w:val=""/>
      <w:lvlJc w:val="left"/>
      <w:pPr>
        <w:ind w:left="5040" w:hanging="360"/>
      </w:pPr>
      <w:rPr>
        <w:rFonts w:ascii="Symbol" w:hAnsi="Symbol" w:hint="default"/>
      </w:rPr>
    </w:lvl>
    <w:lvl w:ilvl="7" w:tplc="60064370">
      <w:start w:val="1"/>
      <w:numFmt w:val="bullet"/>
      <w:lvlText w:val="o"/>
      <w:lvlJc w:val="left"/>
      <w:pPr>
        <w:ind w:left="5760" w:hanging="360"/>
      </w:pPr>
      <w:rPr>
        <w:rFonts w:ascii="Courier New" w:hAnsi="Courier New" w:hint="default"/>
      </w:rPr>
    </w:lvl>
    <w:lvl w:ilvl="8" w:tplc="824E8006">
      <w:start w:val="1"/>
      <w:numFmt w:val="bullet"/>
      <w:lvlText w:val=""/>
      <w:lvlJc w:val="left"/>
      <w:pPr>
        <w:ind w:left="6480" w:hanging="360"/>
      </w:pPr>
      <w:rPr>
        <w:rFonts w:ascii="Wingdings" w:hAnsi="Wingdings" w:hint="default"/>
      </w:rPr>
    </w:lvl>
  </w:abstractNum>
  <w:abstractNum w:abstractNumId="35" w15:restartNumberingAfterBreak="0">
    <w:nsid w:val="3B3F174C"/>
    <w:multiLevelType w:val="multilevel"/>
    <w:tmpl w:val="72BE43AE"/>
    <w:lvl w:ilvl="0">
      <w:start w:val="1"/>
      <w:numFmt w:val="decimal"/>
      <w:lvlText w:val="%1."/>
      <w:lvlJc w:val="left"/>
      <w:pPr>
        <w:ind w:left="360" w:hanging="360"/>
      </w:pPr>
      <w:rPr>
        <w:rFonts w:hint="default"/>
        <w:b/>
        <w:bCs w:val="0"/>
      </w:rPr>
    </w:lvl>
    <w:lvl w:ilvl="1">
      <w:start w:val="1"/>
      <w:numFmt w:val="decimal"/>
      <w:lvlText w:val="%1.%2."/>
      <w:lvlJc w:val="left"/>
      <w:pPr>
        <w:ind w:left="432" w:hanging="432"/>
      </w:pPr>
      <w:rPr>
        <w:b/>
        <w:bCs w:val="0"/>
      </w:rPr>
    </w:lvl>
    <w:lvl w:ilvl="2">
      <w:start w:val="1"/>
      <w:numFmt w:val="decimal"/>
      <w:lvlText w:val="%1.%2.%3."/>
      <w:lvlJc w:val="left"/>
      <w:pPr>
        <w:ind w:left="504" w:hanging="504"/>
      </w:pPr>
      <w:rPr>
        <w:b/>
        <w:bCs/>
      </w:rPr>
    </w:lvl>
    <w:lvl w:ilvl="3">
      <w:start w:val="1"/>
      <w:numFmt w:val="decimal"/>
      <w:lvlText w:val="%1.%2.%3.%4."/>
      <w:lvlJc w:val="left"/>
      <w:pPr>
        <w:ind w:left="64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ED118AA"/>
    <w:multiLevelType w:val="hybridMultilevel"/>
    <w:tmpl w:val="50122ACA"/>
    <w:lvl w:ilvl="0" w:tplc="2A6829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055F49"/>
    <w:multiLevelType w:val="hybridMultilevel"/>
    <w:tmpl w:val="D52EEBC6"/>
    <w:lvl w:ilvl="0" w:tplc="9AFC5CD4">
      <w:start w:val="1"/>
      <w:numFmt w:val="lowerRoman"/>
      <w:lvlText w:val="(%1)"/>
      <w:lvlJc w:val="left"/>
      <w:pPr>
        <w:ind w:left="1080" w:hanging="72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FF60C02"/>
    <w:multiLevelType w:val="hybridMultilevel"/>
    <w:tmpl w:val="FC04B258"/>
    <w:lvl w:ilvl="0" w:tplc="7292B612">
      <w:start w:val="1"/>
      <w:numFmt w:val="decimal"/>
      <w:lvlText w:val="%1."/>
      <w:lvlJc w:val="left"/>
      <w:pPr>
        <w:ind w:left="1080" w:hanging="360"/>
      </w:pPr>
    </w:lvl>
    <w:lvl w:ilvl="1" w:tplc="7F520EA8">
      <w:start w:val="1"/>
      <w:numFmt w:val="lowerLetter"/>
      <w:lvlText w:val="%2."/>
      <w:lvlJc w:val="left"/>
      <w:pPr>
        <w:ind w:left="1800" w:hanging="360"/>
      </w:pPr>
    </w:lvl>
    <w:lvl w:ilvl="2" w:tplc="C4FEE5EA">
      <w:start w:val="1"/>
      <w:numFmt w:val="lowerRoman"/>
      <w:lvlText w:val="%3."/>
      <w:lvlJc w:val="right"/>
      <w:pPr>
        <w:ind w:left="2520" w:hanging="180"/>
      </w:pPr>
    </w:lvl>
    <w:lvl w:ilvl="3" w:tplc="00983DEA">
      <w:start w:val="1"/>
      <w:numFmt w:val="decimal"/>
      <w:lvlText w:val="%4."/>
      <w:lvlJc w:val="left"/>
      <w:pPr>
        <w:ind w:left="3240" w:hanging="360"/>
      </w:pPr>
    </w:lvl>
    <w:lvl w:ilvl="4" w:tplc="AB52EBB8">
      <w:start w:val="1"/>
      <w:numFmt w:val="lowerLetter"/>
      <w:lvlText w:val="%5."/>
      <w:lvlJc w:val="left"/>
      <w:pPr>
        <w:ind w:left="3960" w:hanging="360"/>
      </w:pPr>
    </w:lvl>
    <w:lvl w:ilvl="5" w:tplc="9ACC3448">
      <w:start w:val="1"/>
      <w:numFmt w:val="lowerRoman"/>
      <w:lvlText w:val="%6."/>
      <w:lvlJc w:val="right"/>
      <w:pPr>
        <w:ind w:left="4680" w:hanging="180"/>
      </w:pPr>
    </w:lvl>
    <w:lvl w:ilvl="6" w:tplc="14F2EB54">
      <w:start w:val="1"/>
      <w:numFmt w:val="decimal"/>
      <w:lvlText w:val="%7."/>
      <w:lvlJc w:val="left"/>
      <w:pPr>
        <w:ind w:left="5400" w:hanging="360"/>
      </w:pPr>
    </w:lvl>
    <w:lvl w:ilvl="7" w:tplc="A3B87D9E">
      <w:start w:val="1"/>
      <w:numFmt w:val="lowerLetter"/>
      <w:lvlText w:val="%8."/>
      <w:lvlJc w:val="left"/>
      <w:pPr>
        <w:ind w:left="6120" w:hanging="360"/>
      </w:pPr>
    </w:lvl>
    <w:lvl w:ilvl="8" w:tplc="A7620088">
      <w:start w:val="1"/>
      <w:numFmt w:val="lowerRoman"/>
      <w:lvlText w:val="%9."/>
      <w:lvlJc w:val="right"/>
      <w:pPr>
        <w:ind w:left="6840" w:hanging="180"/>
      </w:pPr>
    </w:lvl>
  </w:abstractNum>
  <w:abstractNum w:abstractNumId="39" w15:restartNumberingAfterBreak="0">
    <w:nsid w:val="40E379C5"/>
    <w:multiLevelType w:val="hybridMultilevel"/>
    <w:tmpl w:val="5CBC2628"/>
    <w:lvl w:ilvl="0" w:tplc="150AA730">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41633882"/>
    <w:multiLevelType w:val="hybridMultilevel"/>
    <w:tmpl w:val="47A03AAE"/>
    <w:lvl w:ilvl="0" w:tplc="ACBACD44">
      <w:start w:val="1"/>
      <w:numFmt w:val="bullet"/>
      <w:lvlText w:val=""/>
      <w:lvlJc w:val="left"/>
      <w:pPr>
        <w:ind w:left="720" w:hanging="360"/>
      </w:pPr>
      <w:rPr>
        <w:rFonts w:ascii="Symbol" w:hAnsi="Symbol" w:hint="default"/>
      </w:rPr>
    </w:lvl>
    <w:lvl w:ilvl="1" w:tplc="2B70E260" w:tentative="1">
      <w:start w:val="1"/>
      <w:numFmt w:val="bullet"/>
      <w:lvlText w:val="o"/>
      <w:lvlJc w:val="left"/>
      <w:pPr>
        <w:ind w:left="1440" w:hanging="360"/>
      </w:pPr>
      <w:rPr>
        <w:rFonts w:ascii="Courier New" w:hAnsi="Courier New" w:hint="default"/>
      </w:rPr>
    </w:lvl>
    <w:lvl w:ilvl="2" w:tplc="361AF502" w:tentative="1">
      <w:start w:val="1"/>
      <w:numFmt w:val="bullet"/>
      <w:lvlText w:val=""/>
      <w:lvlJc w:val="left"/>
      <w:pPr>
        <w:ind w:left="2160" w:hanging="360"/>
      </w:pPr>
      <w:rPr>
        <w:rFonts w:ascii="Wingdings" w:hAnsi="Wingdings" w:hint="default"/>
      </w:rPr>
    </w:lvl>
    <w:lvl w:ilvl="3" w:tplc="1720A95C" w:tentative="1">
      <w:start w:val="1"/>
      <w:numFmt w:val="bullet"/>
      <w:lvlText w:val=""/>
      <w:lvlJc w:val="left"/>
      <w:pPr>
        <w:ind w:left="2880" w:hanging="360"/>
      </w:pPr>
      <w:rPr>
        <w:rFonts w:ascii="Symbol" w:hAnsi="Symbol" w:hint="default"/>
      </w:rPr>
    </w:lvl>
    <w:lvl w:ilvl="4" w:tplc="A598305E" w:tentative="1">
      <w:start w:val="1"/>
      <w:numFmt w:val="bullet"/>
      <w:lvlText w:val="o"/>
      <w:lvlJc w:val="left"/>
      <w:pPr>
        <w:ind w:left="3600" w:hanging="360"/>
      </w:pPr>
      <w:rPr>
        <w:rFonts w:ascii="Courier New" w:hAnsi="Courier New" w:hint="default"/>
      </w:rPr>
    </w:lvl>
    <w:lvl w:ilvl="5" w:tplc="04241D14" w:tentative="1">
      <w:start w:val="1"/>
      <w:numFmt w:val="bullet"/>
      <w:lvlText w:val=""/>
      <w:lvlJc w:val="left"/>
      <w:pPr>
        <w:ind w:left="4320" w:hanging="360"/>
      </w:pPr>
      <w:rPr>
        <w:rFonts w:ascii="Wingdings" w:hAnsi="Wingdings" w:hint="default"/>
      </w:rPr>
    </w:lvl>
    <w:lvl w:ilvl="6" w:tplc="102A8922" w:tentative="1">
      <w:start w:val="1"/>
      <w:numFmt w:val="bullet"/>
      <w:lvlText w:val=""/>
      <w:lvlJc w:val="left"/>
      <w:pPr>
        <w:ind w:left="5040" w:hanging="360"/>
      </w:pPr>
      <w:rPr>
        <w:rFonts w:ascii="Symbol" w:hAnsi="Symbol" w:hint="default"/>
      </w:rPr>
    </w:lvl>
    <w:lvl w:ilvl="7" w:tplc="7F0200F2" w:tentative="1">
      <w:start w:val="1"/>
      <w:numFmt w:val="bullet"/>
      <w:lvlText w:val="o"/>
      <w:lvlJc w:val="left"/>
      <w:pPr>
        <w:ind w:left="5760" w:hanging="360"/>
      </w:pPr>
      <w:rPr>
        <w:rFonts w:ascii="Courier New" w:hAnsi="Courier New" w:hint="default"/>
      </w:rPr>
    </w:lvl>
    <w:lvl w:ilvl="8" w:tplc="B6464C30" w:tentative="1">
      <w:start w:val="1"/>
      <w:numFmt w:val="bullet"/>
      <w:lvlText w:val=""/>
      <w:lvlJc w:val="left"/>
      <w:pPr>
        <w:ind w:left="6480" w:hanging="360"/>
      </w:pPr>
      <w:rPr>
        <w:rFonts w:ascii="Wingdings" w:hAnsi="Wingdings" w:hint="default"/>
      </w:rPr>
    </w:lvl>
  </w:abstractNum>
  <w:abstractNum w:abstractNumId="41" w15:restartNumberingAfterBreak="0">
    <w:nsid w:val="42F331A8"/>
    <w:multiLevelType w:val="hybridMultilevel"/>
    <w:tmpl w:val="24F65B84"/>
    <w:lvl w:ilvl="0" w:tplc="6F9E61D4">
      <w:start w:val="1"/>
      <w:numFmt w:val="decimal"/>
      <w:lvlText w:val="%1."/>
      <w:lvlJc w:val="left"/>
      <w:pPr>
        <w:ind w:left="720" w:hanging="360"/>
      </w:pPr>
    </w:lvl>
    <w:lvl w:ilvl="1" w:tplc="79CC1E46">
      <w:start w:val="1"/>
      <w:numFmt w:val="lowerLetter"/>
      <w:lvlText w:val="%2."/>
      <w:lvlJc w:val="left"/>
      <w:pPr>
        <w:ind w:left="1440" w:hanging="360"/>
      </w:pPr>
    </w:lvl>
    <w:lvl w:ilvl="2" w:tplc="EED03214">
      <w:start w:val="1"/>
      <w:numFmt w:val="lowerRoman"/>
      <w:lvlText w:val="%3."/>
      <w:lvlJc w:val="right"/>
      <w:pPr>
        <w:ind w:left="2160" w:hanging="180"/>
      </w:pPr>
    </w:lvl>
    <w:lvl w:ilvl="3" w:tplc="84E24786">
      <w:start w:val="1"/>
      <w:numFmt w:val="decimal"/>
      <w:lvlText w:val="%4."/>
      <w:lvlJc w:val="left"/>
      <w:pPr>
        <w:ind w:left="2880" w:hanging="360"/>
      </w:pPr>
    </w:lvl>
    <w:lvl w:ilvl="4" w:tplc="38FC8B7A">
      <w:start w:val="1"/>
      <w:numFmt w:val="lowerLetter"/>
      <w:lvlText w:val="%5."/>
      <w:lvlJc w:val="left"/>
      <w:pPr>
        <w:ind w:left="3600" w:hanging="360"/>
      </w:pPr>
    </w:lvl>
    <w:lvl w:ilvl="5" w:tplc="5B8EB71A">
      <w:start w:val="1"/>
      <w:numFmt w:val="lowerRoman"/>
      <w:lvlText w:val="%6."/>
      <w:lvlJc w:val="right"/>
      <w:pPr>
        <w:ind w:left="4320" w:hanging="180"/>
      </w:pPr>
    </w:lvl>
    <w:lvl w:ilvl="6" w:tplc="EE143888">
      <w:start w:val="1"/>
      <w:numFmt w:val="decimal"/>
      <w:lvlText w:val="%7."/>
      <w:lvlJc w:val="left"/>
      <w:pPr>
        <w:ind w:left="5040" w:hanging="360"/>
      </w:pPr>
    </w:lvl>
    <w:lvl w:ilvl="7" w:tplc="46A23916">
      <w:start w:val="1"/>
      <w:numFmt w:val="lowerLetter"/>
      <w:lvlText w:val="%8."/>
      <w:lvlJc w:val="left"/>
      <w:pPr>
        <w:ind w:left="5760" w:hanging="360"/>
      </w:pPr>
    </w:lvl>
    <w:lvl w:ilvl="8" w:tplc="880E161E">
      <w:start w:val="1"/>
      <w:numFmt w:val="lowerRoman"/>
      <w:lvlText w:val="%9."/>
      <w:lvlJc w:val="right"/>
      <w:pPr>
        <w:ind w:left="6480" w:hanging="180"/>
      </w:pPr>
    </w:lvl>
  </w:abstractNum>
  <w:abstractNum w:abstractNumId="42" w15:restartNumberingAfterBreak="0">
    <w:nsid w:val="46FC059A"/>
    <w:multiLevelType w:val="hybridMultilevel"/>
    <w:tmpl w:val="73A61478"/>
    <w:lvl w:ilvl="0" w:tplc="BAFC0EC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70B3D54"/>
    <w:multiLevelType w:val="hybridMultilevel"/>
    <w:tmpl w:val="19368A9C"/>
    <w:lvl w:ilvl="0" w:tplc="BC603C6C">
      <w:start w:val="3"/>
      <w:numFmt w:val="lowerRoman"/>
      <w:lvlText w:val="%1."/>
      <w:lvlJc w:val="right"/>
      <w:pPr>
        <w:ind w:left="720" w:hanging="360"/>
      </w:pPr>
    </w:lvl>
    <w:lvl w:ilvl="1" w:tplc="82268036">
      <w:start w:val="1"/>
      <w:numFmt w:val="lowerLetter"/>
      <w:lvlText w:val="%2."/>
      <w:lvlJc w:val="left"/>
      <w:pPr>
        <w:ind w:left="1440" w:hanging="360"/>
      </w:pPr>
    </w:lvl>
    <w:lvl w:ilvl="2" w:tplc="145C7FB0">
      <w:start w:val="1"/>
      <w:numFmt w:val="lowerRoman"/>
      <w:lvlText w:val="%3."/>
      <w:lvlJc w:val="right"/>
      <w:pPr>
        <w:ind w:left="2160" w:hanging="180"/>
      </w:pPr>
    </w:lvl>
    <w:lvl w:ilvl="3" w:tplc="ED9059A8">
      <w:start w:val="1"/>
      <w:numFmt w:val="decimal"/>
      <w:lvlText w:val="%4."/>
      <w:lvlJc w:val="left"/>
      <w:pPr>
        <w:ind w:left="2880" w:hanging="360"/>
      </w:pPr>
    </w:lvl>
    <w:lvl w:ilvl="4" w:tplc="EEB40146">
      <w:start w:val="1"/>
      <w:numFmt w:val="lowerLetter"/>
      <w:lvlText w:val="%5."/>
      <w:lvlJc w:val="left"/>
      <w:pPr>
        <w:ind w:left="3600" w:hanging="360"/>
      </w:pPr>
    </w:lvl>
    <w:lvl w:ilvl="5" w:tplc="47D42614">
      <w:start w:val="1"/>
      <w:numFmt w:val="lowerRoman"/>
      <w:lvlText w:val="%6."/>
      <w:lvlJc w:val="right"/>
      <w:pPr>
        <w:ind w:left="4320" w:hanging="180"/>
      </w:pPr>
    </w:lvl>
    <w:lvl w:ilvl="6" w:tplc="454A7C9E">
      <w:start w:val="1"/>
      <w:numFmt w:val="decimal"/>
      <w:lvlText w:val="%7."/>
      <w:lvlJc w:val="left"/>
      <w:pPr>
        <w:ind w:left="5040" w:hanging="360"/>
      </w:pPr>
    </w:lvl>
    <w:lvl w:ilvl="7" w:tplc="3F1C7BBE">
      <w:start w:val="1"/>
      <w:numFmt w:val="lowerLetter"/>
      <w:lvlText w:val="%8."/>
      <w:lvlJc w:val="left"/>
      <w:pPr>
        <w:ind w:left="5760" w:hanging="360"/>
      </w:pPr>
    </w:lvl>
    <w:lvl w:ilvl="8" w:tplc="A67435B4">
      <w:start w:val="1"/>
      <w:numFmt w:val="lowerRoman"/>
      <w:lvlText w:val="%9."/>
      <w:lvlJc w:val="right"/>
      <w:pPr>
        <w:ind w:left="6480" w:hanging="180"/>
      </w:pPr>
    </w:lvl>
  </w:abstractNum>
  <w:abstractNum w:abstractNumId="44" w15:restartNumberingAfterBreak="0">
    <w:nsid w:val="478FB10E"/>
    <w:multiLevelType w:val="hybridMultilevel"/>
    <w:tmpl w:val="D83CFFAC"/>
    <w:lvl w:ilvl="0" w:tplc="B8ECE232">
      <w:start w:val="1"/>
      <w:numFmt w:val="bullet"/>
      <w:lvlText w:val=""/>
      <w:lvlJc w:val="left"/>
      <w:pPr>
        <w:ind w:left="810" w:hanging="360"/>
      </w:pPr>
      <w:rPr>
        <w:rFonts w:ascii="Symbol" w:hAnsi="Symbol" w:hint="default"/>
      </w:rPr>
    </w:lvl>
    <w:lvl w:ilvl="1" w:tplc="52A26806">
      <w:start w:val="1"/>
      <w:numFmt w:val="bullet"/>
      <w:lvlText w:val="o"/>
      <w:lvlJc w:val="left"/>
      <w:pPr>
        <w:ind w:left="1530" w:hanging="360"/>
      </w:pPr>
      <w:rPr>
        <w:rFonts w:ascii="Courier New" w:hAnsi="Courier New" w:hint="default"/>
      </w:rPr>
    </w:lvl>
    <w:lvl w:ilvl="2" w:tplc="372C0B10">
      <w:start w:val="1"/>
      <w:numFmt w:val="bullet"/>
      <w:lvlText w:val=""/>
      <w:lvlJc w:val="left"/>
      <w:pPr>
        <w:ind w:left="2250" w:hanging="360"/>
      </w:pPr>
      <w:rPr>
        <w:rFonts w:ascii="Wingdings" w:hAnsi="Wingdings" w:hint="default"/>
      </w:rPr>
    </w:lvl>
    <w:lvl w:ilvl="3" w:tplc="A9BE73EC">
      <w:start w:val="1"/>
      <w:numFmt w:val="bullet"/>
      <w:lvlText w:val=""/>
      <w:lvlJc w:val="left"/>
      <w:pPr>
        <w:ind w:left="2970" w:hanging="360"/>
      </w:pPr>
      <w:rPr>
        <w:rFonts w:ascii="Symbol" w:hAnsi="Symbol" w:hint="default"/>
      </w:rPr>
    </w:lvl>
    <w:lvl w:ilvl="4" w:tplc="B2921FDA">
      <w:start w:val="1"/>
      <w:numFmt w:val="bullet"/>
      <w:lvlText w:val="o"/>
      <w:lvlJc w:val="left"/>
      <w:pPr>
        <w:ind w:left="3690" w:hanging="360"/>
      </w:pPr>
      <w:rPr>
        <w:rFonts w:ascii="Courier New" w:hAnsi="Courier New" w:hint="default"/>
      </w:rPr>
    </w:lvl>
    <w:lvl w:ilvl="5" w:tplc="6BA0706C">
      <w:start w:val="1"/>
      <w:numFmt w:val="bullet"/>
      <w:lvlText w:val=""/>
      <w:lvlJc w:val="left"/>
      <w:pPr>
        <w:ind w:left="4410" w:hanging="360"/>
      </w:pPr>
      <w:rPr>
        <w:rFonts w:ascii="Wingdings" w:hAnsi="Wingdings" w:hint="default"/>
      </w:rPr>
    </w:lvl>
    <w:lvl w:ilvl="6" w:tplc="727A1B0A">
      <w:start w:val="1"/>
      <w:numFmt w:val="bullet"/>
      <w:lvlText w:val=""/>
      <w:lvlJc w:val="left"/>
      <w:pPr>
        <w:ind w:left="5130" w:hanging="360"/>
      </w:pPr>
      <w:rPr>
        <w:rFonts w:ascii="Symbol" w:hAnsi="Symbol" w:hint="default"/>
      </w:rPr>
    </w:lvl>
    <w:lvl w:ilvl="7" w:tplc="D3FAA8CE">
      <w:start w:val="1"/>
      <w:numFmt w:val="bullet"/>
      <w:lvlText w:val="o"/>
      <w:lvlJc w:val="left"/>
      <w:pPr>
        <w:ind w:left="5850" w:hanging="360"/>
      </w:pPr>
      <w:rPr>
        <w:rFonts w:ascii="Courier New" w:hAnsi="Courier New" w:hint="default"/>
      </w:rPr>
    </w:lvl>
    <w:lvl w:ilvl="8" w:tplc="947247EC">
      <w:start w:val="1"/>
      <w:numFmt w:val="bullet"/>
      <w:lvlText w:val=""/>
      <w:lvlJc w:val="left"/>
      <w:pPr>
        <w:ind w:left="6570" w:hanging="360"/>
      </w:pPr>
      <w:rPr>
        <w:rFonts w:ascii="Wingdings" w:hAnsi="Wingdings" w:hint="default"/>
      </w:rPr>
    </w:lvl>
  </w:abstractNum>
  <w:abstractNum w:abstractNumId="45" w15:restartNumberingAfterBreak="0">
    <w:nsid w:val="47A7108C"/>
    <w:multiLevelType w:val="hybridMultilevel"/>
    <w:tmpl w:val="3BC432D2"/>
    <w:lvl w:ilvl="0" w:tplc="74681698">
      <w:start w:val="1"/>
      <w:numFmt w:val="upperRoman"/>
      <w:lvlText w:val="%1."/>
      <w:lvlJc w:val="left"/>
      <w:pPr>
        <w:ind w:left="720" w:hanging="72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6" w15:restartNumberingAfterBreak="0">
    <w:nsid w:val="47DCE1C2"/>
    <w:multiLevelType w:val="hybridMultilevel"/>
    <w:tmpl w:val="DC52E8B4"/>
    <w:lvl w:ilvl="0" w:tplc="161EEF6A">
      <w:start w:val="1"/>
      <w:numFmt w:val="bullet"/>
      <w:lvlText w:val="-"/>
      <w:lvlJc w:val="left"/>
      <w:pPr>
        <w:ind w:left="720" w:hanging="360"/>
      </w:pPr>
      <w:rPr>
        <w:rFonts w:ascii="Symbol" w:hAnsi="Symbol" w:hint="default"/>
      </w:rPr>
    </w:lvl>
    <w:lvl w:ilvl="1" w:tplc="7C347594">
      <w:start w:val="1"/>
      <w:numFmt w:val="bullet"/>
      <w:lvlText w:val="o"/>
      <w:lvlJc w:val="left"/>
      <w:pPr>
        <w:ind w:left="1440" w:hanging="360"/>
      </w:pPr>
      <w:rPr>
        <w:rFonts w:ascii="Courier New" w:hAnsi="Courier New" w:hint="default"/>
      </w:rPr>
    </w:lvl>
    <w:lvl w:ilvl="2" w:tplc="2166D0AE">
      <w:start w:val="1"/>
      <w:numFmt w:val="bullet"/>
      <w:lvlText w:val=""/>
      <w:lvlJc w:val="left"/>
      <w:pPr>
        <w:ind w:left="2160" w:hanging="360"/>
      </w:pPr>
      <w:rPr>
        <w:rFonts w:ascii="Wingdings" w:hAnsi="Wingdings" w:hint="default"/>
      </w:rPr>
    </w:lvl>
    <w:lvl w:ilvl="3" w:tplc="2BC21E6A">
      <w:start w:val="1"/>
      <w:numFmt w:val="bullet"/>
      <w:lvlText w:val=""/>
      <w:lvlJc w:val="left"/>
      <w:pPr>
        <w:ind w:left="2880" w:hanging="360"/>
      </w:pPr>
      <w:rPr>
        <w:rFonts w:ascii="Symbol" w:hAnsi="Symbol" w:hint="default"/>
      </w:rPr>
    </w:lvl>
    <w:lvl w:ilvl="4" w:tplc="5120CE44">
      <w:start w:val="1"/>
      <w:numFmt w:val="bullet"/>
      <w:lvlText w:val="o"/>
      <w:lvlJc w:val="left"/>
      <w:pPr>
        <w:ind w:left="3600" w:hanging="360"/>
      </w:pPr>
      <w:rPr>
        <w:rFonts w:ascii="Courier New" w:hAnsi="Courier New" w:hint="default"/>
      </w:rPr>
    </w:lvl>
    <w:lvl w:ilvl="5" w:tplc="A65EEA22">
      <w:start w:val="1"/>
      <w:numFmt w:val="bullet"/>
      <w:lvlText w:val=""/>
      <w:lvlJc w:val="left"/>
      <w:pPr>
        <w:ind w:left="4320" w:hanging="360"/>
      </w:pPr>
      <w:rPr>
        <w:rFonts w:ascii="Wingdings" w:hAnsi="Wingdings" w:hint="default"/>
      </w:rPr>
    </w:lvl>
    <w:lvl w:ilvl="6" w:tplc="D9EEFFD2">
      <w:start w:val="1"/>
      <w:numFmt w:val="bullet"/>
      <w:lvlText w:val=""/>
      <w:lvlJc w:val="left"/>
      <w:pPr>
        <w:ind w:left="5040" w:hanging="360"/>
      </w:pPr>
      <w:rPr>
        <w:rFonts w:ascii="Symbol" w:hAnsi="Symbol" w:hint="default"/>
      </w:rPr>
    </w:lvl>
    <w:lvl w:ilvl="7" w:tplc="E91C62C8">
      <w:start w:val="1"/>
      <w:numFmt w:val="bullet"/>
      <w:lvlText w:val="o"/>
      <w:lvlJc w:val="left"/>
      <w:pPr>
        <w:ind w:left="5760" w:hanging="360"/>
      </w:pPr>
      <w:rPr>
        <w:rFonts w:ascii="Courier New" w:hAnsi="Courier New" w:hint="default"/>
      </w:rPr>
    </w:lvl>
    <w:lvl w:ilvl="8" w:tplc="0AC6B2C6">
      <w:start w:val="1"/>
      <w:numFmt w:val="bullet"/>
      <w:lvlText w:val=""/>
      <w:lvlJc w:val="left"/>
      <w:pPr>
        <w:ind w:left="6480" w:hanging="360"/>
      </w:pPr>
      <w:rPr>
        <w:rFonts w:ascii="Wingdings" w:hAnsi="Wingdings" w:hint="default"/>
      </w:rPr>
    </w:lvl>
  </w:abstractNum>
  <w:abstractNum w:abstractNumId="47" w15:restartNumberingAfterBreak="0">
    <w:nsid w:val="4A944A7D"/>
    <w:multiLevelType w:val="hybridMultilevel"/>
    <w:tmpl w:val="A13870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4C62190B"/>
    <w:multiLevelType w:val="hybridMultilevel"/>
    <w:tmpl w:val="7EC83574"/>
    <w:lvl w:ilvl="0" w:tplc="F6E2C63C">
      <w:start w:val="4"/>
      <w:numFmt w:val="bullet"/>
      <w:lvlText w:val="-"/>
      <w:lvlJc w:val="left"/>
      <w:pPr>
        <w:ind w:left="720" w:hanging="360"/>
      </w:pPr>
      <w:rPr>
        <w:rFonts w:ascii="Times New Roman" w:eastAsia="Calibri" w:hAnsi="Times New Roman" w:cs="Times New Roman"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D3C45DD"/>
    <w:multiLevelType w:val="hybridMultilevel"/>
    <w:tmpl w:val="F1D89792"/>
    <w:lvl w:ilvl="0" w:tplc="10026638">
      <w:start w:val="1"/>
      <w:numFmt w:val="bullet"/>
      <w:lvlText w:val=""/>
      <w:lvlJc w:val="left"/>
      <w:pPr>
        <w:ind w:left="720" w:hanging="360"/>
      </w:pPr>
      <w:rPr>
        <w:rFonts w:ascii="Symbol" w:hAnsi="Symbol" w:hint="default"/>
      </w:rPr>
    </w:lvl>
    <w:lvl w:ilvl="1" w:tplc="0254A6E0" w:tentative="1">
      <w:start w:val="1"/>
      <w:numFmt w:val="bullet"/>
      <w:lvlText w:val="o"/>
      <w:lvlJc w:val="left"/>
      <w:pPr>
        <w:ind w:left="1440" w:hanging="360"/>
      </w:pPr>
      <w:rPr>
        <w:rFonts w:ascii="Courier New" w:hAnsi="Courier New" w:hint="default"/>
      </w:rPr>
    </w:lvl>
    <w:lvl w:ilvl="2" w:tplc="4A1C60D6" w:tentative="1">
      <w:start w:val="1"/>
      <w:numFmt w:val="bullet"/>
      <w:lvlText w:val=""/>
      <w:lvlJc w:val="left"/>
      <w:pPr>
        <w:ind w:left="2160" w:hanging="360"/>
      </w:pPr>
      <w:rPr>
        <w:rFonts w:ascii="Wingdings" w:hAnsi="Wingdings" w:hint="default"/>
      </w:rPr>
    </w:lvl>
    <w:lvl w:ilvl="3" w:tplc="8752D120" w:tentative="1">
      <w:start w:val="1"/>
      <w:numFmt w:val="bullet"/>
      <w:lvlText w:val=""/>
      <w:lvlJc w:val="left"/>
      <w:pPr>
        <w:ind w:left="2880" w:hanging="360"/>
      </w:pPr>
      <w:rPr>
        <w:rFonts w:ascii="Symbol" w:hAnsi="Symbol" w:hint="default"/>
      </w:rPr>
    </w:lvl>
    <w:lvl w:ilvl="4" w:tplc="335219D4" w:tentative="1">
      <w:start w:val="1"/>
      <w:numFmt w:val="bullet"/>
      <w:lvlText w:val="o"/>
      <w:lvlJc w:val="left"/>
      <w:pPr>
        <w:ind w:left="3600" w:hanging="360"/>
      </w:pPr>
      <w:rPr>
        <w:rFonts w:ascii="Courier New" w:hAnsi="Courier New" w:hint="default"/>
      </w:rPr>
    </w:lvl>
    <w:lvl w:ilvl="5" w:tplc="58D67C64" w:tentative="1">
      <w:start w:val="1"/>
      <w:numFmt w:val="bullet"/>
      <w:lvlText w:val=""/>
      <w:lvlJc w:val="left"/>
      <w:pPr>
        <w:ind w:left="4320" w:hanging="360"/>
      </w:pPr>
      <w:rPr>
        <w:rFonts w:ascii="Wingdings" w:hAnsi="Wingdings" w:hint="default"/>
      </w:rPr>
    </w:lvl>
    <w:lvl w:ilvl="6" w:tplc="AC9EAFB2" w:tentative="1">
      <w:start w:val="1"/>
      <w:numFmt w:val="bullet"/>
      <w:lvlText w:val=""/>
      <w:lvlJc w:val="left"/>
      <w:pPr>
        <w:ind w:left="5040" w:hanging="360"/>
      </w:pPr>
      <w:rPr>
        <w:rFonts w:ascii="Symbol" w:hAnsi="Symbol" w:hint="default"/>
      </w:rPr>
    </w:lvl>
    <w:lvl w:ilvl="7" w:tplc="B89233A8" w:tentative="1">
      <w:start w:val="1"/>
      <w:numFmt w:val="bullet"/>
      <w:lvlText w:val="o"/>
      <w:lvlJc w:val="left"/>
      <w:pPr>
        <w:ind w:left="5760" w:hanging="360"/>
      </w:pPr>
      <w:rPr>
        <w:rFonts w:ascii="Courier New" w:hAnsi="Courier New" w:hint="default"/>
      </w:rPr>
    </w:lvl>
    <w:lvl w:ilvl="8" w:tplc="03E025CE" w:tentative="1">
      <w:start w:val="1"/>
      <w:numFmt w:val="bullet"/>
      <w:lvlText w:val=""/>
      <w:lvlJc w:val="left"/>
      <w:pPr>
        <w:ind w:left="6480" w:hanging="360"/>
      </w:pPr>
      <w:rPr>
        <w:rFonts w:ascii="Wingdings" w:hAnsi="Wingdings" w:hint="default"/>
      </w:rPr>
    </w:lvl>
  </w:abstractNum>
  <w:abstractNum w:abstractNumId="50" w15:restartNumberingAfterBreak="0">
    <w:nsid w:val="4F4E3163"/>
    <w:multiLevelType w:val="hybridMultilevel"/>
    <w:tmpl w:val="FA26369E"/>
    <w:lvl w:ilvl="0" w:tplc="AFFCE34A">
      <w:start w:val="1"/>
      <w:numFmt w:val="lowerRoman"/>
      <w:lvlText w:val="(%1)"/>
      <w:lvlJc w:val="left"/>
      <w:pPr>
        <w:ind w:left="1080" w:hanging="72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09B0958"/>
    <w:multiLevelType w:val="hybridMultilevel"/>
    <w:tmpl w:val="2DDA688E"/>
    <w:lvl w:ilvl="0" w:tplc="0E5C4BCC">
      <w:start w:val="1"/>
      <w:numFmt w:val="bullet"/>
      <w:lvlText w:val=""/>
      <w:lvlJc w:val="left"/>
      <w:pPr>
        <w:ind w:left="720" w:hanging="360"/>
      </w:pPr>
      <w:rPr>
        <w:rFonts w:ascii="Symbol" w:hAnsi="Symbol" w:hint="default"/>
      </w:rPr>
    </w:lvl>
    <w:lvl w:ilvl="1" w:tplc="600C1268" w:tentative="1">
      <w:start w:val="1"/>
      <w:numFmt w:val="bullet"/>
      <w:lvlText w:val="o"/>
      <w:lvlJc w:val="left"/>
      <w:pPr>
        <w:ind w:left="1440" w:hanging="360"/>
      </w:pPr>
      <w:rPr>
        <w:rFonts w:ascii="Courier New" w:hAnsi="Courier New" w:hint="default"/>
      </w:rPr>
    </w:lvl>
    <w:lvl w:ilvl="2" w:tplc="7200DD3E" w:tentative="1">
      <w:start w:val="1"/>
      <w:numFmt w:val="bullet"/>
      <w:lvlText w:val=""/>
      <w:lvlJc w:val="left"/>
      <w:pPr>
        <w:ind w:left="2160" w:hanging="360"/>
      </w:pPr>
      <w:rPr>
        <w:rFonts w:ascii="Wingdings" w:hAnsi="Wingdings" w:hint="default"/>
      </w:rPr>
    </w:lvl>
    <w:lvl w:ilvl="3" w:tplc="29ECB6C2" w:tentative="1">
      <w:start w:val="1"/>
      <w:numFmt w:val="bullet"/>
      <w:lvlText w:val=""/>
      <w:lvlJc w:val="left"/>
      <w:pPr>
        <w:ind w:left="2880" w:hanging="360"/>
      </w:pPr>
      <w:rPr>
        <w:rFonts w:ascii="Symbol" w:hAnsi="Symbol" w:hint="default"/>
      </w:rPr>
    </w:lvl>
    <w:lvl w:ilvl="4" w:tplc="C4B636F4" w:tentative="1">
      <w:start w:val="1"/>
      <w:numFmt w:val="bullet"/>
      <w:lvlText w:val="o"/>
      <w:lvlJc w:val="left"/>
      <w:pPr>
        <w:ind w:left="3600" w:hanging="360"/>
      </w:pPr>
      <w:rPr>
        <w:rFonts w:ascii="Courier New" w:hAnsi="Courier New" w:hint="default"/>
      </w:rPr>
    </w:lvl>
    <w:lvl w:ilvl="5" w:tplc="BFFA7348" w:tentative="1">
      <w:start w:val="1"/>
      <w:numFmt w:val="bullet"/>
      <w:lvlText w:val=""/>
      <w:lvlJc w:val="left"/>
      <w:pPr>
        <w:ind w:left="4320" w:hanging="360"/>
      </w:pPr>
      <w:rPr>
        <w:rFonts w:ascii="Wingdings" w:hAnsi="Wingdings" w:hint="default"/>
      </w:rPr>
    </w:lvl>
    <w:lvl w:ilvl="6" w:tplc="1A103778" w:tentative="1">
      <w:start w:val="1"/>
      <w:numFmt w:val="bullet"/>
      <w:lvlText w:val=""/>
      <w:lvlJc w:val="left"/>
      <w:pPr>
        <w:ind w:left="5040" w:hanging="360"/>
      </w:pPr>
      <w:rPr>
        <w:rFonts w:ascii="Symbol" w:hAnsi="Symbol" w:hint="default"/>
      </w:rPr>
    </w:lvl>
    <w:lvl w:ilvl="7" w:tplc="516ACFD8" w:tentative="1">
      <w:start w:val="1"/>
      <w:numFmt w:val="bullet"/>
      <w:lvlText w:val="o"/>
      <w:lvlJc w:val="left"/>
      <w:pPr>
        <w:ind w:left="5760" w:hanging="360"/>
      </w:pPr>
      <w:rPr>
        <w:rFonts w:ascii="Courier New" w:hAnsi="Courier New" w:hint="default"/>
      </w:rPr>
    </w:lvl>
    <w:lvl w:ilvl="8" w:tplc="1F044B30" w:tentative="1">
      <w:start w:val="1"/>
      <w:numFmt w:val="bullet"/>
      <w:lvlText w:val=""/>
      <w:lvlJc w:val="left"/>
      <w:pPr>
        <w:ind w:left="6480" w:hanging="360"/>
      </w:pPr>
      <w:rPr>
        <w:rFonts w:ascii="Wingdings" w:hAnsi="Wingdings" w:hint="default"/>
      </w:rPr>
    </w:lvl>
  </w:abstractNum>
  <w:abstractNum w:abstractNumId="52" w15:restartNumberingAfterBreak="0">
    <w:nsid w:val="526C38C9"/>
    <w:multiLevelType w:val="hybridMultilevel"/>
    <w:tmpl w:val="7A184C22"/>
    <w:lvl w:ilvl="0" w:tplc="5DE6DB4C">
      <w:start w:val="1"/>
      <w:numFmt w:val="decimal"/>
      <w:lvlText w:val="%1."/>
      <w:lvlJc w:val="left"/>
      <w:pPr>
        <w:ind w:left="2880" w:hanging="360"/>
      </w:pPr>
    </w:lvl>
    <w:lvl w:ilvl="1" w:tplc="A1BE9EB2" w:tentative="1">
      <w:start w:val="1"/>
      <w:numFmt w:val="lowerLetter"/>
      <w:lvlText w:val="%2."/>
      <w:lvlJc w:val="left"/>
      <w:pPr>
        <w:ind w:left="1440" w:hanging="360"/>
      </w:pPr>
    </w:lvl>
    <w:lvl w:ilvl="2" w:tplc="8F10CD10" w:tentative="1">
      <w:start w:val="1"/>
      <w:numFmt w:val="lowerRoman"/>
      <w:lvlText w:val="%3."/>
      <w:lvlJc w:val="right"/>
      <w:pPr>
        <w:ind w:left="2160" w:hanging="180"/>
      </w:pPr>
    </w:lvl>
    <w:lvl w:ilvl="3" w:tplc="54E2EEF8" w:tentative="1">
      <w:start w:val="1"/>
      <w:numFmt w:val="decimal"/>
      <w:lvlText w:val="%4."/>
      <w:lvlJc w:val="left"/>
      <w:pPr>
        <w:ind w:left="2880" w:hanging="360"/>
      </w:pPr>
    </w:lvl>
    <w:lvl w:ilvl="4" w:tplc="2988BC7E" w:tentative="1">
      <w:start w:val="1"/>
      <w:numFmt w:val="lowerLetter"/>
      <w:lvlText w:val="%5."/>
      <w:lvlJc w:val="left"/>
      <w:pPr>
        <w:ind w:left="3600" w:hanging="360"/>
      </w:pPr>
    </w:lvl>
    <w:lvl w:ilvl="5" w:tplc="DF26593A" w:tentative="1">
      <w:start w:val="1"/>
      <w:numFmt w:val="lowerRoman"/>
      <w:lvlText w:val="%6."/>
      <w:lvlJc w:val="right"/>
      <w:pPr>
        <w:ind w:left="4320" w:hanging="180"/>
      </w:pPr>
    </w:lvl>
    <w:lvl w:ilvl="6" w:tplc="77B4A392" w:tentative="1">
      <w:start w:val="1"/>
      <w:numFmt w:val="decimal"/>
      <w:lvlText w:val="%7."/>
      <w:lvlJc w:val="left"/>
      <w:pPr>
        <w:ind w:left="5040" w:hanging="360"/>
      </w:pPr>
    </w:lvl>
    <w:lvl w:ilvl="7" w:tplc="9A6EFC44" w:tentative="1">
      <w:start w:val="1"/>
      <w:numFmt w:val="lowerLetter"/>
      <w:lvlText w:val="%8."/>
      <w:lvlJc w:val="left"/>
      <w:pPr>
        <w:ind w:left="5760" w:hanging="360"/>
      </w:pPr>
    </w:lvl>
    <w:lvl w:ilvl="8" w:tplc="7BB09EE8" w:tentative="1">
      <w:start w:val="1"/>
      <w:numFmt w:val="lowerRoman"/>
      <w:lvlText w:val="%9."/>
      <w:lvlJc w:val="right"/>
      <w:pPr>
        <w:ind w:left="6480" w:hanging="180"/>
      </w:pPr>
    </w:lvl>
  </w:abstractNum>
  <w:abstractNum w:abstractNumId="53" w15:restartNumberingAfterBreak="0">
    <w:nsid w:val="53ED65C2"/>
    <w:multiLevelType w:val="hybridMultilevel"/>
    <w:tmpl w:val="7A184C22"/>
    <w:lvl w:ilvl="0" w:tplc="5420E58C">
      <w:start w:val="1"/>
      <w:numFmt w:val="decimal"/>
      <w:lvlText w:val="%1."/>
      <w:lvlJc w:val="left"/>
      <w:pPr>
        <w:ind w:left="2880" w:hanging="360"/>
      </w:pPr>
    </w:lvl>
    <w:lvl w:ilvl="1" w:tplc="D2C21848" w:tentative="1">
      <w:start w:val="1"/>
      <w:numFmt w:val="lowerLetter"/>
      <w:lvlText w:val="%2."/>
      <w:lvlJc w:val="left"/>
      <w:pPr>
        <w:ind w:left="1440" w:hanging="360"/>
      </w:pPr>
    </w:lvl>
    <w:lvl w:ilvl="2" w:tplc="D0107074" w:tentative="1">
      <w:start w:val="1"/>
      <w:numFmt w:val="lowerRoman"/>
      <w:lvlText w:val="%3."/>
      <w:lvlJc w:val="right"/>
      <w:pPr>
        <w:ind w:left="2160" w:hanging="180"/>
      </w:pPr>
    </w:lvl>
    <w:lvl w:ilvl="3" w:tplc="9BBAA42E" w:tentative="1">
      <w:start w:val="1"/>
      <w:numFmt w:val="decimal"/>
      <w:lvlText w:val="%4."/>
      <w:lvlJc w:val="left"/>
      <w:pPr>
        <w:ind w:left="2880" w:hanging="360"/>
      </w:pPr>
    </w:lvl>
    <w:lvl w:ilvl="4" w:tplc="01265002" w:tentative="1">
      <w:start w:val="1"/>
      <w:numFmt w:val="lowerLetter"/>
      <w:lvlText w:val="%5."/>
      <w:lvlJc w:val="left"/>
      <w:pPr>
        <w:ind w:left="3600" w:hanging="360"/>
      </w:pPr>
    </w:lvl>
    <w:lvl w:ilvl="5" w:tplc="CA52530E" w:tentative="1">
      <w:start w:val="1"/>
      <w:numFmt w:val="lowerRoman"/>
      <w:lvlText w:val="%6."/>
      <w:lvlJc w:val="right"/>
      <w:pPr>
        <w:ind w:left="4320" w:hanging="180"/>
      </w:pPr>
    </w:lvl>
    <w:lvl w:ilvl="6" w:tplc="AF223604" w:tentative="1">
      <w:start w:val="1"/>
      <w:numFmt w:val="decimal"/>
      <w:lvlText w:val="%7."/>
      <w:lvlJc w:val="left"/>
      <w:pPr>
        <w:ind w:left="5040" w:hanging="360"/>
      </w:pPr>
    </w:lvl>
    <w:lvl w:ilvl="7" w:tplc="982EB138" w:tentative="1">
      <w:start w:val="1"/>
      <w:numFmt w:val="lowerLetter"/>
      <w:lvlText w:val="%8."/>
      <w:lvlJc w:val="left"/>
      <w:pPr>
        <w:ind w:left="5760" w:hanging="360"/>
      </w:pPr>
    </w:lvl>
    <w:lvl w:ilvl="8" w:tplc="2766E370" w:tentative="1">
      <w:start w:val="1"/>
      <w:numFmt w:val="lowerRoman"/>
      <w:lvlText w:val="%9."/>
      <w:lvlJc w:val="right"/>
      <w:pPr>
        <w:ind w:left="6480" w:hanging="180"/>
      </w:pPr>
    </w:lvl>
  </w:abstractNum>
  <w:abstractNum w:abstractNumId="54" w15:restartNumberingAfterBreak="0">
    <w:nsid w:val="542DB2EF"/>
    <w:multiLevelType w:val="hybridMultilevel"/>
    <w:tmpl w:val="FFFFFFFF"/>
    <w:lvl w:ilvl="0" w:tplc="61C2DB30">
      <w:start w:val="1"/>
      <w:numFmt w:val="decimal"/>
      <w:lvlText w:val="%1."/>
      <w:lvlJc w:val="left"/>
      <w:pPr>
        <w:ind w:left="720" w:hanging="360"/>
      </w:pPr>
    </w:lvl>
    <w:lvl w:ilvl="1" w:tplc="5908F2FA">
      <w:start w:val="1"/>
      <w:numFmt w:val="lowerLetter"/>
      <w:lvlText w:val="%2."/>
      <w:lvlJc w:val="left"/>
      <w:pPr>
        <w:ind w:left="1440" w:hanging="360"/>
      </w:pPr>
    </w:lvl>
    <w:lvl w:ilvl="2" w:tplc="F0EC50FC">
      <w:start w:val="1"/>
      <w:numFmt w:val="lowerRoman"/>
      <w:lvlText w:val="%3."/>
      <w:lvlJc w:val="right"/>
      <w:pPr>
        <w:ind w:left="2160" w:hanging="180"/>
      </w:pPr>
    </w:lvl>
    <w:lvl w:ilvl="3" w:tplc="5DD083D6">
      <w:start w:val="1"/>
      <w:numFmt w:val="decimal"/>
      <w:lvlText w:val="%4."/>
      <w:lvlJc w:val="left"/>
      <w:pPr>
        <w:ind w:left="2880" w:hanging="360"/>
      </w:pPr>
    </w:lvl>
    <w:lvl w:ilvl="4" w:tplc="2870B2A6">
      <w:start w:val="1"/>
      <w:numFmt w:val="lowerLetter"/>
      <w:lvlText w:val="%5."/>
      <w:lvlJc w:val="left"/>
      <w:pPr>
        <w:ind w:left="3600" w:hanging="360"/>
      </w:pPr>
    </w:lvl>
    <w:lvl w:ilvl="5" w:tplc="0D24A2BA">
      <w:start w:val="1"/>
      <w:numFmt w:val="lowerRoman"/>
      <w:lvlText w:val="%6."/>
      <w:lvlJc w:val="right"/>
      <w:pPr>
        <w:ind w:left="4320" w:hanging="180"/>
      </w:pPr>
    </w:lvl>
    <w:lvl w:ilvl="6" w:tplc="4594CCF6">
      <w:start w:val="1"/>
      <w:numFmt w:val="decimal"/>
      <w:lvlText w:val="%7."/>
      <w:lvlJc w:val="left"/>
      <w:pPr>
        <w:ind w:left="5040" w:hanging="360"/>
      </w:pPr>
    </w:lvl>
    <w:lvl w:ilvl="7" w:tplc="96001C4A">
      <w:start w:val="1"/>
      <w:numFmt w:val="lowerLetter"/>
      <w:lvlText w:val="%8."/>
      <w:lvlJc w:val="left"/>
      <w:pPr>
        <w:ind w:left="5760" w:hanging="360"/>
      </w:pPr>
    </w:lvl>
    <w:lvl w:ilvl="8" w:tplc="B6DA7042">
      <w:start w:val="1"/>
      <w:numFmt w:val="lowerRoman"/>
      <w:lvlText w:val="%9."/>
      <w:lvlJc w:val="right"/>
      <w:pPr>
        <w:ind w:left="6480" w:hanging="180"/>
      </w:pPr>
    </w:lvl>
  </w:abstractNum>
  <w:abstractNum w:abstractNumId="55" w15:restartNumberingAfterBreak="0">
    <w:nsid w:val="54D12F72"/>
    <w:multiLevelType w:val="hybridMultilevel"/>
    <w:tmpl w:val="C0B42E7C"/>
    <w:lvl w:ilvl="0" w:tplc="F9E8C04A">
      <w:start w:val="1"/>
      <w:numFmt w:val="decimal"/>
      <w:lvlText w:val="%1."/>
      <w:lvlJc w:val="left"/>
      <w:pPr>
        <w:ind w:left="720" w:hanging="360"/>
      </w:pPr>
    </w:lvl>
    <w:lvl w:ilvl="1" w:tplc="6A969096" w:tentative="1">
      <w:start w:val="1"/>
      <w:numFmt w:val="lowerLetter"/>
      <w:lvlText w:val="%2."/>
      <w:lvlJc w:val="left"/>
      <w:pPr>
        <w:ind w:left="1440" w:hanging="360"/>
      </w:pPr>
    </w:lvl>
    <w:lvl w:ilvl="2" w:tplc="680CEDD2" w:tentative="1">
      <w:start w:val="1"/>
      <w:numFmt w:val="lowerRoman"/>
      <w:lvlText w:val="%3."/>
      <w:lvlJc w:val="right"/>
      <w:pPr>
        <w:ind w:left="2160" w:hanging="180"/>
      </w:pPr>
    </w:lvl>
    <w:lvl w:ilvl="3" w:tplc="0F4E80F6" w:tentative="1">
      <w:start w:val="1"/>
      <w:numFmt w:val="decimal"/>
      <w:lvlText w:val="%4."/>
      <w:lvlJc w:val="left"/>
      <w:pPr>
        <w:ind w:left="2880" w:hanging="360"/>
      </w:pPr>
    </w:lvl>
    <w:lvl w:ilvl="4" w:tplc="01B83EAE" w:tentative="1">
      <w:start w:val="1"/>
      <w:numFmt w:val="lowerLetter"/>
      <w:lvlText w:val="%5."/>
      <w:lvlJc w:val="left"/>
      <w:pPr>
        <w:ind w:left="3600" w:hanging="360"/>
      </w:pPr>
    </w:lvl>
    <w:lvl w:ilvl="5" w:tplc="F0B84E1C" w:tentative="1">
      <w:start w:val="1"/>
      <w:numFmt w:val="lowerRoman"/>
      <w:lvlText w:val="%6."/>
      <w:lvlJc w:val="right"/>
      <w:pPr>
        <w:ind w:left="4320" w:hanging="180"/>
      </w:pPr>
    </w:lvl>
    <w:lvl w:ilvl="6" w:tplc="F8A67E02" w:tentative="1">
      <w:start w:val="1"/>
      <w:numFmt w:val="decimal"/>
      <w:lvlText w:val="%7."/>
      <w:lvlJc w:val="left"/>
      <w:pPr>
        <w:ind w:left="5040" w:hanging="360"/>
      </w:pPr>
    </w:lvl>
    <w:lvl w:ilvl="7" w:tplc="7D62B952" w:tentative="1">
      <w:start w:val="1"/>
      <w:numFmt w:val="lowerLetter"/>
      <w:lvlText w:val="%8."/>
      <w:lvlJc w:val="left"/>
      <w:pPr>
        <w:ind w:left="5760" w:hanging="360"/>
      </w:pPr>
    </w:lvl>
    <w:lvl w:ilvl="8" w:tplc="23A86D98" w:tentative="1">
      <w:start w:val="1"/>
      <w:numFmt w:val="lowerRoman"/>
      <w:lvlText w:val="%9."/>
      <w:lvlJc w:val="right"/>
      <w:pPr>
        <w:ind w:left="6480" w:hanging="180"/>
      </w:pPr>
    </w:lvl>
  </w:abstractNum>
  <w:abstractNum w:abstractNumId="56" w15:restartNumberingAfterBreak="0">
    <w:nsid w:val="587C45FD"/>
    <w:multiLevelType w:val="hybridMultilevel"/>
    <w:tmpl w:val="7F78AD7E"/>
    <w:lvl w:ilvl="0" w:tplc="3C7CD09E">
      <w:start w:val="1"/>
      <w:numFmt w:val="lowerRoman"/>
      <w:lvlText w:val="(%1)"/>
      <w:lvlJc w:val="left"/>
      <w:pPr>
        <w:ind w:left="1080" w:hanging="720"/>
      </w:pPr>
      <w:rPr>
        <w:rFonts w:hint="default"/>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8C32DA6"/>
    <w:multiLevelType w:val="hybridMultilevel"/>
    <w:tmpl w:val="2A2C3C12"/>
    <w:lvl w:ilvl="0" w:tplc="FB28F724">
      <w:start w:val="1"/>
      <w:numFmt w:val="decimal"/>
      <w:lvlText w:val="%1."/>
      <w:lvlJc w:val="left"/>
      <w:pPr>
        <w:ind w:left="720" w:hanging="360"/>
      </w:pPr>
    </w:lvl>
    <w:lvl w:ilvl="1" w:tplc="BCA8EBC0">
      <w:start w:val="1"/>
      <w:numFmt w:val="lowerLetter"/>
      <w:lvlText w:val="%2."/>
      <w:lvlJc w:val="left"/>
      <w:pPr>
        <w:ind w:left="1440" w:hanging="360"/>
      </w:pPr>
    </w:lvl>
    <w:lvl w:ilvl="2" w:tplc="EA380716">
      <w:start w:val="1"/>
      <w:numFmt w:val="lowerRoman"/>
      <w:lvlText w:val="%3."/>
      <w:lvlJc w:val="right"/>
      <w:pPr>
        <w:ind w:left="2160" w:hanging="180"/>
      </w:pPr>
    </w:lvl>
    <w:lvl w:ilvl="3" w:tplc="14AEA8A6">
      <w:start w:val="1"/>
      <w:numFmt w:val="decimal"/>
      <w:lvlText w:val="%4."/>
      <w:lvlJc w:val="left"/>
      <w:pPr>
        <w:ind w:left="2880" w:hanging="360"/>
      </w:pPr>
    </w:lvl>
    <w:lvl w:ilvl="4" w:tplc="82A0B514">
      <w:start w:val="1"/>
      <w:numFmt w:val="lowerLetter"/>
      <w:lvlText w:val="%5."/>
      <w:lvlJc w:val="left"/>
      <w:pPr>
        <w:ind w:left="3600" w:hanging="360"/>
      </w:pPr>
    </w:lvl>
    <w:lvl w:ilvl="5" w:tplc="386C0958">
      <w:start w:val="1"/>
      <w:numFmt w:val="lowerRoman"/>
      <w:lvlText w:val="%6."/>
      <w:lvlJc w:val="right"/>
      <w:pPr>
        <w:ind w:left="4320" w:hanging="180"/>
      </w:pPr>
    </w:lvl>
    <w:lvl w:ilvl="6" w:tplc="C6E25AB6">
      <w:start w:val="1"/>
      <w:numFmt w:val="decimal"/>
      <w:lvlText w:val="%7."/>
      <w:lvlJc w:val="left"/>
      <w:pPr>
        <w:ind w:left="5040" w:hanging="360"/>
      </w:pPr>
    </w:lvl>
    <w:lvl w:ilvl="7" w:tplc="5A98F752">
      <w:start w:val="1"/>
      <w:numFmt w:val="lowerLetter"/>
      <w:lvlText w:val="%8."/>
      <w:lvlJc w:val="left"/>
      <w:pPr>
        <w:ind w:left="5760" w:hanging="360"/>
      </w:pPr>
    </w:lvl>
    <w:lvl w:ilvl="8" w:tplc="B4D8431A">
      <w:start w:val="1"/>
      <w:numFmt w:val="lowerRoman"/>
      <w:lvlText w:val="%9."/>
      <w:lvlJc w:val="right"/>
      <w:pPr>
        <w:ind w:left="6480" w:hanging="180"/>
      </w:pPr>
    </w:lvl>
  </w:abstractNum>
  <w:abstractNum w:abstractNumId="58" w15:restartNumberingAfterBreak="0">
    <w:nsid w:val="58E62A96"/>
    <w:multiLevelType w:val="hybridMultilevel"/>
    <w:tmpl w:val="A184DE68"/>
    <w:lvl w:ilvl="0" w:tplc="53CABBA8">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9E4426A"/>
    <w:multiLevelType w:val="hybridMultilevel"/>
    <w:tmpl w:val="6B4A5D92"/>
    <w:lvl w:ilvl="0" w:tplc="58B821A6">
      <w:start w:val="1"/>
      <w:numFmt w:val="lowerRoman"/>
      <w:lvlText w:val="%1."/>
      <w:lvlJc w:val="right"/>
      <w:pPr>
        <w:ind w:left="2160" w:hanging="180"/>
      </w:pPr>
    </w:lvl>
    <w:lvl w:ilvl="1" w:tplc="4C90C302" w:tentative="1">
      <w:start w:val="1"/>
      <w:numFmt w:val="lowerLetter"/>
      <w:lvlText w:val="%2."/>
      <w:lvlJc w:val="left"/>
      <w:pPr>
        <w:ind w:left="1440" w:hanging="360"/>
      </w:pPr>
    </w:lvl>
    <w:lvl w:ilvl="2" w:tplc="A850A2C8" w:tentative="1">
      <w:start w:val="1"/>
      <w:numFmt w:val="lowerRoman"/>
      <w:lvlText w:val="%3."/>
      <w:lvlJc w:val="right"/>
      <w:pPr>
        <w:ind w:left="2160" w:hanging="180"/>
      </w:pPr>
    </w:lvl>
    <w:lvl w:ilvl="3" w:tplc="804670C6" w:tentative="1">
      <w:start w:val="1"/>
      <w:numFmt w:val="decimal"/>
      <w:lvlText w:val="%4."/>
      <w:lvlJc w:val="left"/>
      <w:pPr>
        <w:ind w:left="2880" w:hanging="360"/>
      </w:pPr>
    </w:lvl>
    <w:lvl w:ilvl="4" w:tplc="F8580318" w:tentative="1">
      <w:start w:val="1"/>
      <w:numFmt w:val="lowerLetter"/>
      <w:lvlText w:val="%5."/>
      <w:lvlJc w:val="left"/>
      <w:pPr>
        <w:ind w:left="3600" w:hanging="360"/>
      </w:pPr>
    </w:lvl>
    <w:lvl w:ilvl="5" w:tplc="EE500160" w:tentative="1">
      <w:start w:val="1"/>
      <w:numFmt w:val="lowerRoman"/>
      <w:lvlText w:val="%6."/>
      <w:lvlJc w:val="right"/>
      <w:pPr>
        <w:ind w:left="4320" w:hanging="180"/>
      </w:pPr>
    </w:lvl>
    <w:lvl w:ilvl="6" w:tplc="06FAFC78" w:tentative="1">
      <w:start w:val="1"/>
      <w:numFmt w:val="decimal"/>
      <w:lvlText w:val="%7."/>
      <w:lvlJc w:val="left"/>
      <w:pPr>
        <w:ind w:left="5040" w:hanging="360"/>
      </w:pPr>
    </w:lvl>
    <w:lvl w:ilvl="7" w:tplc="24AC4D5E" w:tentative="1">
      <w:start w:val="1"/>
      <w:numFmt w:val="lowerLetter"/>
      <w:lvlText w:val="%8."/>
      <w:lvlJc w:val="left"/>
      <w:pPr>
        <w:ind w:left="5760" w:hanging="360"/>
      </w:pPr>
    </w:lvl>
    <w:lvl w:ilvl="8" w:tplc="949A7466" w:tentative="1">
      <w:start w:val="1"/>
      <w:numFmt w:val="lowerRoman"/>
      <w:lvlText w:val="%9."/>
      <w:lvlJc w:val="right"/>
      <w:pPr>
        <w:ind w:left="6480" w:hanging="180"/>
      </w:pPr>
    </w:lvl>
  </w:abstractNum>
  <w:abstractNum w:abstractNumId="60" w15:restartNumberingAfterBreak="0">
    <w:nsid w:val="5A292EA2"/>
    <w:multiLevelType w:val="hybridMultilevel"/>
    <w:tmpl w:val="B8B6B3EE"/>
    <w:lvl w:ilvl="0" w:tplc="32A09DC8">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CD104A0"/>
    <w:multiLevelType w:val="hybridMultilevel"/>
    <w:tmpl w:val="8BD4E8B6"/>
    <w:lvl w:ilvl="0" w:tplc="486A8E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F8A74B2"/>
    <w:multiLevelType w:val="hybridMultilevel"/>
    <w:tmpl w:val="808E5C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0C32515"/>
    <w:multiLevelType w:val="hybridMultilevel"/>
    <w:tmpl w:val="50DEEF90"/>
    <w:lvl w:ilvl="0" w:tplc="080A0019">
      <w:start w:val="1"/>
      <w:numFmt w:val="lowerLetter"/>
      <w:lvlText w:val="%1."/>
      <w:lvlJc w:val="left"/>
      <w:pPr>
        <w:ind w:left="720" w:hanging="360"/>
      </w:pPr>
    </w:lvl>
    <w:lvl w:ilvl="1" w:tplc="5A4C727E">
      <w:start w:val="1"/>
      <w:numFmt w:val="lowerLetter"/>
      <w:lvlText w:val="%2."/>
      <w:lvlJc w:val="left"/>
      <w:pPr>
        <w:ind w:left="1440" w:hanging="360"/>
      </w:pPr>
    </w:lvl>
    <w:lvl w:ilvl="2" w:tplc="D32CD09E">
      <w:start w:val="1"/>
      <w:numFmt w:val="lowerRoman"/>
      <w:lvlText w:val="%3."/>
      <w:lvlJc w:val="right"/>
      <w:pPr>
        <w:ind w:left="2160" w:hanging="180"/>
      </w:pPr>
    </w:lvl>
    <w:lvl w:ilvl="3" w:tplc="F78EC8FC">
      <w:start w:val="1"/>
      <w:numFmt w:val="decimal"/>
      <w:lvlText w:val="%4."/>
      <w:lvlJc w:val="left"/>
      <w:pPr>
        <w:ind w:left="2880" w:hanging="360"/>
      </w:pPr>
    </w:lvl>
    <w:lvl w:ilvl="4" w:tplc="142E90EC">
      <w:start w:val="1"/>
      <w:numFmt w:val="lowerLetter"/>
      <w:lvlText w:val="%5."/>
      <w:lvlJc w:val="left"/>
      <w:pPr>
        <w:ind w:left="3600" w:hanging="360"/>
      </w:pPr>
    </w:lvl>
    <w:lvl w:ilvl="5" w:tplc="1542FBAC">
      <w:start w:val="1"/>
      <w:numFmt w:val="lowerRoman"/>
      <w:lvlText w:val="%6."/>
      <w:lvlJc w:val="right"/>
      <w:pPr>
        <w:ind w:left="4320" w:hanging="180"/>
      </w:pPr>
    </w:lvl>
    <w:lvl w:ilvl="6" w:tplc="9FAE6076">
      <w:start w:val="1"/>
      <w:numFmt w:val="decimal"/>
      <w:lvlText w:val="%7."/>
      <w:lvlJc w:val="left"/>
      <w:pPr>
        <w:ind w:left="5040" w:hanging="360"/>
      </w:pPr>
    </w:lvl>
    <w:lvl w:ilvl="7" w:tplc="1F7ACB7C">
      <w:start w:val="1"/>
      <w:numFmt w:val="lowerLetter"/>
      <w:lvlText w:val="%8."/>
      <w:lvlJc w:val="left"/>
      <w:pPr>
        <w:ind w:left="5760" w:hanging="360"/>
      </w:pPr>
    </w:lvl>
    <w:lvl w:ilvl="8" w:tplc="0554D7E8">
      <w:start w:val="1"/>
      <w:numFmt w:val="lowerRoman"/>
      <w:lvlText w:val="%9."/>
      <w:lvlJc w:val="right"/>
      <w:pPr>
        <w:ind w:left="6480" w:hanging="180"/>
      </w:pPr>
    </w:lvl>
  </w:abstractNum>
  <w:abstractNum w:abstractNumId="64" w15:restartNumberingAfterBreak="0">
    <w:nsid w:val="61CA4828"/>
    <w:multiLevelType w:val="hybridMultilevel"/>
    <w:tmpl w:val="729EB4AC"/>
    <w:lvl w:ilvl="0" w:tplc="02C47A2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41A947B"/>
    <w:multiLevelType w:val="hybridMultilevel"/>
    <w:tmpl w:val="4420FBE8"/>
    <w:lvl w:ilvl="0" w:tplc="9E42CC3A">
      <w:start w:val="1"/>
      <w:numFmt w:val="lowerRoman"/>
      <w:lvlText w:val="(%1)"/>
      <w:lvlJc w:val="left"/>
      <w:pPr>
        <w:ind w:left="720" w:hanging="360"/>
      </w:pPr>
      <w:rPr>
        <w:b/>
        <w:bCs/>
      </w:rPr>
    </w:lvl>
    <w:lvl w:ilvl="1" w:tplc="C1A80256">
      <w:start w:val="1"/>
      <w:numFmt w:val="lowerLetter"/>
      <w:lvlText w:val="%2."/>
      <w:lvlJc w:val="left"/>
      <w:pPr>
        <w:ind w:left="1440" w:hanging="360"/>
      </w:pPr>
    </w:lvl>
    <w:lvl w:ilvl="2" w:tplc="ED0EBC4C">
      <w:start w:val="1"/>
      <w:numFmt w:val="lowerRoman"/>
      <w:lvlText w:val="%3."/>
      <w:lvlJc w:val="right"/>
      <w:pPr>
        <w:ind w:left="2160" w:hanging="180"/>
      </w:pPr>
    </w:lvl>
    <w:lvl w:ilvl="3" w:tplc="601468EE">
      <w:start w:val="1"/>
      <w:numFmt w:val="decimal"/>
      <w:lvlText w:val="%4."/>
      <w:lvlJc w:val="left"/>
      <w:pPr>
        <w:ind w:left="2880" w:hanging="360"/>
      </w:pPr>
    </w:lvl>
    <w:lvl w:ilvl="4" w:tplc="0608C80C">
      <w:start w:val="1"/>
      <w:numFmt w:val="lowerLetter"/>
      <w:lvlText w:val="%5."/>
      <w:lvlJc w:val="left"/>
      <w:pPr>
        <w:ind w:left="3600" w:hanging="360"/>
      </w:pPr>
    </w:lvl>
    <w:lvl w:ilvl="5" w:tplc="06A671C6">
      <w:start w:val="1"/>
      <w:numFmt w:val="lowerRoman"/>
      <w:lvlText w:val="%6."/>
      <w:lvlJc w:val="right"/>
      <w:pPr>
        <w:ind w:left="4320" w:hanging="180"/>
      </w:pPr>
    </w:lvl>
    <w:lvl w:ilvl="6" w:tplc="4A1EF3BE">
      <w:start w:val="1"/>
      <w:numFmt w:val="decimal"/>
      <w:lvlText w:val="%7."/>
      <w:lvlJc w:val="left"/>
      <w:pPr>
        <w:ind w:left="5040" w:hanging="360"/>
      </w:pPr>
    </w:lvl>
    <w:lvl w:ilvl="7" w:tplc="5E9CFDBE">
      <w:start w:val="1"/>
      <w:numFmt w:val="lowerLetter"/>
      <w:lvlText w:val="%8."/>
      <w:lvlJc w:val="left"/>
      <w:pPr>
        <w:ind w:left="5760" w:hanging="360"/>
      </w:pPr>
    </w:lvl>
    <w:lvl w:ilvl="8" w:tplc="19CACF4E">
      <w:start w:val="1"/>
      <w:numFmt w:val="lowerRoman"/>
      <w:lvlText w:val="%9."/>
      <w:lvlJc w:val="right"/>
      <w:pPr>
        <w:ind w:left="6480" w:hanging="180"/>
      </w:pPr>
    </w:lvl>
  </w:abstractNum>
  <w:abstractNum w:abstractNumId="66" w15:restartNumberingAfterBreak="0">
    <w:nsid w:val="66157637"/>
    <w:multiLevelType w:val="multilevel"/>
    <w:tmpl w:val="D7A096E2"/>
    <w:lvl w:ilvl="0">
      <w:start w:val="1"/>
      <w:numFmt w:val="decimal"/>
      <w:lvlText w:val="%1."/>
      <w:lvlJc w:val="left"/>
      <w:pPr>
        <w:ind w:left="1070" w:hanging="360"/>
      </w:pPr>
      <w:rPr>
        <w:rFonts w:ascii="Times New Roman" w:hAnsi="Times New Roman" w:cs="Times New Roman" w:hint="default"/>
        <w:b w:val="0"/>
        <w:bCs/>
        <w:i w:val="0"/>
        <w:iCs/>
        <w:strike w:val="0"/>
        <w:color w:val="000000" w:themeColor="text1"/>
        <w:sz w:val="28"/>
        <w:szCs w:val="28"/>
        <w:lang w:val="es-CO"/>
      </w:rPr>
    </w:lvl>
    <w:lvl w:ilvl="1">
      <w:start w:val="1"/>
      <w:numFmt w:val="decimal"/>
      <w:lvlText w:val="%1.%2"/>
      <w:lvlJc w:val="left"/>
      <w:pPr>
        <w:ind w:left="1129" w:hanging="420"/>
      </w:pPr>
      <w:rPr>
        <w:i w:val="0"/>
        <w:strike w:val="0"/>
      </w:rPr>
    </w:lvl>
    <w:lvl w:ilvl="2">
      <w:start w:val="1"/>
      <w:numFmt w:val="decimal"/>
      <w:lvlText w:val="%1.%2.%3"/>
      <w:lvlJc w:val="left"/>
      <w:pPr>
        <w:ind w:left="1571" w:hanging="720"/>
      </w:pPr>
      <w:rPr>
        <w:i w:val="0"/>
      </w:rPr>
    </w:lvl>
    <w:lvl w:ilvl="3">
      <w:start w:val="1"/>
      <w:numFmt w:val="decimal"/>
      <w:lvlText w:val="%1.%2.%3.%4"/>
      <w:lvlJc w:val="left"/>
      <w:pPr>
        <w:ind w:left="2073" w:hanging="1080"/>
      </w:pPr>
      <w:rPr>
        <w:i w:val="0"/>
      </w:rPr>
    </w:lvl>
    <w:lvl w:ilvl="4">
      <w:start w:val="1"/>
      <w:numFmt w:val="decimal"/>
      <w:lvlText w:val="%1.%2.%3.%4.%5"/>
      <w:lvlJc w:val="left"/>
      <w:pPr>
        <w:ind w:left="2215" w:hanging="1080"/>
      </w:pPr>
      <w:rPr>
        <w:i w:val="0"/>
      </w:rPr>
    </w:lvl>
    <w:lvl w:ilvl="5">
      <w:start w:val="1"/>
      <w:numFmt w:val="decimal"/>
      <w:lvlText w:val="%1.%2.%3.%4.%5.%6"/>
      <w:lvlJc w:val="left"/>
      <w:pPr>
        <w:ind w:left="2717" w:hanging="1440"/>
      </w:pPr>
      <w:rPr>
        <w:i w:val="0"/>
      </w:rPr>
    </w:lvl>
    <w:lvl w:ilvl="6">
      <w:start w:val="1"/>
      <w:numFmt w:val="decimal"/>
      <w:lvlText w:val="%1.%2.%3.%4.%5.%6.%7"/>
      <w:lvlJc w:val="left"/>
      <w:pPr>
        <w:ind w:left="2859" w:hanging="1440"/>
      </w:pPr>
      <w:rPr>
        <w:i w:val="0"/>
      </w:rPr>
    </w:lvl>
    <w:lvl w:ilvl="7">
      <w:start w:val="1"/>
      <w:numFmt w:val="decimal"/>
      <w:lvlText w:val="%1.%2.%3.%4.%5.%6.%7.%8"/>
      <w:lvlJc w:val="left"/>
      <w:pPr>
        <w:ind w:left="3361" w:hanging="1800"/>
      </w:pPr>
      <w:rPr>
        <w:i w:val="0"/>
      </w:rPr>
    </w:lvl>
    <w:lvl w:ilvl="8">
      <w:start w:val="1"/>
      <w:numFmt w:val="decimal"/>
      <w:lvlText w:val="%1.%2.%3.%4.%5.%6.%7.%8.%9"/>
      <w:lvlJc w:val="left"/>
      <w:pPr>
        <w:ind w:left="3863" w:hanging="2160"/>
      </w:pPr>
      <w:rPr>
        <w:i w:val="0"/>
      </w:rPr>
    </w:lvl>
  </w:abstractNum>
  <w:abstractNum w:abstractNumId="67" w15:restartNumberingAfterBreak="0">
    <w:nsid w:val="66FF1359"/>
    <w:multiLevelType w:val="hybridMultilevel"/>
    <w:tmpl w:val="5BFA1426"/>
    <w:lvl w:ilvl="0" w:tplc="20EEAB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A4F31ED"/>
    <w:multiLevelType w:val="hybridMultilevel"/>
    <w:tmpl w:val="FBB4BD6A"/>
    <w:lvl w:ilvl="0" w:tplc="4508B86C">
      <w:start w:val="1"/>
      <w:numFmt w:val="lowerRoman"/>
      <w:lvlText w:val="(%1)"/>
      <w:lvlJc w:val="left"/>
      <w:pPr>
        <w:ind w:left="1080" w:hanging="720"/>
      </w:pPr>
      <w:rPr>
        <w:rFonts w:hint="default"/>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ABC0650"/>
    <w:multiLevelType w:val="hybridMultilevel"/>
    <w:tmpl w:val="A8CACCAE"/>
    <w:lvl w:ilvl="0" w:tplc="14CE954C">
      <w:start w:val="1"/>
      <w:numFmt w:val="lowerRoman"/>
      <w:lvlText w:val="%1."/>
      <w:lvlJc w:val="right"/>
      <w:pPr>
        <w:ind w:left="2160" w:hanging="180"/>
      </w:pPr>
    </w:lvl>
    <w:lvl w:ilvl="1" w:tplc="1C288772" w:tentative="1">
      <w:start w:val="1"/>
      <w:numFmt w:val="lowerLetter"/>
      <w:lvlText w:val="%2."/>
      <w:lvlJc w:val="left"/>
      <w:pPr>
        <w:ind w:left="1440" w:hanging="360"/>
      </w:pPr>
    </w:lvl>
    <w:lvl w:ilvl="2" w:tplc="8864CA12" w:tentative="1">
      <w:start w:val="1"/>
      <w:numFmt w:val="lowerRoman"/>
      <w:lvlText w:val="%3."/>
      <w:lvlJc w:val="right"/>
      <w:pPr>
        <w:ind w:left="2160" w:hanging="180"/>
      </w:pPr>
    </w:lvl>
    <w:lvl w:ilvl="3" w:tplc="D3BA0C0A" w:tentative="1">
      <w:start w:val="1"/>
      <w:numFmt w:val="decimal"/>
      <w:lvlText w:val="%4."/>
      <w:lvlJc w:val="left"/>
      <w:pPr>
        <w:ind w:left="2880" w:hanging="360"/>
      </w:pPr>
    </w:lvl>
    <w:lvl w:ilvl="4" w:tplc="3AFAF298" w:tentative="1">
      <w:start w:val="1"/>
      <w:numFmt w:val="lowerLetter"/>
      <w:lvlText w:val="%5."/>
      <w:lvlJc w:val="left"/>
      <w:pPr>
        <w:ind w:left="3600" w:hanging="360"/>
      </w:pPr>
    </w:lvl>
    <w:lvl w:ilvl="5" w:tplc="54581470" w:tentative="1">
      <w:start w:val="1"/>
      <w:numFmt w:val="lowerRoman"/>
      <w:lvlText w:val="%6."/>
      <w:lvlJc w:val="right"/>
      <w:pPr>
        <w:ind w:left="4320" w:hanging="180"/>
      </w:pPr>
    </w:lvl>
    <w:lvl w:ilvl="6" w:tplc="744C17F8" w:tentative="1">
      <w:start w:val="1"/>
      <w:numFmt w:val="decimal"/>
      <w:lvlText w:val="%7."/>
      <w:lvlJc w:val="left"/>
      <w:pPr>
        <w:ind w:left="5040" w:hanging="360"/>
      </w:pPr>
    </w:lvl>
    <w:lvl w:ilvl="7" w:tplc="D422A8FA" w:tentative="1">
      <w:start w:val="1"/>
      <w:numFmt w:val="lowerLetter"/>
      <w:lvlText w:val="%8."/>
      <w:lvlJc w:val="left"/>
      <w:pPr>
        <w:ind w:left="5760" w:hanging="360"/>
      </w:pPr>
    </w:lvl>
    <w:lvl w:ilvl="8" w:tplc="216CB0E2" w:tentative="1">
      <w:start w:val="1"/>
      <w:numFmt w:val="lowerRoman"/>
      <w:lvlText w:val="%9."/>
      <w:lvlJc w:val="right"/>
      <w:pPr>
        <w:ind w:left="6480" w:hanging="180"/>
      </w:pPr>
    </w:lvl>
  </w:abstractNum>
  <w:abstractNum w:abstractNumId="70" w15:restartNumberingAfterBreak="0">
    <w:nsid w:val="6AC33F7A"/>
    <w:multiLevelType w:val="hybridMultilevel"/>
    <w:tmpl w:val="0708172E"/>
    <w:lvl w:ilvl="0" w:tplc="92DC9A18">
      <w:start w:val="1"/>
      <w:numFmt w:val="lowerRoman"/>
      <w:lvlText w:val="(%1)"/>
      <w:lvlJc w:val="left"/>
      <w:pPr>
        <w:ind w:left="720" w:hanging="360"/>
      </w:pPr>
    </w:lvl>
    <w:lvl w:ilvl="1" w:tplc="3646A230">
      <w:start w:val="1"/>
      <w:numFmt w:val="lowerLetter"/>
      <w:lvlText w:val="%2."/>
      <w:lvlJc w:val="left"/>
      <w:pPr>
        <w:ind w:left="1440" w:hanging="360"/>
      </w:pPr>
    </w:lvl>
    <w:lvl w:ilvl="2" w:tplc="A6048B04">
      <w:start w:val="1"/>
      <w:numFmt w:val="lowerRoman"/>
      <w:lvlText w:val="%3."/>
      <w:lvlJc w:val="right"/>
      <w:pPr>
        <w:ind w:left="2160" w:hanging="180"/>
      </w:pPr>
    </w:lvl>
    <w:lvl w:ilvl="3" w:tplc="9B3E19D6">
      <w:start w:val="1"/>
      <w:numFmt w:val="decimal"/>
      <w:lvlText w:val="%4."/>
      <w:lvlJc w:val="left"/>
      <w:pPr>
        <w:ind w:left="2880" w:hanging="360"/>
      </w:pPr>
    </w:lvl>
    <w:lvl w:ilvl="4" w:tplc="6C101498">
      <w:start w:val="1"/>
      <w:numFmt w:val="lowerLetter"/>
      <w:lvlText w:val="%5."/>
      <w:lvlJc w:val="left"/>
      <w:pPr>
        <w:ind w:left="3600" w:hanging="360"/>
      </w:pPr>
    </w:lvl>
    <w:lvl w:ilvl="5" w:tplc="5EC6397C">
      <w:start w:val="1"/>
      <w:numFmt w:val="lowerRoman"/>
      <w:lvlText w:val="%6."/>
      <w:lvlJc w:val="right"/>
      <w:pPr>
        <w:ind w:left="4320" w:hanging="180"/>
      </w:pPr>
    </w:lvl>
    <w:lvl w:ilvl="6" w:tplc="AFF01F38">
      <w:start w:val="1"/>
      <w:numFmt w:val="decimal"/>
      <w:lvlText w:val="%7."/>
      <w:lvlJc w:val="left"/>
      <w:pPr>
        <w:ind w:left="5040" w:hanging="360"/>
      </w:pPr>
    </w:lvl>
    <w:lvl w:ilvl="7" w:tplc="FF1EBAAC">
      <w:start w:val="1"/>
      <w:numFmt w:val="lowerLetter"/>
      <w:lvlText w:val="%8."/>
      <w:lvlJc w:val="left"/>
      <w:pPr>
        <w:ind w:left="5760" w:hanging="360"/>
      </w:pPr>
    </w:lvl>
    <w:lvl w:ilvl="8" w:tplc="D9A2B9D2">
      <w:start w:val="1"/>
      <w:numFmt w:val="lowerRoman"/>
      <w:lvlText w:val="%9."/>
      <w:lvlJc w:val="right"/>
      <w:pPr>
        <w:ind w:left="6480" w:hanging="180"/>
      </w:pPr>
    </w:lvl>
  </w:abstractNum>
  <w:abstractNum w:abstractNumId="71" w15:restartNumberingAfterBreak="0">
    <w:nsid w:val="6B07492D"/>
    <w:multiLevelType w:val="hybridMultilevel"/>
    <w:tmpl w:val="056E8EE0"/>
    <w:lvl w:ilvl="0" w:tplc="B614C97C">
      <w:start w:val="1"/>
      <w:numFmt w:val="lowerRoman"/>
      <w:lvlText w:val="(%1)"/>
      <w:lvlJc w:val="left"/>
      <w:pPr>
        <w:ind w:left="720" w:hanging="720"/>
      </w:pPr>
      <w:rPr>
        <w:rFonts w:hint="default"/>
        <w:i/>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6B8FDFE2"/>
    <w:multiLevelType w:val="hybridMultilevel"/>
    <w:tmpl w:val="4DC02284"/>
    <w:styleLink w:val="Listaactual5"/>
    <w:lvl w:ilvl="0" w:tplc="06D679B4">
      <w:start w:val="1"/>
      <w:numFmt w:val="lowerRoman"/>
      <w:lvlText w:val="%1."/>
      <w:lvlJc w:val="left"/>
      <w:pPr>
        <w:ind w:left="450" w:hanging="360"/>
      </w:pPr>
    </w:lvl>
    <w:lvl w:ilvl="1" w:tplc="566E4446">
      <w:start w:val="1"/>
      <w:numFmt w:val="lowerLetter"/>
      <w:lvlText w:val="%2."/>
      <w:lvlJc w:val="left"/>
      <w:pPr>
        <w:ind w:left="1170" w:hanging="360"/>
      </w:pPr>
    </w:lvl>
    <w:lvl w:ilvl="2" w:tplc="B6A69A66">
      <w:start w:val="1"/>
      <w:numFmt w:val="lowerRoman"/>
      <w:lvlText w:val="%3."/>
      <w:lvlJc w:val="right"/>
      <w:pPr>
        <w:ind w:left="1890" w:hanging="180"/>
      </w:pPr>
    </w:lvl>
    <w:lvl w:ilvl="3" w:tplc="ADAC2C7A">
      <w:start w:val="1"/>
      <w:numFmt w:val="decimal"/>
      <w:lvlText w:val="%4."/>
      <w:lvlJc w:val="left"/>
      <w:pPr>
        <w:ind w:left="2610" w:hanging="360"/>
      </w:pPr>
    </w:lvl>
    <w:lvl w:ilvl="4" w:tplc="9EBE50A4">
      <w:start w:val="1"/>
      <w:numFmt w:val="lowerLetter"/>
      <w:lvlText w:val="%5."/>
      <w:lvlJc w:val="left"/>
      <w:pPr>
        <w:ind w:left="3330" w:hanging="360"/>
      </w:pPr>
    </w:lvl>
    <w:lvl w:ilvl="5" w:tplc="395287AA">
      <w:start w:val="1"/>
      <w:numFmt w:val="lowerRoman"/>
      <w:lvlText w:val="%6."/>
      <w:lvlJc w:val="right"/>
      <w:pPr>
        <w:ind w:left="4050" w:hanging="180"/>
      </w:pPr>
    </w:lvl>
    <w:lvl w:ilvl="6" w:tplc="06E4DA44">
      <w:start w:val="1"/>
      <w:numFmt w:val="decimal"/>
      <w:lvlText w:val="%7."/>
      <w:lvlJc w:val="left"/>
      <w:pPr>
        <w:ind w:left="4770" w:hanging="360"/>
      </w:pPr>
    </w:lvl>
    <w:lvl w:ilvl="7" w:tplc="F1889ECA">
      <w:start w:val="1"/>
      <w:numFmt w:val="lowerLetter"/>
      <w:lvlText w:val="%8."/>
      <w:lvlJc w:val="left"/>
      <w:pPr>
        <w:ind w:left="5490" w:hanging="360"/>
      </w:pPr>
    </w:lvl>
    <w:lvl w:ilvl="8" w:tplc="36804954">
      <w:start w:val="1"/>
      <w:numFmt w:val="lowerRoman"/>
      <w:lvlText w:val="%9."/>
      <w:lvlJc w:val="right"/>
      <w:pPr>
        <w:ind w:left="6210" w:hanging="180"/>
      </w:pPr>
    </w:lvl>
  </w:abstractNum>
  <w:abstractNum w:abstractNumId="73" w15:restartNumberingAfterBreak="0">
    <w:nsid w:val="6C00BE5A"/>
    <w:multiLevelType w:val="hybridMultilevel"/>
    <w:tmpl w:val="4BB27AB4"/>
    <w:lvl w:ilvl="0" w:tplc="CB76149A">
      <w:start w:val="1"/>
      <w:numFmt w:val="decimal"/>
      <w:lvlText w:val="%1."/>
      <w:lvlJc w:val="left"/>
      <w:pPr>
        <w:ind w:left="720" w:hanging="360"/>
      </w:pPr>
    </w:lvl>
    <w:lvl w:ilvl="1" w:tplc="9FB80226">
      <w:start w:val="1"/>
      <w:numFmt w:val="lowerLetter"/>
      <w:lvlText w:val="%2."/>
      <w:lvlJc w:val="left"/>
      <w:pPr>
        <w:ind w:left="1440" w:hanging="360"/>
      </w:pPr>
    </w:lvl>
    <w:lvl w:ilvl="2" w:tplc="BEDA52E4">
      <w:start w:val="1"/>
      <w:numFmt w:val="lowerRoman"/>
      <w:lvlText w:val="%3."/>
      <w:lvlJc w:val="right"/>
      <w:pPr>
        <w:ind w:left="2160" w:hanging="180"/>
      </w:pPr>
    </w:lvl>
    <w:lvl w:ilvl="3" w:tplc="64D6BE2C">
      <w:start w:val="1"/>
      <w:numFmt w:val="decimal"/>
      <w:lvlText w:val="%4."/>
      <w:lvlJc w:val="left"/>
      <w:pPr>
        <w:ind w:left="2880" w:hanging="360"/>
      </w:pPr>
    </w:lvl>
    <w:lvl w:ilvl="4" w:tplc="0EA42482">
      <w:start w:val="1"/>
      <w:numFmt w:val="lowerLetter"/>
      <w:lvlText w:val="%5."/>
      <w:lvlJc w:val="left"/>
      <w:pPr>
        <w:ind w:left="3600" w:hanging="360"/>
      </w:pPr>
    </w:lvl>
    <w:lvl w:ilvl="5" w:tplc="EA1E0E92">
      <w:start w:val="1"/>
      <w:numFmt w:val="lowerRoman"/>
      <w:lvlText w:val="%6."/>
      <w:lvlJc w:val="right"/>
      <w:pPr>
        <w:ind w:left="4320" w:hanging="180"/>
      </w:pPr>
    </w:lvl>
    <w:lvl w:ilvl="6" w:tplc="4E346EF8">
      <w:start w:val="1"/>
      <w:numFmt w:val="decimal"/>
      <w:lvlText w:val="%7."/>
      <w:lvlJc w:val="left"/>
      <w:pPr>
        <w:ind w:left="5040" w:hanging="360"/>
      </w:pPr>
    </w:lvl>
    <w:lvl w:ilvl="7" w:tplc="9C1A07A6">
      <w:start w:val="1"/>
      <w:numFmt w:val="lowerLetter"/>
      <w:lvlText w:val="%8."/>
      <w:lvlJc w:val="left"/>
      <w:pPr>
        <w:ind w:left="5760" w:hanging="360"/>
      </w:pPr>
    </w:lvl>
    <w:lvl w:ilvl="8" w:tplc="EB68B38C">
      <w:start w:val="1"/>
      <w:numFmt w:val="lowerRoman"/>
      <w:lvlText w:val="%9."/>
      <w:lvlJc w:val="right"/>
      <w:pPr>
        <w:ind w:left="6480" w:hanging="180"/>
      </w:pPr>
    </w:lvl>
  </w:abstractNum>
  <w:abstractNum w:abstractNumId="74" w15:restartNumberingAfterBreak="0">
    <w:nsid w:val="6C16E3C8"/>
    <w:multiLevelType w:val="hybridMultilevel"/>
    <w:tmpl w:val="5020686C"/>
    <w:styleLink w:val="Listaactual2"/>
    <w:lvl w:ilvl="0" w:tplc="6120A5EE">
      <w:start w:val="1"/>
      <w:numFmt w:val="decimal"/>
      <w:lvlText w:val="%1."/>
      <w:lvlJc w:val="left"/>
      <w:pPr>
        <w:ind w:left="720" w:hanging="360"/>
      </w:pPr>
    </w:lvl>
    <w:lvl w:ilvl="1" w:tplc="185E2A5E">
      <w:start w:val="1"/>
      <w:numFmt w:val="lowerLetter"/>
      <w:lvlText w:val="%2."/>
      <w:lvlJc w:val="left"/>
      <w:pPr>
        <w:ind w:left="1440" w:hanging="360"/>
      </w:pPr>
    </w:lvl>
    <w:lvl w:ilvl="2" w:tplc="DF8C95FC">
      <w:start w:val="1"/>
      <w:numFmt w:val="lowerRoman"/>
      <w:lvlText w:val="%3."/>
      <w:lvlJc w:val="right"/>
      <w:pPr>
        <w:ind w:left="2160" w:hanging="180"/>
      </w:pPr>
    </w:lvl>
    <w:lvl w:ilvl="3" w:tplc="89EA792A">
      <w:start w:val="1"/>
      <w:numFmt w:val="decimal"/>
      <w:lvlText w:val="%4."/>
      <w:lvlJc w:val="left"/>
      <w:pPr>
        <w:ind w:left="2880" w:hanging="360"/>
      </w:pPr>
    </w:lvl>
    <w:lvl w:ilvl="4" w:tplc="C5B4FCA8">
      <w:start w:val="1"/>
      <w:numFmt w:val="lowerLetter"/>
      <w:lvlText w:val="%5."/>
      <w:lvlJc w:val="left"/>
      <w:pPr>
        <w:ind w:left="3600" w:hanging="360"/>
      </w:pPr>
    </w:lvl>
    <w:lvl w:ilvl="5" w:tplc="52F0125A">
      <w:start w:val="1"/>
      <w:numFmt w:val="lowerRoman"/>
      <w:lvlText w:val="%6."/>
      <w:lvlJc w:val="right"/>
      <w:pPr>
        <w:ind w:left="4320" w:hanging="180"/>
      </w:pPr>
    </w:lvl>
    <w:lvl w:ilvl="6" w:tplc="5C92AD5A">
      <w:start w:val="1"/>
      <w:numFmt w:val="decimal"/>
      <w:lvlText w:val="%7."/>
      <w:lvlJc w:val="left"/>
      <w:pPr>
        <w:ind w:left="5040" w:hanging="360"/>
      </w:pPr>
    </w:lvl>
    <w:lvl w:ilvl="7" w:tplc="E530FC34">
      <w:start w:val="1"/>
      <w:numFmt w:val="lowerLetter"/>
      <w:lvlText w:val="%8."/>
      <w:lvlJc w:val="left"/>
      <w:pPr>
        <w:ind w:left="5760" w:hanging="360"/>
      </w:pPr>
    </w:lvl>
    <w:lvl w:ilvl="8" w:tplc="F8F45E42">
      <w:start w:val="1"/>
      <w:numFmt w:val="lowerRoman"/>
      <w:lvlText w:val="%9."/>
      <w:lvlJc w:val="right"/>
      <w:pPr>
        <w:ind w:left="6480" w:hanging="180"/>
      </w:pPr>
    </w:lvl>
  </w:abstractNum>
  <w:abstractNum w:abstractNumId="75" w15:restartNumberingAfterBreak="0">
    <w:nsid w:val="727F6685"/>
    <w:multiLevelType w:val="hybridMultilevel"/>
    <w:tmpl w:val="D576C4D6"/>
    <w:lvl w:ilvl="0" w:tplc="F83471DA">
      <w:start w:val="1"/>
      <w:numFmt w:val="lowerRoman"/>
      <w:lvlText w:val="%1."/>
      <w:lvlJc w:val="left"/>
      <w:pPr>
        <w:ind w:left="720" w:hanging="360"/>
      </w:pPr>
    </w:lvl>
    <w:lvl w:ilvl="1" w:tplc="DBB4113C">
      <w:start w:val="1"/>
      <w:numFmt w:val="lowerLetter"/>
      <w:lvlText w:val="%2."/>
      <w:lvlJc w:val="left"/>
      <w:pPr>
        <w:ind w:left="1440" w:hanging="360"/>
      </w:pPr>
    </w:lvl>
    <w:lvl w:ilvl="2" w:tplc="999A3ACA">
      <w:start w:val="1"/>
      <w:numFmt w:val="lowerRoman"/>
      <w:lvlText w:val="%3."/>
      <w:lvlJc w:val="right"/>
      <w:pPr>
        <w:ind w:left="2160" w:hanging="180"/>
      </w:pPr>
    </w:lvl>
    <w:lvl w:ilvl="3" w:tplc="A294A94A">
      <w:start w:val="1"/>
      <w:numFmt w:val="decimal"/>
      <w:lvlText w:val="%4."/>
      <w:lvlJc w:val="left"/>
      <w:pPr>
        <w:ind w:left="2880" w:hanging="360"/>
      </w:pPr>
    </w:lvl>
    <w:lvl w:ilvl="4" w:tplc="EC341C50">
      <w:start w:val="1"/>
      <w:numFmt w:val="lowerLetter"/>
      <w:lvlText w:val="%5."/>
      <w:lvlJc w:val="left"/>
      <w:pPr>
        <w:ind w:left="3600" w:hanging="360"/>
      </w:pPr>
    </w:lvl>
    <w:lvl w:ilvl="5" w:tplc="A07A09CE">
      <w:start w:val="1"/>
      <w:numFmt w:val="lowerRoman"/>
      <w:lvlText w:val="%6."/>
      <w:lvlJc w:val="right"/>
      <w:pPr>
        <w:ind w:left="4320" w:hanging="180"/>
      </w:pPr>
    </w:lvl>
    <w:lvl w:ilvl="6" w:tplc="63A2978E">
      <w:start w:val="1"/>
      <w:numFmt w:val="decimal"/>
      <w:lvlText w:val="%7."/>
      <w:lvlJc w:val="left"/>
      <w:pPr>
        <w:ind w:left="5040" w:hanging="360"/>
      </w:pPr>
    </w:lvl>
    <w:lvl w:ilvl="7" w:tplc="9A067A3E">
      <w:start w:val="1"/>
      <w:numFmt w:val="lowerLetter"/>
      <w:lvlText w:val="%8."/>
      <w:lvlJc w:val="left"/>
      <w:pPr>
        <w:ind w:left="5760" w:hanging="360"/>
      </w:pPr>
    </w:lvl>
    <w:lvl w:ilvl="8" w:tplc="40BCEDB2">
      <w:start w:val="1"/>
      <w:numFmt w:val="lowerRoman"/>
      <w:lvlText w:val="%9."/>
      <w:lvlJc w:val="right"/>
      <w:pPr>
        <w:ind w:left="6480" w:hanging="180"/>
      </w:pPr>
    </w:lvl>
  </w:abstractNum>
  <w:abstractNum w:abstractNumId="76" w15:restartNumberingAfterBreak="0">
    <w:nsid w:val="72BBC210"/>
    <w:multiLevelType w:val="hybridMultilevel"/>
    <w:tmpl w:val="FFFFFFFF"/>
    <w:lvl w:ilvl="0" w:tplc="6E3C619C">
      <w:start w:val="1"/>
      <w:numFmt w:val="decimal"/>
      <w:lvlText w:val="%1."/>
      <w:lvlJc w:val="left"/>
      <w:pPr>
        <w:ind w:left="720" w:hanging="360"/>
      </w:pPr>
    </w:lvl>
    <w:lvl w:ilvl="1" w:tplc="1B201878">
      <w:start w:val="1"/>
      <w:numFmt w:val="lowerLetter"/>
      <w:lvlText w:val="%2."/>
      <w:lvlJc w:val="left"/>
      <w:pPr>
        <w:ind w:left="1440" w:hanging="360"/>
      </w:pPr>
    </w:lvl>
    <w:lvl w:ilvl="2" w:tplc="F208BB5C">
      <w:start w:val="1"/>
      <w:numFmt w:val="lowerRoman"/>
      <w:lvlText w:val="%3."/>
      <w:lvlJc w:val="right"/>
      <w:pPr>
        <w:ind w:left="2160" w:hanging="180"/>
      </w:pPr>
    </w:lvl>
    <w:lvl w:ilvl="3" w:tplc="3B80E7B4">
      <w:start w:val="1"/>
      <w:numFmt w:val="decimal"/>
      <w:lvlText w:val="%4."/>
      <w:lvlJc w:val="left"/>
      <w:pPr>
        <w:ind w:left="2880" w:hanging="360"/>
      </w:pPr>
    </w:lvl>
    <w:lvl w:ilvl="4" w:tplc="61BE1DEC">
      <w:start w:val="1"/>
      <w:numFmt w:val="lowerLetter"/>
      <w:lvlText w:val="%5."/>
      <w:lvlJc w:val="left"/>
      <w:pPr>
        <w:ind w:left="3600" w:hanging="360"/>
      </w:pPr>
    </w:lvl>
    <w:lvl w:ilvl="5" w:tplc="298A1C50">
      <w:start w:val="1"/>
      <w:numFmt w:val="lowerRoman"/>
      <w:lvlText w:val="%6."/>
      <w:lvlJc w:val="right"/>
      <w:pPr>
        <w:ind w:left="4320" w:hanging="180"/>
      </w:pPr>
    </w:lvl>
    <w:lvl w:ilvl="6" w:tplc="6AB6540C">
      <w:start w:val="1"/>
      <w:numFmt w:val="decimal"/>
      <w:lvlText w:val="%7."/>
      <w:lvlJc w:val="left"/>
      <w:pPr>
        <w:ind w:left="5040" w:hanging="360"/>
      </w:pPr>
    </w:lvl>
    <w:lvl w:ilvl="7" w:tplc="E91C758A">
      <w:start w:val="1"/>
      <w:numFmt w:val="lowerLetter"/>
      <w:lvlText w:val="%8."/>
      <w:lvlJc w:val="left"/>
      <w:pPr>
        <w:ind w:left="5760" w:hanging="360"/>
      </w:pPr>
    </w:lvl>
    <w:lvl w:ilvl="8" w:tplc="8B8C05B6">
      <w:start w:val="1"/>
      <w:numFmt w:val="lowerRoman"/>
      <w:lvlText w:val="%9."/>
      <w:lvlJc w:val="right"/>
      <w:pPr>
        <w:ind w:left="6480" w:hanging="180"/>
      </w:pPr>
    </w:lvl>
  </w:abstractNum>
  <w:abstractNum w:abstractNumId="77" w15:restartNumberingAfterBreak="0">
    <w:nsid w:val="72F64C90"/>
    <w:multiLevelType w:val="hybridMultilevel"/>
    <w:tmpl w:val="A238BE86"/>
    <w:styleLink w:val="Listaactual4"/>
    <w:lvl w:ilvl="0" w:tplc="A73AC734">
      <w:start w:val="7"/>
      <w:numFmt w:val="lowerRoman"/>
      <w:lvlText w:val="%1."/>
      <w:lvlJc w:val="left"/>
      <w:pPr>
        <w:ind w:left="720" w:hanging="360"/>
      </w:pPr>
    </w:lvl>
    <w:lvl w:ilvl="1" w:tplc="BD560F96">
      <w:start w:val="1"/>
      <w:numFmt w:val="lowerLetter"/>
      <w:lvlText w:val="%2."/>
      <w:lvlJc w:val="left"/>
      <w:pPr>
        <w:ind w:left="1440" w:hanging="360"/>
      </w:pPr>
    </w:lvl>
    <w:lvl w:ilvl="2" w:tplc="5DE81A7C">
      <w:start w:val="1"/>
      <w:numFmt w:val="lowerRoman"/>
      <w:lvlText w:val="%3."/>
      <w:lvlJc w:val="right"/>
      <w:pPr>
        <w:ind w:left="2160" w:hanging="180"/>
      </w:pPr>
    </w:lvl>
    <w:lvl w:ilvl="3" w:tplc="4C721926">
      <w:start w:val="1"/>
      <w:numFmt w:val="decimal"/>
      <w:lvlText w:val="%4."/>
      <w:lvlJc w:val="left"/>
      <w:pPr>
        <w:ind w:left="2880" w:hanging="360"/>
      </w:pPr>
    </w:lvl>
    <w:lvl w:ilvl="4" w:tplc="064E335E">
      <w:start w:val="1"/>
      <w:numFmt w:val="lowerLetter"/>
      <w:lvlText w:val="%5."/>
      <w:lvlJc w:val="left"/>
      <w:pPr>
        <w:ind w:left="3600" w:hanging="360"/>
      </w:pPr>
    </w:lvl>
    <w:lvl w:ilvl="5" w:tplc="F370C626">
      <w:start w:val="1"/>
      <w:numFmt w:val="lowerRoman"/>
      <w:lvlText w:val="%6."/>
      <w:lvlJc w:val="right"/>
      <w:pPr>
        <w:ind w:left="4320" w:hanging="180"/>
      </w:pPr>
    </w:lvl>
    <w:lvl w:ilvl="6" w:tplc="3CAAA7D4">
      <w:start w:val="1"/>
      <w:numFmt w:val="decimal"/>
      <w:lvlText w:val="%7."/>
      <w:lvlJc w:val="left"/>
      <w:pPr>
        <w:ind w:left="5040" w:hanging="360"/>
      </w:pPr>
    </w:lvl>
    <w:lvl w:ilvl="7" w:tplc="FB0E11E6">
      <w:start w:val="1"/>
      <w:numFmt w:val="lowerLetter"/>
      <w:lvlText w:val="%8."/>
      <w:lvlJc w:val="left"/>
      <w:pPr>
        <w:ind w:left="5760" w:hanging="360"/>
      </w:pPr>
    </w:lvl>
    <w:lvl w:ilvl="8" w:tplc="0278FAF0">
      <w:start w:val="1"/>
      <w:numFmt w:val="lowerRoman"/>
      <w:lvlText w:val="%9."/>
      <w:lvlJc w:val="right"/>
      <w:pPr>
        <w:ind w:left="6480" w:hanging="180"/>
      </w:pPr>
    </w:lvl>
  </w:abstractNum>
  <w:abstractNum w:abstractNumId="78" w15:restartNumberingAfterBreak="0">
    <w:nsid w:val="759D5CCB"/>
    <w:multiLevelType w:val="hybridMultilevel"/>
    <w:tmpl w:val="3B86E760"/>
    <w:lvl w:ilvl="0" w:tplc="F7A4FF96">
      <w:start w:val="1"/>
      <w:numFmt w:val="lowerRoman"/>
      <w:lvlText w:val="%1."/>
      <w:lvlJc w:val="left"/>
      <w:pPr>
        <w:ind w:left="720" w:hanging="360"/>
      </w:pPr>
    </w:lvl>
    <w:lvl w:ilvl="1" w:tplc="CF466AAC">
      <w:start w:val="1"/>
      <w:numFmt w:val="lowerLetter"/>
      <w:lvlText w:val="%2."/>
      <w:lvlJc w:val="left"/>
      <w:pPr>
        <w:ind w:left="1440" w:hanging="360"/>
      </w:pPr>
    </w:lvl>
    <w:lvl w:ilvl="2" w:tplc="D778B672">
      <w:start w:val="1"/>
      <w:numFmt w:val="lowerRoman"/>
      <w:lvlText w:val="%3."/>
      <w:lvlJc w:val="right"/>
      <w:pPr>
        <w:ind w:left="2160" w:hanging="180"/>
      </w:pPr>
    </w:lvl>
    <w:lvl w:ilvl="3" w:tplc="D988BACE">
      <w:start w:val="1"/>
      <w:numFmt w:val="decimal"/>
      <w:lvlText w:val="%4."/>
      <w:lvlJc w:val="left"/>
      <w:pPr>
        <w:ind w:left="2880" w:hanging="360"/>
      </w:pPr>
    </w:lvl>
    <w:lvl w:ilvl="4" w:tplc="F600E370">
      <w:start w:val="1"/>
      <w:numFmt w:val="lowerLetter"/>
      <w:lvlText w:val="%5."/>
      <w:lvlJc w:val="left"/>
      <w:pPr>
        <w:ind w:left="3600" w:hanging="360"/>
      </w:pPr>
    </w:lvl>
    <w:lvl w:ilvl="5" w:tplc="C2EC6F48">
      <w:start w:val="1"/>
      <w:numFmt w:val="lowerRoman"/>
      <w:lvlText w:val="%6."/>
      <w:lvlJc w:val="right"/>
      <w:pPr>
        <w:ind w:left="4320" w:hanging="180"/>
      </w:pPr>
    </w:lvl>
    <w:lvl w:ilvl="6" w:tplc="869A277A">
      <w:start w:val="1"/>
      <w:numFmt w:val="decimal"/>
      <w:lvlText w:val="%7."/>
      <w:lvlJc w:val="left"/>
      <w:pPr>
        <w:ind w:left="5040" w:hanging="360"/>
      </w:pPr>
    </w:lvl>
    <w:lvl w:ilvl="7" w:tplc="CA607606">
      <w:start w:val="1"/>
      <w:numFmt w:val="lowerLetter"/>
      <w:lvlText w:val="%8."/>
      <w:lvlJc w:val="left"/>
      <w:pPr>
        <w:ind w:left="5760" w:hanging="360"/>
      </w:pPr>
    </w:lvl>
    <w:lvl w:ilvl="8" w:tplc="1E76E78E">
      <w:start w:val="1"/>
      <w:numFmt w:val="lowerRoman"/>
      <w:lvlText w:val="%9."/>
      <w:lvlJc w:val="right"/>
      <w:pPr>
        <w:ind w:left="6480" w:hanging="180"/>
      </w:pPr>
    </w:lvl>
  </w:abstractNum>
  <w:abstractNum w:abstractNumId="79" w15:restartNumberingAfterBreak="0">
    <w:nsid w:val="75A7A0E3"/>
    <w:multiLevelType w:val="hybridMultilevel"/>
    <w:tmpl w:val="C4DCC420"/>
    <w:lvl w:ilvl="0" w:tplc="9DC86C90">
      <w:start w:val="1"/>
      <w:numFmt w:val="decimal"/>
      <w:lvlText w:val="(i)"/>
      <w:lvlJc w:val="left"/>
      <w:pPr>
        <w:ind w:left="720" w:hanging="360"/>
      </w:pPr>
    </w:lvl>
    <w:lvl w:ilvl="1" w:tplc="2AB26B4A">
      <w:start w:val="1"/>
      <w:numFmt w:val="lowerLetter"/>
      <w:lvlText w:val="%2."/>
      <w:lvlJc w:val="left"/>
      <w:pPr>
        <w:ind w:left="1440" w:hanging="360"/>
      </w:pPr>
    </w:lvl>
    <w:lvl w:ilvl="2" w:tplc="65D628EC">
      <w:start w:val="1"/>
      <w:numFmt w:val="lowerRoman"/>
      <w:lvlText w:val="%3."/>
      <w:lvlJc w:val="right"/>
      <w:pPr>
        <w:ind w:left="2160" w:hanging="180"/>
      </w:pPr>
    </w:lvl>
    <w:lvl w:ilvl="3" w:tplc="44F4A3FC">
      <w:start w:val="1"/>
      <w:numFmt w:val="decimal"/>
      <w:lvlText w:val="%4."/>
      <w:lvlJc w:val="left"/>
      <w:pPr>
        <w:ind w:left="2880" w:hanging="360"/>
      </w:pPr>
    </w:lvl>
    <w:lvl w:ilvl="4" w:tplc="A5621692">
      <w:start w:val="1"/>
      <w:numFmt w:val="lowerLetter"/>
      <w:lvlText w:val="%5."/>
      <w:lvlJc w:val="left"/>
      <w:pPr>
        <w:ind w:left="3600" w:hanging="360"/>
      </w:pPr>
    </w:lvl>
    <w:lvl w:ilvl="5" w:tplc="56A80134">
      <w:start w:val="1"/>
      <w:numFmt w:val="lowerRoman"/>
      <w:lvlText w:val="%6."/>
      <w:lvlJc w:val="right"/>
      <w:pPr>
        <w:ind w:left="4320" w:hanging="180"/>
      </w:pPr>
    </w:lvl>
    <w:lvl w:ilvl="6" w:tplc="84BA5A60">
      <w:start w:val="1"/>
      <w:numFmt w:val="decimal"/>
      <w:lvlText w:val="%7."/>
      <w:lvlJc w:val="left"/>
      <w:pPr>
        <w:ind w:left="5040" w:hanging="360"/>
      </w:pPr>
    </w:lvl>
    <w:lvl w:ilvl="7" w:tplc="AFAAB4DA">
      <w:start w:val="1"/>
      <w:numFmt w:val="lowerLetter"/>
      <w:lvlText w:val="%8."/>
      <w:lvlJc w:val="left"/>
      <w:pPr>
        <w:ind w:left="5760" w:hanging="360"/>
      </w:pPr>
    </w:lvl>
    <w:lvl w:ilvl="8" w:tplc="9586E37C">
      <w:start w:val="1"/>
      <w:numFmt w:val="lowerRoman"/>
      <w:lvlText w:val="%9."/>
      <w:lvlJc w:val="right"/>
      <w:pPr>
        <w:ind w:left="6480" w:hanging="180"/>
      </w:pPr>
    </w:lvl>
  </w:abstractNum>
  <w:abstractNum w:abstractNumId="80" w15:restartNumberingAfterBreak="0">
    <w:nsid w:val="75F967EB"/>
    <w:multiLevelType w:val="hybridMultilevel"/>
    <w:tmpl w:val="08341238"/>
    <w:lvl w:ilvl="0" w:tplc="56BCC726">
      <w:start w:val="1"/>
      <w:numFmt w:val="lowerLetter"/>
      <w:lvlText w:val="%1."/>
      <w:lvlJc w:val="left"/>
      <w:pPr>
        <w:ind w:left="720" w:hanging="360"/>
      </w:pPr>
    </w:lvl>
    <w:lvl w:ilvl="1" w:tplc="8242B532">
      <w:start w:val="1"/>
      <w:numFmt w:val="lowerLetter"/>
      <w:lvlText w:val="%2."/>
      <w:lvlJc w:val="left"/>
      <w:pPr>
        <w:ind w:left="1440" w:hanging="360"/>
      </w:pPr>
    </w:lvl>
    <w:lvl w:ilvl="2" w:tplc="C17E8F08">
      <w:start w:val="1"/>
      <w:numFmt w:val="lowerRoman"/>
      <w:lvlText w:val="%3."/>
      <w:lvlJc w:val="right"/>
      <w:pPr>
        <w:ind w:left="2160" w:hanging="180"/>
      </w:pPr>
    </w:lvl>
    <w:lvl w:ilvl="3" w:tplc="BF9C5A88">
      <w:start w:val="1"/>
      <w:numFmt w:val="decimal"/>
      <w:lvlText w:val="%4."/>
      <w:lvlJc w:val="left"/>
      <w:pPr>
        <w:ind w:left="2880" w:hanging="360"/>
      </w:pPr>
    </w:lvl>
    <w:lvl w:ilvl="4" w:tplc="80E40A5A">
      <w:start w:val="1"/>
      <w:numFmt w:val="lowerLetter"/>
      <w:lvlText w:val="%5."/>
      <w:lvlJc w:val="left"/>
      <w:pPr>
        <w:ind w:left="3600" w:hanging="360"/>
      </w:pPr>
    </w:lvl>
    <w:lvl w:ilvl="5" w:tplc="9604B0C8">
      <w:start w:val="1"/>
      <w:numFmt w:val="lowerRoman"/>
      <w:lvlText w:val="%6."/>
      <w:lvlJc w:val="right"/>
      <w:pPr>
        <w:ind w:left="4320" w:hanging="180"/>
      </w:pPr>
    </w:lvl>
    <w:lvl w:ilvl="6" w:tplc="805233CC">
      <w:start w:val="1"/>
      <w:numFmt w:val="decimal"/>
      <w:lvlText w:val="%7."/>
      <w:lvlJc w:val="left"/>
      <w:pPr>
        <w:ind w:left="5040" w:hanging="360"/>
      </w:pPr>
    </w:lvl>
    <w:lvl w:ilvl="7" w:tplc="72EEA46C">
      <w:start w:val="1"/>
      <w:numFmt w:val="lowerLetter"/>
      <w:lvlText w:val="%8."/>
      <w:lvlJc w:val="left"/>
      <w:pPr>
        <w:ind w:left="5760" w:hanging="360"/>
      </w:pPr>
    </w:lvl>
    <w:lvl w:ilvl="8" w:tplc="6032BC9A">
      <w:start w:val="1"/>
      <w:numFmt w:val="lowerRoman"/>
      <w:lvlText w:val="%9."/>
      <w:lvlJc w:val="right"/>
      <w:pPr>
        <w:ind w:left="6480" w:hanging="180"/>
      </w:pPr>
    </w:lvl>
  </w:abstractNum>
  <w:abstractNum w:abstractNumId="81" w15:restartNumberingAfterBreak="0">
    <w:nsid w:val="7840743D"/>
    <w:multiLevelType w:val="hybridMultilevel"/>
    <w:tmpl w:val="DCD0A6B8"/>
    <w:lvl w:ilvl="0" w:tplc="D5F83D16">
      <w:start w:val="1"/>
      <w:numFmt w:val="lowerRoman"/>
      <w:lvlText w:val="(%1)"/>
      <w:lvlJc w:val="left"/>
      <w:pPr>
        <w:ind w:left="1080" w:hanging="72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8B45AD5"/>
    <w:multiLevelType w:val="hybridMultilevel"/>
    <w:tmpl w:val="7A184C22"/>
    <w:lvl w:ilvl="0" w:tplc="62EC77F0">
      <w:start w:val="1"/>
      <w:numFmt w:val="decimal"/>
      <w:lvlText w:val="%1."/>
      <w:lvlJc w:val="left"/>
      <w:pPr>
        <w:ind w:left="2880" w:hanging="360"/>
      </w:pPr>
    </w:lvl>
    <w:lvl w:ilvl="1" w:tplc="C116DC70" w:tentative="1">
      <w:start w:val="1"/>
      <w:numFmt w:val="lowerLetter"/>
      <w:lvlText w:val="%2."/>
      <w:lvlJc w:val="left"/>
      <w:pPr>
        <w:ind w:left="1440" w:hanging="360"/>
      </w:pPr>
    </w:lvl>
    <w:lvl w:ilvl="2" w:tplc="59A699B8" w:tentative="1">
      <w:start w:val="1"/>
      <w:numFmt w:val="lowerRoman"/>
      <w:lvlText w:val="%3."/>
      <w:lvlJc w:val="right"/>
      <w:pPr>
        <w:ind w:left="2160" w:hanging="180"/>
      </w:pPr>
    </w:lvl>
    <w:lvl w:ilvl="3" w:tplc="C3702C70" w:tentative="1">
      <w:start w:val="1"/>
      <w:numFmt w:val="decimal"/>
      <w:lvlText w:val="%4."/>
      <w:lvlJc w:val="left"/>
      <w:pPr>
        <w:ind w:left="2880" w:hanging="360"/>
      </w:pPr>
    </w:lvl>
    <w:lvl w:ilvl="4" w:tplc="1836140E" w:tentative="1">
      <w:start w:val="1"/>
      <w:numFmt w:val="lowerLetter"/>
      <w:lvlText w:val="%5."/>
      <w:lvlJc w:val="left"/>
      <w:pPr>
        <w:ind w:left="3600" w:hanging="360"/>
      </w:pPr>
    </w:lvl>
    <w:lvl w:ilvl="5" w:tplc="E5081278" w:tentative="1">
      <w:start w:val="1"/>
      <w:numFmt w:val="lowerRoman"/>
      <w:lvlText w:val="%6."/>
      <w:lvlJc w:val="right"/>
      <w:pPr>
        <w:ind w:left="4320" w:hanging="180"/>
      </w:pPr>
    </w:lvl>
    <w:lvl w:ilvl="6" w:tplc="087E274A" w:tentative="1">
      <w:start w:val="1"/>
      <w:numFmt w:val="decimal"/>
      <w:lvlText w:val="%7."/>
      <w:lvlJc w:val="left"/>
      <w:pPr>
        <w:ind w:left="5040" w:hanging="360"/>
      </w:pPr>
    </w:lvl>
    <w:lvl w:ilvl="7" w:tplc="99E8E21A" w:tentative="1">
      <w:start w:val="1"/>
      <w:numFmt w:val="lowerLetter"/>
      <w:lvlText w:val="%8."/>
      <w:lvlJc w:val="left"/>
      <w:pPr>
        <w:ind w:left="5760" w:hanging="360"/>
      </w:pPr>
    </w:lvl>
    <w:lvl w:ilvl="8" w:tplc="A71C5414" w:tentative="1">
      <w:start w:val="1"/>
      <w:numFmt w:val="lowerRoman"/>
      <w:lvlText w:val="%9."/>
      <w:lvlJc w:val="right"/>
      <w:pPr>
        <w:ind w:left="6480" w:hanging="180"/>
      </w:pPr>
    </w:lvl>
  </w:abstractNum>
  <w:abstractNum w:abstractNumId="83" w15:restartNumberingAfterBreak="0">
    <w:nsid w:val="78E1166C"/>
    <w:multiLevelType w:val="hybridMultilevel"/>
    <w:tmpl w:val="6218C9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7BC0356C"/>
    <w:multiLevelType w:val="hybridMultilevel"/>
    <w:tmpl w:val="6B4A5D92"/>
    <w:lvl w:ilvl="0" w:tplc="975AC482">
      <w:start w:val="1"/>
      <w:numFmt w:val="lowerRoman"/>
      <w:lvlText w:val="%1."/>
      <w:lvlJc w:val="right"/>
      <w:pPr>
        <w:ind w:left="2160" w:hanging="180"/>
      </w:pPr>
    </w:lvl>
    <w:lvl w:ilvl="1" w:tplc="3D2AC67C" w:tentative="1">
      <w:start w:val="1"/>
      <w:numFmt w:val="lowerLetter"/>
      <w:lvlText w:val="%2."/>
      <w:lvlJc w:val="left"/>
      <w:pPr>
        <w:ind w:left="1440" w:hanging="360"/>
      </w:pPr>
    </w:lvl>
    <w:lvl w:ilvl="2" w:tplc="35069FDE" w:tentative="1">
      <w:start w:val="1"/>
      <w:numFmt w:val="lowerRoman"/>
      <w:lvlText w:val="%3."/>
      <w:lvlJc w:val="right"/>
      <w:pPr>
        <w:ind w:left="2160" w:hanging="180"/>
      </w:pPr>
    </w:lvl>
    <w:lvl w:ilvl="3" w:tplc="AF886596" w:tentative="1">
      <w:start w:val="1"/>
      <w:numFmt w:val="decimal"/>
      <w:lvlText w:val="%4."/>
      <w:lvlJc w:val="left"/>
      <w:pPr>
        <w:ind w:left="2880" w:hanging="360"/>
      </w:pPr>
    </w:lvl>
    <w:lvl w:ilvl="4" w:tplc="CC126D6E" w:tentative="1">
      <w:start w:val="1"/>
      <w:numFmt w:val="lowerLetter"/>
      <w:lvlText w:val="%5."/>
      <w:lvlJc w:val="left"/>
      <w:pPr>
        <w:ind w:left="3600" w:hanging="360"/>
      </w:pPr>
    </w:lvl>
    <w:lvl w:ilvl="5" w:tplc="9148042E" w:tentative="1">
      <w:start w:val="1"/>
      <w:numFmt w:val="lowerRoman"/>
      <w:lvlText w:val="%6."/>
      <w:lvlJc w:val="right"/>
      <w:pPr>
        <w:ind w:left="4320" w:hanging="180"/>
      </w:pPr>
    </w:lvl>
    <w:lvl w:ilvl="6" w:tplc="AE627060" w:tentative="1">
      <w:start w:val="1"/>
      <w:numFmt w:val="decimal"/>
      <w:lvlText w:val="%7."/>
      <w:lvlJc w:val="left"/>
      <w:pPr>
        <w:ind w:left="5040" w:hanging="360"/>
      </w:pPr>
    </w:lvl>
    <w:lvl w:ilvl="7" w:tplc="7F86952A" w:tentative="1">
      <w:start w:val="1"/>
      <w:numFmt w:val="lowerLetter"/>
      <w:lvlText w:val="%8."/>
      <w:lvlJc w:val="left"/>
      <w:pPr>
        <w:ind w:left="5760" w:hanging="360"/>
      </w:pPr>
    </w:lvl>
    <w:lvl w:ilvl="8" w:tplc="EB6E8258" w:tentative="1">
      <w:start w:val="1"/>
      <w:numFmt w:val="lowerRoman"/>
      <w:lvlText w:val="%9."/>
      <w:lvlJc w:val="right"/>
      <w:pPr>
        <w:ind w:left="6480" w:hanging="180"/>
      </w:pPr>
    </w:lvl>
  </w:abstractNum>
  <w:abstractNum w:abstractNumId="85" w15:restartNumberingAfterBreak="0">
    <w:nsid w:val="7D5D1B0C"/>
    <w:multiLevelType w:val="hybridMultilevel"/>
    <w:tmpl w:val="A8CACCAE"/>
    <w:lvl w:ilvl="0" w:tplc="FFFFFFFF">
      <w:start w:val="1"/>
      <w:numFmt w:val="lowerRoman"/>
      <w:lvlText w:val="%1."/>
      <w:lvlJc w:val="right"/>
      <w:pPr>
        <w:ind w:left="900" w:hanging="180"/>
      </w:pPr>
    </w:lvl>
    <w:lvl w:ilvl="1" w:tplc="FFFFFFFF" w:tentative="1">
      <w:start w:val="1"/>
      <w:numFmt w:val="lowerLetter"/>
      <w:lvlText w:val="%2."/>
      <w:lvlJc w:val="left"/>
      <w:pPr>
        <w:ind w:left="180" w:hanging="360"/>
      </w:pPr>
    </w:lvl>
    <w:lvl w:ilvl="2" w:tplc="FFFFFFFF" w:tentative="1">
      <w:start w:val="1"/>
      <w:numFmt w:val="lowerRoman"/>
      <w:lvlText w:val="%3."/>
      <w:lvlJc w:val="right"/>
      <w:pPr>
        <w:ind w:left="900" w:hanging="180"/>
      </w:pPr>
    </w:lvl>
    <w:lvl w:ilvl="3" w:tplc="FFFFFFFF" w:tentative="1">
      <w:start w:val="1"/>
      <w:numFmt w:val="decimal"/>
      <w:lvlText w:val="%4."/>
      <w:lvlJc w:val="left"/>
      <w:pPr>
        <w:ind w:left="1620" w:hanging="360"/>
      </w:pPr>
    </w:lvl>
    <w:lvl w:ilvl="4" w:tplc="FFFFFFFF" w:tentative="1">
      <w:start w:val="1"/>
      <w:numFmt w:val="lowerLetter"/>
      <w:lvlText w:val="%5."/>
      <w:lvlJc w:val="left"/>
      <w:pPr>
        <w:ind w:left="2340" w:hanging="360"/>
      </w:pPr>
    </w:lvl>
    <w:lvl w:ilvl="5" w:tplc="FFFFFFFF" w:tentative="1">
      <w:start w:val="1"/>
      <w:numFmt w:val="lowerRoman"/>
      <w:lvlText w:val="%6."/>
      <w:lvlJc w:val="right"/>
      <w:pPr>
        <w:ind w:left="3060" w:hanging="180"/>
      </w:pPr>
    </w:lvl>
    <w:lvl w:ilvl="6" w:tplc="FFFFFFFF" w:tentative="1">
      <w:start w:val="1"/>
      <w:numFmt w:val="decimal"/>
      <w:lvlText w:val="%7."/>
      <w:lvlJc w:val="left"/>
      <w:pPr>
        <w:ind w:left="3780" w:hanging="360"/>
      </w:pPr>
    </w:lvl>
    <w:lvl w:ilvl="7" w:tplc="FFFFFFFF" w:tentative="1">
      <w:start w:val="1"/>
      <w:numFmt w:val="lowerLetter"/>
      <w:lvlText w:val="%8."/>
      <w:lvlJc w:val="left"/>
      <w:pPr>
        <w:ind w:left="4500" w:hanging="360"/>
      </w:pPr>
    </w:lvl>
    <w:lvl w:ilvl="8" w:tplc="FFFFFFFF" w:tentative="1">
      <w:start w:val="1"/>
      <w:numFmt w:val="lowerRoman"/>
      <w:lvlText w:val="%9."/>
      <w:lvlJc w:val="right"/>
      <w:pPr>
        <w:ind w:left="5220" w:hanging="180"/>
      </w:pPr>
    </w:lvl>
  </w:abstractNum>
  <w:abstractNum w:abstractNumId="86" w15:restartNumberingAfterBreak="0">
    <w:nsid w:val="7EA671F3"/>
    <w:multiLevelType w:val="hybridMultilevel"/>
    <w:tmpl w:val="6B4A5D92"/>
    <w:lvl w:ilvl="0" w:tplc="D582578E">
      <w:start w:val="1"/>
      <w:numFmt w:val="lowerRoman"/>
      <w:lvlText w:val="%1."/>
      <w:lvlJc w:val="right"/>
      <w:pPr>
        <w:ind w:left="2160" w:hanging="180"/>
      </w:pPr>
    </w:lvl>
    <w:lvl w:ilvl="1" w:tplc="7FA65FEE" w:tentative="1">
      <w:start w:val="1"/>
      <w:numFmt w:val="lowerLetter"/>
      <w:lvlText w:val="%2."/>
      <w:lvlJc w:val="left"/>
      <w:pPr>
        <w:ind w:left="1440" w:hanging="360"/>
      </w:pPr>
    </w:lvl>
    <w:lvl w:ilvl="2" w:tplc="9B7A3E5A" w:tentative="1">
      <w:start w:val="1"/>
      <w:numFmt w:val="lowerRoman"/>
      <w:lvlText w:val="%3."/>
      <w:lvlJc w:val="right"/>
      <w:pPr>
        <w:ind w:left="2160" w:hanging="180"/>
      </w:pPr>
    </w:lvl>
    <w:lvl w:ilvl="3" w:tplc="72407558" w:tentative="1">
      <w:start w:val="1"/>
      <w:numFmt w:val="decimal"/>
      <w:lvlText w:val="%4."/>
      <w:lvlJc w:val="left"/>
      <w:pPr>
        <w:ind w:left="2880" w:hanging="360"/>
      </w:pPr>
    </w:lvl>
    <w:lvl w:ilvl="4" w:tplc="16ECA60C" w:tentative="1">
      <w:start w:val="1"/>
      <w:numFmt w:val="lowerLetter"/>
      <w:lvlText w:val="%5."/>
      <w:lvlJc w:val="left"/>
      <w:pPr>
        <w:ind w:left="3600" w:hanging="360"/>
      </w:pPr>
    </w:lvl>
    <w:lvl w:ilvl="5" w:tplc="C846A99A" w:tentative="1">
      <w:start w:val="1"/>
      <w:numFmt w:val="lowerRoman"/>
      <w:lvlText w:val="%6."/>
      <w:lvlJc w:val="right"/>
      <w:pPr>
        <w:ind w:left="4320" w:hanging="180"/>
      </w:pPr>
    </w:lvl>
    <w:lvl w:ilvl="6" w:tplc="F1969D16" w:tentative="1">
      <w:start w:val="1"/>
      <w:numFmt w:val="decimal"/>
      <w:lvlText w:val="%7."/>
      <w:lvlJc w:val="left"/>
      <w:pPr>
        <w:ind w:left="5040" w:hanging="360"/>
      </w:pPr>
    </w:lvl>
    <w:lvl w:ilvl="7" w:tplc="C7825592" w:tentative="1">
      <w:start w:val="1"/>
      <w:numFmt w:val="lowerLetter"/>
      <w:lvlText w:val="%8."/>
      <w:lvlJc w:val="left"/>
      <w:pPr>
        <w:ind w:left="5760" w:hanging="360"/>
      </w:pPr>
    </w:lvl>
    <w:lvl w:ilvl="8" w:tplc="30689638" w:tentative="1">
      <w:start w:val="1"/>
      <w:numFmt w:val="lowerRoman"/>
      <w:lvlText w:val="%9."/>
      <w:lvlJc w:val="right"/>
      <w:pPr>
        <w:ind w:left="6480" w:hanging="180"/>
      </w:pPr>
    </w:lvl>
  </w:abstractNum>
  <w:num w:numId="1">
    <w:abstractNumId w:val="45"/>
  </w:num>
  <w:num w:numId="2">
    <w:abstractNumId w:val="66"/>
  </w:num>
  <w:num w:numId="3">
    <w:abstractNumId w:val="35"/>
  </w:num>
  <w:num w:numId="4">
    <w:abstractNumId w:val="8"/>
  </w:num>
  <w:num w:numId="5">
    <w:abstractNumId w:val="9"/>
  </w:num>
  <w:num w:numId="6">
    <w:abstractNumId w:val="0"/>
  </w:num>
  <w:num w:numId="7">
    <w:abstractNumId w:val="50"/>
  </w:num>
  <w:num w:numId="8">
    <w:abstractNumId w:val="3"/>
  </w:num>
  <w:num w:numId="9">
    <w:abstractNumId w:val="36"/>
  </w:num>
  <w:num w:numId="10">
    <w:abstractNumId w:val="60"/>
  </w:num>
  <w:num w:numId="11">
    <w:abstractNumId w:val="4"/>
  </w:num>
  <w:num w:numId="12">
    <w:abstractNumId w:val="42"/>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64"/>
  </w:num>
  <w:num w:numId="16">
    <w:abstractNumId w:val="16"/>
  </w:num>
  <w:num w:numId="17">
    <w:abstractNumId w:val="28"/>
  </w:num>
  <w:num w:numId="18">
    <w:abstractNumId w:val="65"/>
  </w:num>
  <w:num w:numId="19">
    <w:abstractNumId w:val="61"/>
  </w:num>
  <w:num w:numId="20">
    <w:abstractNumId w:val="70"/>
  </w:num>
  <w:num w:numId="21">
    <w:abstractNumId w:val="7"/>
  </w:num>
  <w:num w:numId="22">
    <w:abstractNumId w:val="20"/>
  </w:num>
  <w:num w:numId="23">
    <w:abstractNumId w:val="57"/>
  </w:num>
  <w:num w:numId="24">
    <w:abstractNumId w:val="73"/>
  </w:num>
  <w:num w:numId="25">
    <w:abstractNumId w:val="6"/>
  </w:num>
  <w:num w:numId="26">
    <w:abstractNumId w:val="19"/>
  </w:num>
  <w:num w:numId="27">
    <w:abstractNumId w:val="38"/>
  </w:num>
  <w:num w:numId="28">
    <w:abstractNumId w:val="63"/>
  </w:num>
  <w:num w:numId="29">
    <w:abstractNumId w:val="78"/>
  </w:num>
  <w:num w:numId="30">
    <w:abstractNumId w:val="43"/>
  </w:num>
  <w:num w:numId="31">
    <w:abstractNumId w:val="75"/>
  </w:num>
  <w:num w:numId="32">
    <w:abstractNumId w:val="23"/>
  </w:num>
  <w:num w:numId="33">
    <w:abstractNumId w:val="71"/>
  </w:num>
  <w:num w:numId="34">
    <w:abstractNumId w:val="67"/>
  </w:num>
  <w:num w:numId="35">
    <w:abstractNumId w:val="33"/>
  </w:num>
  <w:num w:numId="36">
    <w:abstractNumId w:val="79"/>
  </w:num>
  <w:num w:numId="37">
    <w:abstractNumId w:val="12"/>
  </w:num>
  <w:num w:numId="38">
    <w:abstractNumId w:val="21"/>
  </w:num>
  <w:num w:numId="39">
    <w:abstractNumId w:val="15"/>
  </w:num>
  <w:num w:numId="40">
    <w:abstractNumId w:val="41"/>
  </w:num>
  <w:num w:numId="41">
    <w:abstractNumId w:val="54"/>
  </w:num>
  <w:num w:numId="42">
    <w:abstractNumId w:val="80"/>
  </w:num>
  <w:num w:numId="43">
    <w:abstractNumId w:val="26"/>
  </w:num>
  <w:num w:numId="44">
    <w:abstractNumId w:val="51"/>
  </w:num>
  <w:num w:numId="45">
    <w:abstractNumId w:val="49"/>
  </w:num>
  <w:num w:numId="46">
    <w:abstractNumId w:val="76"/>
  </w:num>
  <w:num w:numId="47">
    <w:abstractNumId w:val="13"/>
  </w:num>
  <w:num w:numId="48">
    <w:abstractNumId w:val="2"/>
  </w:num>
  <w:num w:numId="49">
    <w:abstractNumId w:val="84"/>
  </w:num>
  <w:num w:numId="50">
    <w:abstractNumId w:val="34"/>
  </w:num>
  <w:num w:numId="51">
    <w:abstractNumId w:val="74"/>
  </w:num>
  <w:num w:numId="52">
    <w:abstractNumId w:val="10"/>
  </w:num>
  <w:num w:numId="53">
    <w:abstractNumId w:val="46"/>
  </w:num>
  <w:num w:numId="54">
    <w:abstractNumId w:val="77"/>
  </w:num>
  <w:num w:numId="55">
    <w:abstractNumId w:val="72"/>
  </w:num>
  <w:num w:numId="56">
    <w:abstractNumId w:val="44"/>
  </w:num>
  <w:num w:numId="57">
    <w:abstractNumId w:val="1"/>
  </w:num>
  <w:num w:numId="58">
    <w:abstractNumId w:val="32"/>
  </w:num>
  <w:num w:numId="59">
    <w:abstractNumId w:val="53"/>
  </w:num>
  <w:num w:numId="60">
    <w:abstractNumId w:val="82"/>
  </w:num>
  <w:num w:numId="61">
    <w:abstractNumId w:val="52"/>
  </w:num>
  <w:num w:numId="62">
    <w:abstractNumId w:val="59"/>
  </w:num>
  <w:num w:numId="63">
    <w:abstractNumId w:val="69"/>
  </w:num>
  <w:num w:numId="64">
    <w:abstractNumId w:val="14"/>
  </w:num>
  <w:num w:numId="65">
    <w:abstractNumId w:val="11"/>
  </w:num>
  <w:num w:numId="66">
    <w:abstractNumId w:val="86"/>
  </w:num>
  <w:num w:numId="67">
    <w:abstractNumId w:val="55"/>
  </w:num>
  <w:num w:numId="68">
    <w:abstractNumId w:val="40"/>
  </w:num>
  <w:num w:numId="69">
    <w:abstractNumId w:val="56"/>
  </w:num>
  <w:num w:numId="70">
    <w:abstractNumId w:val="22"/>
  </w:num>
  <w:num w:numId="71">
    <w:abstractNumId w:val="68"/>
  </w:num>
  <w:num w:numId="72">
    <w:abstractNumId w:val="5"/>
  </w:num>
  <w:num w:numId="73">
    <w:abstractNumId w:val="39"/>
  </w:num>
  <w:num w:numId="74">
    <w:abstractNumId w:val="17"/>
  </w:num>
  <w:num w:numId="75">
    <w:abstractNumId w:val="85"/>
  </w:num>
  <w:num w:numId="76">
    <w:abstractNumId w:val="29"/>
  </w:num>
  <w:num w:numId="77">
    <w:abstractNumId w:val="47"/>
  </w:num>
  <w:num w:numId="78">
    <w:abstractNumId w:val="81"/>
  </w:num>
  <w:num w:numId="79">
    <w:abstractNumId w:val="37"/>
  </w:num>
  <w:num w:numId="80">
    <w:abstractNumId w:val="58"/>
  </w:num>
  <w:num w:numId="81">
    <w:abstractNumId w:val="31"/>
  </w:num>
  <w:num w:numId="82">
    <w:abstractNumId w:val="25"/>
  </w:num>
  <w:num w:numId="83">
    <w:abstractNumId w:val="30"/>
  </w:num>
  <w:num w:numId="84">
    <w:abstractNumId w:val="83"/>
  </w:num>
  <w:num w:numId="85">
    <w:abstractNumId w:val="62"/>
  </w:num>
  <w:num w:numId="86">
    <w:abstractNumId w:val="27"/>
  </w:num>
  <w:num w:numId="87">
    <w:abstractNumId w:val="4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5F9"/>
    <w:rsid w:val="000001E8"/>
    <w:rsid w:val="0000033C"/>
    <w:rsid w:val="0000049E"/>
    <w:rsid w:val="000004BE"/>
    <w:rsid w:val="000004D0"/>
    <w:rsid w:val="00000FD2"/>
    <w:rsid w:val="000011DB"/>
    <w:rsid w:val="0000151F"/>
    <w:rsid w:val="000015D2"/>
    <w:rsid w:val="00001913"/>
    <w:rsid w:val="00001B4F"/>
    <w:rsid w:val="00001CDE"/>
    <w:rsid w:val="00001E3E"/>
    <w:rsid w:val="00001F18"/>
    <w:rsid w:val="00001F63"/>
    <w:rsid w:val="000020BA"/>
    <w:rsid w:val="0000256A"/>
    <w:rsid w:val="00002672"/>
    <w:rsid w:val="00002695"/>
    <w:rsid w:val="0000277F"/>
    <w:rsid w:val="00002849"/>
    <w:rsid w:val="00002A05"/>
    <w:rsid w:val="00002B8B"/>
    <w:rsid w:val="00002C15"/>
    <w:rsid w:val="00002DE0"/>
    <w:rsid w:val="00002DEB"/>
    <w:rsid w:val="0000302E"/>
    <w:rsid w:val="00003453"/>
    <w:rsid w:val="000034FA"/>
    <w:rsid w:val="00003546"/>
    <w:rsid w:val="00003A2D"/>
    <w:rsid w:val="00003EEB"/>
    <w:rsid w:val="00003F03"/>
    <w:rsid w:val="000040A2"/>
    <w:rsid w:val="000042DB"/>
    <w:rsid w:val="00004381"/>
    <w:rsid w:val="00004628"/>
    <w:rsid w:val="00004673"/>
    <w:rsid w:val="0000491C"/>
    <w:rsid w:val="00004993"/>
    <w:rsid w:val="00004C68"/>
    <w:rsid w:val="00005073"/>
    <w:rsid w:val="0000561D"/>
    <w:rsid w:val="000058AC"/>
    <w:rsid w:val="00005927"/>
    <w:rsid w:val="000059B1"/>
    <w:rsid w:val="00005CAD"/>
    <w:rsid w:val="00006352"/>
    <w:rsid w:val="00006522"/>
    <w:rsid w:val="0000686E"/>
    <w:rsid w:val="00006B2B"/>
    <w:rsid w:val="00006D41"/>
    <w:rsid w:val="00007001"/>
    <w:rsid w:val="000072A2"/>
    <w:rsid w:val="0000750D"/>
    <w:rsid w:val="00007886"/>
    <w:rsid w:val="00007A3E"/>
    <w:rsid w:val="0001003B"/>
    <w:rsid w:val="000105F9"/>
    <w:rsid w:val="00010650"/>
    <w:rsid w:val="000106C2"/>
    <w:rsid w:val="000107D1"/>
    <w:rsid w:val="00010DEB"/>
    <w:rsid w:val="00010E34"/>
    <w:rsid w:val="00010EA6"/>
    <w:rsid w:val="00010F06"/>
    <w:rsid w:val="00011BD3"/>
    <w:rsid w:val="00011C29"/>
    <w:rsid w:val="000120E5"/>
    <w:rsid w:val="00012B22"/>
    <w:rsid w:val="00012EA6"/>
    <w:rsid w:val="00012F0A"/>
    <w:rsid w:val="00012FC6"/>
    <w:rsid w:val="000132F6"/>
    <w:rsid w:val="0001344C"/>
    <w:rsid w:val="0001376A"/>
    <w:rsid w:val="000137DB"/>
    <w:rsid w:val="000139F9"/>
    <w:rsid w:val="00013AFD"/>
    <w:rsid w:val="00013DCE"/>
    <w:rsid w:val="00013E5F"/>
    <w:rsid w:val="00013EA2"/>
    <w:rsid w:val="00013EF1"/>
    <w:rsid w:val="00013FDB"/>
    <w:rsid w:val="0001438C"/>
    <w:rsid w:val="00014707"/>
    <w:rsid w:val="00014A58"/>
    <w:rsid w:val="00014D61"/>
    <w:rsid w:val="0001500B"/>
    <w:rsid w:val="000150BE"/>
    <w:rsid w:val="00015108"/>
    <w:rsid w:val="000153D8"/>
    <w:rsid w:val="000155AF"/>
    <w:rsid w:val="0001577F"/>
    <w:rsid w:val="000159E4"/>
    <w:rsid w:val="00015BE9"/>
    <w:rsid w:val="00015EE9"/>
    <w:rsid w:val="00015F71"/>
    <w:rsid w:val="0001606B"/>
    <w:rsid w:val="0001608E"/>
    <w:rsid w:val="0001642D"/>
    <w:rsid w:val="000165C7"/>
    <w:rsid w:val="00016C0C"/>
    <w:rsid w:val="00016F0F"/>
    <w:rsid w:val="00016FEE"/>
    <w:rsid w:val="00017365"/>
    <w:rsid w:val="00017392"/>
    <w:rsid w:val="00017541"/>
    <w:rsid w:val="00017571"/>
    <w:rsid w:val="00017788"/>
    <w:rsid w:val="000179C3"/>
    <w:rsid w:val="00017C64"/>
    <w:rsid w:val="00017F42"/>
    <w:rsid w:val="000205A7"/>
    <w:rsid w:val="00020C37"/>
    <w:rsid w:val="00020C61"/>
    <w:rsid w:val="00020CAF"/>
    <w:rsid w:val="00020F22"/>
    <w:rsid w:val="00020F7A"/>
    <w:rsid w:val="00020FFB"/>
    <w:rsid w:val="00021047"/>
    <w:rsid w:val="00021279"/>
    <w:rsid w:val="00021321"/>
    <w:rsid w:val="000213F5"/>
    <w:rsid w:val="000214E1"/>
    <w:rsid w:val="00021691"/>
    <w:rsid w:val="000216F6"/>
    <w:rsid w:val="00021A18"/>
    <w:rsid w:val="00021A43"/>
    <w:rsid w:val="00021ABD"/>
    <w:rsid w:val="00021B43"/>
    <w:rsid w:val="00021BDF"/>
    <w:rsid w:val="00021C9D"/>
    <w:rsid w:val="00021CE6"/>
    <w:rsid w:val="00021D78"/>
    <w:rsid w:val="000225E5"/>
    <w:rsid w:val="00022617"/>
    <w:rsid w:val="00022686"/>
    <w:rsid w:val="00023146"/>
    <w:rsid w:val="0002341E"/>
    <w:rsid w:val="0002353F"/>
    <w:rsid w:val="00023775"/>
    <w:rsid w:val="00023868"/>
    <w:rsid w:val="000238A3"/>
    <w:rsid w:val="000239E6"/>
    <w:rsid w:val="00023A7B"/>
    <w:rsid w:val="00023C69"/>
    <w:rsid w:val="00023DE0"/>
    <w:rsid w:val="00024376"/>
    <w:rsid w:val="00024391"/>
    <w:rsid w:val="00024887"/>
    <w:rsid w:val="00024A01"/>
    <w:rsid w:val="00024AA8"/>
    <w:rsid w:val="00024FFF"/>
    <w:rsid w:val="00025070"/>
    <w:rsid w:val="00025133"/>
    <w:rsid w:val="00025334"/>
    <w:rsid w:val="0002549E"/>
    <w:rsid w:val="00025524"/>
    <w:rsid w:val="00025564"/>
    <w:rsid w:val="00025602"/>
    <w:rsid w:val="00025A19"/>
    <w:rsid w:val="00025BE2"/>
    <w:rsid w:val="00025D48"/>
    <w:rsid w:val="00025DAA"/>
    <w:rsid w:val="00025EBD"/>
    <w:rsid w:val="00025F2C"/>
    <w:rsid w:val="00025FCE"/>
    <w:rsid w:val="000260C3"/>
    <w:rsid w:val="0002641D"/>
    <w:rsid w:val="00026536"/>
    <w:rsid w:val="00026686"/>
    <w:rsid w:val="00026778"/>
    <w:rsid w:val="00026C28"/>
    <w:rsid w:val="00026E1E"/>
    <w:rsid w:val="00026E6B"/>
    <w:rsid w:val="00027185"/>
    <w:rsid w:val="000271B8"/>
    <w:rsid w:val="000273E9"/>
    <w:rsid w:val="00030160"/>
    <w:rsid w:val="000301D6"/>
    <w:rsid w:val="0003023B"/>
    <w:rsid w:val="00030321"/>
    <w:rsid w:val="00030494"/>
    <w:rsid w:val="0003058D"/>
    <w:rsid w:val="00030680"/>
    <w:rsid w:val="00030BF0"/>
    <w:rsid w:val="00030C4B"/>
    <w:rsid w:val="00030F0A"/>
    <w:rsid w:val="00031458"/>
    <w:rsid w:val="0003149E"/>
    <w:rsid w:val="000315E4"/>
    <w:rsid w:val="0003171E"/>
    <w:rsid w:val="00031763"/>
    <w:rsid w:val="000320DD"/>
    <w:rsid w:val="000324DE"/>
    <w:rsid w:val="000326C6"/>
    <w:rsid w:val="000326C8"/>
    <w:rsid w:val="00032D78"/>
    <w:rsid w:val="00032EC9"/>
    <w:rsid w:val="00032F2A"/>
    <w:rsid w:val="00033039"/>
    <w:rsid w:val="0003318E"/>
    <w:rsid w:val="0003336F"/>
    <w:rsid w:val="0003337A"/>
    <w:rsid w:val="0003346C"/>
    <w:rsid w:val="000334EB"/>
    <w:rsid w:val="000339C5"/>
    <w:rsid w:val="00033B11"/>
    <w:rsid w:val="00033D74"/>
    <w:rsid w:val="00033E6A"/>
    <w:rsid w:val="000347AB"/>
    <w:rsid w:val="0003482A"/>
    <w:rsid w:val="000348D1"/>
    <w:rsid w:val="00034C0C"/>
    <w:rsid w:val="00034F08"/>
    <w:rsid w:val="00035342"/>
    <w:rsid w:val="000353D9"/>
    <w:rsid w:val="00035B3A"/>
    <w:rsid w:val="00035C62"/>
    <w:rsid w:val="00035CEC"/>
    <w:rsid w:val="0003600F"/>
    <w:rsid w:val="00036526"/>
    <w:rsid w:val="0003652D"/>
    <w:rsid w:val="00036AE8"/>
    <w:rsid w:val="00036DE3"/>
    <w:rsid w:val="0003727F"/>
    <w:rsid w:val="000372DB"/>
    <w:rsid w:val="000378F3"/>
    <w:rsid w:val="00037C20"/>
    <w:rsid w:val="00037CDC"/>
    <w:rsid w:val="00037E6A"/>
    <w:rsid w:val="000400E3"/>
    <w:rsid w:val="00040481"/>
    <w:rsid w:val="00040488"/>
    <w:rsid w:val="0004051A"/>
    <w:rsid w:val="00040637"/>
    <w:rsid w:val="000406DF"/>
    <w:rsid w:val="00040A30"/>
    <w:rsid w:val="00040BC5"/>
    <w:rsid w:val="00040CCF"/>
    <w:rsid w:val="00040D4D"/>
    <w:rsid w:val="00040D4E"/>
    <w:rsid w:val="0004112F"/>
    <w:rsid w:val="00041284"/>
    <w:rsid w:val="0004155C"/>
    <w:rsid w:val="0004171C"/>
    <w:rsid w:val="00041856"/>
    <w:rsid w:val="00041A94"/>
    <w:rsid w:val="00041B16"/>
    <w:rsid w:val="00041B28"/>
    <w:rsid w:val="00041B7D"/>
    <w:rsid w:val="00041BAB"/>
    <w:rsid w:val="00041DF9"/>
    <w:rsid w:val="00041F82"/>
    <w:rsid w:val="00042128"/>
    <w:rsid w:val="00042355"/>
    <w:rsid w:val="0004257C"/>
    <w:rsid w:val="00042636"/>
    <w:rsid w:val="00042B82"/>
    <w:rsid w:val="00042EDD"/>
    <w:rsid w:val="00042FDE"/>
    <w:rsid w:val="000431A3"/>
    <w:rsid w:val="000431AD"/>
    <w:rsid w:val="000437CA"/>
    <w:rsid w:val="00043A3A"/>
    <w:rsid w:val="00043EB2"/>
    <w:rsid w:val="0004404D"/>
    <w:rsid w:val="000442FB"/>
    <w:rsid w:val="000443CE"/>
    <w:rsid w:val="000443FF"/>
    <w:rsid w:val="00044456"/>
    <w:rsid w:val="000444C2"/>
    <w:rsid w:val="00044604"/>
    <w:rsid w:val="0004465D"/>
    <w:rsid w:val="000446DF"/>
    <w:rsid w:val="000447F7"/>
    <w:rsid w:val="00044CDE"/>
    <w:rsid w:val="00044D02"/>
    <w:rsid w:val="00044D31"/>
    <w:rsid w:val="00044D37"/>
    <w:rsid w:val="00044FD9"/>
    <w:rsid w:val="00045022"/>
    <w:rsid w:val="00045106"/>
    <w:rsid w:val="0004541C"/>
    <w:rsid w:val="00045633"/>
    <w:rsid w:val="0004566A"/>
    <w:rsid w:val="00045A07"/>
    <w:rsid w:val="00045D6F"/>
    <w:rsid w:val="00045F26"/>
    <w:rsid w:val="00046117"/>
    <w:rsid w:val="0004614E"/>
    <w:rsid w:val="00046820"/>
    <w:rsid w:val="00046B46"/>
    <w:rsid w:val="00046EDB"/>
    <w:rsid w:val="0004787B"/>
    <w:rsid w:val="00047AC5"/>
    <w:rsid w:val="00047DF9"/>
    <w:rsid w:val="00050444"/>
    <w:rsid w:val="00050787"/>
    <w:rsid w:val="000509CE"/>
    <w:rsid w:val="00050C3F"/>
    <w:rsid w:val="000511FF"/>
    <w:rsid w:val="000513B9"/>
    <w:rsid w:val="0005148E"/>
    <w:rsid w:val="000514DD"/>
    <w:rsid w:val="0005156B"/>
    <w:rsid w:val="00051662"/>
    <w:rsid w:val="00051A59"/>
    <w:rsid w:val="00051B61"/>
    <w:rsid w:val="00051F27"/>
    <w:rsid w:val="00051F77"/>
    <w:rsid w:val="000520CB"/>
    <w:rsid w:val="000522F9"/>
    <w:rsid w:val="00052409"/>
    <w:rsid w:val="00052427"/>
    <w:rsid w:val="00052452"/>
    <w:rsid w:val="00052544"/>
    <w:rsid w:val="000526EA"/>
    <w:rsid w:val="000526ED"/>
    <w:rsid w:val="000529EA"/>
    <w:rsid w:val="00052AEA"/>
    <w:rsid w:val="000531BD"/>
    <w:rsid w:val="0005349C"/>
    <w:rsid w:val="0005390D"/>
    <w:rsid w:val="00053916"/>
    <w:rsid w:val="00053B9A"/>
    <w:rsid w:val="00053C51"/>
    <w:rsid w:val="00053DE0"/>
    <w:rsid w:val="00053DE6"/>
    <w:rsid w:val="00053E86"/>
    <w:rsid w:val="00054451"/>
    <w:rsid w:val="00054590"/>
    <w:rsid w:val="00054602"/>
    <w:rsid w:val="00054A99"/>
    <w:rsid w:val="00054EF2"/>
    <w:rsid w:val="0005520B"/>
    <w:rsid w:val="00055575"/>
    <w:rsid w:val="0005561A"/>
    <w:rsid w:val="000556CC"/>
    <w:rsid w:val="00055D6E"/>
    <w:rsid w:val="00055D77"/>
    <w:rsid w:val="00055DF1"/>
    <w:rsid w:val="00055ED3"/>
    <w:rsid w:val="0005639B"/>
    <w:rsid w:val="00056996"/>
    <w:rsid w:val="000571FA"/>
    <w:rsid w:val="000576EF"/>
    <w:rsid w:val="00057877"/>
    <w:rsid w:val="00057B78"/>
    <w:rsid w:val="00057C00"/>
    <w:rsid w:val="000600A7"/>
    <w:rsid w:val="000601CC"/>
    <w:rsid w:val="00060206"/>
    <w:rsid w:val="000604AE"/>
    <w:rsid w:val="00060580"/>
    <w:rsid w:val="000607BA"/>
    <w:rsid w:val="00060B6A"/>
    <w:rsid w:val="000610A3"/>
    <w:rsid w:val="000610AB"/>
    <w:rsid w:val="00061131"/>
    <w:rsid w:val="00061288"/>
    <w:rsid w:val="00061366"/>
    <w:rsid w:val="0006146D"/>
    <w:rsid w:val="00061482"/>
    <w:rsid w:val="000614C7"/>
    <w:rsid w:val="00061668"/>
    <w:rsid w:val="00061833"/>
    <w:rsid w:val="00061881"/>
    <w:rsid w:val="00061887"/>
    <w:rsid w:val="000619E4"/>
    <w:rsid w:val="00061CB3"/>
    <w:rsid w:val="00061EF6"/>
    <w:rsid w:val="0006205A"/>
    <w:rsid w:val="00062416"/>
    <w:rsid w:val="000625C4"/>
    <w:rsid w:val="000627FB"/>
    <w:rsid w:val="000628B1"/>
    <w:rsid w:val="00062992"/>
    <w:rsid w:val="000629EF"/>
    <w:rsid w:val="00062D91"/>
    <w:rsid w:val="00063035"/>
    <w:rsid w:val="0006315B"/>
    <w:rsid w:val="00063888"/>
    <w:rsid w:val="000639DA"/>
    <w:rsid w:val="000641A1"/>
    <w:rsid w:val="00064501"/>
    <w:rsid w:val="00064605"/>
    <w:rsid w:val="00064732"/>
    <w:rsid w:val="00064A0E"/>
    <w:rsid w:val="00064A19"/>
    <w:rsid w:val="00064BC3"/>
    <w:rsid w:val="00064C48"/>
    <w:rsid w:val="00064DEA"/>
    <w:rsid w:val="00064F89"/>
    <w:rsid w:val="00065107"/>
    <w:rsid w:val="000651E7"/>
    <w:rsid w:val="00065221"/>
    <w:rsid w:val="000653A4"/>
    <w:rsid w:val="00065F2D"/>
    <w:rsid w:val="00066044"/>
    <w:rsid w:val="000661FD"/>
    <w:rsid w:val="00066538"/>
    <w:rsid w:val="0006661B"/>
    <w:rsid w:val="0006690F"/>
    <w:rsid w:val="0006691C"/>
    <w:rsid w:val="00066A79"/>
    <w:rsid w:val="00066ACB"/>
    <w:rsid w:val="00066BAE"/>
    <w:rsid w:val="00066C9C"/>
    <w:rsid w:val="00066D98"/>
    <w:rsid w:val="00066DED"/>
    <w:rsid w:val="00067595"/>
    <w:rsid w:val="00067625"/>
    <w:rsid w:val="000677BE"/>
    <w:rsid w:val="0006787D"/>
    <w:rsid w:val="00067E9E"/>
    <w:rsid w:val="00067F9F"/>
    <w:rsid w:val="00067FA3"/>
    <w:rsid w:val="0007012C"/>
    <w:rsid w:val="000703D5"/>
    <w:rsid w:val="000706F2"/>
    <w:rsid w:val="00070848"/>
    <w:rsid w:val="00070870"/>
    <w:rsid w:val="000708ED"/>
    <w:rsid w:val="00070BCD"/>
    <w:rsid w:val="00070D45"/>
    <w:rsid w:val="000715F5"/>
    <w:rsid w:val="000718B0"/>
    <w:rsid w:val="00071A36"/>
    <w:rsid w:val="00071AF5"/>
    <w:rsid w:val="00071EA4"/>
    <w:rsid w:val="000721EB"/>
    <w:rsid w:val="0007267C"/>
    <w:rsid w:val="000726F2"/>
    <w:rsid w:val="000727EF"/>
    <w:rsid w:val="000728DE"/>
    <w:rsid w:val="00072E18"/>
    <w:rsid w:val="00073039"/>
    <w:rsid w:val="00073349"/>
    <w:rsid w:val="000735A8"/>
    <w:rsid w:val="00073605"/>
    <w:rsid w:val="0007364F"/>
    <w:rsid w:val="00073687"/>
    <w:rsid w:val="000736E9"/>
    <w:rsid w:val="000737F3"/>
    <w:rsid w:val="000739F1"/>
    <w:rsid w:val="00073AE1"/>
    <w:rsid w:val="00073B1F"/>
    <w:rsid w:val="00073B5E"/>
    <w:rsid w:val="00073BCA"/>
    <w:rsid w:val="00073C0F"/>
    <w:rsid w:val="000744AD"/>
    <w:rsid w:val="0007464E"/>
    <w:rsid w:val="000748F8"/>
    <w:rsid w:val="00074C4C"/>
    <w:rsid w:val="00074DD7"/>
    <w:rsid w:val="00074E16"/>
    <w:rsid w:val="00074E87"/>
    <w:rsid w:val="00075018"/>
    <w:rsid w:val="0007542D"/>
    <w:rsid w:val="00075B74"/>
    <w:rsid w:val="000760A9"/>
    <w:rsid w:val="000763A2"/>
    <w:rsid w:val="000763F9"/>
    <w:rsid w:val="000764F9"/>
    <w:rsid w:val="00076941"/>
    <w:rsid w:val="00076A06"/>
    <w:rsid w:val="00076AC9"/>
    <w:rsid w:val="0007705F"/>
    <w:rsid w:val="00077858"/>
    <w:rsid w:val="00077ACE"/>
    <w:rsid w:val="00077D78"/>
    <w:rsid w:val="000801A8"/>
    <w:rsid w:val="000804A1"/>
    <w:rsid w:val="0008065D"/>
    <w:rsid w:val="000806DA"/>
    <w:rsid w:val="0008089F"/>
    <w:rsid w:val="000809C1"/>
    <w:rsid w:val="00080A78"/>
    <w:rsid w:val="00080BF6"/>
    <w:rsid w:val="00080E35"/>
    <w:rsid w:val="00080E80"/>
    <w:rsid w:val="000811D5"/>
    <w:rsid w:val="0008135F"/>
    <w:rsid w:val="000813B2"/>
    <w:rsid w:val="0008159B"/>
    <w:rsid w:val="00081A1F"/>
    <w:rsid w:val="00081E78"/>
    <w:rsid w:val="00081F8C"/>
    <w:rsid w:val="000824AC"/>
    <w:rsid w:val="00082546"/>
    <w:rsid w:val="00082594"/>
    <w:rsid w:val="00082630"/>
    <w:rsid w:val="00082647"/>
    <w:rsid w:val="000827FE"/>
    <w:rsid w:val="000828F6"/>
    <w:rsid w:val="00082C3C"/>
    <w:rsid w:val="00082D27"/>
    <w:rsid w:val="00082F69"/>
    <w:rsid w:val="00082FAE"/>
    <w:rsid w:val="0008304E"/>
    <w:rsid w:val="000830AB"/>
    <w:rsid w:val="0008354D"/>
    <w:rsid w:val="000835C2"/>
    <w:rsid w:val="0008373F"/>
    <w:rsid w:val="00083CA2"/>
    <w:rsid w:val="00084182"/>
    <w:rsid w:val="000843B0"/>
    <w:rsid w:val="000843ED"/>
    <w:rsid w:val="00084798"/>
    <w:rsid w:val="0008482C"/>
    <w:rsid w:val="00084B5E"/>
    <w:rsid w:val="00084C22"/>
    <w:rsid w:val="00084D4F"/>
    <w:rsid w:val="00084D80"/>
    <w:rsid w:val="00084DBD"/>
    <w:rsid w:val="0008507D"/>
    <w:rsid w:val="0008536A"/>
    <w:rsid w:val="00085815"/>
    <w:rsid w:val="0008593F"/>
    <w:rsid w:val="000859F4"/>
    <w:rsid w:val="00085B0F"/>
    <w:rsid w:val="00085CCF"/>
    <w:rsid w:val="00085D36"/>
    <w:rsid w:val="00085FFE"/>
    <w:rsid w:val="000860D0"/>
    <w:rsid w:val="000865B0"/>
    <w:rsid w:val="00086A0C"/>
    <w:rsid w:val="00086B00"/>
    <w:rsid w:val="000870C9"/>
    <w:rsid w:val="000873BF"/>
    <w:rsid w:val="000873C4"/>
    <w:rsid w:val="0008754B"/>
    <w:rsid w:val="00087649"/>
    <w:rsid w:val="00087770"/>
    <w:rsid w:val="0008788C"/>
    <w:rsid w:val="0008794A"/>
    <w:rsid w:val="00087DE0"/>
    <w:rsid w:val="00087E6E"/>
    <w:rsid w:val="00087E7F"/>
    <w:rsid w:val="00090540"/>
    <w:rsid w:val="0009070B"/>
    <w:rsid w:val="000908D2"/>
    <w:rsid w:val="00090B99"/>
    <w:rsid w:val="00090F3E"/>
    <w:rsid w:val="000910C9"/>
    <w:rsid w:val="000918EA"/>
    <w:rsid w:val="0009216D"/>
    <w:rsid w:val="000923D5"/>
    <w:rsid w:val="000925BE"/>
    <w:rsid w:val="0009268D"/>
    <w:rsid w:val="00092B26"/>
    <w:rsid w:val="0009306B"/>
    <w:rsid w:val="00093104"/>
    <w:rsid w:val="000932F5"/>
    <w:rsid w:val="0009337D"/>
    <w:rsid w:val="000934ED"/>
    <w:rsid w:val="00093B36"/>
    <w:rsid w:val="00093BDD"/>
    <w:rsid w:val="000940D0"/>
    <w:rsid w:val="0009416A"/>
    <w:rsid w:val="00094317"/>
    <w:rsid w:val="00094693"/>
    <w:rsid w:val="000948DC"/>
    <w:rsid w:val="00094B4F"/>
    <w:rsid w:val="00094E49"/>
    <w:rsid w:val="0009554D"/>
    <w:rsid w:val="0009554E"/>
    <w:rsid w:val="000958A2"/>
    <w:rsid w:val="000958BB"/>
    <w:rsid w:val="00095A53"/>
    <w:rsid w:val="00095A6A"/>
    <w:rsid w:val="00095B16"/>
    <w:rsid w:val="0009659B"/>
    <w:rsid w:val="000969E5"/>
    <w:rsid w:val="00096AE5"/>
    <w:rsid w:val="00096B3A"/>
    <w:rsid w:val="00096B6B"/>
    <w:rsid w:val="000970A4"/>
    <w:rsid w:val="00097A14"/>
    <w:rsid w:val="00097A29"/>
    <w:rsid w:val="000A06C3"/>
    <w:rsid w:val="000A0742"/>
    <w:rsid w:val="000A0A1E"/>
    <w:rsid w:val="000A0D76"/>
    <w:rsid w:val="000A1001"/>
    <w:rsid w:val="000A10B5"/>
    <w:rsid w:val="000A12CB"/>
    <w:rsid w:val="000A166C"/>
    <w:rsid w:val="000A166E"/>
    <w:rsid w:val="000A17E0"/>
    <w:rsid w:val="000A19C4"/>
    <w:rsid w:val="000A1A02"/>
    <w:rsid w:val="000A24D0"/>
    <w:rsid w:val="000A2516"/>
    <w:rsid w:val="000A2601"/>
    <w:rsid w:val="000A2C1B"/>
    <w:rsid w:val="000A2DAD"/>
    <w:rsid w:val="000A2E3F"/>
    <w:rsid w:val="000A3376"/>
    <w:rsid w:val="000A3642"/>
    <w:rsid w:val="000A3C32"/>
    <w:rsid w:val="000A3C75"/>
    <w:rsid w:val="000A3FE1"/>
    <w:rsid w:val="000A4427"/>
    <w:rsid w:val="000A4575"/>
    <w:rsid w:val="000A48BB"/>
    <w:rsid w:val="000A4E02"/>
    <w:rsid w:val="000A4E8B"/>
    <w:rsid w:val="000A53AE"/>
    <w:rsid w:val="000A544D"/>
    <w:rsid w:val="000A58DA"/>
    <w:rsid w:val="000A5C93"/>
    <w:rsid w:val="000A631F"/>
    <w:rsid w:val="000A6498"/>
    <w:rsid w:val="000A64F8"/>
    <w:rsid w:val="000A6684"/>
    <w:rsid w:val="000A6A4E"/>
    <w:rsid w:val="000A6DF6"/>
    <w:rsid w:val="000A70BF"/>
    <w:rsid w:val="000A70D5"/>
    <w:rsid w:val="000A72E5"/>
    <w:rsid w:val="000A7627"/>
    <w:rsid w:val="000A783D"/>
    <w:rsid w:val="000B0391"/>
    <w:rsid w:val="000B0672"/>
    <w:rsid w:val="000B08D3"/>
    <w:rsid w:val="000B0A88"/>
    <w:rsid w:val="000B131B"/>
    <w:rsid w:val="000B1BE8"/>
    <w:rsid w:val="000B1E3C"/>
    <w:rsid w:val="000B1F0E"/>
    <w:rsid w:val="000B1F67"/>
    <w:rsid w:val="000B209F"/>
    <w:rsid w:val="000B2134"/>
    <w:rsid w:val="000B2230"/>
    <w:rsid w:val="000B25C5"/>
    <w:rsid w:val="000B2FB8"/>
    <w:rsid w:val="000B3012"/>
    <w:rsid w:val="000B34D1"/>
    <w:rsid w:val="000B37AE"/>
    <w:rsid w:val="000B42B3"/>
    <w:rsid w:val="000B47F2"/>
    <w:rsid w:val="000B4B4D"/>
    <w:rsid w:val="000B4C96"/>
    <w:rsid w:val="000B4D0D"/>
    <w:rsid w:val="000B4DAE"/>
    <w:rsid w:val="000B5508"/>
    <w:rsid w:val="000B5D03"/>
    <w:rsid w:val="000B5F4C"/>
    <w:rsid w:val="000B5FFE"/>
    <w:rsid w:val="000B6207"/>
    <w:rsid w:val="000B63A6"/>
    <w:rsid w:val="000B6418"/>
    <w:rsid w:val="000B6966"/>
    <w:rsid w:val="000B69D0"/>
    <w:rsid w:val="000B6A33"/>
    <w:rsid w:val="000B6C36"/>
    <w:rsid w:val="000B6CED"/>
    <w:rsid w:val="000B6E9A"/>
    <w:rsid w:val="000B7190"/>
    <w:rsid w:val="000B71B5"/>
    <w:rsid w:val="000B73EC"/>
    <w:rsid w:val="000B74AD"/>
    <w:rsid w:val="000B7560"/>
    <w:rsid w:val="000B75EA"/>
    <w:rsid w:val="000B781C"/>
    <w:rsid w:val="000B7A44"/>
    <w:rsid w:val="000B7ADB"/>
    <w:rsid w:val="000B7E3E"/>
    <w:rsid w:val="000C0294"/>
    <w:rsid w:val="000C042C"/>
    <w:rsid w:val="000C0521"/>
    <w:rsid w:val="000C0569"/>
    <w:rsid w:val="000C05E1"/>
    <w:rsid w:val="000C0673"/>
    <w:rsid w:val="000C0849"/>
    <w:rsid w:val="000C093E"/>
    <w:rsid w:val="000C0964"/>
    <w:rsid w:val="000C0B3B"/>
    <w:rsid w:val="000C0C48"/>
    <w:rsid w:val="000C0CBC"/>
    <w:rsid w:val="000C1064"/>
    <w:rsid w:val="000C10C1"/>
    <w:rsid w:val="000C118F"/>
    <w:rsid w:val="000C129F"/>
    <w:rsid w:val="000C19B1"/>
    <w:rsid w:val="000C2038"/>
    <w:rsid w:val="000C2177"/>
    <w:rsid w:val="000C220D"/>
    <w:rsid w:val="000C2331"/>
    <w:rsid w:val="000C2445"/>
    <w:rsid w:val="000C25F3"/>
    <w:rsid w:val="000C26E2"/>
    <w:rsid w:val="000C2C85"/>
    <w:rsid w:val="000C2EF9"/>
    <w:rsid w:val="000C2F16"/>
    <w:rsid w:val="000C30D2"/>
    <w:rsid w:val="000C37A6"/>
    <w:rsid w:val="000C3B68"/>
    <w:rsid w:val="000C3C68"/>
    <w:rsid w:val="000C4101"/>
    <w:rsid w:val="000C4152"/>
    <w:rsid w:val="000C42A6"/>
    <w:rsid w:val="000C463A"/>
    <w:rsid w:val="000C49EE"/>
    <w:rsid w:val="000C4B86"/>
    <w:rsid w:val="000C4E4B"/>
    <w:rsid w:val="000C5131"/>
    <w:rsid w:val="000C5224"/>
    <w:rsid w:val="000C53AA"/>
    <w:rsid w:val="000C581D"/>
    <w:rsid w:val="000C5CC1"/>
    <w:rsid w:val="000C5E28"/>
    <w:rsid w:val="000C60CB"/>
    <w:rsid w:val="000C6122"/>
    <w:rsid w:val="000C632A"/>
    <w:rsid w:val="000C63A3"/>
    <w:rsid w:val="000C64E2"/>
    <w:rsid w:val="000C6572"/>
    <w:rsid w:val="000C66B6"/>
    <w:rsid w:val="000C66C1"/>
    <w:rsid w:val="000C6701"/>
    <w:rsid w:val="000C67FF"/>
    <w:rsid w:val="000C69A7"/>
    <w:rsid w:val="000C6B3E"/>
    <w:rsid w:val="000C6F08"/>
    <w:rsid w:val="000C733A"/>
    <w:rsid w:val="000C77D0"/>
    <w:rsid w:val="000C7BC3"/>
    <w:rsid w:val="000C7D4A"/>
    <w:rsid w:val="000C7DF6"/>
    <w:rsid w:val="000D00F5"/>
    <w:rsid w:val="000D0436"/>
    <w:rsid w:val="000D04BF"/>
    <w:rsid w:val="000D054D"/>
    <w:rsid w:val="000D05B1"/>
    <w:rsid w:val="000D0629"/>
    <w:rsid w:val="000D08EB"/>
    <w:rsid w:val="000D0C2D"/>
    <w:rsid w:val="000D0C68"/>
    <w:rsid w:val="000D0D9F"/>
    <w:rsid w:val="000D0E2C"/>
    <w:rsid w:val="000D122D"/>
    <w:rsid w:val="000D14BD"/>
    <w:rsid w:val="000D159E"/>
    <w:rsid w:val="000D191C"/>
    <w:rsid w:val="000D1AA1"/>
    <w:rsid w:val="000D1B49"/>
    <w:rsid w:val="000D1D28"/>
    <w:rsid w:val="000D21D0"/>
    <w:rsid w:val="000D2509"/>
    <w:rsid w:val="000D25E2"/>
    <w:rsid w:val="000D26FC"/>
    <w:rsid w:val="000D2984"/>
    <w:rsid w:val="000D2A25"/>
    <w:rsid w:val="000D2B77"/>
    <w:rsid w:val="000D2D3F"/>
    <w:rsid w:val="000D2DB0"/>
    <w:rsid w:val="000D2E72"/>
    <w:rsid w:val="000D329E"/>
    <w:rsid w:val="000D3397"/>
    <w:rsid w:val="000D368E"/>
    <w:rsid w:val="000D381F"/>
    <w:rsid w:val="000D382E"/>
    <w:rsid w:val="000D3A33"/>
    <w:rsid w:val="000D3A80"/>
    <w:rsid w:val="000D3C19"/>
    <w:rsid w:val="000D3C3E"/>
    <w:rsid w:val="000D3D46"/>
    <w:rsid w:val="000D4200"/>
    <w:rsid w:val="000D434A"/>
    <w:rsid w:val="000D4796"/>
    <w:rsid w:val="000D47DE"/>
    <w:rsid w:val="000D4971"/>
    <w:rsid w:val="000D4C12"/>
    <w:rsid w:val="000D4C13"/>
    <w:rsid w:val="000D5201"/>
    <w:rsid w:val="000D53AF"/>
    <w:rsid w:val="000D59E6"/>
    <w:rsid w:val="000D5ACC"/>
    <w:rsid w:val="000D5EDD"/>
    <w:rsid w:val="000D616C"/>
    <w:rsid w:val="000D684C"/>
    <w:rsid w:val="000D68BB"/>
    <w:rsid w:val="000D68D4"/>
    <w:rsid w:val="000D6DF0"/>
    <w:rsid w:val="000D7179"/>
    <w:rsid w:val="000D7259"/>
    <w:rsid w:val="000D7297"/>
    <w:rsid w:val="000D736C"/>
    <w:rsid w:val="000D7409"/>
    <w:rsid w:val="000D7955"/>
    <w:rsid w:val="000D7D88"/>
    <w:rsid w:val="000D7F10"/>
    <w:rsid w:val="000E0051"/>
    <w:rsid w:val="000E02A0"/>
    <w:rsid w:val="000E06FB"/>
    <w:rsid w:val="000E093D"/>
    <w:rsid w:val="000E0A7C"/>
    <w:rsid w:val="000E0BB4"/>
    <w:rsid w:val="000E0FD2"/>
    <w:rsid w:val="000E148A"/>
    <w:rsid w:val="000E157E"/>
    <w:rsid w:val="000E16DD"/>
    <w:rsid w:val="000E174A"/>
    <w:rsid w:val="000E17AA"/>
    <w:rsid w:val="000E1812"/>
    <w:rsid w:val="000E19C3"/>
    <w:rsid w:val="000E1C72"/>
    <w:rsid w:val="000E1CF6"/>
    <w:rsid w:val="000E1D2E"/>
    <w:rsid w:val="000E1D7F"/>
    <w:rsid w:val="000E2046"/>
    <w:rsid w:val="000E20BF"/>
    <w:rsid w:val="000E21EC"/>
    <w:rsid w:val="000E2429"/>
    <w:rsid w:val="000E2812"/>
    <w:rsid w:val="000E28F2"/>
    <w:rsid w:val="000E2DA9"/>
    <w:rsid w:val="000E2DEC"/>
    <w:rsid w:val="000E2DF5"/>
    <w:rsid w:val="000E2EA6"/>
    <w:rsid w:val="000E31F6"/>
    <w:rsid w:val="000E35DD"/>
    <w:rsid w:val="000E361E"/>
    <w:rsid w:val="000E3988"/>
    <w:rsid w:val="000E3DDF"/>
    <w:rsid w:val="000E3E8B"/>
    <w:rsid w:val="000E3FD8"/>
    <w:rsid w:val="000E43ED"/>
    <w:rsid w:val="000E44F4"/>
    <w:rsid w:val="000E451A"/>
    <w:rsid w:val="000E4596"/>
    <w:rsid w:val="000E4891"/>
    <w:rsid w:val="000E4942"/>
    <w:rsid w:val="000E4AE2"/>
    <w:rsid w:val="000E4E59"/>
    <w:rsid w:val="000E4F49"/>
    <w:rsid w:val="000E5153"/>
    <w:rsid w:val="000E539E"/>
    <w:rsid w:val="000E5451"/>
    <w:rsid w:val="000E5515"/>
    <w:rsid w:val="000E572E"/>
    <w:rsid w:val="000E5787"/>
    <w:rsid w:val="000E5922"/>
    <w:rsid w:val="000E59DC"/>
    <w:rsid w:val="000E5C7C"/>
    <w:rsid w:val="000E5D38"/>
    <w:rsid w:val="000E5D74"/>
    <w:rsid w:val="000E6050"/>
    <w:rsid w:val="000E65D5"/>
    <w:rsid w:val="000E6930"/>
    <w:rsid w:val="000E69E9"/>
    <w:rsid w:val="000E6A47"/>
    <w:rsid w:val="000E6AF2"/>
    <w:rsid w:val="000E6B41"/>
    <w:rsid w:val="000E6B82"/>
    <w:rsid w:val="000E6BA7"/>
    <w:rsid w:val="000E70D5"/>
    <w:rsid w:val="000E7335"/>
    <w:rsid w:val="000E7463"/>
    <w:rsid w:val="000E747E"/>
    <w:rsid w:val="000E754F"/>
    <w:rsid w:val="000E7645"/>
    <w:rsid w:val="000E76CD"/>
    <w:rsid w:val="000E77E2"/>
    <w:rsid w:val="000E7CF3"/>
    <w:rsid w:val="000E7D21"/>
    <w:rsid w:val="000E7DA4"/>
    <w:rsid w:val="000F0081"/>
    <w:rsid w:val="000F0178"/>
    <w:rsid w:val="000F11A6"/>
    <w:rsid w:val="000F12CF"/>
    <w:rsid w:val="000F1477"/>
    <w:rsid w:val="000F176A"/>
    <w:rsid w:val="000F1E99"/>
    <w:rsid w:val="000F21C4"/>
    <w:rsid w:val="000F2571"/>
    <w:rsid w:val="000F26BA"/>
    <w:rsid w:val="000F270D"/>
    <w:rsid w:val="000F2AE7"/>
    <w:rsid w:val="000F2B57"/>
    <w:rsid w:val="000F2EA4"/>
    <w:rsid w:val="000F2FEF"/>
    <w:rsid w:val="000F3078"/>
    <w:rsid w:val="000F3144"/>
    <w:rsid w:val="000F3161"/>
    <w:rsid w:val="000F331B"/>
    <w:rsid w:val="000F3427"/>
    <w:rsid w:val="000F391D"/>
    <w:rsid w:val="000F3B7F"/>
    <w:rsid w:val="000F4160"/>
    <w:rsid w:val="000F42AA"/>
    <w:rsid w:val="000F42EC"/>
    <w:rsid w:val="000F4AE1"/>
    <w:rsid w:val="000F4B30"/>
    <w:rsid w:val="000F4B88"/>
    <w:rsid w:val="000F4BE5"/>
    <w:rsid w:val="000F4D50"/>
    <w:rsid w:val="000F4EAA"/>
    <w:rsid w:val="000F4FD6"/>
    <w:rsid w:val="000F4FF6"/>
    <w:rsid w:val="000F502C"/>
    <w:rsid w:val="000F5454"/>
    <w:rsid w:val="000F56BE"/>
    <w:rsid w:val="000F5A8A"/>
    <w:rsid w:val="000F5ADB"/>
    <w:rsid w:val="000F5C03"/>
    <w:rsid w:val="000F6203"/>
    <w:rsid w:val="000F62BD"/>
    <w:rsid w:val="000F6348"/>
    <w:rsid w:val="000F6482"/>
    <w:rsid w:val="000F6535"/>
    <w:rsid w:val="000F6823"/>
    <w:rsid w:val="000F68FB"/>
    <w:rsid w:val="000F693B"/>
    <w:rsid w:val="000F69E9"/>
    <w:rsid w:val="000F6DF2"/>
    <w:rsid w:val="000F6F18"/>
    <w:rsid w:val="000F6F96"/>
    <w:rsid w:val="000F710F"/>
    <w:rsid w:val="000F7245"/>
    <w:rsid w:val="000F728D"/>
    <w:rsid w:val="000F7594"/>
    <w:rsid w:val="000F760B"/>
    <w:rsid w:val="000F77C0"/>
    <w:rsid w:val="000F77CB"/>
    <w:rsid w:val="000F78C6"/>
    <w:rsid w:val="000F799A"/>
    <w:rsid w:val="000F7AF8"/>
    <w:rsid w:val="000F7F5D"/>
    <w:rsid w:val="000F7F64"/>
    <w:rsid w:val="001000B5"/>
    <w:rsid w:val="001004FB"/>
    <w:rsid w:val="00100847"/>
    <w:rsid w:val="00100A2F"/>
    <w:rsid w:val="00100A81"/>
    <w:rsid w:val="0010101F"/>
    <w:rsid w:val="0010149A"/>
    <w:rsid w:val="001015A2"/>
    <w:rsid w:val="0010170F"/>
    <w:rsid w:val="00101C80"/>
    <w:rsid w:val="00101C93"/>
    <w:rsid w:val="00101FF0"/>
    <w:rsid w:val="0010230D"/>
    <w:rsid w:val="0010280C"/>
    <w:rsid w:val="00102928"/>
    <w:rsid w:val="00102A35"/>
    <w:rsid w:val="00102A4C"/>
    <w:rsid w:val="00102B04"/>
    <w:rsid w:val="00102C15"/>
    <w:rsid w:val="00102DCE"/>
    <w:rsid w:val="00102FDA"/>
    <w:rsid w:val="001035A2"/>
    <w:rsid w:val="001037F0"/>
    <w:rsid w:val="00103A43"/>
    <w:rsid w:val="00103C8C"/>
    <w:rsid w:val="001046AF"/>
    <w:rsid w:val="00104A58"/>
    <w:rsid w:val="00104CA5"/>
    <w:rsid w:val="00104E23"/>
    <w:rsid w:val="00104E59"/>
    <w:rsid w:val="00104EDF"/>
    <w:rsid w:val="00104F18"/>
    <w:rsid w:val="00104F9D"/>
    <w:rsid w:val="00105254"/>
    <w:rsid w:val="0010557C"/>
    <w:rsid w:val="0010558C"/>
    <w:rsid w:val="001056A1"/>
    <w:rsid w:val="0010577F"/>
    <w:rsid w:val="00105937"/>
    <w:rsid w:val="00105C9F"/>
    <w:rsid w:val="00105EAA"/>
    <w:rsid w:val="0010624B"/>
    <w:rsid w:val="001065FA"/>
    <w:rsid w:val="00106837"/>
    <w:rsid w:val="00106A4B"/>
    <w:rsid w:val="00106F3B"/>
    <w:rsid w:val="00107168"/>
    <w:rsid w:val="001071A4"/>
    <w:rsid w:val="00107396"/>
    <w:rsid w:val="001078E6"/>
    <w:rsid w:val="00107ADB"/>
    <w:rsid w:val="00107B43"/>
    <w:rsid w:val="00107B92"/>
    <w:rsid w:val="00107EA8"/>
    <w:rsid w:val="00110266"/>
    <w:rsid w:val="00110424"/>
    <w:rsid w:val="0011063B"/>
    <w:rsid w:val="0011066C"/>
    <w:rsid w:val="00110684"/>
    <w:rsid w:val="0011073D"/>
    <w:rsid w:val="0011080C"/>
    <w:rsid w:val="00110C3D"/>
    <w:rsid w:val="001110B5"/>
    <w:rsid w:val="00111569"/>
    <w:rsid w:val="00111587"/>
    <w:rsid w:val="001115D4"/>
    <w:rsid w:val="00111601"/>
    <w:rsid w:val="00111639"/>
    <w:rsid w:val="001117A7"/>
    <w:rsid w:val="00111817"/>
    <w:rsid w:val="001118A5"/>
    <w:rsid w:val="001118A9"/>
    <w:rsid w:val="001119D7"/>
    <w:rsid w:val="00111C36"/>
    <w:rsid w:val="001121BC"/>
    <w:rsid w:val="001122DD"/>
    <w:rsid w:val="00112486"/>
    <w:rsid w:val="00112A33"/>
    <w:rsid w:val="00112D9B"/>
    <w:rsid w:val="001131F7"/>
    <w:rsid w:val="00113465"/>
    <w:rsid w:val="00113572"/>
    <w:rsid w:val="001135DA"/>
    <w:rsid w:val="00113773"/>
    <w:rsid w:val="00113796"/>
    <w:rsid w:val="001137BF"/>
    <w:rsid w:val="00113C22"/>
    <w:rsid w:val="00113C6E"/>
    <w:rsid w:val="00113CCB"/>
    <w:rsid w:val="00113E27"/>
    <w:rsid w:val="00113E58"/>
    <w:rsid w:val="00114156"/>
    <w:rsid w:val="00114193"/>
    <w:rsid w:val="0011422E"/>
    <w:rsid w:val="00114770"/>
    <w:rsid w:val="00114D7D"/>
    <w:rsid w:val="00114DF5"/>
    <w:rsid w:val="0011511F"/>
    <w:rsid w:val="00115208"/>
    <w:rsid w:val="0011521B"/>
    <w:rsid w:val="001153AD"/>
    <w:rsid w:val="0011553C"/>
    <w:rsid w:val="00115BE8"/>
    <w:rsid w:val="00115C38"/>
    <w:rsid w:val="00115D4D"/>
    <w:rsid w:val="0011645D"/>
    <w:rsid w:val="001165BD"/>
    <w:rsid w:val="00116898"/>
    <w:rsid w:val="00116B3D"/>
    <w:rsid w:val="00116D4D"/>
    <w:rsid w:val="00116DEC"/>
    <w:rsid w:val="00117252"/>
    <w:rsid w:val="001172A0"/>
    <w:rsid w:val="00117436"/>
    <w:rsid w:val="001176A2"/>
    <w:rsid w:val="001176FA"/>
    <w:rsid w:val="001177BD"/>
    <w:rsid w:val="00117AF5"/>
    <w:rsid w:val="00117BA6"/>
    <w:rsid w:val="00117D3C"/>
    <w:rsid w:val="0012021D"/>
    <w:rsid w:val="00120451"/>
    <w:rsid w:val="00120679"/>
    <w:rsid w:val="0012084F"/>
    <w:rsid w:val="00120B9D"/>
    <w:rsid w:val="00121B9A"/>
    <w:rsid w:val="00121F91"/>
    <w:rsid w:val="00122349"/>
    <w:rsid w:val="001223C5"/>
    <w:rsid w:val="001225D4"/>
    <w:rsid w:val="00122702"/>
    <w:rsid w:val="00122E7D"/>
    <w:rsid w:val="00123141"/>
    <w:rsid w:val="00123415"/>
    <w:rsid w:val="0012360B"/>
    <w:rsid w:val="0012388F"/>
    <w:rsid w:val="001238F5"/>
    <w:rsid w:val="00123D17"/>
    <w:rsid w:val="0012428B"/>
    <w:rsid w:val="0012464C"/>
    <w:rsid w:val="0012467F"/>
    <w:rsid w:val="00124AC0"/>
    <w:rsid w:val="001250E4"/>
    <w:rsid w:val="00125456"/>
    <w:rsid w:val="0012554A"/>
    <w:rsid w:val="001255EB"/>
    <w:rsid w:val="00125658"/>
    <w:rsid w:val="00125CA0"/>
    <w:rsid w:val="00125CC7"/>
    <w:rsid w:val="00125E08"/>
    <w:rsid w:val="0012609F"/>
    <w:rsid w:val="00126315"/>
    <w:rsid w:val="00126376"/>
    <w:rsid w:val="001265C9"/>
    <w:rsid w:val="00126696"/>
    <w:rsid w:val="0012684D"/>
    <w:rsid w:val="001268C2"/>
    <w:rsid w:val="00126958"/>
    <w:rsid w:val="001269B5"/>
    <w:rsid w:val="00126ADD"/>
    <w:rsid w:val="00126C74"/>
    <w:rsid w:val="0012755D"/>
    <w:rsid w:val="001276D5"/>
    <w:rsid w:val="0012792A"/>
    <w:rsid w:val="00127B3D"/>
    <w:rsid w:val="00127B9E"/>
    <w:rsid w:val="00127F05"/>
    <w:rsid w:val="00130094"/>
    <w:rsid w:val="00130A23"/>
    <w:rsid w:val="00130A96"/>
    <w:rsid w:val="00130CF1"/>
    <w:rsid w:val="0013113C"/>
    <w:rsid w:val="00131214"/>
    <w:rsid w:val="00131C51"/>
    <w:rsid w:val="00131C81"/>
    <w:rsid w:val="0013204F"/>
    <w:rsid w:val="00132150"/>
    <w:rsid w:val="0013252A"/>
    <w:rsid w:val="00132831"/>
    <w:rsid w:val="001329DD"/>
    <w:rsid w:val="00132A29"/>
    <w:rsid w:val="00132C76"/>
    <w:rsid w:val="00132CB0"/>
    <w:rsid w:val="00132D80"/>
    <w:rsid w:val="00132DB8"/>
    <w:rsid w:val="001330B1"/>
    <w:rsid w:val="001332D1"/>
    <w:rsid w:val="001333E6"/>
    <w:rsid w:val="001336C8"/>
    <w:rsid w:val="001337F7"/>
    <w:rsid w:val="00133845"/>
    <w:rsid w:val="0013395D"/>
    <w:rsid w:val="00133D99"/>
    <w:rsid w:val="00133EDC"/>
    <w:rsid w:val="001342EF"/>
    <w:rsid w:val="0013445F"/>
    <w:rsid w:val="00134702"/>
    <w:rsid w:val="00134A5B"/>
    <w:rsid w:val="00134AA6"/>
    <w:rsid w:val="00134B36"/>
    <w:rsid w:val="00134C1A"/>
    <w:rsid w:val="00134F7E"/>
    <w:rsid w:val="0013502A"/>
    <w:rsid w:val="00135098"/>
    <w:rsid w:val="001350D9"/>
    <w:rsid w:val="001355C1"/>
    <w:rsid w:val="00135D59"/>
    <w:rsid w:val="00135E6E"/>
    <w:rsid w:val="00136318"/>
    <w:rsid w:val="001363D5"/>
    <w:rsid w:val="001364C7"/>
    <w:rsid w:val="0013659D"/>
    <w:rsid w:val="0013660C"/>
    <w:rsid w:val="001366C3"/>
    <w:rsid w:val="001369DC"/>
    <w:rsid w:val="001369F1"/>
    <w:rsid w:val="00136A00"/>
    <w:rsid w:val="00136AE4"/>
    <w:rsid w:val="00136F74"/>
    <w:rsid w:val="00136FE3"/>
    <w:rsid w:val="001370FF"/>
    <w:rsid w:val="0013710B"/>
    <w:rsid w:val="001373C2"/>
    <w:rsid w:val="00137F3F"/>
    <w:rsid w:val="001400F4"/>
    <w:rsid w:val="001403AD"/>
    <w:rsid w:val="0014056C"/>
    <w:rsid w:val="0014058E"/>
    <w:rsid w:val="00140B62"/>
    <w:rsid w:val="00140D22"/>
    <w:rsid w:val="00140FD9"/>
    <w:rsid w:val="00140FFE"/>
    <w:rsid w:val="00141015"/>
    <w:rsid w:val="0014105C"/>
    <w:rsid w:val="001411AC"/>
    <w:rsid w:val="00141713"/>
    <w:rsid w:val="001417EB"/>
    <w:rsid w:val="0014195B"/>
    <w:rsid w:val="001419D6"/>
    <w:rsid w:val="00141B10"/>
    <w:rsid w:val="00141C29"/>
    <w:rsid w:val="00141C56"/>
    <w:rsid w:val="00141E19"/>
    <w:rsid w:val="00141E47"/>
    <w:rsid w:val="00142055"/>
    <w:rsid w:val="00142236"/>
    <w:rsid w:val="001427D9"/>
    <w:rsid w:val="0014288A"/>
    <w:rsid w:val="00142960"/>
    <w:rsid w:val="00142A38"/>
    <w:rsid w:val="00142D28"/>
    <w:rsid w:val="001430D0"/>
    <w:rsid w:val="00143283"/>
    <w:rsid w:val="0014354D"/>
    <w:rsid w:val="00143858"/>
    <w:rsid w:val="00143BBD"/>
    <w:rsid w:val="00143C33"/>
    <w:rsid w:val="001441AA"/>
    <w:rsid w:val="001446BB"/>
    <w:rsid w:val="00144BD7"/>
    <w:rsid w:val="001451AC"/>
    <w:rsid w:val="0014541B"/>
    <w:rsid w:val="0014551F"/>
    <w:rsid w:val="00145570"/>
    <w:rsid w:val="0014579F"/>
    <w:rsid w:val="001459CC"/>
    <w:rsid w:val="00145BBF"/>
    <w:rsid w:val="00145DE3"/>
    <w:rsid w:val="00145FAD"/>
    <w:rsid w:val="0014641C"/>
    <w:rsid w:val="001464FA"/>
    <w:rsid w:val="001465F0"/>
    <w:rsid w:val="001467DE"/>
    <w:rsid w:val="001468E3"/>
    <w:rsid w:val="00146B80"/>
    <w:rsid w:val="001473DE"/>
    <w:rsid w:val="001474C2"/>
    <w:rsid w:val="001477E2"/>
    <w:rsid w:val="00147B2E"/>
    <w:rsid w:val="00147B7D"/>
    <w:rsid w:val="00147BCB"/>
    <w:rsid w:val="00147C55"/>
    <w:rsid w:val="00147CB7"/>
    <w:rsid w:val="00150085"/>
    <w:rsid w:val="00150087"/>
    <w:rsid w:val="001500B6"/>
    <w:rsid w:val="00150276"/>
    <w:rsid w:val="0015030B"/>
    <w:rsid w:val="00150404"/>
    <w:rsid w:val="001504B8"/>
    <w:rsid w:val="001506FC"/>
    <w:rsid w:val="001508D6"/>
    <w:rsid w:val="00150FDD"/>
    <w:rsid w:val="00151436"/>
    <w:rsid w:val="00151466"/>
    <w:rsid w:val="001514DD"/>
    <w:rsid w:val="00151922"/>
    <w:rsid w:val="00151BB7"/>
    <w:rsid w:val="00151D2E"/>
    <w:rsid w:val="001525EF"/>
    <w:rsid w:val="0015273A"/>
    <w:rsid w:val="00152A23"/>
    <w:rsid w:val="00152A68"/>
    <w:rsid w:val="00152BDD"/>
    <w:rsid w:val="00152D27"/>
    <w:rsid w:val="00153434"/>
    <w:rsid w:val="00153678"/>
    <w:rsid w:val="001537C4"/>
    <w:rsid w:val="00153C39"/>
    <w:rsid w:val="00153C6B"/>
    <w:rsid w:val="00153FD1"/>
    <w:rsid w:val="001540C1"/>
    <w:rsid w:val="001545F9"/>
    <w:rsid w:val="00154969"/>
    <w:rsid w:val="0015499B"/>
    <w:rsid w:val="001549D2"/>
    <w:rsid w:val="00154C26"/>
    <w:rsid w:val="00154C3E"/>
    <w:rsid w:val="00154E1B"/>
    <w:rsid w:val="00154EBD"/>
    <w:rsid w:val="001550BC"/>
    <w:rsid w:val="001551EB"/>
    <w:rsid w:val="00155360"/>
    <w:rsid w:val="00155629"/>
    <w:rsid w:val="00155637"/>
    <w:rsid w:val="00155749"/>
    <w:rsid w:val="00155966"/>
    <w:rsid w:val="00155E47"/>
    <w:rsid w:val="001562EE"/>
    <w:rsid w:val="00156354"/>
    <w:rsid w:val="00156425"/>
    <w:rsid w:val="0015645F"/>
    <w:rsid w:val="001564FE"/>
    <w:rsid w:val="0015678D"/>
    <w:rsid w:val="001567A7"/>
    <w:rsid w:val="00156827"/>
    <w:rsid w:val="001568D2"/>
    <w:rsid w:val="001573C1"/>
    <w:rsid w:val="00157DC2"/>
    <w:rsid w:val="001606BF"/>
    <w:rsid w:val="001608CF"/>
    <w:rsid w:val="00160B84"/>
    <w:rsid w:val="00160C91"/>
    <w:rsid w:val="00160EE1"/>
    <w:rsid w:val="001610F2"/>
    <w:rsid w:val="001611EC"/>
    <w:rsid w:val="00161473"/>
    <w:rsid w:val="0016199F"/>
    <w:rsid w:val="00161AA0"/>
    <w:rsid w:val="00161DA6"/>
    <w:rsid w:val="001620EC"/>
    <w:rsid w:val="001625B8"/>
    <w:rsid w:val="00162681"/>
    <w:rsid w:val="00162DDD"/>
    <w:rsid w:val="00162F2D"/>
    <w:rsid w:val="001630A2"/>
    <w:rsid w:val="00163154"/>
    <w:rsid w:val="001634CF"/>
    <w:rsid w:val="00163C38"/>
    <w:rsid w:val="00163DB7"/>
    <w:rsid w:val="00163E93"/>
    <w:rsid w:val="0016413F"/>
    <w:rsid w:val="00164315"/>
    <w:rsid w:val="0016486D"/>
    <w:rsid w:val="001649B3"/>
    <w:rsid w:val="0016518F"/>
    <w:rsid w:val="001652D4"/>
    <w:rsid w:val="0016541A"/>
    <w:rsid w:val="00165445"/>
    <w:rsid w:val="00165473"/>
    <w:rsid w:val="00165491"/>
    <w:rsid w:val="001654A8"/>
    <w:rsid w:val="001654FE"/>
    <w:rsid w:val="0016562A"/>
    <w:rsid w:val="0016562D"/>
    <w:rsid w:val="0016567C"/>
    <w:rsid w:val="00165EF0"/>
    <w:rsid w:val="00166138"/>
    <w:rsid w:val="001662F9"/>
    <w:rsid w:val="00166427"/>
    <w:rsid w:val="0016643B"/>
    <w:rsid w:val="00166591"/>
    <w:rsid w:val="0016661A"/>
    <w:rsid w:val="00166763"/>
    <w:rsid w:val="00166D76"/>
    <w:rsid w:val="00166F1D"/>
    <w:rsid w:val="001674B7"/>
    <w:rsid w:val="00167A5B"/>
    <w:rsid w:val="00167B73"/>
    <w:rsid w:val="00167BC3"/>
    <w:rsid w:val="00167BF9"/>
    <w:rsid w:val="00167CEF"/>
    <w:rsid w:val="00170756"/>
    <w:rsid w:val="00170A72"/>
    <w:rsid w:val="00170A79"/>
    <w:rsid w:val="00170A7D"/>
    <w:rsid w:val="00170BA6"/>
    <w:rsid w:val="00170F53"/>
    <w:rsid w:val="00171015"/>
    <w:rsid w:val="00171102"/>
    <w:rsid w:val="0017111A"/>
    <w:rsid w:val="001711D6"/>
    <w:rsid w:val="00171244"/>
    <w:rsid w:val="001714DE"/>
    <w:rsid w:val="00171521"/>
    <w:rsid w:val="00171732"/>
    <w:rsid w:val="00171741"/>
    <w:rsid w:val="0017189B"/>
    <w:rsid w:val="00171992"/>
    <w:rsid w:val="00171A4F"/>
    <w:rsid w:val="00171D3D"/>
    <w:rsid w:val="00171E10"/>
    <w:rsid w:val="00172510"/>
    <w:rsid w:val="0017297D"/>
    <w:rsid w:val="00172B90"/>
    <w:rsid w:val="00172E9E"/>
    <w:rsid w:val="00172FFE"/>
    <w:rsid w:val="0017308A"/>
    <w:rsid w:val="001732C5"/>
    <w:rsid w:val="0017337E"/>
    <w:rsid w:val="001737C7"/>
    <w:rsid w:val="00173AA0"/>
    <w:rsid w:val="00173AC1"/>
    <w:rsid w:val="00173B08"/>
    <w:rsid w:val="00173B17"/>
    <w:rsid w:val="001748A3"/>
    <w:rsid w:val="00174A0A"/>
    <w:rsid w:val="00174A35"/>
    <w:rsid w:val="00174AC8"/>
    <w:rsid w:val="00174D52"/>
    <w:rsid w:val="00174DBA"/>
    <w:rsid w:val="00175084"/>
    <w:rsid w:val="001752E5"/>
    <w:rsid w:val="001755B4"/>
    <w:rsid w:val="001756D7"/>
    <w:rsid w:val="001757C5"/>
    <w:rsid w:val="0017585A"/>
    <w:rsid w:val="00175B49"/>
    <w:rsid w:val="00175BD2"/>
    <w:rsid w:val="00175D45"/>
    <w:rsid w:val="00175F3B"/>
    <w:rsid w:val="0017605A"/>
    <w:rsid w:val="00176101"/>
    <w:rsid w:val="0017618C"/>
    <w:rsid w:val="00176463"/>
    <w:rsid w:val="001766CE"/>
    <w:rsid w:val="001766E7"/>
    <w:rsid w:val="00176788"/>
    <w:rsid w:val="0017695C"/>
    <w:rsid w:val="00177096"/>
    <w:rsid w:val="00177179"/>
    <w:rsid w:val="0017719F"/>
    <w:rsid w:val="001771DB"/>
    <w:rsid w:val="001774B2"/>
    <w:rsid w:val="00177707"/>
    <w:rsid w:val="001777C9"/>
    <w:rsid w:val="00177A9F"/>
    <w:rsid w:val="00177B25"/>
    <w:rsid w:val="00180137"/>
    <w:rsid w:val="0018093E"/>
    <w:rsid w:val="00180BDE"/>
    <w:rsid w:val="00180C3A"/>
    <w:rsid w:val="00180D5C"/>
    <w:rsid w:val="00180D5D"/>
    <w:rsid w:val="00180D62"/>
    <w:rsid w:val="00180D6D"/>
    <w:rsid w:val="001813C3"/>
    <w:rsid w:val="00181587"/>
    <w:rsid w:val="0018167D"/>
    <w:rsid w:val="001817E2"/>
    <w:rsid w:val="00181953"/>
    <w:rsid w:val="00181B79"/>
    <w:rsid w:val="00181BD2"/>
    <w:rsid w:val="00181C0D"/>
    <w:rsid w:val="00181DA7"/>
    <w:rsid w:val="00181ED4"/>
    <w:rsid w:val="00181F70"/>
    <w:rsid w:val="001825A5"/>
    <w:rsid w:val="00182789"/>
    <w:rsid w:val="001827B4"/>
    <w:rsid w:val="00182B4C"/>
    <w:rsid w:val="00182C03"/>
    <w:rsid w:val="00182E10"/>
    <w:rsid w:val="00182FA9"/>
    <w:rsid w:val="00183112"/>
    <w:rsid w:val="0018323A"/>
    <w:rsid w:val="00183371"/>
    <w:rsid w:val="0018370B"/>
    <w:rsid w:val="00183BA0"/>
    <w:rsid w:val="00183CE1"/>
    <w:rsid w:val="00183F7A"/>
    <w:rsid w:val="00183FBE"/>
    <w:rsid w:val="00184425"/>
    <w:rsid w:val="00184479"/>
    <w:rsid w:val="00184590"/>
    <w:rsid w:val="001848A4"/>
    <w:rsid w:val="00184995"/>
    <w:rsid w:val="00184D4D"/>
    <w:rsid w:val="00184EF0"/>
    <w:rsid w:val="0018501F"/>
    <w:rsid w:val="001850EE"/>
    <w:rsid w:val="00185105"/>
    <w:rsid w:val="0018512D"/>
    <w:rsid w:val="00185440"/>
    <w:rsid w:val="001854D7"/>
    <w:rsid w:val="00185787"/>
    <w:rsid w:val="0018581D"/>
    <w:rsid w:val="0018598C"/>
    <w:rsid w:val="00185AA0"/>
    <w:rsid w:val="00185B1D"/>
    <w:rsid w:val="00185C07"/>
    <w:rsid w:val="00185CFC"/>
    <w:rsid w:val="00185E7E"/>
    <w:rsid w:val="0018633A"/>
    <w:rsid w:val="001863BD"/>
    <w:rsid w:val="001864DC"/>
    <w:rsid w:val="00186AD5"/>
    <w:rsid w:val="00186C78"/>
    <w:rsid w:val="00186CFA"/>
    <w:rsid w:val="00187086"/>
    <w:rsid w:val="0018757F"/>
    <w:rsid w:val="001876D7"/>
    <w:rsid w:val="001878FF"/>
    <w:rsid w:val="0018799E"/>
    <w:rsid w:val="00187E13"/>
    <w:rsid w:val="001902C4"/>
    <w:rsid w:val="00190326"/>
    <w:rsid w:val="001908C8"/>
    <w:rsid w:val="00190BAD"/>
    <w:rsid w:val="001911CF"/>
    <w:rsid w:val="00191257"/>
    <w:rsid w:val="0019179A"/>
    <w:rsid w:val="001918B6"/>
    <w:rsid w:val="00191C7B"/>
    <w:rsid w:val="00191CEA"/>
    <w:rsid w:val="00191CF2"/>
    <w:rsid w:val="00192095"/>
    <w:rsid w:val="001924D2"/>
    <w:rsid w:val="00192DE6"/>
    <w:rsid w:val="001932AD"/>
    <w:rsid w:val="001932F6"/>
    <w:rsid w:val="00193304"/>
    <w:rsid w:val="00193466"/>
    <w:rsid w:val="001936D0"/>
    <w:rsid w:val="001936FC"/>
    <w:rsid w:val="00193767"/>
    <w:rsid w:val="001937B0"/>
    <w:rsid w:val="00193B76"/>
    <w:rsid w:val="00193CD1"/>
    <w:rsid w:val="00193D48"/>
    <w:rsid w:val="00193F80"/>
    <w:rsid w:val="001941C5"/>
    <w:rsid w:val="001944D8"/>
    <w:rsid w:val="001945D9"/>
    <w:rsid w:val="00194EC8"/>
    <w:rsid w:val="001950F0"/>
    <w:rsid w:val="0019544E"/>
    <w:rsid w:val="001954BA"/>
    <w:rsid w:val="0019553D"/>
    <w:rsid w:val="0019583A"/>
    <w:rsid w:val="00195899"/>
    <w:rsid w:val="0019597C"/>
    <w:rsid w:val="001959CA"/>
    <w:rsid w:val="00195AD4"/>
    <w:rsid w:val="00195E60"/>
    <w:rsid w:val="00196456"/>
    <w:rsid w:val="0019662F"/>
    <w:rsid w:val="00196708"/>
    <w:rsid w:val="001968AE"/>
    <w:rsid w:val="00196A50"/>
    <w:rsid w:val="00196A8B"/>
    <w:rsid w:val="00196C8E"/>
    <w:rsid w:val="00196F91"/>
    <w:rsid w:val="00197178"/>
    <w:rsid w:val="001973C9"/>
    <w:rsid w:val="001975AF"/>
    <w:rsid w:val="00197AE0"/>
    <w:rsid w:val="00197B4D"/>
    <w:rsid w:val="00197E16"/>
    <w:rsid w:val="00197F2B"/>
    <w:rsid w:val="00197FC0"/>
    <w:rsid w:val="001A01B4"/>
    <w:rsid w:val="001A0280"/>
    <w:rsid w:val="001A0283"/>
    <w:rsid w:val="001A02C8"/>
    <w:rsid w:val="001A0364"/>
    <w:rsid w:val="001A03F3"/>
    <w:rsid w:val="001A092D"/>
    <w:rsid w:val="001A0CBF"/>
    <w:rsid w:val="001A0D6A"/>
    <w:rsid w:val="001A0D93"/>
    <w:rsid w:val="001A0E68"/>
    <w:rsid w:val="001A0F8E"/>
    <w:rsid w:val="001A1206"/>
    <w:rsid w:val="001A122C"/>
    <w:rsid w:val="001A126E"/>
    <w:rsid w:val="001A1335"/>
    <w:rsid w:val="001A16E3"/>
    <w:rsid w:val="001A16F3"/>
    <w:rsid w:val="001A1D79"/>
    <w:rsid w:val="001A1DD2"/>
    <w:rsid w:val="001A1E05"/>
    <w:rsid w:val="001A1E29"/>
    <w:rsid w:val="001A1FD5"/>
    <w:rsid w:val="001A206C"/>
    <w:rsid w:val="001A2255"/>
    <w:rsid w:val="001A2591"/>
    <w:rsid w:val="001A25A0"/>
    <w:rsid w:val="001A28B3"/>
    <w:rsid w:val="001A295D"/>
    <w:rsid w:val="001A2B61"/>
    <w:rsid w:val="001A2E0D"/>
    <w:rsid w:val="001A2EE7"/>
    <w:rsid w:val="001A370C"/>
    <w:rsid w:val="001A372E"/>
    <w:rsid w:val="001A3B42"/>
    <w:rsid w:val="001A3DD6"/>
    <w:rsid w:val="001A3DEA"/>
    <w:rsid w:val="001A3FC2"/>
    <w:rsid w:val="001A40AD"/>
    <w:rsid w:val="001A41EB"/>
    <w:rsid w:val="001A423C"/>
    <w:rsid w:val="001A43E6"/>
    <w:rsid w:val="001A5279"/>
    <w:rsid w:val="001A5445"/>
    <w:rsid w:val="001A581F"/>
    <w:rsid w:val="001A59A7"/>
    <w:rsid w:val="001A5A51"/>
    <w:rsid w:val="001A5B64"/>
    <w:rsid w:val="001A5DCB"/>
    <w:rsid w:val="001A5E42"/>
    <w:rsid w:val="001A5FE2"/>
    <w:rsid w:val="001A6075"/>
    <w:rsid w:val="001A616C"/>
    <w:rsid w:val="001A62A2"/>
    <w:rsid w:val="001A6576"/>
    <w:rsid w:val="001A6B46"/>
    <w:rsid w:val="001A6C7D"/>
    <w:rsid w:val="001A6DC0"/>
    <w:rsid w:val="001A6F88"/>
    <w:rsid w:val="001A7045"/>
    <w:rsid w:val="001A7142"/>
    <w:rsid w:val="001A7164"/>
    <w:rsid w:val="001A726D"/>
    <w:rsid w:val="001A78D0"/>
    <w:rsid w:val="001A7BD2"/>
    <w:rsid w:val="001A7D24"/>
    <w:rsid w:val="001A7D3F"/>
    <w:rsid w:val="001A7FC1"/>
    <w:rsid w:val="001B0379"/>
    <w:rsid w:val="001B04B5"/>
    <w:rsid w:val="001B04DD"/>
    <w:rsid w:val="001B06DB"/>
    <w:rsid w:val="001B083F"/>
    <w:rsid w:val="001B095A"/>
    <w:rsid w:val="001B0CB8"/>
    <w:rsid w:val="001B0F67"/>
    <w:rsid w:val="001B10C2"/>
    <w:rsid w:val="001B131A"/>
    <w:rsid w:val="001B1320"/>
    <w:rsid w:val="001B14C5"/>
    <w:rsid w:val="001B16F3"/>
    <w:rsid w:val="001B1817"/>
    <w:rsid w:val="001B186F"/>
    <w:rsid w:val="001B1A3D"/>
    <w:rsid w:val="001B1ACE"/>
    <w:rsid w:val="001B1B10"/>
    <w:rsid w:val="001B1B70"/>
    <w:rsid w:val="001B1EA0"/>
    <w:rsid w:val="001B1FC4"/>
    <w:rsid w:val="001B22E7"/>
    <w:rsid w:val="001B2309"/>
    <w:rsid w:val="001B23F0"/>
    <w:rsid w:val="001B273D"/>
    <w:rsid w:val="001B2863"/>
    <w:rsid w:val="001B2A1B"/>
    <w:rsid w:val="001B2A61"/>
    <w:rsid w:val="001B352F"/>
    <w:rsid w:val="001B35DD"/>
    <w:rsid w:val="001B36E1"/>
    <w:rsid w:val="001B371B"/>
    <w:rsid w:val="001B3835"/>
    <w:rsid w:val="001B39DB"/>
    <w:rsid w:val="001B3A8A"/>
    <w:rsid w:val="001B3B24"/>
    <w:rsid w:val="001B3E33"/>
    <w:rsid w:val="001B4016"/>
    <w:rsid w:val="001B4261"/>
    <w:rsid w:val="001B4466"/>
    <w:rsid w:val="001B45EF"/>
    <w:rsid w:val="001B4671"/>
    <w:rsid w:val="001B4716"/>
    <w:rsid w:val="001B4EE8"/>
    <w:rsid w:val="001B5396"/>
    <w:rsid w:val="001B54A1"/>
    <w:rsid w:val="001B6291"/>
    <w:rsid w:val="001B62B0"/>
    <w:rsid w:val="001B68F2"/>
    <w:rsid w:val="001B6AF0"/>
    <w:rsid w:val="001B6B72"/>
    <w:rsid w:val="001B6E43"/>
    <w:rsid w:val="001B6FCF"/>
    <w:rsid w:val="001B7100"/>
    <w:rsid w:val="001B71E6"/>
    <w:rsid w:val="001B7673"/>
    <w:rsid w:val="001B767C"/>
    <w:rsid w:val="001B77AB"/>
    <w:rsid w:val="001B7826"/>
    <w:rsid w:val="001B789F"/>
    <w:rsid w:val="001B7ACC"/>
    <w:rsid w:val="001C02E0"/>
    <w:rsid w:val="001C05F4"/>
    <w:rsid w:val="001C077E"/>
    <w:rsid w:val="001C0A52"/>
    <w:rsid w:val="001C0AE7"/>
    <w:rsid w:val="001C0D83"/>
    <w:rsid w:val="001C0E23"/>
    <w:rsid w:val="001C1359"/>
    <w:rsid w:val="001C1371"/>
    <w:rsid w:val="001C15E9"/>
    <w:rsid w:val="001C16C5"/>
    <w:rsid w:val="001C16F4"/>
    <w:rsid w:val="001C1781"/>
    <w:rsid w:val="001C17D7"/>
    <w:rsid w:val="001C17EE"/>
    <w:rsid w:val="001C18A0"/>
    <w:rsid w:val="001C1B59"/>
    <w:rsid w:val="001C1C26"/>
    <w:rsid w:val="001C1C97"/>
    <w:rsid w:val="001C1D14"/>
    <w:rsid w:val="001C1D86"/>
    <w:rsid w:val="001C2256"/>
    <w:rsid w:val="001C22E6"/>
    <w:rsid w:val="001C2369"/>
    <w:rsid w:val="001C29AA"/>
    <w:rsid w:val="001C2B1A"/>
    <w:rsid w:val="001C32AC"/>
    <w:rsid w:val="001C355F"/>
    <w:rsid w:val="001C35F4"/>
    <w:rsid w:val="001C3636"/>
    <w:rsid w:val="001C36AE"/>
    <w:rsid w:val="001C382C"/>
    <w:rsid w:val="001C395A"/>
    <w:rsid w:val="001C3CE2"/>
    <w:rsid w:val="001C3D24"/>
    <w:rsid w:val="001C3DEE"/>
    <w:rsid w:val="001C421F"/>
    <w:rsid w:val="001C42CD"/>
    <w:rsid w:val="001C434F"/>
    <w:rsid w:val="001C4451"/>
    <w:rsid w:val="001C47F7"/>
    <w:rsid w:val="001C481F"/>
    <w:rsid w:val="001C48F6"/>
    <w:rsid w:val="001C491D"/>
    <w:rsid w:val="001C4998"/>
    <w:rsid w:val="001C4B11"/>
    <w:rsid w:val="001C4BFF"/>
    <w:rsid w:val="001C4CCA"/>
    <w:rsid w:val="001C4D1B"/>
    <w:rsid w:val="001C4DEE"/>
    <w:rsid w:val="001C56B6"/>
    <w:rsid w:val="001C57F1"/>
    <w:rsid w:val="001C57F3"/>
    <w:rsid w:val="001C5818"/>
    <w:rsid w:val="001C5D32"/>
    <w:rsid w:val="001C5E44"/>
    <w:rsid w:val="001C6160"/>
    <w:rsid w:val="001C625D"/>
    <w:rsid w:val="001C66B7"/>
    <w:rsid w:val="001C67FE"/>
    <w:rsid w:val="001C68C4"/>
    <w:rsid w:val="001C693F"/>
    <w:rsid w:val="001C6C5B"/>
    <w:rsid w:val="001C6DAF"/>
    <w:rsid w:val="001C6DC1"/>
    <w:rsid w:val="001C6FD7"/>
    <w:rsid w:val="001C7209"/>
    <w:rsid w:val="001C76DD"/>
    <w:rsid w:val="001C7B0F"/>
    <w:rsid w:val="001C7B94"/>
    <w:rsid w:val="001C7BD0"/>
    <w:rsid w:val="001C7DD3"/>
    <w:rsid w:val="001D00DA"/>
    <w:rsid w:val="001D048C"/>
    <w:rsid w:val="001D07CF"/>
    <w:rsid w:val="001D081B"/>
    <w:rsid w:val="001D0889"/>
    <w:rsid w:val="001D0A7E"/>
    <w:rsid w:val="001D0C1B"/>
    <w:rsid w:val="001D0DCD"/>
    <w:rsid w:val="001D0E08"/>
    <w:rsid w:val="001D11C8"/>
    <w:rsid w:val="001D15A8"/>
    <w:rsid w:val="001D1977"/>
    <w:rsid w:val="001D1AA5"/>
    <w:rsid w:val="001D1B20"/>
    <w:rsid w:val="001D1DCF"/>
    <w:rsid w:val="001D1FAE"/>
    <w:rsid w:val="001D1FC4"/>
    <w:rsid w:val="001D2745"/>
    <w:rsid w:val="001D29CD"/>
    <w:rsid w:val="001D2A20"/>
    <w:rsid w:val="001D2F0B"/>
    <w:rsid w:val="001D2FE9"/>
    <w:rsid w:val="001D34F6"/>
    <w:rsid w:val="001D3BCD"/>
    <w:rsid w:val="001D3BD2"/>
    <w:rsid w:val="001D3C42"/>
    <w:rsid w:val="001D3DAE"/>
    <w:rsid w:val="001D4107"/>
    <w:rsid w:val="001D410A"/>
    <w:rsid w:val="001D4331"/>
    <w:rsid w:val="001D4463"/>
    <w:rsid w:val="001D44D4"/>
    <w:rsid w:val="001D44FE"/>
    <w:rsid w:val="001D46C0"/>
    <w:rsid w:val="001D488E"/>
    <w:rsid w:val="001D48BF"/>
    <w:rsid w:val="001D4C46"/>
    <w:rsid w:val="001D52E4"/>
    <w:rsid w:val="001D5409"/>
    <w:rsid w:val="001D54AE"/>
    <w:rsid w:val="001D54FD"/>
    <w:rsid w:val="001D56B7"/>
    <w:rsid w:val="001D5929"/>
    <w:rsid w:val="001D599A"/>
    <w:rsid w:val="001D5AE7"/>
    <w:rsid w:val="001D5D57"/>
    <w:rsid w:val="001D5DCE"/>
    <w:rsid w:val="001D5E1B"/>
    <w:rsid w:val="001D5E34"/>
    <w:rsid w:val="001D5F47"/>
    <w:rsid w:val="001D5FAE"/>
    <w:rsid w:val="001D6197"/>
    <w:rsid w:val="001D64ED"/>
    <w:rsid w:val="001D671F"/>
    <w:rsid w:val="001D6AFF"/>
    <w:rsid w:val="001D6D51"/>
    <w:rsid w:val="001D7211"/>
    <w:rsid w:val="001D7250"/>
    <w:rsid w:val="001D7907"/>
    <w:rsid w:val="001D7C74"/>
    <w:rsid w:val="001D7D99"/>
    <w:rsid w:val="001D7F91"/>
    <w:rsid w:val="001E0036"/>
    <w:rsid w:val="001E0268"/>
    <w:rsid w:val="001E03AF"/>
    <w:rsid w:val="001E07A3"/>
    <w:rsid w:val="001E0933"/>
    <w:rsid w:val="001E0B37"/>
    <w:rsid w:val="001E0CFE"/>
    <w:rsid w:val="001E0F11"/>
    <w:rsid w:val="001E1271"/>
    <w:rsid w:val="001E12E9"/>
    <w:rsid w:val="001E1339"/>
    <w:rsid w:val="001E15D4"/>
    <w:rsid w:val="001E1617"/>
    <w:rsid w:val="001E169B"/>
    <w:rsid w:val="001E175B"/>
    <w:rsid w:val="001E1F1E"/>
    <w:rsid w:val="001E1F47"/>
    <w:rsid w:val="001E23FD"/>
    <w:rsid w:val="001E241D"/>
    <w:rsid w:val="001E2B78"/>
    <w:rsid w:val="001E2C3E"/>
    <w:rsid w:val="001E2C42"/>
    <w:rsid w:val="001E2D89"/>
    <w:rsid w:val="001E30FC"/>
    <w:rsid w:val="001E3685"/>
    <w:rsid w:val="001E3A37"/>
    <w:rsid w:val="001E3B13"/>
    <w:rsid w:val="001E3CF3"/>
    <w:rsid w:val="001E3EC9"/>
    <w:rsid w:val="001E3F13"/>
    <w:rsid w:val="001E43C4"/>
    <w:rsid w:val="001E4448"/>
    <w:rsid w:val="001E4718"/>
    <w:rsid w:val="001E4B8F"/>
    <w:rsid w:val="001E4F9C"/>
    <w:rsid w:val="001E50E9"/>
    <w:rsid w:val="001E5108"/>
    <w:rsid w:val="001E5215"/>
    <w:rsid w:val="001E524C"/>
    <w:rsid w:val="001E5433"/>
    <w:rsid w:val="001E5623"/>
    <w:rsid w:val="001E5759"/>
    <w:rsid w:val="001E5B07"/>
    <w:rsid w:val="001E63C0"/>
    <w:rsid w:val="001E6403"/>
    <w:rsid w:val="001E6576"/>
    <w:rsid w:val="001E6C20"/>
    <w:rsid w:val="001E6E75"/>
    <w:rsid w:val="001E7344"/>
    <w:rsid w:val="001E7814"/>
    <w:rsid w:val="001E7820"/>
    <w:rsid w:val="001E7A02"/>
    <w:rsid w:val="001E7B1B"/>
    <w:rsid w:val="001E7CF1"/>
    <w:rsid w:val="001E7EAE"/>
    <w:rsid w:val="001F007E"/>
    <w:rsid w:val="001F0132"/>
    <w:rsid w:val="001F03E0"/>
    <w:rsid w:val="001F042F"/>
    <w:rsid w:val="001F087A"/>
    <w:rsid w:val="001F098C"/>
    <w:rsid w:val="001F099E"/>
    <w:rsid w:val="001F0A69"/>
    <w:rsid w:val="001F0F02"/>
    <w:rsid w:val="001F156B"/>
    <w:rsid w:val="001F15F1"/>
    <w:rsid w:val="001F15F5"/>
    <w:rsid w:val="001F1667"/>
    <w:rsid w:val="001F1D69"/>
    <w:rsid w:val="001F2403"/>
    <w:rsid w:val="001F25AE"/>
    <w:rsid w:val="001F25D0"/>
    <w:rsid w:val="001F289C"/>
    <w:rsid w:val="001F2A06"/>
    <w:rsid w:val="001F2EF3"/>
    <w:rsid w:val="001F3006"/>
    <w:rsid w:val="001F3028"/>
    <w:rsid w:val="001F30FE"/>
    <w:rsid w:val="001F330C"/>
    <w:rsid w:val="001F38A3"/>
    <w:rsid w:val="001F3915"/>
    <w:rsid w:val="001F3B96"/>
    <w:rsid w:val="001F3C63"/>
    <w:rsid w:val="001F3D32"/>
    <w:rsid w:val="001F4074"/>
    <w:rsid w:val="001F43D7"/>
    <w:rsid w:val="001F4441"/>
    <w:rsid w:val="001F4600"/>
    <w:rsid w:val="001F4825"/>
    <w:rsid w:val="001F48FF"/>
    <w:rsid w:val="001F4BC7"/>
    <w:rsid w:val="001F539C"/>
    <w:rsid w:val="001F56FD"/>
    <w:rsid w:val="001F5A5F"/>
    <w:rsid w:val="001F5BB2"/>
    <w:rsid w:val="001F5F66"/>
    <w:rsid w:val="001F633A"/>
    <w:rsid w:val="001F63F1"/>
    <w:rsid w:val="001F68AB"/>
    <w:rsid w:val="001F6F10"/>
    <w:rsid w:val="001F70B1"/>
    <w:rsid w:val="001F7158"/>
    <w:rsid w:val="001F7213"/>
    <w:rsid w:val="001F7259"/>
    <w:rsid w:val="001F7388"/>
    <w:rsid w:val="001F73B4"/>
    <w:rsid w:val="001F7567"/>
    <w:rsid w:val="001F78C5"/>
    <w:rsid w:val="001F7912"/>
    <w:rsid w:val="001F7D7E"/>
    <w:rsid w:val="00200202"/>
    <w:rsid w:val="00200364"/>
    <w:rsid w:val="002003DC"/>
    <w:rsid w:val="002008E5"/>
    <w:rsid w:val="00200AD0"/>
    <w:rsid w:val="00200C13"/>
    <w:rsid w:val="00201078"/>
    <w:rsid w:val="00201098"/>
    <w:rsid w:val="002011C5"/>
    <w:rsid w:val="00201352"/>
    <w:rsid w:val="00201471"/>
    <w:rsid w:val="00201706"/>
    <w:rsid w:val="00201C19"/>
    <w:rsid w:val="00201D54"/>
    <w:rsid w:val="00201DB1"/>
    <w:rsid w:val="00201F0E"/>
    <w:rsid w:val="00201FAA"/>
    <w:rsid w:val="00202420"/>
    <w:rsid w:val="0020265C"/>
    <w:rsid w:val="00202A38"/>
    <w:rsid w:val="00202B84"/>
    <w:rsid w:val="00202C30"/>
    <w:rsid w:val="00202F3D"/>
    <w:rsid w:val="00202FEB"/>
    <w:rsid w:val="0020309C"/>
    <w:rsid w:val="002030EA"/>
    <w:rsid w:val="00203382"/>
    <w:rsid w:val="002033E1"/>
    <w:rsid w:val="00203CF2"/>
    <w:rsid w:val="002044CF"/>
    <w:rsid w:val="0020451E"/>
    <w:rsid w:val="0020489D"/>
    <w:rsid w:val="002048CF"/>
    <w:rsid w:val="002048F0"/>
    <w:rsid w:val="002049B2"/>
    <w:rsid w:val="00204A63"/>
    <w:rsid w:val="00204B39"/>
    <w:rsid w:val="00205200"/>
    <w:rsid w:val="002052D7"/>
    <w:rsid w:val="00205A74"/>
    <w:rsid w:val="00205E1A"/>
    <w:rsid w:val="00205EC0"/>
    <w:rsid w:val="00205FE6"/>
    <w:rsid w:val="002061E4"/>
    <w:rsid w:val="00206893"/>
    <w:rsid w:val="002069F0"/>
    <w:rsid w:val="00206B9D"/>
    <w:rsid w:val="00206D36"/>
    <w:rsid w:val="00206DAC"/>
    <w:rsid w:val="00206E10"/>
    <w:rsid w:val="00206F88"/>
    <w:rsid w:val="00207286"/>
    <w:rsid w:val="00207343"/>
    <w:rsid w:val="002075C3"/>
    <w:rsid w:val="00207654"/>
    <w:rsid w:val="002076E8"/>
    <w:rsid w:val="00207819"/>
    <w:rsid w:val="002079D7"/>
    <w:rsid w:val="002079D9"/>
    <w:rsid w:val="00207DD4"/>
    <w:rsid w:val="00210C65"/>
    <w:rsid w:val="00210FFB"/>
    <w:rsid w:val="00211253"/>
    <w:rsid w:val="0021129F"/>
    <w:rsid w:val="00211925"/>
    <w:rsid w:val="00211980"/>
    <w:rsid w:val="00211C9A"/>
    <w:rsid w:val="00211DC7"/>
    <w:rsid w:val="00211ED8"/>
    <w:rsid w:val="002120A9"/>
    <w:rsid w:val="00212242"/>
    <w:rsid w:val="0021238D"/>
    <w:rsid w:val="002124CE"/>
    <w:rsid w:val="002126E9"/>
    <w:rsid w:val="00212943"/>
    <w:rsid w:val="002129C6"/>
    <w:rsid w:val="00212EC0"/>
    <w:rsid w:val="00212EDB"/>
    <w:rsid w:val="002132E5"/>
    <w:rsid w:val="002132EA"/>
    <w:rsid w:val="002132F5"/>
    <w:rsid w:val="002133F7"/>
    <w:rsid w:val="00213538"/>
    <w:rsid w:val="0021353B"/>
    <w:rsid w:val="002136CE"/>
    <w:rsid w:val="002136DF"/>
    <w:rsid w:val="00213768"/>
    <w:rsid w:val="00213BBF"/>
    <w:rsid w:val="00213BFB"/>
    <w:rsid w:val="00213CA4"/>
    <w:rsid w:val="00213E9B"/>
    <w:rsid w:val="002141C1"/>
    <w:rsid w:val="0021434C"/>
    <w:rsid w:val="002145FB"/>
    <w:rsid w:val="00214C14"/>
    <w:rsid w:val="00214CF7"/>
    <w:rsid w:val="00214D54"/>
    <w:rsid w:val="00214DB0"/>
    <w:rsid w:val="00214E32"/>
    <w:rsid w:val="002151C2"/>
    <w:rsid w:val="0021530F"/>
    <w:rsid w:val="00215392"/>
    <w:rsid w:val="0021566B"/>
    <w:rsid w:val="002156E0"/>
    <w:rsid w:val="00215785"/>
    <w:rsid w:val="002159F0"/>
    <w:rsid w:val="00215D4D"/>
    <w:rsid w:val="00215E55"/>
    <w:rsid w:val="00215EA6"/>
    <w:rsid w:val="00215EDA"/>
    <w:rsid w:val="0021600D"/>
    <w:rsid w:val="00216051"/>
    <w:rsid w:val="0021607D"/>
    <w:rsid w:val="002160A3"/>
    <w:rsid w:val="00216707"/>
    <w:rsid w:val="0021685A"/>
    <w:rsid w:val="00216862"/>
    <w:rsid w:val="00216AD9"/>
    <w:rsid w:val="00216E9E"/>
    <w:rsid w:val="00217419"/>
    <w:rsid w:val="0021775D"/>
    <w:rsid w:val="002177AE"/>
    <w:rsid w:val="00217B08"/>
    <w:rsid w:val="00217B67"/>
    <w:rsid w:val="00220094"/>
    <w:rsid w:val="00220301"/>
    <w:rsid w:val="0022038A"/>
    <w:rsid w:val="0022045B"/>
    <w:rsid w:val="0022051A"/>
    <w:rsid w:val="00220588"/>
    <w:rsid w:val="00220732"/>
    <w:rsid w:val="0022078A"/>
    <w:rsid w:val="00220D78"/>
    <w:rsid w:val="00220DE2"/>
    <w:rsid w:val="0022121F"/>
    <w:rsid w:val="00221AAB"/>
    <w:rsid w:val="00221B7A"/>
    <w:rsid w:val="00221CC8"/>
    <w:rsid w:val="00221FAA"/>
    <w:rsid w:val="0022224E"/>
    <w:rsid w:val="00222304"/>
    <w:rsid w:val="002223E2"/>
    <w:rsid w:val="00222523"/>
    <w:rsid w:val="0022279B"/>
    <w:rsid w:val="002227D2"/>
    <w:rsid w:val="00222928"/>
    <w:rsid w:val="00222CCC"/>
    <w:rsid w:val="00222D60"/>
    <w:rsid w:val="00222D9D"/>
    <w:rsid w:val="00222DD0"/>
    <w:rsid w:val="00222E99"/>
    <w:rsid w:val="00223246"/>
    <w:rsid w:val="0022328B"/>
    <w:rsid w:val="002233BF"/>
    <w:rsid w:val="00223483"/>
    <w:rsid w:val="0022372B"/>
    <w:rsid w:val="0022385A"/>
    <w:rsid w:val="002239D1"/>
    <w:rsid w:val="00223CC8"/>
    <w:rsid w:val="00223DB2"/>
    <w:rsid w:val="00224061"/>
    <w:rsid w:val="002240DF"/>
    <w:rsid w:val="00224CDE"/>
    <w:rsid w:val="00224D27"/>
    <w:rsid w:val="00224DF1"/>
    <w:rsid w:val="00224EE6"/>
    <w:rsid w:val="00224F8F"/>
    <w:rsid w:val="002252E1"/>
    <w:rsid w:val="00225375"/>
    <w:rsid w:val="002253BF"/>
    <w:rsid w:val="0022564C"/>
    <w:rsid w:val="002256DB"/>
    <w:rsid w:val="002256E0"/>
    <w:rsid w:val="00225748"/>
    <w:rsid w:val="00225CEA"/>
    <w:rsid w:val="00225DAA"/>
    <w:rsid w:val="00226312"/>
    <w:rsid w:val="002263F5"/>
    <w:rsid w:val="002267E3"/>
    <w:rsid w:val="002269F8"/>
    <w:rsid w:val="00226B64"/>
    <w:rsid w:val="00226BB3"/>
    <w:rsid w:val="002270DE"/>
    <w:rsid w:val="00227104"/>
    <w:rsid w:val="002271FB"/>
    <w:rsid w:val="002272FA"/>
    <w:rsid w:val="002273BF"/>
    <w:rsid w:val="00227477"/>
    <w:rsid w:val="00227753"/>
    <w:rsid w:val="002279FA"/>
    <w:rsid w:val="0023037B"/>
    <w:rsid w:val="002303A0"/>
    <w:rsid w:val="00230578"/>
    <w:rsid w:val="002305CB"/>
    <w:rsid w:val="00230631"/>
    <w:rsid w:val="002306C0"/>
    <w:rsid w:val="00230891"/>
    <w:rsid w:val="00230B37"/>
    <w:rsid w:val="00230B84"/>
    <w:rsid w:val="00230EB4"/>
    <w:rsid w:val="00230F5D"/>
    <w:rsid w:val="00230FB6"/>
    <w:rsid w:val="002310F7"/>
    <w:rsid w:val="0023116F"/>
    <w:rsid w:val="00231495"/>
    <w:rsid w:val="00231A80"/>
    <w:rsid w:val="00231A9A"/>
    <w:rsid w:val="00231B5F"/>
    <w:rsid w:val="00231CC9"/>
    <w:rsid w:val="00231FB7"/>
    <w:rsid w:val="00232383"/>
    <w:rsid w:val="002323E7"/>
    <w:rsid w:val="00232639"/>
    <w:rsid w:val="002326CD"/>
    <w:rsid w:val="00232A12"/>
    <w:rsid w:val="00232AD9"/>
    <w:rsid w:val="002330AE"/>
    <w:rsid w:val="00233228"/>
    <w:rsid w:val="00233954"/>
    <w:rsid w:val="00233AB7"/>
    <w:rsid w:val="00233BB2"/>
    <w:rsid w:val="00233F28"/>
    <w:rsid w:val="00234508"/>
    <w:rsid w:val="00234626"/>
    <w:rsid w:val="002347DD"/>
    <w:rsid w:val="00234AFA"/>
    <w:rsid w:val="00234B66"/>
    <w:rsid w:val="00234BBA"/>
    <w:rsid w:val="00234C13"/>
    <w:rsid w:val="00234D30"/>
    <w:rsid w:val="00234E0B"/>
    <w:rsid w:val="00234E95"/>
    <w:rsid w:val="00235052"/>
    <w:rsid w:val="00235C51"/>
    <w:rsid w:val="00235F27"/>
    <w:rsid w:val="00235F38"/>
    <w:rsid w:val="0023600C"/>
    <w:rsid w:val="00236053"/>
    <w:rsid w:val="002363F9"/>
    <w:rsid w:val="00236433"/>
    <w:rsid w:val="002364D7"/>
    <w:rsid w:val="00236501"/>
    <w:rsid w:val="00236622"/>
    <w:rsid w:val="002368C9"/>
    <w:rsid w:val="00236BBF"/>
    <w:rsid w:val="00236DB0"/>
    <w:rsid w:val="00236E67"/>
    <w:rsid w:val="00236F0F"/>
    <w:rsid w:val="00236F2B"/>
    <w:rsid w:val="00236F2D"/>
    <w:rsid w:val="00237014"/>
    <w:rsid w:val="002373B7"/>
    <w:rsid w:val="00237582"/>
    <w:rsid w:val="00237FF2"/>
    <w:rsid w:val="00240262"/>
    <w:rsid w:val="002402AC"/>
    <w:rsid w:val="00240408"/>
    <w:rsid w:val="00240631"/>
    <w:rsid w:val="00240DCB"/>
    <w:rsid w:val="00240E20"/>
    <w:rsid w:val="002410D4"/>
    <w:rsid w:val="00241468"/>
    <w:rsid w:val="00241650"/>
    <w:rsid w:val="002416C8"/>
    <w:rsid w:val="002418C4"/>
    <w:rsid w:val="00241987"/>
    <w:rsid w:val="00241B01"/>
    <w:rsid w:val="00241BCB"/>
    <w:rsid w:val="00241D87"/>
    <w:rsid w:val="002422C4"/>
    <w:rsid w:val="002422DC"/>
    <w:rsid w:val="002425A1"/>
    <w:rsid w:val="002425B3"/>
    <w:rsid w:val="002426E2"/>
    <w:rsid w:val="002428AD"/>
    <w:rsid w:val="002428AE"/>
    <w:rsid w:val="00242B0E"/>
    <w:rsid w:val="00242BCE"/>
    <w:rsid w:val="00242EDB"/>
    <w:rsid w:val="00242FD5"/>
    <w:rsid w:val="0024345F"/>
    <w:rsid w:val="002437D0"/>
    <w:rsid w:val="00243A6F"/>
    <w:rsid w:val="00243AAF"/>
    <w:rsid w:val="00243D56"/>
    <w:rsid w:val="00243E1D"/>
    <w:rsid w:val="0024423D"/>
    <w:rsid w:val="00244353"/>
    <w:rsid w:val="00244655"/>
    <w:rsid w:val="0024489F"/>
    <w:rsid w:val="00244A03"/>
    <w:rsid w:val="00244E81"/>
    <w:rsid w:val="002454AB"/>
    <w:rsid w:val="00245699"/>
    <w:rsid w:val="0024598B"/>
    <w:rsid w:val="00245ED5"/>
    <w:rsid w:val="00246091"/>
    <w:rsid w:val="002461DB"/>
    <w:rsid w:val="002462D4"/>
    <w:rsid w:val="002463DD"/>
    <w:rsid w:val="00246438"/>
    <w:rsid w:val="00246C78"/>
    <w:rsid w:val="00246D37"/>
    <w:rsid w:val="002471BD"/>
    <w:rsid w:val="00247706"/>
    <w:rsid w:val="00247819"/>
    <w:rsid w:val="002478AA"/>
    <w:rsid w:val="00247A4B"/>
    <w:rsid w:val="00247A60"/>
    <w:rsid w:val="00247A99"/>
    <w:rsid w:val="002500E2"/>
    <w:rsid w:val="00250A86"/>
    <w:rsid w:val="00250B41"/>
    <w:rsid w:val="00250F58"/>
    <w:rsid w:val="00250FB2"/>
    <w:rsid w:val="002510D5"/>
    <w:rsid w:val="00251173"/>
    <w:rsid w:val="00251563"/>
    <w:rsid w:val="002518D7"/>
    <w:rsid w:val="002519CD"/>
    <w:rsid w:val="00251A71"/>
    <w:rsid w:val="00251B9A"/>
    <w:rsid w:val="00251C2F"/>
    <w:rsid w:val="00251DF7"/>
    <w:rsid w:val="00252217"/>
    <w:rsid w:val="00252A5E"/>
    <w:rsid w:val="00252FF2"/>
    <w:rsid w:val="002533D3"/>
    <w:rsid w:val="00253582"/>
    <w:rsid w:val="002539B2"/>
    <w:rsid w:val="002539E9"/>
    <w:rsid w:val="00253BD9"/>
    <w:rsid w:val="00254370"/>
    <w:rsid w:val="002545B9"/>
    <w:rsid w:val="00254A99"/>
    <w:rsid w:val="0025507B"/>
    <w:rsid w:val="002550FC"/>
    <w:rsid w:val="00255248"/>
    <w:rsid w:val="00255783"/>
    <w:rsid w:val="002559F2"/>
    <w:rsid w:val="00255B32"/>
    <w:rsid w:val="00255BED"/>
    <w:rsid w:val="00255D74"/>
    <w:rsid w:val="00256214"/>
    <w:rsid w:val="0025629F"/>
    <w:rsid w:val="00256313"/>
    <w:rsid w:val="0025642D"/>
    <w:rsid w:val="0025658E"/>
    <w:rsid w:val="00256843"/>
    <w:rsid w:val="00256DD6"/>
    <w:rsid w:val="00256FA5"/>
    <w:rsid w:val="0025706C"/>
    <w:rsid w:val="00257091"/>
    <w:rsid w:val="002571F4"/>
    <w:rsid w:val="00257B4C"/>
    <w:rsid w:val="00257C62"/>
    <w:rsid w:val="00257D3B"/>
    <w:rsid w:val="00260067"/>
    <w:rsid w:val="00260476"/>
    <w:rsid w:val="00260965"/>
    <w:rsid w:val="002609FB"/>
    <w:rsid w:val="00260A50"/>
    <w:rsid w:val="00260B2C"/>
    <w:rsid w:val="00260BAD"/>
    <w:rsid w:val="00260DB4"/>
    <w:rsid w:val="00260E0D"/>
    <w:rsid w:val="00260F19"/>
    <w:rsid w:val="002610A2"/>
    <w:rsid w:val="002614AF"/>
    <w:rsid w:val="00261691"/>
    <w:rsid w:val="00261925"/>
    <w:rsid w:val="00261A85"/>
    <w:rsid w:val="00261B41"/>
    <w:rsid w:val="00261F50"/>
    <w:rsid w:val="00262059"/>
    <w:rsid w:val="00262310"/>
    <w:rsid w:val="002627B8"/>
    <w:rsid w:val="00262983"/>
    <w:rsid w:val="00262B45"/>
    <w:rsid w:val="00262B57"/>
    <w:rsid w:val="002634B4"/>
    <w:rsid w:val="00263AA2"/>
    <w:rsid w:val="00263B86"/>
    <w:rsid w:val="00263DD7"/>
    <w:rsid w:val="002640D2"/>
    <w:rsid w:val="002644CE"/>
    <w:rsid w:val="0026461B"/>
    <w:rsid w:val="00264779"/>
    <w:rsid w:val="00264889"/>
    <w:rsid w:val="00264AD4"/>
    <w:rsid w:val="00264B08"/>
    <w:rsid w:val="00264BD7"/>
    <w:rsid w:val="00265105"/>
    <w:rsid w:val="0026517D"/>
    <w:rsid w:val="00265207"/>
    <w:rsid w:val="00265571"/>
    <w:rsid w:val="002655D3"/>
    <w:rsid w:val="00265773"/>
    <w:rsid w:val="00265876"/>
    <w:rsid w:val="0026589E"/>
    <w:rsid w:val="0026592D"/>
    <w:rsid w:val="00265B4D"/>
    <w:rsid w:val="00265BE1"/>
    <w:rsid w:val="00265F97"/>
    <w:rsid w:val="0026601A"/>
    <w:rsid w:val="002660EA"/>
    <w:rsid w:val="002665AA"/>
    <w:rsid w:val="00266AA9"/>
    <w:rsid w:val="00266E16"/>
    <w:rsid w:val="002672C5"/>
    <w:rsid w:val="002673AB"/>
    <w:rsid w:val="00267559"/>
    <w:rsid w:val="002675A1"/>
    <w:rsid w:val="002678EE"/>
    <w:rsid w:val="00267903"/>
    <w:rsid w:val="00267C93"/>
    <w:rsid w:val="00267F23"/>
    <w:rsid w:val="002701AB"/>
    <w:rsid w:val="002709DB"/>
    <w:rsid w:val="00270AE2"/>
    <w:rsid w:val="00271D53"/>
    <w:rsid w:val="0027204F"/>
    <w:rsid w:val="0027232F"/>
    <w:rsid w:val="00272425"/>
    <w:rsid w:val="00272621"/>
    <w:rsid w:val="00272B9B"/>
    <w:rsid w:val="00273522"/>
    <w:rsid w:val="00273B35"/>
    <w:rsid w:val="00273D17"/>
    <w:rsid w:val="00273EDD"/>
    <w:rsid w:val="0027424F"/>
    <w:rsid w:val="002746CF"/>
    <w:rsid w:val="00274758"/>
    <w:rsid w:val="00274B51"/>
    <w:rsid w:val="00274E8C"/>
    <w:rsid w:val="00274FC5"/>
    <w:rsid w:val="00275043"/>
    <w:rsid w:val="002751BF"/>
    <w:rsid w:val="002753CA"/>
    <w:rsid w:val="0027551C"/>
    <w:rsid w:val="0027555F"/>
    <w:rsid w:val="002758EA"/>
    <w:rsid w:val="002759E6"/>
    <w:rsid w:val="00275D2D"/>
    <w:rsid w:val="002761CB"/>
    <w:rsid w:val="002762AD"/>
    <w:rsid w:val="00276313"/>
    <w:rsid w:val="002766CA"/>
    <w:rsid w:val="002767F7"/>
    <w:rsid w:val="00276A43"/>
    <w:rsid w:val="00276E1B"/>
    <w:rsid w:val="0027704D"/>
    <w:rsid w:val="00277097"/>
    <w:rsid w:val="002770ED"/>
    <w:rsid w:val="002770F2"/>
    <w:rsid w:val="00277686"/>
    <w:rsid w:val="002776CB"/>
    <w:rsid w:val="00277807"/>
    <w:rsid w:val="002778CE"/>
    <w:rsid w:val="00277F1A"/>
    <w:rsid w:val="00280179"/>
    <w:rsid w:val="00280374"/>
    <w:rsid w:val="00280577"/>
    <w:rsid w:val="00280C3B"/>
    <w:rsid w:val="00280EE1"/>
    <w:rsid w:val="0028113E"/>
    <w:rsid w:val="002816A3"/>
    <w:rsid w:val="00281BA2"/>
    <w:rsid w:val="00281CA3"/>
    <w:rsid w:val="00281F7C"/>
    <w:rsid w:val="00281FD3"/>
    <w:rsid w:val="00282003"/>
    <w:rsid w:val="00282073"/>
    <w:rsid w:val="002820D1"/>
    <w:rsid w:val="0028214E"/>
    <w:rsid w:val="0028235D"/>
    <w:rsid w:val="002824BD"/>
    <w:rsid w:val="0028296E"/>
    <w:rsid w:val="00282C87"/>
    <w:rsid w:val="00282D8A"/>
    <w:rsid w:val="00282F4D"/>
    <w:rsid w:val="00282F9A"/>
    <w:rsid w:val="00282FD6"/>
    <w:rsid w:val="002830DE"/>
    <w:rsid w:val="002830EC"/>
    <w:rsid w:val="002835BE"/>
    <w:rsid w:val="00283684"/>
    <w:rsid w:val="0028385D"/>
    <w:rsid w:val="00283D5C"/>
    <w:rsid w:val="00283EB2"/>
    <w:rsid w:val="002840DE"/>
    <w:rsid w:val="00284165"/>
    <w:rsid w:val="002841CA"/>
    <w:rsid w:val="00284332"/>
    <w:rsid w:val="002843ED"/>
    <w:rsid w:val="00284722"/>
    <w:rsid w:val="002847BD"/>
    <w:rsid w:val="00284813"/>
    <w:rsid w:val="00284BC9"/>
    <w:rsid w:val="00284CD2"/>
    <w:rsid w:val="00284D3A"/>
    <w:rsid w:val="00284DEC"/>
    <w:rsid w:val="0028500B"/>
    <w:rsid w:val="002852AA"/>
    <w:rsid w:val="0028577E"/>
    <w:rsid w:val="00285A4A"/>
    <w:rsid w:val="002860E9"/>
    <w:rsid w:val="0028638A"/>
    <w:rsid w:val="002865C9"/>
    <w:rsid w:val="002867F9"/>
    <w:rsid w:val="00286B71"/>
    <w:rsid w:val="00286C66"/>
    <w:rsid w:val="00287299"/>
    <w:rsid w:val="00287349"/>
    <w:rsid w:val="00287454"/>
    <w:rsid w:val="002874E3"/>
    <w:rsid w:val="0028795F"/>
    <w:rsid w:val="00287C19"/>
    <w:rsid w:val="00287CBB"/>
    <w:rsid w:val="0029000C"/>
    <w:rsid w:val="00290062"/>
    <w:rsid w:val="00290769"/>
    <w:rsid w:val="00290821"/>
    <w:rsid w:val="00290AD0"/>
    <w:rsid w:val="00290ADC"/>
    <w:rsid w:val="00290CB6"/>
    <w:rsid w:val="00290E42"/>
    <w:rsid w:val="00290F05"/>
    <w:rsid w:val="002913BD"/>
    <w:rsid w:val="002916BE"/>
    <w:rsid w:val="00291851"/>
    <w:rsid w:val="0029185C"/>
    <w:rsid w:val="00291A08"/>
    <w:rsid w:val="00291A2B"/>
    <w:rsid w:val="00291DDF"/>
    <w:rsid w:val="00292A22"/>
    <w:rsid w:val="00292B01"/>
    <w:rsid w:val="00292C7B"/>
    <w:rsid w:val="00292CDE"/>
    <w:rsid w:val="00292CE7"/>
    <w:rsid w:val="00292F03"/>
    <w:rsid w:val="00292F57"/>
    <w:rsid w:val="002932AF"/>
    <w:rsid w:val="00293395"/>
    <w:rsid w:val="002933CE"/>
    <w:rsid w:val="002934D7"/>
    <w:rsid w:val="002934E4"/>
    <w:rsid w:val="00293A11"/>
    <w:rsid w:val="00293C58"/>
    <w:rsid w:val="00293FB6"/>
    <w:rsid w:val="00294080"/>
    <w:rsid w:val="0029411F"/>
    <w:rsid w:val="0029450E"/>
    <w:rsid w:val="002946CB"/>
    <w:rsid w:val="00294D40"/>
    <w:rsid w:val="00294EAA"/>
    <w:rsid w:val="00294F8D"/>
    <w:rsid w:val="00295066"/>
    <w:rsid w:val="0029520D"/>
    <w:rsid w:val="0029531E"/>
    <w:rsid w:val="00295567"/>
    <w:rsid w:val="0029564E"/>
    <w:rsid w:val="00295650"/>
    <w:rsid w:val="00295738"/>
    <w:rsid w:val="00295A90"/>
    <w:rsid w:val="00295B40"/>
    <w:rsid w:val="00295BC2"/>
    <w:rsid w:val="00295E08"/>
    <w:rsid w:val="00295E48"/>
    <w:rsid w:val="00295FEF"/>
    <w:rsid w:val="002961ED"/>
    <w:rsid w:val="00296813"/>
    <w:rsid w:val="00296A73"/>
    <w:rsid w:val="00296C33"/>
    <w:rsid w:val="00296DF4"/>
    <w:rsid w:val="00296FDC"/>
    <w:rsid w:val="002972C3"/>
    <w:rsid w:val="002977D1"/>
    <w:rsid w:val="00297B19"/>
    <w:rsid w:val="00297CCD"/>
    <w:rsid w:val="002A01C4"/>
    <w:rsid w:val="002A0291"/>
    <w:rsid w:val="002A03F7"/>
    <w:rsid w:val="002A0586"/>
    <w:rsid w:val="002A05C4"/>
    <w:rsid w:val="002A0705"/>
    <w:rsid w:val="002A098C"/>
    <w:rsid w:val="002A0BBD"/>
    <w:rsid w:val="002A0BF0"/>
    <w:rsid w:val="002A0EB7"/>
    <w:rsid w:val="002A1163"/>
    <w:rsid w:val="002A1286"/>
    <w:rsid w:val="002A18E1"/>
    <w:rsid w:val="002A1EE1"/>
    <w:rsid w:val="002A218A"/>
    <w:rsid w:val="002A21B7"/>
    <w:rsid w:val="002A2290"/>
    <w:rsid w:val="002A26C1"/>
    <w:rsid w:val="002A27FB"/>
    <w:rsid w:val="002A2A45"/>
    <w:rsid w:val="002A2FCF"/>
    <w:rsid w:val="002A2FD9"/>
    <w:rsid w:val="002A302A"/>
    <w:rsid w:val="002A345D"/>
    <w:rsid w:val="002A366B"/>
    <w:rsid w:val="002A3CF8"/>
    <w:rsid w:val="002A3F5A"/>
    <w:rsid w:val="002A3F5C"/>
    <w:rsid w:val="002A406E"/>
    <w:rsid w:val="002A4390"/>
    <w:rsid w:val="002A4522"/>
    <w:rsid w:val="002A463C"/>
    <w:rsid w:val="002A46FC"/>
    <w:rsid w:val="002A4898"/>
    <w:rsid w:val="002A495D"/>
    <w:rsid w:val="002A4C1E"/>
    <w:rsid w:val="002A4F59"/>
    <w:rsid w:val="002A4FA0"/>
    <w:rsid w:val="002A52A1"/>
    <w:rsid w:val="002A546C"/>
    <w:rsid w:val="002A5580"/>
    <w:rsid w:val="002A579E"/>
    <w:rsid w:val="002A587B"/>
    <w:rsid w:val="002A596E"/>
    <w:rsid w:val="002A5F0D"/>
    <w:rsid w:val="002A6097"/>
    <w:rsid w:val="002A620B"/>
    <w:rsid w:val="002A6230"/>
    <w:rsid w:val="002A655B"/>
    <w:rsid w:val="002A66CF"/>
    <w:rsid w:val="002A6744"/>
    <w:rsid w:val="002A676E"/>
    <w:rsid w:val="002A6A71"/>
    <w:rsid w:val="002A6A73"/>
    <w:rsid w:val="002A6C79"/>
    <w:rsid w:val="002A6CC5"/>
    <w:rsid w:val="002A6F04"/>
    <w:rsid w:val="002A724C"/>
    <w:rsid w:val="002A73EA"/>
    <w:rsid w:val="002A7421"/>
    <w:rsid w:val="002A75F6"/>
    <w:rsid w:val="002A7A36"/>
    <w:rsid w:val="002A7A82"/>
    <w:rsid w:val="002A7F46"/>
    <w:rsid w:val="002A7F4B"/>
    <w:rsid w:val="002B0164"/>
    <w:rsid w:val="002B01D9"/>
    <w:rsid w:val="002B0292"/>
    <w:rsid w:val="002B0866"/>
    <w:rsid w:val="002B08EF"/>
    <w:rsid w:val="002B091F"/>
    <w:rsid w:val="002B0F4F"/>
    <w:rsid w:val="002B13E6"/>
    <w:rsid w:val="002B16D7"/>
    <w:rsid w:val="002B1922"/>
    <w:rsid w:val="002B1DF6"/>
    <w:rsid w:val="002B1E8E"/>
    <w:rsid w:val="002B1EB3"/>
    <w:rsid w:val="002B241E"/>
    <w:rsid w:val="002B24C3"/>
    <w:rsid w:val="002B257B"/>
    <w:rsid w:val="002B27C1"/>
    <w:rsid w:val="002B2D2C"/>
    <w:rsid w:val="002B2EF8"/>
    <w:rsid w:val="002B2F7C"/>
    <w:rsid w:val="002B30EA"/>
    <w:rsid w:val="002B32C5"/>
    <w:rsid w:val="002B33A2"/>
    <w:rsid w:val="002B345D"/>
    <w:rsid w:val="002B3775"/>
    <w:rsid w:val="002B3A99"/>
    <w:rsid w:val="002B3BB0"/>
    <w:rsid w:val="002B3DA2"/>
    <w:rsid w:val="002B3DFC"/>
    <w:rsid w:val="002B3E2C"/>
    <w:rsid w:val="002B4562"/>
    <w:rsid w:val="002B45F8"/>
    <w:rsid w:val="002B4636"/>
    <w:rsid w:val="002B472F"/>
    <w:rsid w:val="002B4962"/>
    <w:rsid w:val="002B53BF"/>
    <w:rsid w:val="002B543F"/>
    <w:rsid w:val="002B54B2"/>
    <w:rsid w:val="002B5625"/>
    <w:rsid w:val="002B568F"/>
    <w:rsid w:val="002B57EC"/>
    <w:rsid w:val="002B5A9E"/>
    <w:rsid w:val="002B5B7D"/>
    <w:rsid w:val="002B5C26"/>
    <w:rsid w:val="002B63B1"/>
    <w:rsid w:val="002B6598"/>
    <w:rsid w:val="002B6AA3"/>
    <w:rsid w:val="002B6BC9"/>
    <w:rsid w:val="002B6BEC"/>
    <w:rsid w:val="002B6F46"/>
    <w:rsid w:val="002B70A0"/>
    <w:rsid w:val="002B71E8"/>
    <w:rsid w:val="002B7319"/>
    <w:rsid w:val="002B74CF"/>
    <w:rsid w:val="002B755D"/>
    <w:rsid w:val="002B7792"/>
    <w:rsid w:val="002B798F"/>
    <w:rsid w:val="002B7CD7"/>
    <w:rsid w:val="002B7EB9"/>
    <w:rsid w:val="002B7F28"/>
    <w:rsid w:val="002B7F9D"/>
    <w:rsid w:val="002C020B"/>
    <w:rsid w:val="002C02E1"/>
    <w:rsid w:val="002C05AC"/>
    <w:rsid w:val="002C05AE"/>
    <w:rsid w:val="002C07A8"/>
    <w:rsid w:val="002C09E5"/>
    <w:rsid w:val="002C0A26"/>
    <w:rsid w:val="002C0A43"/>
    <w:rsid w:val="002C0E65"/>
    <w:rsid w:val="002C10CC"/>
    <w:rsid w:val="002C1286"/>
    <w:rsid w:val="002C1404"/>
    <w:rsid w:val="002C1566"/>
    <w:rsid w:val="002C17D0"/>
    <w:rsid w:val="002C17D8"/>
    <w:rsid w:val="002C1901"/>
    <w:rsid w:val="002C195D"/>
    <w:rsid w:val="002C1AFA"/>
    <w:rsid w:val="002C2104"/>
    <w:rsid w:val="002C2777"/>
    <w:rsid w:val="002C2891"/>
    <w:rsid w:val="002C2894"/>
    <w:rsid w:val="002C2A7D"/>
    <w:rsid w:val="002C2DF6"/>
    <w:rsid w:val="002C2E1D"/>
    <w:rsid w:val="002C2FA9"/>
    <w:rsid w:val="002C32C1"/>
    <w:rsid w:val="002C372C"/>
    <w:rsid w:val="002C3B13"/>
    <w:rsid w:val="002C3B35"/>
    <w:rsid w:val="002C3DBD"/>
    <w:rsid w:val="002C3F0F"/>
    <w:rsid w:val="002C423D"/>
    <w:rsid w:val="002C426B"/>
    <w:rsid w:val="002C4C32"/>
    <w:rsid w:val="002C50CD"/>
    <w:rsid w:val="002C50D9"/>
    <w:rsid w:val="002C5127"/>
    <w:rsid w:val="002C51BC"/>
    <w:rsid w:val="002C51D5"/>
    <w:rsid w:val="002C5366"/>
    <w:rsid w:val="002C537C"/>
    <w:rsid w:val="002C582B"/>
    <w:rsid w:val="002C58AF"/>
    <w:rsid w:val="002C5A18"/>
    <w:rsid w:val="002C5D02"/>
    <w:rsid w:val="002C646E"/>
    <w:rsid w:val="002C6690"/>
    <w:rsid w:val="002C67BF"/>
    <w:rsid w:val="002C67E4"/>
    <w:rsid w:val="002C6A39"/>
    <w:rsid w:val="002C6B19"/>
    <w:rsid w:val="002C6D3B"/>
    <w:rsid w:val="002C6D40"/>
    <w:rsid w:val="002C7014"/>
    <w:rsid w:val="002C7166"/>
    <w:rsid w:val="002C72E9"/>
    <w:rsid w:val="002C73A7"/>
    <w:rsid w:val="002C7500"/>
    <w:rsid w:val="002C7626"/>
    <w:rsid w:val="002C789C"/>
    <w:rsid w:val="002C7B53"/>
    <w:rsid w:val="002C7BCA"/>
    <w:rsid w:val="002C7BD8"/>
    <w:rsid w:val="002C7DAF"/>
    <w:rsid w:val="002C7EBE"/>
    <w:rsid w:val="002C7F90"/>
    <w:rsid w:val="002D00C7"/>
    <w:rsid w:val="002D0414"/>
    <w:rsid w:val="002D048F"/>
    <w:rsid w:val="002D05C9"/>
    <w:rsid w:val="002D0C2A"/>
    <w:rsid w:val="002D0C2E"/>
    <w:rsid w:val="002D0D66"/>
    <w:rsid w:val="002D0E14"/>
    <w:rsid w:val="002D0E3F"/>
    <w:rsid w:val="002D0F17"/>
    <w:rsid w:val="002D1020"/>
    <w:rsid w:val="002D130E"/>
    <w:rsid w:val="002D1325"/>
    <w:rsid w:val="002D1494"/>
    <w:rsid w:val="002D1C74"/>
    <w:rsid w:val="002D1DBE"/>
    <w:rsid w:val="002D1DDA"/>
    <w:rsid w:val="002D221B"/>
    <w:rsid w:val="002D2A93"/>
    <w:rsid w:val="002D2C73"/>
    <w:rsid w:val="002D30E0"/>
    <w:rsid w:val="002D3433"/>
    <w:rsid w:val="002D3501"/>
    <w:rsid w:val="002D36B9"/>
    <w:rsid w:val="002D36FF"/>
    <w:rsid w:val="002D386D"/>
    <w:rsid w:val="002D38A1"/>
    <w:rsid w:val="002D38FD"/>
    <w:rsid w:val="002D3D94"/>
    <w:rsid w:val="002D4078"/>
    <w:rsid w:val="002D41EF"/>
    <w:rsid w:val="002D45A9"/>
    <w:rsid w:val="002D4698"/>
    <w:rsid w:val="002D4E52"/>
    <w:rsid w:val="002D4F6D"/>
    <w:rsid w:val="002D505B"/>
    <w:rsid w:val="002D511D"/>
    <w:rsid w:val="002D51CE"/>
    <w:rsid w:val="002D51DA"/>
    <w:rsid w:val="002D5564"/>
    <w:rsid w:val="002D5C9C"/>
    <w:rsid w:val="002D5CF0"/>
    <w:rsid w:val="002D6188"/>
    <w:rsid w:val="002D63FC"/>
    <w:rsid w:val="002D669F"/>
    <w:rsid w:val="002D6A63"/>
    <w:rsid w:val="002D6BA9"/>
    <w:rsid w:val="002D6D98"/>
    <w:rsid w:val="002D7202"/>
    <w:rsid w:val="002D727E"/>
    <w:rsid w:val="002D75E9"/>
    <w:rsid w:val="002D780A"/>
    <w:rsid w:val="002D7B2D"/>
    <w:rsid w:val="002D7E98"/>
    <w:rsid w:val="002E007F"/>
    <w:rsid w:val="002E00DC"/>
    <w:rsid w:val="002E0718"/>
    <w:rsid w:val="002E077A"/>
    <w:rsid w:val="002E0AE3"/>
    <w:rsid w:val="002E0C45"/>
    <w:rsid w:val="002E0EA6"/>
    <w:rsid w:val="002E1275"/>
    <w:rsid w:val="002E14CF"/>
    <w:rsid w:val="002E1542"/>
    <w:rsid w:val="002E193B"/>
    <w:rsid w:val="002E1BE3"/>
    <w:rsid w:val="002E23DD"/>
    <w:rsid w:val="002E2650"/>
    <w:rsid w:val="002E28E7"/>
    <w:rsid w:val="002E299A"/>
    <w:rsid w:val="002E2F3F"/>
    <w:rsid w:val="002E2F7D"/>
    <w:rsid w:val="002E31C0"/>
    <w:rsid w:val="002E3212"/>
    <w:rsid w:val="002E32ED"/>
    <w:rsid w:val="002E3436"/>
    <w:rsid w:val="002E3786"/>
    <w:rsid w:val="002E37A6"/>
    <w:rsid w:val="002E3B98"/>
    <w:rsid w:val="002E4331"/>
    <w:rsid w:val="002E4826"/>
    <w:rsid w:val="002E49D4"/>
    <w:rsid w:val="002E4DAB"/>
    <w:rsid w:val="002E4E64"/>
    <w:rsid w:val="002E5059"/>
    <w:rsid w:val="002E5253"/>
    <w:rsid w:val="002E5305"/>
    <w:rsid w:val="002E5321"/>
    <w:rsid w:val="002E53F2"/>
    <w:rsid w:val="002E548B"/>
    <w:rsid w:val="002E58A5"/>
    <w:rsid w:val="002E5963"/>
    <w:rsid w:val="002E5B8C"/>
    <w:rsid w:val="002E64AF"/>
    <w:rsid w:val="002E6785"/>
    <w:rsid w:val="002E72F9"/>
    <w:rsid w:val="002E738A"/>
    <w:rsid w:val="002E7671"/>
    <w:rsid w:val="002E76A3"/>
    <w:rsid w:val="002E77CA"/>
    <w:rsid w:val="002F02E3"/>
    <w:rsid w:val="002F04F9"/>
    <w:rsid w:val="002F07B3"/>
    <w:rsid w:val="002F0875"/>
    <w:rsid w:val="002F0D0F"/>
    <w:rsid w:val="002F0FE8"/>
    <w:rsid w:val="002F1438"/>
    <w:rsid w:val="002F18CD"/>
    <w:rsid w:val="002F1C95"/>
    <w:rsid w:val="002F1D3E"/>
    <w:rsid w:val="002F1E6D"/>
    <w:rsid w:val="002F1F86"/>
    <w:rsid w:val="002F1FB1"/>
    <w:rsid w:val="002F226D"/>
    <w:rsid w:val="002F2325"/>
    <w:rsid w:val="002F27C3"/>
    <w:rsid w:val="002F27D0"/>
    <w:rsid w:val="002F2E5A"/>
    <w:rsid w:val="002F3103"/>
    <w:rsid w:val="002F325D"/>
    <w:rsid w:val="002F3457"/>
    <w:rsid w:val="002F3B77"/>
    <w:rsid w:val="002F3EA2"/>
    <w:rsid w:val="002F4436"/>
    <w:rsid w:val="002F4BE0"/>
    <w:rsid w:val="002F4F61"/>
    <w:rsid w:val="002F52A7"/>
    <w:rsid w:val="002F5539"/>
    <w:rsid w:val="002F5636"/>
    <w:rsid w:val="002F59C6"/>
    <w:rsid w:val="002F5C02"/>
    <w:rsid w:val="002F5C2B"/>
    <w:rsid w:val="002F5D1A"/>
    <w:rsid w:val="002F5DFA"/>
    <w:rsid w:val="002F5EB5"/>
    <w:rsid w:val="002F63F4"/>
    <w:rsid w:val="002F64CF"/>
    <w:rsid w:val="002F6584"/>
    <w:rsid w:val="002F6670"/>
    <w:rsid w:val="002F68CD"/>
    <w:rsid w:val="002F6AD8"/>
    <w:rsid w:val="002F7498"/>
    <w:rsid w:val="002F7537"/>
    <w:rsid w:val="002F75A8"/>
    <w:rsid w:val="002F7942"/>
    <w:rsid w:val="002F7A5A"/>
    <w:rsid w:val="002F7BA7"/>
    <w:rsid w:val="002F7D09"/>
    <w:rsid w:val="00300223"/>
    <w:rsid w:val="00300670"/>
    <w:rsid w:val="00300883"/>
    <w:rsid w:val="00300CB6"/>
    <w:rsid w:val="0030100D"/>
    <w:rsid w:val="00301199"/>
    <w:rsid w:val="0030140B"/>
    <w:rsid w:val="003014E2"/>
    <w:rsid w:val="0030160E"/>
    <w:rsid w:val="003017E7"/>
    <w:rsid w:val="00301A0E"/>
    <w:rsid w:val="00301AD6"/>
    <w:rsid w:val="00301D36"/>
    <w:rsid w:val="00301ECA"/>
    <w:rsid w:val="00301FCE"/>
    <w:rsid w:val="00302323"/>
    <w:rsid w:val="00302347"/>
    <w:rsid w:val="00302478"/>
    <w:rsid w:val="003026DE"/>
    <w:rsid w:val="0030275E"/>
    <w:rsid w:val="00302805"/>
    <w:rsid w:val="003028AC"/>
    <w:rsid w:val="003028E6"/>
    <w:rsid w:val="00302941"/>
    <w:rsid w:val="00302B1F"/>
    <w:rsid w:val="00303179"/>
    <w:rsid w:val="0030354B"/>
    <w:rsid w:val="00303623"/>
    <w:rsid w:val="0030383E"/>
    <w:rsid w:val="00303B15"/>
    <w:rsid w:val="00303D18"/>
    <w:rsid w:val="00303D58"/>
    <w:rsid w:val="00303F27"/>
    <w:rsid w:val="00303F7C"/>
    <w:rsid w:val="003040BF"/>
    <w:rsid w:val="00304100"/>
    <w:rsid w:val="003047DC"/>
    <w:rsid w:val="00304C7D"/>
    <w:rsid w:val="00304E2A"/>
    <w:rsid w:val="00304EA5"/>
    <w:rsid w:val="003052A8"/>
    <w:rsid w:val="0030553F"/>
    <w:rsid w:val="00305577"/>
    <w:rsid w:val="00305607"/>
    <w:rsid w:val="00305C0C"/>
    <w:rsid w:val="00305C8C"/>
    <w:rsid w:val="00305D28"/>
    <w:rsid w:val="00306051"/>
    <w:rsid w:val="00306157"/>
    <w:rsid w:val="0030656C"/>
    <w:rsid w:val="00306888"/>
    <w:rsid w:val="00306C39"/>
    <w:rsid w:val="00306C64"/>
    <w:rsid w:val="00306D8A"/>
    <w:rsid w:val="00306F48"/>
    <w:rsid w:val="00306F87"/>
    <w:rsid w:val="003074CB"/>
    <w:rsid w:val="00307743"/>
    <w:rsid w:val="003079A2"/>
    <w:rsid w:val="00307D3D"/>
    <w:rsid w:val="00307F2C"/>
    <w:rsid w:val="00310621"/>
    <w:rsid w:val="00310877"/>
    <w:rsid w:val="00310B2A"/>
    <w:rsid w:val="00310B3A"/>
    <w:rsid w:val="00310CE9"/>
    <w:rsid w:val="00310CFB"/>
    <w:rsid w:val="00310DF7"/>
    <w:rsid w:val="00310FC2"/>
    <w:rsid w:val="0031129C"/>
    <w:rsid w:val="003112AC"/>
    <w:rsid w:val="003115A5"/>
    <w:rsid w:val="00311C53"/>
    <w:rsid w:val="00311CAA"/>
    <w:rsid w:val="00311ECF"/>
    <w:rsid w:val="00311FAC"/>
    <w:rsid w:val="00312390"/>
    <w:rsid w:val="00312ADA"/>
    <w:rsid w:val="00312B82"/>
    <w:rsid w:val="00312B8A"/>
    <w:rsid w:val="0031339F"/>
    <w:rsid w:val="0031343F"/>
    <w:rsid w:val="00313462"/>
    <w:rsid w:val="003138B1"/>
    <w:rsid w:val="00313A8C"/>
    <w:rsid w:val="00313B19"/>
    <w:rsid w:val="00313CA8"/>
    <w:rsid w:val="00313D4B"/>
    <w:rsid w:val="00313DBC"/>
    <w:rsid w:val="00313E71"/>
    <w:rsid w:val="003140ED"/>
    <w:rsid w:val="003141A4"/>
    <w:rsid w:val="0031459D"/>
    <w:rsid w:val="0031465C"/>
    <w:rsid w:val="00314C46"/>
    <w:rsid w:val="00314CF7"/>
    <w:rsid w:val="00314E34"/>
    <w:rsid w:val="00314EAA"/>
    <w:rsid w:val="00315184"/>
    <w:rsid w:val="003153EB"/>
    <w:rsid w:val="0031554B"/>
    <w:rsid w:val="00315649"/>
    <w:rsid w:val="00315792"/>
    <w:rsid w:val="003158A2"/>
    <w:rsid w:val="003158D0"/>
    <w:rsid w:val="00315CA2"/>
    <w:rsid w:val="003164A8"/>
    <w:rsid w:val="00316542"/>
    <w:rsid w:val="0031674A"/>
    <w:rsid w:val="00316A56"/>
    <w:rsid w:val="00316AD5"/>
    <w:rsid w:val="00316C23"/>
    <w:rsid w:val="00316D3D"/>
    <w:rsid w:val="00316D62"/>
    <w:rsid w:val="003170DD"/>
    <w:rsid w:val="0031715C"/>
    <w:rsid w:val="003174F8"/>
    <w:rsid w:val="003178AF"/>
    <w:rsid w:val="00317C04"/>
    <w:rsid w:val="00317EE0"/>
    <w:rsid w:val="003201FC"/>
    <w:rsid w:val="00320362"/>
    <w:rsid w:val="00320591"/>
    <w:rsid w:val="00320806"/>
    <w:rsid w:val="00320B42"/>
    <w:rsid w:val="00320B53"/>
    <w:rsid w:val="00320B8C"/>
    <w:rsid w:val="00320CAA"/>
    <w:rsid w:val="00320F06"/>
    <w:rsid w:val="003212E4"/>
    <w:rsid w:val="00321479"/>
    <w:rsid w:val="0032160C"/>
    <w:rsid w:val="00321670"/>
    <w:rsid w:val="003217BB"/>
    <w:rsid w:val="00321FAF"/>
    <w:rsid w:val="003220DA"/>
    <w:rsid w:val="003222BE"/>
    <w:rsid w:val="00322328"/>
    <w:rsid w:val="0032245F"/>
    <w:rsid w:val="00322B36"/>
    <w:rsid w:val="00323112"/>
    <w:rsid w:val="003234D6"/>
    <w:rsid w:val="00323DC0"/>
    <w:rsid w:val="00323F24"/>
    <w:rsid w:val="0032400D"/>
    <w:rsid w:val="00324103"/>
    <w:rsid w:val="0032414A"/>
    <w:rsid w:val="003241A8"/>
    <w:rsid w:val="0032434D"/>
    <w:rsid w:val="0032449A"/>
    <w:rsid w:val="003244C0"/>
    <w:rsid w:val="003245A1"/>
    <w:rsid w:val="003245A6"/>
    <w:rsid w:val="00324600"/>
    <w:rsid w:val="003248A9"/>
    <w:rsid w:val="00324A1E"/>
    <w:rsid w:val="00324FED"/>
    <w:rsid w:val="003251D4"/>
    <w:rsid w:val="003252A9"/>
    <w:rsid w:val="003253E2"/>
    <w:rsid w:val="00325796"/>
    <w:rsid w:val="00325D91"/>
    <w:rsid w:val="00325DD9"/>
    <w:rsid w:val="00325FEF"/>
    <w:rsid w:val="003260AC"/>
    <w:rsid w:val="003263D4"/>
    <w:rsid w:val="003264C4"/>
    <w:rsid w:val="003265AF"/>
    <w:rsid w:val="00326A1A"/>
    <w:rsid w:val="00326CEA"/>
    <w:rsid w:val="00326FB6"/>
    <w:rsid w:val="0032702E"/>
    <w:rsid w:val="0032740B"/>
    <w:rsid w:val="0032796C"/>
    <w:rsid w:val="003279DB"/>
    <w:rsid w:val="00327F53"/>
    <w:rsid w:val="0033010F"/>
    <w:rsid w:val="003304CA"/>
    <w:rsid w:val="00330747"/>
    <w:rsid w:val="00330917"/>
    <w:rsid w:val="00330AA8"/>
    <w:rsid w:val="00330CC7"/>
    <w:rsid w:val="00330D2D"/>
    <w:rsid w:val="00330D51"/>
    <w:rsid w:val="003314CF"/>
    <w:rsid w:val="00331730"/>
    <w:rsid w:val="00331773"/>
    <w:rsid w:val="003317C7"/>
    <w:rsid w:val="00331ABD"/>
    <w:rsid w:val="00331B82"/>
    <w:rsid w:val="00331C0C"/>
    <w:rsid w:val="00331E36"/>
    <w:rsid w:val="00332287"/>
    <w:rsid w:val="003323C9"/>
    <w:rsid w:val="003324F8"/>
    <w:rsid w:val="00332AAC"/>
    <w:rsid w:val="00332B77"/>
    <w:rsid w:val="00332BDF"/>
    <w:rsid w:val="00332C04"/>
    <w:rsid w:val="00333157"/>
    <w:rsid w:val="003332FD"/>
    <w:rsid w:val="003334DE"/>
    <w:rsid w:val="00333976"/>
    <w:rsid w:val="00333AAC"/>
    <w:rsid w:val="00333AB7"/>
    <w:rsid w:val="00334057"/>
    <w:rsid w:val="0033416D"/>
    <w:rsid w:val="003348E6"/>
    <w:rsid w:val="00334B4E"/>
    <w:rsid w:val="00334BE3"/>
    <w:rsid w:val="00334C78"/>
    <w:rsid w:val="00334D43"/>
    <w:rsid w:val="00334DD1"/>
    <w:rsid w:val="00334EAF"/>
    <w:rsid w:val="00334F1E"/>
    <w:rsid w:val="00334FFB"/>
    <w:rsid w:val="003350D3"/>
    <w:rsid w:val="0033548A"/>
    <w:rsid w:val="00335834"/>
    <w:rsid w:val="00335B87"/>
    <w:rsid w:val="00335C49"/>
    <w:rsid w:val="00335CC8"/>
    <w:rsid w:val="00335D00"/>
    <w:rsid w:val="00335D39"/>
    <w:rsid w:val="00336003"/>
    <w:rsid w:val="0033649D"/>
    <w:rsid w:val="00336749"/>
    <w:rsid w:val="00336819"/>
    <w:rsid w:val="003368D9"/>
    <w:rsid w:val="00336AAE"/>
    <w:rsid w:val="00336BDF"/>
    <w:rsid w:val="00336CC3"/>
    <w:rsid w:val="00336DAE"/>
    <w:rsid w:val="00337335"/>
    <w:rsid w:val="00337352"/>
    <w:rsid w:val="003373BD"/>
    <w:rsid w:val="00337694"/>
    <w:rsid w:val="0033769C"/>
    <w:rsid w:val="003376F5"/>
    <w:rsid w:val="00337778"/>
    <w:rsid w:val="003377A7"/>
    <w:rsid w:val="003377B3"/>
    <w:rsid w:val="00337A01"/>
    <w:rsid w:val="00337B38"/>
    <w:rsid w:val="00337B3E"/>
    <w:rsid w:val="00337FC6"/>
    <w:rsid w:val="003403CB"/>
    <w:rsid w:val="0034052E"/>
    <w:rsid w:val="00340640"/>
    <w:rsid w:val="003406C6"/>
    <w:rsid w:val="003406EE"/>
    <w:rsid w:val="00340A15"/>
    <w:rsid w:val="00340E1B"/>
    <w:rsid w:val="00341912"/>
    <w:rsid w:val="00341978"/>
    <w:rsid w:val="0034197A"/>
    <w:rsid w:val="00341A08"/>
    <w:rsid w:val="00341A75"/>
    <w:rsid w:val="00341BAB"/>
    <w:rsid w:val="00341F3E"/>
    <w:rsid w:val="00342000"/>
    <w:rsid w:val="003420E4"/>
    <w:rsid w:val="0034226A"/>
    <w:rsid w:val="00342386"/>
    <w:rsid w:val="0034240A"/>
    <w:rsid w:val="0034242D"/>
    <w:rsid w:val="0034244A"/>
    <w:rsid w:val="003425A5"/>
    <w:rsid w:val="003426D0"/>
    <w:rsid w:val="003427B1"/>
    <w:rsid w:val="003427F8"/>
    <w:rsid w:val="0034281E"/>
    <w:rsid w:val="00342C79"/>
    <w:rsid w:val="00343062"/>
    <w:rsid w:val="00343195"/>
    <w:rsid w:val="00343CEC"/>
    <w:rsid w:val="00344239"/>
    <w:rsid w:val="003442D4"/>
    <w:rsid w:val="003448AA"/>
    <w:rsid w:val="003448F6"/>
    <w:rsid w:val="00344D04"/>
    <w:rsid w:val="00344D19"/>
    <w:rsid w:val="00344F1D"/>
    <w:rsid w:val="00344F67"/>
    <w:rsid w:val="00345879"/>
    <w:rsid w:val="00345B23"/>
    <w:rsid w:val="00345BFD"/>
    <w:rsid w:val="00345C2D"/>
    <w:rsid w:val="0034635B"/>
    <w:rsid w:val="00346650"/>
    <w:rsid w:val="00346825"/>
    <w:rsid w:val="003469EB"/>
    <w:rsid w:val="00346B6C"/>
    <w:rsid w:val="00346DFE"/>
    <w:rsid w:val="00347164"/>
    <w:rsid w:val="0034768B"/>
    <w:rsid w:val="00347AC0"/>
    <w:rsid w:val="00347ACC"/>
    <w:rsid w:val="00350036"/>
    <w:rsid w:val="003500E1"/>
    <w:rsid w:val="00350178"/>
    <w:rsid w:val="003502CF"/>
    <w:rsid w:val="00350613"/>
    <w:rsid w:val="003506B4"/>
    <w:rsid w:val="00350788"/>
    <w:rsid w:val="00350A06"/>
    <w:rsid w:val="00350A5C"/>
    <w:rsid w:val="00350A9C"/>
    <w:rsid w:val="00350FE3"/>
    <w:rsid w:val="003512D9"/>
    <w:rsid w:val="003512E6"/>
    <w:rsid w:val="003517F2"/>
    <w:rsid w:val="00351A64"/>
    <w:rsid w:val="00351A70"/>
    <w:rsid w:val="00351B1F"/>
    <w:rsid w:val="00351E70"/>
    <w:rsid w:val="00351F21"/>
    <w:rsid w:val="003520E9"/>
    <w:rsid w:val="0035212C"/>
    <w:rsid w:val="00352618"/>
    <w:rsid w:val="003526A2"/>
    <w:rsid w:val="003528AC"/>
    <w:rsid w:val="00352CF3"/>
    <w:rsid w:val="00352D96"/>
    <w:rsid w:val="00352DB9"/>
    <w:rsid w:val="00352DF6"/>
    <w:rsid w:val="003532CC"/>
    <w:rsid w:val="00353312"/>
    <w:rsid w:val="00353480"/>
    <w:rsid w:val="00353742"/>
    <w:rsid w:val="003537BB"/>
    <w:rsid w:val="00353AD0"/>
    <w:rsid w:val="00353FEC"/>
    <w:rsid w:val="00354096"/>
    <w:rsid w:val="00354097"/>
    <w:rsid w:val="00354272"/>
    <w:rsid w:val="0035457B"/>
    <w:rsid w:val="00354660"/>
    <w:rsid w:val="003547FA"/>
    <w:rsid w:val="00354A1D"/>
    <w:rsid w:val="00354B27"/>
    <w:rsid w:val="00354BA0"/>
    <w:rsid w:val="00354E2D"/>
    <w:rsid w:val="003550FA"/>
    <w:rsid w:val="00355223"/>
    <w:rsid w:val="0035538A"/>
    <w:rsid w:val="003553F8"/>
    <w:rsid w:val="003557A5"/>
    <w:rsid w:val="00355989"/>
    <w:rsid w:val="00356046"/>
    <w:rsid w:val="00356094"/>
    <w:rsid w:val="0035610F"/>
    <w:rsid w:val="003561CB"/>
    <w:rsid w:val="00356593"/>
    <w:rsid w:val="0035684D"/>
    <w:rsid w:val="00356880"/>
    <w:rsid w:val="003568CD"/>
    <w:rsid w:val="003569ED"/>
    <w:rsid w:val="00356A43"/>
    <w:rsid w:val="00357110"/>
    <w:rsid w:val="0035720D"/>
    <w:rsid w:val="003572EC"/>
    <w:rsid w:val="003576C1"/>
    <w:rsid w:val="003578BE"/>
    <w:rsid w:val="00357AC5"/>
    <w:rsid w:val="00357DA1"/>
    <w:rsid w:val="00357F0F"/>
    <w:rsid w:val="003606FB"/>
    <w:rsid w:val="003608C8"/>
    <w:rsid w:val="00360DA8"/>
    <w:rsid w:val="00360EEB"/>
    <w:rsid w:val="00361213"/>
    <w:rsid w:val="003612AE"/>
    <w:rsid w:val="003613EB"/>
    <w:rsid w:val="003614A1"/>
    <w:rsid w:val="00361A34"/>
    <w:rsid w:val="00361DB0"/>
    <w:rsid w:val="00361E40"/>
    <w:rsid w:val="003624B8"/>
    <w:rsid w:val="0036250E"/>
    <w:rsid w:val="003629AD"/>
    <w:rsid w:val="00362BAC"/>
    <w:rsid w:val="00362C39"/>
    <w:rsid w:val="00362CAE"/>
    <w:rsid w:val="003630ED"/>
    <w:rsid w:val="00363299"/>
    <w:rsid w:val="003632BC"/>
    <w:rsid w:val="00363C69"/>
    <w:rsid w:val="00363E36"/>
    <w:rsid w:val="00363EF2"/>
    <w:rsid w:val="00363FA5"/>
    <w:rsid w:val="0036466A"/>
    <w:rsid w:val="0036481B"/>
    <w:rsid w:val="0036493C"/>
    <w:rsid w:val="00364BF3"/>
    <w:rsid w:val="00364C17"/>
    <w:rsid w:val="00364F6F"/>
    <w:rsid w:val="00365053"/>
    <w:rsid w:val="003652E2"/>
    <w:rsid w:val="00365403"/>
    <w:rsid w:val="0036542E"/>
    <w:rsid w:val="00365685"/>
    <w:rsid w:val="00365796"/>
    <w:rsid w:val="003658D8"/>
    <w:rsid w:val="00365A00"/>
    <w:rsid w:val="00365EFE"/>
    <w:rsid w:val="00366017"/>
    <w:rsid w:val="00366095"/>
    <w:rsid w:val="00366245"/>
    <w:rsid w:val="00366299"/>
    <w:rsid w:val="0036672B"/>
    <w:rsid w:val="0036672C"/>
    <w:rsid w:val="00366805"/>
    <w:rsid w:val="00366841"/>
    <w:rsid w:val="003669BA"/>
    <w:rsid w:val="00366BC7"/>
    <w:rsid w:val="00366F6E"/>
    <w:rsid w:val="00367054"/>
    <w:rsid w:val="00367160"/>
    <w:rsid w:val="003675A1"/>
    <w:rsid w:val="003675E3"/>
    <w:rsid w:val="00367725"/>
    <w:rsid w:val="00367A19"/>
    <w:rsid w:val="00367AC4"/>
    <w:rsid w:val="00367D87"/>
    <w:rsid w:val="003700AE"/>
    <w:rsid w:val="00370387"/>
    <w:rsid w:val="0037053D"/>
    <w:rsid w:val="00370848"/>
    <w:rsid w:val="00370951"/>
    <w:rsid w:val="00370F34"/>
    <w:rsid w:val="00371248"/>
    <w:rsid w:val="00371281"/>
    <w:rsid w:val="00371524"/>
    <w:rsid w:val="00371BA2"/>
    <w:rsid w:val="00371C18"/>
    <w:rsid w:val="00371D6F"/>
    <w:rsid w:val="0037234D"/>
    <w:rsid w:val="0037238F"/>
    <w:rsid w:val="00372685"/>
    <w:rsid w:val="003727E2"/>
    <w:rsid w:val="00372A0E"/>
    <w:rsid w:val="00372A7A"/>
    <w:rsid w:val="00372C1D"/>
    <w:rsid w:val="00372CAF"/>
    <w:rsid w:val="00372E45"/>
    <w:rsid w:val="00372F4C"/>
    <w:rsid w:val="00373036"/>
    <w:rsid w:val="003732E9"/>
    <w:rsid w:val="00373331"/>
    <w:rsid w:val="003733FC"/>
    <w:rsid w:val="00373615"/>
    <w:rsid w:val="003736AF"/>
    <w:rsid w:val="00373809"/>
    <w:rsid w:val="003739DA"/>
    <w:rsid w:val="00373A0F"/>
    <w:rsid w:val="003740FD"/>
    <w:rsid w:val="00374227"/>
    <w:rsid w:val="0037438F"/>
    <w:rsid w:val="003745DD"/>
    <w:rsid w:val="0037465F"/>
    <w:rsid w:val="003748BE"/>
    <w:rsid w:val="003748FD"/>
    <w:rsid w:val="00374A5C"/>
    <w:rsid w:val="00374C48"/>
    <w:rsid w:val="00374FCE"/>
    <w:rsid w:val="00375087"/>
    <w:rsid w:val="003750AB"/>
    <w:rsid w:val="003752DF"/>
    <w:rsid w:val="00375408"/>
    <w:rsid w:val="00375A1F"/>
    <w:rsid w:val="00375B17"/>
    <w:rsid w:val="00375CE4"/>
    <w:rsid w:val="00376292"/>
    <w:rsid w:val="00376360"/>
    <w:rsid w:val="003765D2"/>
    <w:rsid w:val="00376666"/>
    <w:rsid w:val="003766BA"/>
    <w:rsid w:val="0037676B"/>
    <w:rsid w:val="0037698D"/>
    <w:rsid w:val="00376A8A"/>
    <w:rsid w:val="00376B4C"/>
    <w:rsid w:val="00376B80"/>
    <w:rsid w:val="00376DC3"/>
    <w:rsid w:val="003772EB"/>
    <w:rsid w:val="00377323"/>
    <w:rsid w:val="0037732E"/>
    <w:rsid w:val="00377471"/>
    <w:rsid w:val="00377FD1"/>
    <w:rsid w:val="00380116"/>
    <w:rsid w:val="00380204"/>
    <w:rsid w:val="0038025A"/>
    <w:rsid w:val="0038032A"/>
    <w:rsid w:val="00380438"/>
    <w:rsid w:val="003805EF"/>
    <w:rsid w:val="00380697"/>
    <w:rsid w:val="003809FF"/>
    <w:rsid w:val="00380CAB"/>
    <w:rsid w:val="00380FC1"/>
    <w:rsid w:val="00381086"/>
    <w:rsid w:val="00381181"/>
    <w:rsid w:val="00381382"/>
    <w:rsid w:val="00381486"/>
    <w:rsid w:val="003816FB"/>
    <w:rsid w:val="0038197D"/>
    <w:rsid w:val="00381A03"/>
    <w:rsid w:val="00381B4B"/>
    <w:rsid w:val="00381B78"/>
    <w:rsid w:val="00381C93"/>
    <w:rsid w:val="00381D4B"/>
    <w:rsid w:val="0038217C"/>
    <w:rsid w:val="0038242B"/>
    <w:rsid w:val="003824AF"/>
    <w:rsid w:val="00382529"/>
    <w:rsid w:val="00382D62"/>
    <w:rsid w:val="00382E34"/>
    <w:rsid w:val="003830B6"/>
    <w:rsid w:val="003830B7"/>
    <w:rsid w:val="00383174"/>
    <w:rsid w:val="00383198"/>
    <w:rsid w:val="003831D9"/>
    <w:rsid w:val="0038354D"/>
    <w:rsid w:val="00383733"/>
    <w:rsid w:val="00383A3D"/>
    <w:rsid w:val="00383C21"/>
    <w:rsid w:val="00383CE1"/>
    <w:rsid w:val="00383D03"/>
    <w:rsid w:val="00383D4C"/>
    <w:rsid w:val="00383DAD"/>
    <w:rsid w:val="00384087"/>
    <w:rsid w:val="00384186"/>
    <w:rsid w:val="003841D6"/>
    <w:rsid w:val="00384208"/>
    <w:rsid w:val="0038431A"/>
    <w:rsid w:val="003843A3"/>
    <w:rsid w:val="003844C4"/>
    <w:rsid w:val="003844C6"/>
    <w:rsid w:val="00384651"/>
    <w:rsid w:val="00384825"/>
    <w:rsid w:val="00384826"/>
    <w:rsid w:val="00384866"/>
    <w:rsid w:val="00384E3D"/>
    <w:rsid w:val="00385172"/>
    <w:rsid w:val="00385277"/>
    <w:rsid w:val="00385302"/>
    <w:rsid w:val="0038534B"/>
    <w:rsid w:val="003856EC"/>
    <w:rsid w:val="003857BD"/>
    <w:rsid w:val="0038583A"/>
    <w:rsid w:val="00385C56"/>
    <w:rsid w:val="00385C6E"/>
    <w:rsid w:val="00385CE8"/>
    <w:rsid w:val="00386217"/>
    <w:rsid w:val="00386909"/>
    <w:rsid w:val="00386943"/>
    <w:rsid w:val="00386BED"/>
    <w:rsid w:val="00386C25"/>
    <w:rsid w:val="00386C43"/>
    <w:rsid w:val="00386CD7"/>
    <w:rsid w:val="00386F98"/>
    <w:rsid w:val="0038719C"/>
    <w:rsid w:val="00387762"/>
    <w:rsid w:val="00387809"/>
    <w:rsid w:val="00387C31"/>
    <w:rsid w:val="00387D22"/>
    <w:rsid w:val="00387D38"/>
    <w:rsid w:val="00390126"/>
    <w:rsid w:val="00390386"/>
    <w:rsid w:val="0039038B"/>
    <w:rsid w:val="0039044E"/>
    <w:rsid w:val="00390527"/>
    <w:rsid w:val="00390B55"/>
    <w:rsid w:val="00390C4B"/>
    <w:rsid w:val="00390DF2"/>
    <w:rsid w:val="00390F0C"/>
    <w:rsid w:val="00391017"/>
    <w:rsid w:val="0039104B"/>
    <w:rsid w:val="00391B0A"/>
    <w:rsid w:val="00391BD4"/>
    <w:rsid w:val="00391C2A"/>
    <w:rsid w:val="00391C54"/>
    <w:rsid w:val="00391DCA"/>
    <w:rsid w:val="00391E12"/>
    <w:rsid w:val="00392396"/>
    <w:rsid w:val="003925E9"/>
    <w:rsid w:val="003928EF"/>
    <w:rsid w:val="00392E8F"/>
    <w:rsid w:val="00393252"/>
    <w:rsid w:val="00393562"/>
    <w:rsid w:val="00393844"/>
    <w:rsid w:val="003938FC"/>
    <w:rsid w:val="00393911"/>
    <w:rsid w:val="003939C4"/>
    <w:rsid w:val="00393A08"/>
    <w:rsid w:val="00393C37"/>
    <w:rsid w:val="00393FB7"/>
    <w:rsid w:val="00394329"/>
    <w:rsid w:val="00394482"/>
    <w:rsid w:val="003947CD"/>
    <w:rsid w:val="00394921"/>
    <w:rsid w:val="00394F14"/>
    <w:rsid w:val="00394F2D"/>
    <w:rsid w:val="00394F46"/>
    <w:rsid w:val="003953AD"/>
    <w:rsid w:val="003954B5"/>
    <w:rsid w:val="00396110"/>
    <w:rsid w:val="00396141"/>
    <w:rsid w:val="0039693C"/>
    <w:rsid w:val="003969B0"/>
    <w:rsid w:val="003969B9"/>
    <w:rsid w:val="00396AC5"/>
    <w:rsid w:val="00396CD2"/>
    <w:rsid w:val="003971AD"/>
    <w:rsid w:val="003971AF"/>
    <w:rsid w:val="0039730F"/>
    <w:rsid w:val="0039747B"/>
    <w:rsid w:val="003974B9"/>
    <w:rsid w:val="00397AA8"/>
    <w:rsid w:val="00397AB6"/>
    <w:rsid w:val="003A01F6"/>
    <w:rsid w:val="003A0578"/>
    <w:rsid w:val="003A070E"/>
    <w:rsid w:val="003A0D99"/>
    <w:rsid w:val="003A0DA8"/>
    <w:rsid w:val="003A147C"/>
    <w:rsid w:val="003A15FE"/>
    <w:rsid w:val="003A1D70"/>
    <w:rsid w:val="003A2087"/>
    <w:rsid w:val="003A21C1"/>
    <w:rsid w:val="003A2AD9"/>
    <w:rsid w:val="003A2B2E"/>
    <w:rsid w:val="003A2B5B"/>
    <w:rsid w:val="003A2C38"/>
    <w:rsid w:val="003A2D4B"/>
    <w:rsid w:val="003A2E9F"/>
    <w:rsid w:val="003A3318"/>
    <w:rsid w:val="003A3732"/>
    <w:rsid w:val="003A3807"/>
    <w:rsid w:val="003A3853"/>
    <w:rsid w:val="003A38D3"/>
    <w:rsid w:val="003A3A05"/>
    <w:rsid w:val="003A3A3D"/>
    <w:rsid w:val="003A3B51"/>
    <w:rsid w:val="003A3B75"/>
    <w:rsid w:val="003A3BD6"/>
    <w:rsid w:val="003A3F4A"/>
    <w:rsid w:val="003A420C"/>
    <w:rsid w:val="003A45BB"/>
    <w:rsid w:val="003A4A3D"/>
    <w:rsid w:val="003A4A46"/>
    <w:rsid w:val="003A4BA1"/>
    <w:rsid w:val="003A5198"/>
    <w:rsid w:val="003A54F9"/>
    <w:rsid w:val="003A5540"/>
    <w:rsid w:val="003A567D"/>
    <w:rsid w:val="003A570D"/>
    <w:rsid w:val="003A5B86"/>
    <w:rsid w:val="003A5DE7"/>
    <w:rsid w:val="003A5E6A"/>
    <w:rsid w:val="003A6363"/>
    <w:rsid w:val="003A6479"/>
    <w:rsid w:val="003A65C9"/>
    <w:rsid w:val="003A672F"/>
    <w:rsid w:val="003A694B"/>
    <w:rsid w:val="003A6A64"/>
    <w:rsid w:val="003A6E64"/>
    <w:rsid w:val="003A72C2"/>
    <w:rsid w:val="003A7369"/>
    <w:rsid w:val="003A73EB"/>
    <w:rsid w:val="003A76EA"/>
    <w:rsid w:val="003A7835"/>
    <w:rsid w:val="003A78A2"/>
    <w:rsid w:val="003A7CB2"/>
    <w:rsid w:val="003A7F09"/>
    <w:rsid w:val="003B0231"/>
    <w:rsid w:val="003B04D7"/>
    <w:rsid w:val="003B074E"/>
    <w:rsid w:val="003B0CDA"/>
    <w:rsid w:val="003B0D8A"/>
    <w:rsid w:val="003B0DE0"/>
    <w:rsid w:val="003B0ED8"/>
    <w:rsid w:val="003B128A"/>
    <w:rsid w:val="003B13AB"/>
    <w:rsid w:val="003B13BD"/>
    <w:rsid w:val="003B13F5"/>
    <w:rsid w:val="003B19D7"/>
    <w:rsid w:val="003B1A35"/>
    <w:rsid w:val="003B1AFD"/>
    <w:rsid w:val="003B1C59"/>
    <w:rsid w:val="003B2222"/>
    <w:rsid w:val="003B249D"/>
    <w:rsid w:val="003B26D0"/>
    <w:rsid w:val="003B26D3"/>
    <w:rsid w:val="003B28C7"/>
    <w:rsid w:val="003B29FD"/>
    <w:rsid w:val="003B2C6E"/>
    <w:rsid w:val="003B2CB8"/>
    <w:rsid w:val="003B2D31"/>
    <w:rsid w:val="003B2FF3"/>
    <w:rsid w:val="003B317C"/>
    <w:rsid w:val="003B336A"/>
    <w:rsid w:val="003B3426"/>
    <w:rsid w:val="003B35A5"/>
    <w:rsid w:val="003B35DD"/>
    <w:rsid w:val="003B35FA"/>
    <w:rsid w:val="003B39EB"/>
    <w:rsid w:val="003B3D37"/>
    <w:rsid w:val="003B3FBB"/>
    <w:rsid w:val="003B439B"/>
    <w:rsid w:val="003B44EA"/>
    <w:rsid w:val="003B4847"/>
    <w:rsid w:val="003B4855"/>
    <w:rsid w:val="003B4C4D"/>
    <w:rsid w:val="003B4C63"/>
    <w:rsid w:val="003B4D53"/>
    <w:rsid w:val="003B53CE"/>
    <w:rsid w:val="003B5549"/>
    <w:rsid w:val="003B57AD"/>
    <w:rsid w:val="003B5AF6"/>
    <w:rsid w:val="003B5D86"/>
    <w:rsid w:val="003B5E37"/>
    <w:rsid w:val="003B5F3B"/>
    <w:rsid w:val="003B60AD"/>
    <w:rsid w:val="003B62FE"/>
    <w:rsid w:val="003B64D5"/>
    <w:rsid w:val="003B666F"/>
    <w:rsid w:val="003B6B23"/>
    <w:rsid w:val="003B6CBB"/>
    <w:rsid w:val="003B6F9E"/>
    <w:rsid w:val="003B710C"/>
    <w:rsid w:val="003B7195"/>
    <w:rsid w:val="003B724F"/>
    <w:rsid w:val="003B72FC"/>
    <w:rsid w:val="003B75EA"/>
    <w:rsid w:val="003B786C"/>
    <w:rsid w:val="003B7E4D"/>
    <w:rsid w:val="003C02D8"/>
    <w:rsid w:val="003C0682"/>
    <w:rsid w:val="003C0686"/>
    <w:rsid w:val="003C07FB"/>
    <w:rsid w:val="003C08A4"/>
    <w:rsid w:val="003C09BA"/>
    <w:rsid w:val="003C0D08"/>
    <w:rsid w:val="003C14AD"/>
    <w:rsid w:val="003C16AC"/>
    <w:rsid w:val="003C1754"/>
    <w:rsid w:val="003C1846"/>
    <w:rsid w:val="003C1C25"/>
    <w:rsid w:val="003C1D7C"/>
    <w:rsid w:val="003C22EC"/>
    <w:rsid w:val="003C24FC"/>
    <w:rsid w:val="003C25DD"/>
    <w:rsid w:val="003C261B"/>
    <w:rsid w:val="003C2644"/>
    <w:rsid w:val="003C288F"/>
    <w:rsid w:val="003C29A1"/>
    <w:rsid w:val="003C2BCC"/>
    <w:rsid w:val="003C2E62"/>
    <w:rsid w:val="003C3182"/>
    <w:rsid w:val="003C3196"/>
    <w:rsid w:val="003C3767"/>
    <w:rsid w:val="003C3798"/>
    <w:rsid w:val="003C38E1"/>
    <w:rsid w:val="003C3C82"/>
    <w:rsid w:val="003C3D7C"/>
    <w:rsid w:val="003C4159"/>
    <w:rsid w:val="003C44CA"/>
    <w:rsid w:val="003C47F0"/>
    <w:rsid w:val="003C4BD1"/>
    <w:rsid w:val="003C4BFC"/>
    <w:rsid w:val="003C4E89"/>
    <w:rsid w:val="003C5113"/>
    <w:rsid w:val="003C5CD7"/>
    <w:rsid w:val="003C5D61"/>
    <w:rsid w:val="003C60A6"/>
    <w:rsid w:val="003C6150"/>
    <w:rsid w:val="003C62C3"/>
    <w:rsid w:val="003C63E2"/>
    <w:rsid w:val="003C666D"/>
    <w:rsid w:val="003C6673"/>
    <w:rsid w:val="003C6832"/>
    <w:rsid w:val="003C686A"/>
    <w:rsid w:val="003C6920"/>
    <w:rsid w:val="003C6EF8"/>
    <w:rsid w:val="003C7014"/>
    <w:rsid w:val="003C7197"/>
    <w:rsid w:val="003C7199"/>
    <w:rsid w:val="003C71BD"/>
    <w:rsid w:val="003C7882"/>
    <w:rsid w:val="003C7FD7"/>
    <w:rsid w:val="003D0202"/>
    <w:rsid w:val="003D03FA"/>
    <w:rsid w:val="003D04B8"/>
    <w:rsid w:val="003D082D"/>
    <w:rsid w:val="003D09E7"/>
    <w:rsid w:val="003D0B47"/>
    <w:rsid w:val="003D0F1F"/>
    <w:rsid w:val="003D0F67"/>
    <w:rsid w:val="003D1289"/>
    <w:rsid w:val="003D1954"/>
    <w:rsid w:val="003D1967"/>
    <w:rsid w:val="003D1C64"/>
    <w:rsid w:val="003D2048"/>
    <w:rsid w:val="003D216E"/>
    <w:rsid w:val="003D21AB"/>
    <w:rsid w:val="003D26B4"/>
    <w:rsid w:val="003D2762"/>
    <w:rsid w:val="003D285F"/>
    <w:rsid w:val="003D2B27"/>
    <w:rsid w:val="003D2B2B"/>
    <w:rsid w:val="003D2EEA"/>
    <w:rsid w:val="003D2F76"/>
    <w:rsid w:val="003D304F"/>
    <w:rsid w:val="003D3176"/>
    <w:rsid w:val="003D31E0"/>
    <w:rsid w:val="003D33D2"/>
    <w:rsid w:val="003D3416"/>
    <w:rsid w:val="003D3E0D"/>
    <w:rsid w:val="003D3FBB"/>
    <w:rsid w:val="003D4003"/>
    <w:rsid w:val="003D4082"/>
    <w:rsid w:val="003D41A9"/>
    <w:rsid w:val="003D4501"/>
    <w:rsid w:val="003D49F3"/>
    <w:rsid w:val="003D4B15"/>
    <w:rsid w:val="003D4B67"/>
    <w:rsid w:val="003D4F00"/>
    <w:rsid w:val="003D4F3C"/>
    <w:rsid w:val="003D5483"/>
    <w:rsid w:val="003D5786"/>
    <w:rsid w:val="003D57B5"/>
    <w:rsid w:val="003D58C5"/>
    <w:rsid w:val="003D5DE6"/>
    <w:rsid w:val="003D5F03"/>
    <w:rsid w:val="003D60CE"/>
    <w:rsid w:val="003D6122"/>
    <w:rsid w:val="003D61C0"/>
    <w:rsid w:val="003D622C"/>
    <w:rsid w:val="003D63B2"/>
    <w:rsid w:val="003D6687"/>
    <w:rsid w:val="003D66C8"/>
    <w:rsid w:val="003D6AAD"/>
    <w:rsid w:val="003D6C0C"/>
    <w:rsid w:val="003D6CBA"/>
    <w:rsid w:val="003D6DC7"/>
    <w:rsid w:val="003D6E38"/>
    <w:rsid w:val="003D6E43"/>
    <w:rsid w:val="003D6F23"/>
    <w:rsid w:val="003D7383"/>
    <w:rsid w:val="003D794D"/>
    <w:rsid w:val="003D79F9"/>
    <w:rsid w:val="003D7B95"/>
    <w:rsid w:val="003D7BC6"/>
    <w:rsid w:val="003D7C96"/>
    <w:rsid w:val="003E022D"/>
    <w:rsid w:val="003E0473"/>
    <w:rsid w:val="003E0947"/>
    <w:rsid w:val="003E09C8"/>
    <w:rsid w:val="003E0DF8"/>
    <w:rsid w:val="003E0FFE"/>
    <w:rsid w:val="003E1044"/>
    <w:rsid w:val="003E1048"/>
    <w:rsid w:val="003E133A"/>
    <w:rsid w:val="003E1399"/>
    <w:rsid w:val="003E13BC"/>
    <w:rsid w:val="003E150A"/>
    <w:rsid w:val="003E1515"/>
    <w:rsid w:val="003E16BF"/>
    <w:rsid w:val="003E18E4"/>
    <w:rsid w:val="003E18FD"/>
    <w:rsid w:val="003E1B10"/>
    <w:rsid w:val="003E1DFA"/>
    <w:rsid w:val="003E2135"/>
    <w:rsid w:val="003E21A6"/>
    <w:rsid w:val="003E241C"/>
    <w:rsid w:val="003E25D4"/>
    <w:rsid w:val="003E265E"/>
    <w:rsid w:val="003E26B0"/>
    <w:rsid w:val="003E26CF"/>
    <w:rsid w:val="003E27A8"/>
    <w:rsid w:val="003E2F8C"/>
    <w:rsid w:val="003E30A0"/>
    <w:rsid w:val="003E3C13"/>
    <w:rsid w:val="003E3C61"/>
    <w:rsid w:val="003E3F12"/>
    <w:rsid w:val="003E439B"/>
    <w:rsid w:val="003E4573"/>
    <w:rsid w:val="003E45E0"/>
    <w:rsid w:val="003E4655"/>
    <w:rsid w:val="003E4721"/>
    <w:rsid w:val="003E4BB4"/>
    <w:rsid w:val="003E4EC6"/>
    <w:rsid w:val="003E4FAE"/>
    <w:rsid w:val="003E5265"/>
    <w:rsid w:val="003E52B3"/>
    <w:rsid w:val="003E52DE"/>
    <w:rsid w:val="003E5405"/>
    <w:rsid w:val="003E56C7"/>
    <w:rsid w:val="003E5866"/>
    <w:rsid w:val="003E5924"/>
    <w:rsid w:val="003E5F8C"/>
    <w:rsid w:val="003E60CF"/>
    <w:rsid w:val="003E6570"/>
    <w:rsid w:val="003E67B1"/>
    <w:rsid w:val="003E67D5"/>
    <w:rsid w:val="003E694B"/>
    <w:rsid w:val="003E6AA1"/>
    <w:rsid w:val="003E6CB4"/>
    <w:rsid w:val="003E6D51"/>
    <w:rsid w:val="003E6DD6"/>
    <w:rsid w:val="003E72B7"/>
    <w:rsid w:val="003E7407"/>
    <w:rsid w:val="003E7416"/>
    <w:rsid w:val="003E7685"/>
    <w:rsid w:val="003E7AE9"/>
    <w:rsid w:val="003E7CCB"/>
    <w:rsid w:val="003E7DBD"/>
    <w:rsid w:val="003E7F99"/>
    <w:rsid w:val="003F068B"/>
    <w:rsid w:val="003F06EF"/>
    <w:rsid w:val="003F089C"/>
    <w:rsid w:val="003F0F5B"/>
    <w:rsid w:val="003F103D"/>
    <w:rsid w:val="003F106A"/>
    <w:rsid w:val="003F1206"/>
    <w:rsid w:val="003F15B5"/>
    <w:rsid w:val="003F1856"/>
    <w:rsid w:val="003F1A83"/>
    <w:rsid w:val="003F1BCF"/>
    <w:rsid w:val="003F1C97"/>
    <w:rsid w:val="003F2254"/>
    <w:rsid w:val="003F24A6"/>
    <w:rsid w:val="003F29EA"/>
    <w:rsid w:val="003F2CE6"/>
    <w:rsid w:val="003F3059"/>
    <w:rsid w:val="003F349C"/>
    <w:rsid w:val="003F34EE"/>
    <w:rsid w:val="003F398C"/>
    <w:rsid w:val="003F3C99"/>
    <w:rsid w:val="003F3E9C"/>
    <w:rsid w:val="003F405F"/>
    <w:rsid w:val="003F4090"/>
    <w:rsid w:val="003F43CA"/>
    <w:rsid w:val="003F44D7"/>
    <w:rsid w:val="003F4897"/>
    <w:rsid w:val="003F491F"/>
    <w:rsid w:val="003F4D57"/>
    <w:rsid w:val="003F4E04"/>
    <w:rsid w:val="003F521F"/>
    <w:rsid w:val="003F528D"/>
    <w:rsid w:val="003F5339"/>
    <w:rsid w:val="003F5A5D"/>
    <w:rsid w:val="003F5B02"/>
    <w:rsid w:val="003F5EC6"/>
    <w:rsid w:val="003F607E"/>
    <w:rsid w:val="003F62B3"/>
    <w:rsid w:val="003F655A"/>
    <w:rsid w:val="003F66C9"/>
    <w:rsid w:val="003F6979"/>
    <w:rsid w:val="003F6A74"/>
    <w:rsid w:val="003F6E5B"/>
    <w:rsid w:val="003F6EA7"/>
    <w:rsid w:val="003F7226"/>
    <w:rsid w:val="003F73C8"/>
    <w:rsid w:val="003F7665"/>
    <w:rsid w:val="003F7768"/>
    <w:rsid w:val="003F7B6D"/>
    <w:rsid w:val="003F7BB7"/>
    <w:rsid w:val="003F7E24"/>
    <w:rsid w:val="003F7E91"/>
    <w:rsid w:val="003F7F4A"/>
    <w:rsid w:val="003F7FCD"/>
    <w:rsid w:val="0040002F"/>
    <w:rsid w:val="004001FF"/>
    <w:rsid w:val="0040044B"/>
    <w:rsid w:val="00400681"/>
    <w:rsid w:val="004008A1"/>
    <w:rsid w:val="004008E6"/>
    <w:rsid w:val="0040097F"/>
    <w:rsid w:val="00400ADA"/>
    <w:rsid w:val="00400B8F"/>
    <w:rsid w:val="00400C12"/>
    <w:rsid w:val="00400E2A"/>
    <w:rsid w:val="00400E91"/>
    <w:rsid w:val="0040134F"/>
    <w:rsid w:val="00401981"/>
    <w:rsid w:val="00401ABA"/>
    <w:rsid w:val="00401BB0"/>
    <w:rsid w:val="00401D1E"/>
    <w:rsid w:val="00401EED"/>
    <w:rsid w:val="00402572"/>
    <w:rsid w:val="00402724"/>
    <w:rsid w:val="00402A1A"/>
    <w:rsid w:val="00402A56"/>
    <w:rsid w:val="00402B50"/>
    <w:rsid w:val="00402D0B"/>
    <w:rsid w:val="00402E52"/>
    <w:rsid w:val="00403340"/>
    <w:rsid w:val="00403486"/>
    <w:rsid w:val="004035D4"/>
    <w:rsid w:val="0040382D"/>
    <w:rsid w:val="00403935"/>
    <w:rsid w:val="004039DC"/>
    <w:rsid w:val="00403B12"/>
    <w:rsid w:val="00403D99"/>
    <w:rsid w:val="00403E7C"/>
    <w:rsid w:val="00403FEB"/>
    <w:rsid w:val="0040424E"/>
    <w:rsid w:val="00404807"/>
    <w:rsid w:val="00404BA9"/>
    <w:rsid w:val="00404C59"/>
    <w:rsid w:val="00404D7C"/>
    <w:rsid w:val="00404DE3"/>
    <w:rsid w:val="00404E00"/>
    <w:rsid w:val="004050D5"/>
    <w:rsid w:val="004054E6"/>
    <w:rsid w:val="004055D8"/>
    <w:rsid w:val="0040579E"/>
    <w:rsid w:val="00405816"/>
    <w:rsid w:val="004059DA"/>
    <w:rsid w:val="00405E8F"/>
    <w:rsid w:val="00406179"/>
    <w:rsid w:val="00406326"/>
    <w:rsid w:val="00406663"/>
    <w:rsid w:val="00406741"/>
    <w:rsid w:val="00406865"/>
    <w:rsid w:val="00406951"/>
    <w:rsid w:val="00406A8D"/>
    <w:rsid w:val="00406B9C"/>
    <w:rsid w:val="00406CCD"/>
    <w:rsid w:val="004070E3"/>
    <w:rsid w:val="004076E6"/>
    <w:rsid w:val="004079CC"/>
    <w:rsid w:val="00407D44"/>
    <w:rsid w:val="00407EE0"/>
    <w:rsid w:val="0041047E"/>
    <w:rsid w:val="004104DE"/>
    <w:rsid w:val="004107C2"/>
    <w:rsid w:val="0041081E"/>
    <w:rsid w:val="00410A51"/>
    <w:rsid w:val="00410A97"/>
    <w:rsid w:val="00410F94"/>
    <w:rsid w:val="0041115D"/>
    <w:rsid w:val="00411180"/>
    <w:rsid w:val="0041123B"/>
    <w:rsid w:val="00411350"/>
    <w:rsid w:val="00411597"/>
    <w:rsid w:val="00411AF0"/>
    <w:rsid w:val="00411C5F"/>
    <w:rsid w:val="00411CC7"/>
    <w:rsid w:val="00411F6E"/>
    <w:rsid w:val="004123DD"/>
    <w:rsid w:val="004123E2"/>
    <w:rsid w:val="0041245F"/>
    <w:rsid w:val="00412746"/>
    <w:rsid w:val="004127FD"/>
    <w:rsid w:val="00412C71"/>
    <w:rsid w:val="00412D97"/>
    <w:rsid w:val="00412D98"/>
    <w:rsid w:val="00413082"/>
    <w:rsid w:val="0041317C"/>
    <w:rsid w:val="0041336D"/>
    <w:rsid w:val="00413524"/>
    <w:rsid w:val="00413B16"/>
    <w:rsid w:val="00413D2D"/>
    <w:rsid w:val="004143B9"/>
    <w:rsid w:val="004145FA"/>
    <w:rsid w:val="004147C4"/>
    <w:rsid w:val="00414A2F"/>
    <w:rsid w:val="00414BEE"/>
    <w:rsid w:val="00414BF4"/>
    <w:rsid w:val="00415385"/>
    <w:rsid w:val="00415390"/>
    <w:rsid w:val="004154E8"/>
    <w:rsid w:val="004155BC"/>
    <w:rsid w:val="004155F3"/>
    <w:rsid w:val="00415866"/>
    <w:rsid w:val="00415C81"/>
    <w:rsid w:val="00415E05"/>
    <w:rsid w:val="004161DF"/>
    <w:rsid w:val="004162F3"/>
    <w:rsid w:val="004165E3"/>
    <w:rsid w:val="004167F9"/>
    <w:rsid w:val="00416955"/>
    <w:rsid w:val="00416A21"/>
    <w:rsid w:val="00416CE5"/>
    <w:rsid w:val="00417018"/>
    <w:rsid w:val="0041709F"/>
    <w:rsid w:val="004172C7"/>
    <w:rsid w:val="0041762F"/>
    <w:rsid w:val="00417657"/>
    <w:rsid w:val="00417A84"/>
    <w:rsid w:val="00417AB8"/>
    <w:rsid w:val="00417D28"/>
    <w:rsid w:val="00417EB6"/>
    <w:rsid w:val="00417EE4"/>
    <w:rsid w:val="00420015"/>
    <w:rsid w:val="00420664"/>
    <w:rsid w:val="0042080F"/>
    <w:rsid w:val="00420BB7"/>
    <w:rsid w:val="00420C0C"/>
    <w:rsid w:val="00420DCD"/>
    <w:rsid w:val="004210A8"/>
    <w:rsid w:val="004214EC"/>
    <w:rsid w:val="00421547"/>
    <w:rsid w:val="004219EF"/>
    <w:rsid w:val="00421BF3"/>
    <w:rsid w:val="00421FDA"/>
    <w:rsid w:val="0042212A"/>
    <w:rsid w:val="004221A5"/>
    <w:rsid w:val="004222BF"/>
    <w:rsid w:val="00422498"/>
    <w:rsid w:val="0042253A"/>
    <w:rsid w:val="004226A5"/>
    <w:rsid w:val="0042272D"/>
    <w:rsid w:val="00422B6B"/>
    <w:rsid w:val="00422B87"/>
    <w:rsid w:val="00422CBF"/>
    <w:rsid w:val="00423381"/>
    <w:rsid w:val="00423657"/>
    <w:rsid w:val="00423783"/>
    <w:rsid w:val="0042387B"/>
    <w:rsid w:val="004239D0"/>
    <w:rsid w:val="00423B4F"/>
    <w:rsid w:val="00423BCE"/>
    <w:rsid w:val="00423C96"/>
    <w:rsid w:val="00423D8A"/>
    <w:rsid w:val="004240A7"/>
    <w:rsid w:val="00424471"/>
    <w:rsid w:val="0042485A"/>
    <w:rsid w:val="00424970"/>
    <w:rsid w:val="00424A3F"/>
    <w:rsid w:val="00424BBF"/>
    <w:rsid w:val="00424EB1"/>
    <w:rsid w:val="0042535F"/>
    <w:rsid w:val="00425377"/>
    <w:rsid w:val="0042546D"/>
    <w:rsid w:val="004254CB"/>
    <w:rsid w:val="004255B6"/>
    <w:rsid w:val="00425B7D"/>
    <w:rsid w:val="00425BB4"/>
    <w:rsid w:val="00425C54"/>
    <w:rsid w:val="00425C74"/>
    <w:rsid w:val="004261B4"/>
    <w:rsid w:val="0042623F"/>
    <w:rsid w:val="004263B1"/>
    <w:rsid w:val="004266EC"/>
    <w:rsid w:val="00426701"/>
    <w:rsid w:val="00426750"/>
    <w:rsid w:val="00426886"/>
    <w:rsid w:val="00426E0B"/>
    <w:rsid w:val="0042737E"/>
    <w:rsid w:val="00427389"/>
    <w:rsid w:val="00427880"/>
    <w:rsid w:val="004278CA"/>
    <w:rsid w:val="004278E8"/>
    <w:rsid w:val="00427AF0"/>
    <w:rsid w:val="00427F4F"/>
    <w:rsid w:val="0043016A"/>
    <w:rsid w:val="00430207"/>
    <w:rsid w:val="004304F3"/>
    <w:rsid w:val="00430855"/>
    <w:rsid w:val="00430953"/>
    <w:rsid w:val="00430E9B"/>
    <w:rsid w:val="00430FF1"/>
    <w:rsid w:val="00431223"/>
    <w:rsid w:val="0043130B"/>
    <w:rsid w:val="0043142D"/>
    <w:rsid w:val="00431841"/>
    <w:rsid w:val="0043197A"/>
    <w:rsid w:val="00431A87"/>
    <w:rsid w:val="00431B9E"/>
    <w:rsid w:val="00431BC2"/>
    <w:rsid w:val="00431CA7"/>
    <w:rsid w:val="00431D5B"/>
    <w:rsid w:val="00431F75"/>
    <w:rsid w:val="00432184"/>
    <w:rsid w:val="004325F7"/>
    <w:rsid w:val="0043270F"/>
    <w:rsid w:val="00432A3E"/>
    <w:rsid w:val="00432C8A"/>
    <w:rsid w:val="00432D64"/>
    <w:rsid w:val="00432EC3"/>
    <w:rsid w:val="004330CB"/>
    <w:rsid w:val="00433385"/>
    <w:rsid w:val="00433403"/>
    <w:rsid w:val="004334A5"/>
    <w:rsid w:val="00433852"/>
    <w:rsid w:val="00433AF1"/>
    <w:rsid w:val="00433B4E"/>
    <w:rsid w:val="00433D03"/>
    <w:rsid w:val="00434008"/>
    <w:rsid w:val="0043416D"/>
    <w:rsid w:val="0043443C"/>
    <w:rsid w:val="0043490A"/>
    <w:rsid w:val="00434B4A"/>
    <w:rsid w:val="00434D97"/>
    <w:rsid w:val="00434F0E"/>
    <w:rsid w:val="00434F6E"/>
    <w:rsid w:val="00435060"/>
    <w:rsid w:val="00435070"/>
    <w:rsid w:val="004350A2"/>
    <w:rsid w:val="0043514D"/>
    <w:rsid w:val="0043519F"/>
    <w:rsid w:val="004351F6"/>
    <w:rsid w:val="00435461"/>
    <w:rsid w:val="0043570F"/>
    <w:rsid w:val="00435833"/>
    <w:rsid w:val="00435A24"/>
    <w:rsid w:val="00435BD8"/>
    <w:rsid w:val="00435F83"/>
    <w:rsid w:val="00436314"/>
    <w:rsid w:val="0043642F"/>
    <w:rsid w:val="0043648F"/>
    <w:rsid w:val="004364AF"/>
    <w:rsid w:val="0043650A"/>
    <w:rsid w:val="004365B3"/>
    <w:rsid w:val="0043679E"/>
    <w:rsid w:val="00436884"/>
    <w:rsid w:val="00436986"/>
    <w:rsid w:val="00436A3D"/>
    <w:rsid w:val="00436F4A"/>
    <w:rsid w:val="004370E0"/>
    <w:rsid w:val="0043715F"/>
    <w:rsid w:val="0043767D"/>
    <w:rsid w:val="004377BE"/>
    <w:rsid w:val="00437989"/>
    <w:rsid w:val="00437B98"/>
    <w:rsid w:val="00437BA0"/>
    <w:rsid w:val="0044019F"/>
    <w:rsid w:val="00440460"/>
    <w:rsid w:val="00440591"/>
    <w:rsid w:val="004405C0"/>
    <w:rsid w:val="004406ED"/>
    <w:rsid w:val="00440723"/>
    <w:rsid w:val="00440864"/>
    <w:rsid w:val="00440B35"/>
    <w:rsid w:val="00440BF4"/>
    <w:rsid w:val="00440BFF"/>
    <w:rsid w:val="00440D11"/>
    <w:rsid w:val="00440EA8"/>
    <w:rsid w:val="0044118A"/>
    <w:rsid w:val="00441539"/>
    <w:rsid w:val="00441801"/>
    <w:rsid w:val="00441966"/>
    <w:rsid w:val="00441B1C"/>
    <w:rsid w:val="00441C0C"/>
    <w:rsid w:val="00441D89"/>
    <w:rsid w:val="00441D9B"/>
    <w:rsid w:val="00442268"/>
    <w:rsid w:val="004423F3"/>
    <w:rsid w:val="004425AD"/>
    <w:rsid w:val="004429B3"/>
    <w:rsid w:val="00442A22"/>
    <w:rsid w:val="00442D07"/>
    <w:rsid w:val="00442D30"/>
    <w:rsid w:val="00442DC2"/>
    <w:rsid w:val="00443035"/>
    <w:rsid w:val="00443043"/>
    <w:rsid w:val="004431A4"/>
    <w:rsid w:val="004436FE"/>
    <w:rsid w:val="004437CA"/>
    <w:rsid w:val="004437F4"/>
    <w:rsid w:val="004439D5"/>
    <w:rsid w:val="00443DCD"/>
    <w:rsid w:val="004440E5"/>
    <w:rsid w:val="00444275"/>
    <w:rsid w:val="00444841"/>
    <w:rsid w:val="00444A16"/>
    <w:rsid w:val="00444AFD"/>
    <w:rsid w:val="00444B32"/>
    <w:rsid w:val="00444D5C"/>
    <w:rsid w:val="00444DFE"/>
    <w:rsid w:val="00444F50"/>
    <w:rsid w:val="004450D1"/>
    <w:rsid w:val="00445194"/>
    <w:rsid w:val="004453E1"/>
    <w:rsid w:val="0044562D"/>
    <w:rsid w:val="004456A8"/>
    <w:rsid w:val="00445700"/>
    <w:rsid w:val="0044572A"/>
    <w:rsid w:val="0044579E"/>
    <w:rsid w:val="0044580E"/>
    <w:rsid w:val="00445892"/>
    <w:rsid w:val="00445897"/>
    <w:rsid w:val="00445A23"/>
    <w:rsid w:val="00446464"/>
    <w:rsid w:val="004464FB"/>
    <w:rsid w:val="00446C6A"/>
    <w:rsid w:val="00447B1A"/>
    <w:rsid w:val="00447CDD"/>
    <w:rsid w:val="00447D37"/>
    <w:rsid w:val="00450057"/>
    <w:rsid w:val="00450061"/>
    <w:rsid w:val="004501CD"/>
    <w:rsid w:val="00450943"/>
    <w:rsid w:val="00450BE0"/>
    <w:rsid w:val="00450DD1"/>
    <w:rsid w:val="0045116A"/>
    <w:rsid w:val="00451461"/>
    <w:rsid w:val="00451CDE"/>
    <w:rsid w:val="00451D94"/>
    <w:rsid w:val="00451E84"/>
    <w:rsid w:val="00451F67"/>
    <w:rsid w:val="00451FF6"/>
    <w:rsid w:val="00452454"/>
    <w:rsid w:val="0045255B"/>
    <w:rsid w:val="00452C2F"/>
    <w:rsid w:val="00452EBA"/>
    <w:rsid w:val="00453026"/>
    <w:rsid w:val="004531AF"/>
    <w:rsid w:val="0045335F"/>
    <w:rsid w:val="004533DC"/>
    <w:rsid w:val="00453740"/>
    <w:rsid w:val="00453847"/>
    <w:rsid w:val="00453CEC"/>
    <w:rsid w:val="00453E2D"/>
    <w:rsid w:val="00453E64"/>
    <w:rsid w:val="00453FF2"/>
    <w:rsid w:val="00454013"/>
    <w:rsid w:val="00454518"/>
    <w:rsid w:val="00454583"/>
    <w:rsid w:val="004547EE"/>
    <w:rsid w:val="00454E72"/>
    <w:rsid w:val="00454EB9"/>
    <w:rsid w:val="004552FB"/>
    <w:rsid w:val="004558B7"/>
    <w:rsid w:val="00455D1D"/>
    <w:rsid w:val="0045648F"/>
    <w:rsid w:val="004564A8"/>
    <w:rsid w:val="004564C0"/>
    <w:rsid w:val="0045659A"/>
    <w:rsid w:val="0045662D"/>
    <w:rsid w:val="00456E4A"/>
    <w:rsid w:val="004575DC"/>
    <w:rsid w:val="0045794E"/>
    <w:rsid w:val="00457B83"/>
    <w:rsid w:val="00457D07"/>
    <w:rsid w:val="00457E30"/>
    <w:rsid w:val="0046036E"/>
    <w:rsid w:val="0046056F"/>
    <w:rsid w:val="004605CA"/>
    <w:rsid w:val="0046085D"/>
    <w:rsid w:val="004611BF"/>
    <w:rsid w:val="00461764"/>
    <w:rsid w:val="004618AE"/>
    <w:rsid w:val="004618E4"/>
    <w:rsid w:val="00461923"/>
    <w:rsid w:val="00461BD0"/>
    <w:rsid w:val="00461C12"/>
    <w:rsid w:val="00461DB9"/>
    <w:rsid w:val="00462108"/>
    <w:rsid w:val="004624EE"/>
    <w:rsid w:val="0046253A"/>
    <w:rsid w:val="004629F3"/>
    <w:rsid w:val="00462A2E"/>
    <w:rsid w:val="00462DDA"/>
    <w:rsid w:val="0046300D"/>
    <w:rsid w:val="004633BA"/>
    <w:rsid w:val="0046377D"/>
    <w:rsid w:val="004638E1"/>
    <w:rsid w:val="004639AF"/>
    <w:rsid w:val="00463C61"/>
    <w:rsid w:val="00463EFA"/>
    <w:rsid w:val="004640D1"/>
    <w:rsid w:val="00464434"/>
    <w:rsid w:val="0046446E"/>
    <w:rsid w:val="0046469E"/>
    <w:rsid w:val="00464703"/>
    <w:rsid w:val="0046476D"/>
    <w:rsid w:val="00464900"/>
    <w:rsid w:val="00464A2E"/>
    <w:rsid w:val="00464A45"/>
    <w:rsid w:val="00464C97"/>
    <w:rsid w:val="0046500A"/>
    <w:rsid w:val="0046508B"/>
    <w:rsid w:val="00465505"/>
    <w:rsid w:val="004656B3"/>
    <w:rsid w:val="00465784"/>
    <w:rsid w:val="0046598B"/>
    <w:rsid w:val="004659DE"/>
    <w:rsid w:val="00465C01"/>
    <w:rsid w:val="004660C2"/>
    <w:rsid w:val="004660E5"/>
    <w:rsid w:val="00466447"/>
    <w:rsid w:val="0046647D"/>
    <w:rsid w:val="004669CF"/>
    <w:rsid w:val="00466BF0"/>
    <w:rsid w:val="00466CEF"/>
    <w:rsid w:val="00466EC9"/>
    <w:rsid w:val="0046703A"/>
    <w:rsid w:val="00467354"/>
    <w:rsid w:val="00467597"/>
    <w:rsid w:val="004675B7"/>
    <w:rsid w:val="004675F9"/>
    <w:rsid w:val="004676FA"/>
    <w:rsid w:val="00467884"/>
    <w:rsid w:val="00467BC5"/>
    <w:rsid w:val="00467BF0"/>
    <w:rsid w:val="00467D01"/>
    <w:rsid w:val="004700B8"/>
    <w:rsid w:val="0047013F"/>
    <w:rsid w:val="004703C4"/>
    <w:rsid w:val="00470688"/>
    <w:rsid w:val="004706C4"/>
    <w:rsid w:val="004708A6"/>
    <w:rsid w:val="004710A0"/>
    <w:rsid w:val="004710FA"/>
    <w:rsid w:val="004711AB"/>
    <w:rsid w:val="004712A4"/>
    <w:rsid w:val="00471339"/>
    <w:rsid w:val="004713B2"/>
    <w:rsid w:val="00471CEB"/>
    <w:rsid w:val="00471EE9"/>
    <w:rsid w:val="00471F3A"/>
    <w:rsid w:val="00471F81"/>
    <w:rsid w:val="004723B4"/>
    <w:rsid w:val="0047245E"/>
    <w:rsid w:val="0047255D"/>
    <w:rsid w:val="00472953"/>
    <w:rsid w:val="00472954"/>
    <w:rsid w:val="00472B41"/>
    <w:rsid w:val="00472BA0"/>
    <w:rsid w:val="00472E07"/>
    <w:rsid w:val="004730FC"/>
    <w:rsid w:val="004731E5"/>
    <w:rsid w:val="0047321D"/>
    <w:rsid w:val="00473471"/>
    <w:rsid w:val="00473701"/>
    <w:rsid w:val="004737C6"/>
    <w:rsid w:val="004739EE"/>
    <w:rsid w:val="00473EB1"/>
    <w:rsid w:val="00473EFE"/>
    <w:rsid w:val="004740C5"/>
    <w:rsid w:val="004740E0"/>
    <w:rsid w:val="00474119"/>
    <w:rsid w:val="00474157"/>
    <w:rsid w:val="004743ED"/>
    <w:rsid w:val="00474564"/>
    <w:rsid w:val="00474B8D"/>
    <w:rsid w:val="00474C57"/>
    <w:rsid w:val="00474CD0"/>
    <w:rsid w:val="00474D57"/>
    <w:rsid w:val="00474E49"/>
    <w:rsid w:val="004752C1"/>
    <w:rsid w:val="004754BE"/>
    <w:rsid w:val="004758BF"/>
    <w:rsid w:val="00475BF7"/>
    <w:rsid w:val="00475CC9"/>
    <w:rsid w:val="004760B9"/>
    <w:rsid w:val="00476125"/>
    <w:rsid w:val="0047623F"/>
    <w:rsid w:val="004762A6"/>
    <w:rsid w:val="004764A3"/>
    <w:rsid w:val="0047674E"/>
    <w:rsid w:val="004767B7"/>
    <w:rsid w:val="00476B8E"/>
    <w:rsid w:val="00476BE1"/>
    <w:rsid w:val="00476CDD"/>
    <w:rsid w:val="00476CFF"/>
    <w:rsid w:val="00476EE5"/>
    <w:rsid w:val="00476F9E"/>
    <w:rsid w:val="00477141"/>
    <w:rsid w:val="0047714D"/>
    <w:rsid w:val="0047715F"/>
    <w:rsid w:val="00477238"/>
    <w:rsid w:val="00477588"/>
    <w:rsid w:val="0047765E"/>
    <w:rsid w:val="0047771B"/>
    <w:rsid w:val="00477752"/>
    <w:rsid w:val="004778BB"/>
    <w:rsid w:val="0047798B"/>
    <w:rsid w:val="00477DE3"/>
    <w:rsid w:val="00477FD9"/>
    <w:rsid w:val="004800DC"/>
    <w:rsid w:val="00480254"/>
    <w:rsid w:val="004802F2"/>
    <w:rsid w:val="0048052A"/>
    <w:rsid w:val="004806E3"/>
    <w:rsid w:val="004808D0"/>
    <w:rsid w:val="00480B0A"/>
    <w:rsid w:val="0048126B"/>
    <w:rsid w:val="004815DC"/>
    <w:rsid w:val="0048164B"/>
    <w:rsid w:val="0048164F"/>
    <w:rsid w:val="004816E0"/>
    <w:rsid w:val="00481EBB"/>
    <w:rsid w:val="004826BF"/>
    <w:rsid w:val="0048282A"/>
    <w:rsid w:val="004828CC"/>
    <w:rsid w:val="00482A7D"/>
    <w:rsid w:val="00482E60"/>
    <w:rsid w:val="004833F6"/>
    <w:rsid w:val="00483565"/>
    <w:rsid w:val="004838D0"/>
    <w:rsid w:val="00483AFF"/>
    <w:rsid w:val="00483B6A"/>
    <w:rsid w:val="00483E13"/>
    <w:rsid w:val="00484038"/>
    <w:rsid w:val="00484114"/>
    <w:rsid w:val="004843AC"/>
    <w:rsid w:val="004845E9"/>
    <w:rsid w:val="0048482A"/>
    <w:rsid w:val="00484A4F"/>
    <w:rsid w:val="00484A8F"/>
    <w:rsid w:val="00484B4F"/>
    <w:rsid w:val="00484D67"/>
    <w:rsid w:val="0048526A"/>
    <w:rsid w:val="004852A2"/>
    <w:rsid w:val="00485649"/>
    <w:rsid w:val="004856C3"/>
    <w:rsid w:val="004857C5"/>
    <w:rsid w:val="00485A88"/>
    <w:rsid w:val="00485A97"/>
    <w:rsid w:val="00485B97"/>
    <w:rsid w:val="00485BF8"/>
    <w:rsid w:val="00485C95"/>
    <w:rsid w:val="00485FFA"/>
    <w:rsid w:val="00486416"/>
    <w:rsid w:val="004864B8"/>
    <w:rsid w:val="004865A7"/>
    <w:rsid w:val="00486613"/>
    <w:rsid w:val="004867F6"/>
    <w:rsid w:val="00486A18"/>
    <w:rsid w:val="00486A68"/>
    <w:rsid w:val="00486BE1"/>
    <w:rsid w:val="00486C98"/>
    <w:rsid w:val="00486CF1"/>
    <w:rsid w:val="00486DF8"/>
    <w:rsid w:val="00486E14"/>
    <w:rsid w:val="00486EE1"/>
    <w:rsid w:val="00486FBF"/>
    <w:rsid w:val="00490002"/>
    <w:rsid w:val="0049025B"/>
    <w:rsid w:val="004909C0"/>
    <w:rsid w:val="00490A1A"/>
    <w:rsid w:val="00490BDF"/>
    <w:rsid w:val="00490C11"/>
    <w:rsid w:val="00490D0D"/>
    <w:rsid w:val="0049133B"/>
    <w:rsid w:val="0049136E"/>
    <w:rsid w:val="004914AD"/>
    <w:rsid w:val="004914ED"/>
    <w:rsid w:val="00491623"/>
    <w:rsid w:val="004918B0"/>
    <w:rsid w:val="00491922"/>
    <w:rsid w:val="00491B16"/>
    <w:rsid w:val="00491B54"/>
    <w:rsid w:val="00491C2C"/>
    <w:rsid w:val="00491DB3"/>
    <w:rsid w:val="00491E85"/>
    <w:rsid w:val="00491F44"/>
    <w:rsid w:val="004921A7"/>
    <w:rsid w:val="00492652"/>
    <w:rsid w:val="004927C1"/>
    <w:rsid w:val="00492911"/>
    <w:rsid w:val="00492E93"/>
    <w:rsid w:val="00493317"/>
    <w:rsid w:val="004936A2"/>
    <w:rsid w:val="00493A5A"/>
    <w:rsid w:val="00493ACC"/>
    <w:rsid w:val="00493F72"/>
    <w:rsid w:val="004942F4"/>
    <w:rsid w:val="00494539"/>
    <w:rsid w:val="0049456F"/>
    <w:rsid w:val="00494610"/>
    <w:rsid w:val="00494953"/>
    <w:rsid w:val="00494F7B"/>
    <w:rsid w:val="0049544E"/>
    <w:rsid w:val="00495F0F"/>
    <w:rsid w:val="00496060"/>
    <w:rsid w:val="0049632F"/>
    <w:rsid w:val="00496432"/>
    <w:rsid w:val="0049669A"/>
    <w:rsid w:val="00496804"/>
    <w:rsid w:val="004969C5"/>
    <w:rsid w:val="004969DC"/>
    <w:rsid w:val="00496C82"/>
    <w:rsid w:val="00496D1E"/>
    <w:rsid w:val="00496EEB"/>
    <w:rsid w:val="004971FC"/>
    <w:rsid w:val="0049732B"/>
    <w:rsid w:val="00497416"/>
    <w:rsid w:val="00497449"/>
    <w:rsid w:val="00497713"/>
    <w:rsid w:val="004978A3"/>
    <w:rsid w:val="00497AD4"/>
    <w:rsid w:val="00497B6C"/>
    <w:rsid w:val="00497D7E"/>
    <w:rsid w:val="00497E6F"/>
    <w:rsid w:val="004A0291"/>
    <w:rsid w:val="004A037F"/>
    <w:rsid w:val="004A04BC"/>
    <w:rsid w:val="004A07A4"/>
    <w:rsid w:val="004A08FD"/>
    <w:rsid w:val="004A0910"/>
    <w:rsid w:val="004A0A26"/>
    <w:rsid w:val="004A0D33"/>
    <w:rsid w:val="004A0DD4"/>
    <w:rsid w:val="004A0EF7"/>
    <w:rsid w:val="004A0F40"/>
    <w:rsid w:val="004A1047"/>
    <w:rsid w:val="004A10B1"/>
    <w:rsid w:val="004A124A"/>
    <w:rsid w:val="004A13F1"/>
    <w:rsid w:val="004A1515"/>
    <w:rsid w:val="004A15AB"/>
    <w:rsid w:val="004A1B7C"/>
    <w:rsid w:val="004A1B85"/>
    <w:rsid w:val="004A1D4F"/>
    <w:rsid w:val="004A1FCA"/>
    <w:rsid w:val="004A207E"/>
    <w:rsid w:val="004A20A7"/>
    <w:rsid w:val="004A2112"/>
    <w:rsid w:val="004A24A1"/>
    <w:rsid w:val="004A24E8"/>
    <w:rsid w:val="004A2756"/>
    <w:rsid w:val="004A276C"/>
    <w:rsid w:val="004A2824"/>
    <w:rsid w:val="004A31D3"/>
    <w:rsid w:val="004A3865"/>
    <w:rsid w:val="004A39CD"/>
    <w:rsid w:val="004A3C53"/>
    <w:rsid w:val="004A3F3A"/>
    <w:rsid w:val="004A4211"/>
    <w:rsid w:val="004A4558"/>
    <w:rsid w:val="004A46CF"/>
    <w:rsid w:val="004A4B80"/>
    <w:rsid w:val="004A4C51"/>
    <w:rsid w:val="004A4CFD"/>
    <w:rsid w:val="004A4E53"/>
    <w:rsid w:val="004A50A0"/>
    <w:rsid w:val="004A528A"/>
    <w:rsid w:val="004A5560"/>
    <w:rsid w:val="004A55BB"/>
    <w:rsid w:val="004A586F"/>
    <w:rsid w:val="004A58D4"/>
    <w:rsid w:val="004A59AD"/>
    <w:rsid w:val="004A5AC7"/>
    <w:rsid w:val="004A6029"/>
    <w:rsid w:val="004A607F"/>
    <w:rsid w:val="004A617D"/>
    <w:rsid w:val="004A6625"/>
    <w:rsid w:val="004A6F1B"/>
    <w:rsid w:val="004A735B"/>
    <w:rsid w:val="004A73E9"/>
    <w:rsid w:val="004A7639"/>
    <w:rsid w:val="004A76DC"/>
    <w:rsid w:val="004A798A"/>
    <w:rsid w:val="004A7D84"/>
    <w:rsid w:val="004B007A"/>
    <w:rsid w:val="004B0182"/>
    <w:rsid w:val="004B0260"/>
    <w:rsid w:val="004B02DE"/>
    <w:rsid w:val="004B043E"/>
    <w:rsid w:val="004B04F1"/>
    <w:rsid w:val="004B0A1E"/>
    <w:rsid w:val="004B0BD7"/>
    <w:rsid w:val="004B0E27"/>
    <w:rsid w:val="004B0F85"/>
    <w:rsid w:val="004B1049"/>
    <w:rsid w:val="004B1176"/>
    <w:rsid w:val="004B1312"/>
    <w:rsid w:val="004B13C0"/>
    <w:rsid w:val="004B1577"/>
    <w:rsid w:val="004B180C"/>
    <w:rsid w:val="004B1A65"/>
    <w:rsid w:val="004B21ED"/>
    <w:rsid w:val="004B22DB"/>
    <w:rsid w:val="004B24C4"/>
    <w:rsid w:val="004B2737"/>
    <w:rsid w:val="004B2997"/>
    <w:rsid w:val="004B2A00"/>
    <w:rsid w:val="004B2DD6"/>
    <w:rsid w:val="004B3201"/>
    <w:rsid w:val="004B35E0"/>
    <w:rsid w:val="004B39BD"/>
    <w:rsid w:val="004B4148"/>
    <w:rsid w:val="004B436A"/>
    <w:rsid w:val="004B43CE"/>
    <w:rsid w:val="004B4747"/>
    <w:rsid w:val="004B4766"/>
    <w:rsid w:val="004B47E1"/>
    <w:rsid w:val="004B4A9D"/>
    <w:rsid w:val="004B4D44"/>
    <w:rsid w:val="004B541E"/>
    <w:rsid w:val="004B55B6"/>
    <w:rsid w:val="004B56E5"/>
    <w:rsid w:val="004B56E8"/>
    <w:rsid w:val="004B5A21"/>
    <w:rsid w:val="004B5EF0"/>
    <w:rsid w:val="004B624A"/>
    <w:rsid w:val="004B639B"/>
    <w:rsid w:val="004B6543"/>
    <w:rsid w:val="004B6DB0"/>
    <w:rsid w:val="004B6E2B"/>
    <w:rsid w:val="004B7118"/>
    <w:rsid w:val="004B7652"/>
    <w:rsid w:val="004B7862"/>
    <w:rsid w:val="004B7A30"/>
    <w:rsid w:val="004B7AD4"/>
    <w:rsid w:val="004B7C2D"/>
    <w:rsid w:val="004C00BB"/>
    <w:rsid w:val="004C028C"/>
    <w:rsid w:val="004C0594"/>
    <w:rsid w:val="004C0660"/>
    <w:rsid w:val="004C0735"/>
    <w:rsid w:val="004C07CF"/>
    <w:rsid w:val="004C0DE7"/>
    <w:rsid w:val="004C12EC"/>
    <w:rsid w:val="004C16E8"/>
    <w:rsid w:val="004C17E0"/>
    <w:rsid w:val="004C2088"/>
    <w:rsid w:val="004C217B"/>
    <w:rsid w:val="004C21EA"/>
    <w:rsid w:val="004C227D"/>
    <w:rsid w:val="004C25EB"/>
    <w:rsid w:val="004C2A2F"/>
    <w:rsid w:val="004C2E8B"/>
    <w:rsid w:val="004C323E"/>
    <w:rsid w:val="004C3320"/>
    <w:rsid w:val="004C3362"/>
    <w:rsid w:val="004C34B7"/>
    <w:rsid w:val="004C3846"/>
    <w:rsid w:val="004C3D9E"/>
    <w:rsid w:val="004C3DFC"/>
    <w:rsid w:val="004C3E35"/>
    <w:rsid w:val="004C409A"/>
    <w:rsid w:val="004C4154"/>
    <w:rsid w:val="004C4335"/>
    <w:rsid w:val="004C43DF"/>
    <w:rsid w:val="004C4563"/>
    <w:rsid w:val="004C4637"/>
    <w:rsid w:val="004C4AA5"/>
    <w:rsid w:val="004C4BE1"/>
    <w:rsid w:val="004C503C"/>
    <w:rsid w:val="004C5365"/>
    <w:rsid w:val="004C53CF"/>
    <w:rsid w:val="004C54EC"/>
    <w:rsid w:val="004C5523"/>
    <w:rsid w:val="004C5528"/>
    <w:rsid w:val="004C5A06"/>
    <w:rsid w:val="004C5A71"/>
    <w:rsid w:val="004C5CAE"/>
    <w:rsid w:val="004C5EF8"/>
    <w:rsid w:val="004C5FAB"/>
    <w:rsid w:val="004C609A"/>
    <w:rsid w:val="004C6277"/>
    <w:rsid w:val="004C69F5"/>
    <w:rsid w:val="004C6C75"/>
    <w:rsid w:val="004C6D56"/>
    <w:rsid w:val="004C7591"/>
    <w:rsid w:val="004C7805"/>
    <w:rsid w:val="004C7C48"/>
    <w:rsid w:val="004D0042"/>
    <w:rsid w:val="004D0486"/>
    <w:rsid w:val="004D06AE"/>
    <w:rsid w:val="004D09FB"/>
    <w:rsid w:val="004D1080"/>
    <w:rsid w:val="004D13C0"/>
    <w:rsid w:val="004D15A4"/>
    <w:rsid w:val="004D16E1"/>
    <w:rsid w:val="004D173C"/>
    <w:rsid w:val="004D1AC8"/>
    <w:rsid w:val="004D1B44"/>
    <w:rsid w:val="004D1D95"/>
    <w:rsid w:val="004D1E69"/>
    <w:rsid w:val="004D21AD"/>
    <w:rsid w:val="004D21B2"/>
    <w:rsid w:val="004D23F2"/>
    <w:rsid w:val="004D24C5"/>
    <w:rsid w:val="004D25B8"/>
    <w:rsid w:val="004D25D2"/>
    <w:rsid w:val="004D2942"/>
    <w:rsid w:val="004D2981"/>
    <w:rsid w:val="004D29A0"/>
    <w:rsid w:val="004D2D43"/>
    <w:rsid w:val="004D2F56"/>
    <w:rsid w:val="004D305B"/>
    <w:rsid w:val="004D3505"/>
    <w:rsid w:val="004D3656"/>
    <w:rsid w:val="004D3854"/>
    <w:rsid w:val="004D3C8E"/>
    <w:rsid w:val="004D3CA0"/>
    <w:rsid w:val="004D3EAC"/>
    <w:rsid w:val="004D4382"/>
    <w:rsid w:val="004D4513"/>
    <w:rsid w:val="004D4677"/>
    <w:rsid w:val="004D4EA2"/>
    <w:rsid w:val="004D4EFC"/>
    <w:rsid w:val="004D5164"/>
    <w:rsid w:val="004D52BC"/>
    <w:rsid w:val="004D5341"/>
    <w:rsid w:val="004D5369"/>
    <w:rsid w:val="004D53D6"/>
    <w:rsid w:val="004D5571"/>
    <w:rsid w:val="004D564B"/>
    <w:rsid w:val="004D5727"/>
    <w:rsid w:val="004D5A0D"/>
    <w:rsid w:val="004D5E19"/>
    <w:rsid w:val="004D5EE5"/>
    <w:rsid w:val="004D5F2E"/>
    <w:rsid w:val="004D5F6D"/>
    <w:rsid w:val="004D6008"/>
    <w:rsid w:val="004D609F"/>
    <w:rsid w:val="004D61E9"/>
    <w:rsid w:val="004D62D2"/>
    <w:rsid w:val="004D6479"/>
    <w:rsid w:val="004D655B"/>
    <w:rsid w:val="004D678A"/>
    <w:rsid w:val="004D67A5"/>
    <w:rsid w:val="004D67AD"/>
    <w:rsid w:val="004D683D"/>
    <w:rsid w:val="004D6CA1"/>
    <w:rsid w:val="004D6CDB"/>
    <w:rsid w:val="004D6D62"/>
    <w:rsid w:val="004D7400"/>
    <w:rsid w:val="004D742C"/>
    <w:rsid w:val="004D7478"/>
    <w:rsid w:val="004D77C6"/>
    <w:rsid w:val="004D7802"/>
    <w:rsid w:val="004D7816"/>
    <w:rsid w:val="004D7AFB"/>
    <w:rsid w:val="004D7FB7"/>
    <w:rsid w:val="004E0492"/>
    <w:rsid w:val="004E056C"/>
    <w:rsid w:val="004E064A"/>
    <w:rsid w:val="004E06E2"/>
    <w:rsid w:val="004E0845"/>
    <w:rsid w:val="004E085D"/>
    <w:rsid w:val="004E0EBD"/>
    <w:rsid w:val="004E0EE1"/>
    <w:rsid w:val="004E108D"/>
    <w:rsid w:val="004E12AA"/>
    <w:rsid w:val="004E1934"/>
    <w:rsid w:val="004E1F15"/>
    <w:rsid w:val="004E2072"/>
    <w:rsid w:val="004E23F0"/>
    <w:rsid w:val="004E24C1"/>
    <w:rsid w:val="004E26F0"/>
    <w:rsid w:val="004E2743"/>
    <w:rsid w:val="004E2D8C"/>
    <w:rsid w:val="004E2DED"/>
    <w:rsid w:val="004E2FD4"/>
    <w:rsid w:val="004E327C"/>
    <w:rsid w:val="004E32C4"/>
    <w:rsid w:val="004E379C"/>
    <w:rsid w:val="004E3D65"/>
    <w:rsid w:val="004E3D79"/>
    <w:rsid w:val="004E3F6C"/>
    <w:rsid w:val="004E4043"/>
    <w:rsid w:val="004E4064"/>
    <w:rsid w:val="004E407F"/>
    <w:rsid w:val="004E4611"/>
    <w:rsid w:val="004E4839"/>
    <w:rsid w:val="004E4956"/>
    <w:rsid w:val="004E4A22"/>
    <w:rsid w:val="004E4AD2"/>
    <w:rsid w:val="004E4AE5"/>
    <w:rsid w:val="004E4B73"/>
    <w:rsid w:val="004E4C8E"/>
    <w:rsid w:val="004E4E3B"/>
    <w:rsid w:val="004E52A2"/>
    <w:rsid w:val="004E5429"/>
    <w:rsid w:val="004E582F"/>
    <w:rsid w:val="004E59C1"/>
    <w:rsid w:val="004E5BDB"/>
    <w:rsid w:val="004E5C36"/>
    <w:rsid w:val="004E643F"/>
    <w:rsid w:val="004E6887"/>
    <w:rsid w:val="004E6AAF"/>
    <w:rsid w:val="004E70E8"/>
    <w:rsid w:val="004E71EC"/>
    <w:rsid w:val="004E7251"/>
    <w:rsid w:val="004E7259"/>
    <w:rsid w:val="004E72C7"/>
    <w:rsid w:val="004E74BC"/>
    <w:rsid w:val="004E74D8"/>
    <w:rsid w:val="004E7569"/>
    <w:rsid w:val="004E75C4"/>
    <w:rsid w:val="004E75F9"/>
    <w:rsid w:val="004E7650"/>
    <w:rsid w:val="004E77BB"/>
    <w:rsid w:val="004E7858"/>
    <w:rsid w:val="004E7A1D"/>
    <w:rsid w:val="004E7B6E"/>
    <w:rsid w:val="004E7CF0"/>
    <w:rsid w:val="004E7D2A"/>
    <w:rsid w:val="004E7D70"/>
    <w:rsid w:val="004E7F4A"/>
    <w:rsid w:val="004F04CC"/>
    <w:rsid w:val="004F08A6"/>
    <w:rsid w:val="004F08E3"/>
    <w:rsid w:val="004F09AF"/>
    <w:rsid w:val="004F0F9A"/>
    <w:rsid w:val="004F100B"/>
    <w:rsid w:val="004F13F8"/>
    <w:rsid w:val="004F1661"/>
    <w:rsid w:val="004F16E4"/>
    <w:rsid w:val="004F16F4"/>
    <w:rsid w:val="004F1805"/>
    <w:rsid w:val="004F1A77"/>
    <w:rsid w:val="004F1AE5"/>
    <w:rsid w:val="004F1BC1"/>
    <w:rsid w:val="004F1C07"/>
    <w:rsid w:val="004F20FD"/>
    <w:rsid w:val="004F21FB"/>
    <w:rsid w:val="004F233B"/>
    <w:rsid w:val="004F23A9"/>
    <w:rsid w:val="004F269A"/>
    <w:rsid w:val="004F2A0B"/>
    <w:rsid w:val="004F2A42"/>
    <w:rsid w:val="004F2FB1"/>
    <w:rsid w:val="004F30A9"/>
    <w:rsid w:val="004F395F"/>
    <w:rsid w:val="004F3A47"/>
    <w:rsid w:val="004F436C"/>
    <w:rsid w:val="004F4699"/>
    <w:rsid w:val="004F46C7"/>
    <w:rsid w:val="004F4890"/>
    <w:rsid w:val="004F48B4"/>
    <w:rsid w:val="004F4A3C"/>
    <w:rsid w:val="004F4BA2"/>
    <w:rsid w:val="004F4C3D"/>
    <w:rsid w:val="004F4CCF"/>
    <w:rsid w:val="004F4DB4"/>
    <w:rsid w:val="004F4F50"/>
    <w:rsid w:val="004F5224"/>
    <w:rsid w:val="004F532A"/>
    <w:rsid w:val="004F5855"/>
    <w:rsid w:val="004F59B0"/>
    <w:rsid w:val="004F5F7C"/>
    <w:rsid w:val="004F6368"/>
    <w:rsid w:val="004F6416"/>
    <w:rsid w:val="004F643D"/>
    <w:rsid w:val="004F64DF"/>
    <w:rsid w:val="004F6526"/>
    <w:rsid w:val="004F6577"/>
    <w:rsid w:val="004F6687"/>
    <w:rsid w:val="004F6CCE"/>
    <w:rsid w:val="004F6E00"/>
    <w:rsid w:val="004F7085"/>
    <w:rsid w:val="004F7176"/>
    <w:rsid w:val="004F74B1"/>
    <w:rsid w:val="004F761A"/>
    <w:rsid w:val="004F77A8"/>
    <w:rsid w:val="004F78DD"/>
    <w:rsid w:val="004F792B"/>
    <w:rsid w:val="00500449"/>
    <w:rsid w:val="005007DF"/>
    <w:rsid w:val="00500897"/>
    <w:rsid w:val="0050099D"/>
    <w:rsid w:val="00500B12"/>
    <w:rsid w:val="00500BC8"/>
    <w:rsid w:val="00500C1D"/>
    <w:rsid w:val="00500CFF"/>
    <w:rsid w:val="00500EE6"/>
    <w:rsid w:val="00501065"/>
    <w:rsid w:val="005010C7"/>
    <w:rsid w:val="00501465"/>
    <w:rsid w:val="00501473"/>
    <w:rsid w:val="005015B5"/>
    <w:rsid w:val="005016BF"/>
    <w:rsid w:val="00501AF1"/>
    <w:rsid w:val="00501AFA"/>
    <w:rsid w:val="00501CFE"/>
    <w:rsid w:val="00501DDD"/>
    <w:rsid w:val="00501F11"/>
    <w:rsid w:val="0050237F"/>
    <w:rsid w:val="005028D8"/>
    <w:rsid w:val="00502B33"/>
    <w:rsid w:val="005030BE"/>
    <w:rsid w:val="005030EB"/>
    <w:rsid w:val="0050356C"/>
    <w:rsid w:val="00503C7A"/>
    <w:rsid w:val="00503CD4"/>
    <w:rsid w:val="00503D1B"/>
    <w:rsid w:val="00503D6A"/>
    <w:rsid w:val="005040C8"/>
    <w:rsid w:val="005041A0"/>
    <w:rsid w:val="00504502"/>
    <w:rsid w:val="00504C3D"/>
    <w:rsid w:val="00504D39"/>
    <w:rsid w:val="00504EBF"/>
    <w:rsid w:val="00504FB9"/>
    <w:rsid w:val="005052E5"/>
    <w:rsid w:val="00505365"/>
    <w:rsid w:val="0050584C"/>
    <w:rsid w:val="00505855"/>
    <w:rsid w:val="0050594E"/>
    <w:rsid w:val="00505B83"/>
    <w:rsid w:val="00505BDF"/>
    <w:rsid w:val="00505C73"/>
    <w:rsid w:val="00505CDC"/>
    <w:rsid w:val="005061FE"/>
    <w:rsid w:val="00506696"/>
    <w:rsid w:val="005067CD"/>
    <w:rsid w:val="00506CCE"/>
    <w:rsid w:val="00506F33"/>
    <w:rsid w:val="00507021"/>
    <w:rsid w:val="005074F0"/>
    <w:rsid w:val="0050766E"/>
    <w:rsid w:val="00507741"/>
    <w:rsid w:val="0050777E"/>
    <w:rsid w:val="00507913"/>
    <w:rsid w:val="00507EA7"/>
    <w:rsid w:val="00510038"/>
    <w:rsid w:val="005103B6"/>
    <w:rsid w:val="00510491"/>
    <w:rsid w:val="00510B35"/>
    <w:rsid w:val="00510E64"/>
    <w:rsid w:val="00511241"/>
    <w:rsid w:val="0051134E"/>
    <w:rsid w:val="005114F3"/>
    <w:rsid w:val="00511778"/>
    <w:rsid w:val="00511857"/>
    <w:rsid w:val="00511922"/>
    <w:rsid w:val="0051201D"/>
    <w:rsid w:val="00512188"/>
    <w:rsid w:val="0051222C"/>
    <w:rsid w:val="00512261"/>
    <w:rsid w:val="005122CD"/>
    <w:rsid w:val="00512416"/>
    <w:rsid w:val="00512516"/>
    <w:rsid w:val="00513006"/>
    <w:rsid w:val="0051300A"/>
    <w:rsid w:val="00513012"/>
    <w:rsid w:val="00513620"/>
    <w:rsid w:val="0051383C"/>
    <w:rsid w:val="005139D9"/>
    <w:rsid w:val="00513C33"/>
    <w:rsid w:val="00513EFB"/>
    <w:rsid w:val="00513FD8"/>
    <w:rsid w:val="00514297"/>
    <w:rsid w:val="005142B4"/>
    <w:rsid w:val="00514441"/>
    <w:rsid w:val="005144D1"/>
    <w:rsid w:val="0051476F"/>
    <w:rsid w:val="005148D1"/>
    <w:rsid w:val="00514B13"/>
    <w:rsid w:val="00514D96"/>
    <w:rsid w:val="00514FF0"/>
    <w:rsid w:val="00515101"/>
    <w:rsid w:val="00515305"/>
    <w:rsid w:val="00515334"/>
    <w:rsid w:val="005153E3"/>
    <w:rsid w:val="005157AA"/>
    <w:rsid w:val="005157D3"/>
    <w:rsid w:val="0051588D"/>
    <w:rsid w:val="005158BA"/>
    <w:rsid w:val="00515B3C"/>
    <w:rsid w:val="00515BC3"/>
    <w:rsid w:val="00515E31"/>
    <w:rsid w:val="00515ECA"/>
    <w:rsid w:val="005168E2"/>
    <w:rsid w:val="005168FE"/>
    <w:rsid w:val="0051692A"/>
    <w:rsid w:val="00516951"/>
    <w:rsid w:val="00516A60"/>
    <w:rsid w:val="00516B4D"/>
    <w:rsid w:val="00516C88"/>
    <w:rsid w:val="00516E95"/>
    <w:rsid w:val="005172BF"/>
    <w:rsid w:val="00517375"/>
    <w:rsid w:val="00517507"/>
    <w:rsid w:val="00517717"/>
    <w:rsid w:val="0051784E"/>
    <w:rsid w:val="005178F9"/>
    <w:rsid w:val="00517964"/>
    <w:rsid w:val="00517A71"/>
    <w:rsid w:val="00517AAC"/>
    <w:rsid w:val="00517B2D"/>
    <w:rsid w:val="00517B69"/>
    <w:rsid w:val="00517C9F"/>
    <w:rsid w:val="00517CC6"/>
    <w:rsid w:val="00517F89"/>
    <w:rsid w:val="00520032"/>
    <w:rsid w:val="005202FA"/>
    <w:rsid w:val="005205F8"/>
    <w:rsid w:val="00520831"/>
    <w:rsid w:val="00520AC3"/>
    <w:rsid w:val="00520AFD"/>
    <w:rsid w:val="0052139A"/>
    <w:rsid w:val="00521562"/>
    <w:rsid w:val="0052173F"/>
    <w:rsid w:val="005217D7"/>
    <w:rsid w:val="00521C34"/>
    <w:rsid w:val="00521D2A"/>
    <w:rsid w:val="00521E14"/>
    <w:rsid w:val="00522374"/>
    <w:rsid w:val="00522786"/>
    <w:rsid w:val="005228A4"/>
    <w:rsid w:val="005229C4"/>
    <w:rsid w:val="00522F1E"/>
    <w:rsid w:val="00523099"/>
    <w:rsid w:val="005230C3"/>
    <w:rsid w:val="005231C7"/>
    <w:rsid w:val="0052331F"/>
    <w:rsid w:val="00523410"/>
    <w:rsid w:val="0052344A"/>
    <w:rsid w:val="00523577"/>
    <w:rsid w:val="00523597"/>
    <w:rsid w:val="0052362B"/>
    <w:rsid w:val="005236C1"/>
    <w:rsid w:val="00523889"/>
    <w:rsid w:val="00523BE6"/>
    <w:rsid w:val="00523D5A"/>
    <w:rsid w:val="005240F9"/>
    <w:rsid w:val="0052457C"/>
    <w:rsid w:val="005245F4"/>
    <w:rsid w:val="00524626"/>
    <w:rsid w:val="005247FE"/>
    <w:rsid w:val="00524954"/>
    <w:rsid w:val="00524A9B"/>
    <w:rsid w:val="0052516E"/>
    <w:rsid w:val="005252E6"/>
    <w:rsid w:val="00525444"/>
    <w:rsid w:val="0052559B"/>
    <w:rsid w:val="005255A8"/>
    <w:rsid w:val="005257B8"/>
    <w:rsid w:val="00525BD7"/>
    <w:rsid w:val="00525D0B"/>
    <w:rsid w:val="00525D6A"/>
    <w:rsid w:val="00525E51"/>
    <w:rsid w:val="005265B3"/>
    <w:rsid w:val="005266D2"/>
    <w:rsid w:val="005267B4"/>
    <w:rsid w:val="00526C0F"/>
    <w:rsid w:val="00526D6A"/>
    <w:rsid w:val="00526F3D"/>
    <w:rsid w:val="00527003"/>
    <w:rsid w:val="005273DA"/>
    <w:rsid w:val="00527539"/>
    <w:rsid w:val="00527605"/>
    <w:rsid w:val="00527A0C"/>
    <w:rsid w:val="00527A12"/>
    <w:rsid w:val="0053011B"/>
    <w:rsid w:val="005303C5"/>
    <w:rsid w:val="005303DD"/>
    <w:rsid w:val="00530458"/>
    <w:rsid w:val="0053051E"/>
    <w:rsid w:val="00530C0D"/>
    <w:rsid w:val="00530C20"/>
    <w:rsid w:val="00530EA0"/>
    <w:rsid w:val="00530EBA"/>
    <w:rsid w:val="005312F5"/>
    <w:rsid w:val="00531425"/>
    <w:rsid w:val="005314D7"/>
    <w:rsid w:val="005315C8"/>
    <w:rsid w:val="00531702"/>
    <w:rsid w:val="00531819"/>
    <w:rsid w:val="0053181F"/>
    <w:rsid w:val="00531845"/>
    <w:rsid w:val="00531D12"/>
    <w:rsid w:val="00531E28"/>
    <w:rsid w:val="00532882"/>
    <w:rsid w:val="00532922"/>
    <w:rsid w:val="005329EB"/>
    <w:rsid w:val="005329EF"/>
    <w:rsid w:val="00532B7D"/>
    <w:rsid w:val="00532D47"/>
    <w:rsid w:val="00532EB2"/>
    <w:rsid w:val="00532F0B"/>
    <w:rsid w:val="00533218"/>
    <w:rsid w:val="00533330"/>
    <w:rsid w:val="00533367"/>
    <w:rsid w:val="00533762"/>
    <w:rsid w:val="0053378F"/>
    <w:rsid w:val="00533848"/>
    <w:rsid w:val="00533A7A"/>
    <w:rsid w:val="00533AD0"/>
    <w:rsid w:val="005341ED"/>
    <w:rsid w:val="005342EA"/>
    <w:rsid w:val="00534391"/>
    <w:rsid w:val="005343A6"/>
    <w:rsid w:val="00534958"/>
    <w:rsid w:val="0053497F"/>
    <w:rsid w:val="00534C4F"/>
    <w:rsid w:val="00534C73"/>
    <w:rsid w:val="00534EC0"/>
    <w:rsid w:val="00534F57"/>
    <w:rsid w:val="00535171"/>
    <w:rsid w:val="00535424"/>
    <w:rsid w:val="005354ED"/>
    <w:rsid w:val="0053559B"/>
    <w:rsid w:val="00535972"/>
    <w:rsid w:val="00535A64"/>
    <w:rsid w:val="00535A90"/>
    <w:rsid w:val="00535A96"/>
    <w:rsid w:val="00535F77"/>
    <w:rsid w:val="00535FF5"/>
    <w:rsid w:val="005360B2"/>
    <w:rsid w:val="00536204"/>
    <w:rsid w:val="00536350"/>
    <w:rsid w:val="005368B6"/>
    <w:rsid w:val="0053691E"/>
    <w:rsid w:val="00536985"/>
    <w:rsid w:val="00536988"/>
    <w:rsid w:val="00536A69"/>
    <w:rsid w:val="00536AE7"/>
    <w:rsid w:val="00536AEC"/>
    <w:rsid w:val="00536B39"/>
    <w:rsid w:val="00536BEA"/>
    <w:rsid w:val="00536E20"/>
    <w:rsid w:val="0053709D"/>
    <w:rsid w:val="005371B0"/>
    <w:rsid w:val="0053726F"/>
    <w:rsid w:val="00537292"/>
    <w:rsid w:val="00537334"/>
    <w:rsid w:val="005375B7"/>
    <w:rsid w:val="00537922"/>
    <w:rsid w:val="00537991"/>
    <w:rsid w:val="005379EE"/>
    <w:rsid w:val="00537B7B"/>
    <w:rsid w:val="00537B95"/>
    <w:rsid w:val="00537F55"/>
    <w:rsid w:val="00540077"/>
    <w:rsid w:val="005401DB"/>
    <w:rsid w:val="00540235"/>
    <w:rsid w:val="005403E1"/>
    <w:rsid w:val="005404A7"/>
    <w:rsid w:val="00540975"/>
    <w:rsid w:val="00540D0E"/>
    <w:rsid w:val="00540E45"/>
    <w:rsid w:val="00541077"/>
    <w:rsid w:val="00541161"/>
    <w:rsid w:val="00541445"/>
    <w:rsid w:val="00541504"/>
    <w:rsid w:val="0054193B"/>
    <w:rsid w:val="00541BDD"/>
    <w:rsid w:val="00541C16"/>
    <w:rsid w:val="00541E3C"/>
    <w:rsid w:val="0054277C"/>
    <w:rsid w:val="00542971"/>
    <w:rsid w:val="00542C43"/>
    <w:rsid w:val="00542C7A"/>
    <w:rsid w:val="00542CF5"/>
    <w:rsid w:val="00542D14"/>
    <w:rsid w:val="00542F5A"/>
    <w:rsid w:val="00543184"/>
    <w:rsid w:val="005432D5"/>
    <w:rsid w:val="00543326"/>
    <w:rsid w:val="00543773"/>
    <w:rsid w:val="00543A42"/>
    <w:rsid w:val="00543EA1"/>
    <w:rsid w:val="00543FD3"/>
    <w:rsid w:val="00543FF4"/>
    <w:rsid w:val="00544A6F"/>
    <w:rsid w:val="00544B70"/>
    <w:rsid w:val="00544C03"/>
    <w:rsid w:val="0054512A"/>
    <w:rsid w:val="00545258"/>
    <w:rsid w:val="005453D9"/>
    <w:rsid w:val="00545784"/>
    <w:rsid w:val="005457E6"/>
    <w:rsid w:val="005458C7"/>
    <w:rsid w:val="0054597E"/>
    <w:rsid w:val="00545D82"/>
    <w:rsid w:val="00545E2B"/>
    <w:rsid w:val="00545EF7"/>
    <w:rsid w:val="00545F83"/>
    <w:rsid w:val="00545F8D"/>
    <w:rsid w:val="005463ED"/>
    <w:rsid w:val="00546616"/>
    <w:rsid w:val="005468F3"/>
    <w:rsid w:val="00546E26"/>
    <w:rsid w:val="00546F5C"/>
    <w:rsid w:val="0054729F"/>
    <w:rsid w:val="00547632"/>
    <w:rsid w:val="00547651"/>
    <w:rsid w:val="005477E8"/>
    <w:rsid w:val="00547B01"/>
    <w:rsid w:val="00547C04"/>
    <w:rsid w:val="00547F5D"/>
    <w:rsid w:val="005502DB"/>
    <w:rsid w:val="005502E6"/>
    <w:rsid w:val="0055055D"/>
    <w:rsid w:val="00550578"/>
    <w:rsid w:val="0055057F"/>
    <w:rsid w:val="005507C1"/>
    <w:rsid w:val="00550B9E"/>
    <w:rsid w:val="00550C3A"/>
    <w:rsid w:val="00550DBE"/>
    <w:rsid w:val="005510B3"/>
    <w:rsid w:val="005515C5"/>
    <w:rsid w:val="00551651"/>
    <w:rsid w:val="005518D8"/>
    <w:rsid w:val="00551BE1"/>
    <w:rsid w:val="00551C25"/>
    <w:rsid w:val="00551D59"/>
    <w:rsid w:val="00551DC0"/>
    <w:rsid w:val="00552018"/>
    <w:rsid w:val="005521EA"/>
    <w:rsid w:val="00552223"/>
    <w:rsid w:val="00552398"/>
    <w:rsid w:val="00552417"/>
    <w:rsid w:val="00552674"/>
    <w:rsid w:val="005526D5"/>
    <w:rsid w:val="005528DA"/>
    <w:rsid w:val="00552A94"/>
    <w:rsid w:val="00552D9A"/>
    <w:rsid w:val="00552DC0"/>
    <w:rsid w:val="00552E0A"/>
    <w:rsid w:val="00553239"/>
    <w:rsid w:val="005532F8"/>
    <w:rsid w:val="0055350F"/>
    <w:rsid w:val="00553941"/>
    <w:rsid w:val="00553B4E"/>
    <w:rsid w:val="00553C18"/>
    <w:rsid w:val="00553EDF"/>
    <w:rsid w:val="00554090"/>
    <w:rsid w:val="00554329"/>
    <w:rsid w:val="00554349"/>
    <w:rsid w:val="00554388"/>
    <w:rsid w:val="00554452"/>
    <w:rsid w:val="00554A28"/>
    <w:rsid w:val="00554D18"/>
    <w:rsid w:val="0055504D"/>
    <w:rsid w:val="005553BF"/>
    <w:rsid w:val="00555C81"/>
    <w:rsid w:val="00555DB6"/>
    <w:rsid w:val="00556075"/>
    <w:rsid w:val="005561D3"/>
    <w:rsid w:val="005561E6"/>
    <w:rsid w:val="0055624D"/>
    <w:rsid w:val="005563AB"/>
    <w:rsid w:val="005563D7"/>
    <w:rsid w:val="00556592"/>
    <w:rsid w:val="00556782"/>
    <w:rsid w:val="0055685F"/>
    <w:rsid w:val="0055699B"/>
    <w:rsid w:val="00556A6B"/>
    <w:rsid w:val="00556B46"/>
    <w:rsid w:val="00556BCD"/>
    <w:rsid w:val="00556ECD"/>
    <w:rsid w:val="00557089"/>
    <w:rsid w:val="005570A7"/>
    <w:rsid w:val="00557203"/>
    <w:rsid w:val="00557419"/>
    <w:rsid w:val="0055752E"/>
    <w:rsid w:val="00557676"/>
    <w:rsid w:val="00557770"/>
    <w:rsid w:val="0055799C"/>
    <w:rsid w:val="00557E1B"/>
    <w:rsid w:val="0056001C"/>
    <w:rsid w:val="00560468"/>
    <w:rsid w:val="00560A20"/>
    <w:rsid w:val="00560B5C"/>
    <w:rsid w:val="00560BAF"/>
    <w:rsid w:val="00560BC0"/>
    <w:rsid w:val="00560BFA"/>
    <w:rsid w:val="00560C92"/>
    <w:rsid w:val="005613A3"/>
    <w:rsid w:val="0056161A"/>
    <w:rsid w:val="0056162D"/>
    <w:rsid w:val="00561894"/>
    <w:rsid w:val="005618F1"/>
    <w:rsid w:val="005618F4"/>
    <w:rsid w:val="00561A58"/>
    <w:rsid w:val="00561A7F"/>
    <w:rsid w:val="00561B83"/>
    <w:rsid w:val="00561D5F"/>
    <w:rsid w:val="00561D9C"/>
    <w:rsid w:val="005621E4"/>
    <w:rsid w:val="00562246"/>
    <w:rsid w:val="0056276D"/>
    <w:rsid w:val="00562803"/>
    <w:rsid w:val="00562CA6"/>
    <w:rsid w:val="00562FAE"/>
    <w:rsid w:val="005631D4"/>
    <w:rsid w:val="00563327"/>
    <w:rsid w:val="00563434"/>
    <w:rsid w:val="00563C8C"/>
    <w:rsid w:val="00563FCB"/>
    <w:rsid w:val="0056420C"/>
    <w:rsid w:val="0056487A"/>
    <w:rsid w:val="00564A29"/>
    <w:rsid w:val="00564A59"/>
    <w:rsid w:val="00564B79"/>
    <w:rsid w:val="00564DCC"/>
    <w:rsid w:val="0056519C"/>
    <w:rsid w:val="005651A0"/>
    <w:rsid w:val="005651BE"/>
    <w:rsid w:val="00565284"/>
    <w:rsid w:val="005652BB"/>
    <w:rsid w:val="005653B0"/>
    <w:rsid w:val="005656BC"/>
    <w:rsid w:val="00565AE1"/>
    <w:rsid w:val="00565D3E"/>
    <w:rsid w:val="00565DBB"/>
    <w:rsid w:val="00565FAA"/>
    <w:rsid w:val="00566309"/>
    <w:rsid w:val="0056656F"/>
    <w:rsid w:val="005669FA"/>
    <w:rsid w:val="00566A2B"/>
    <w:rsid w:val="00566A50"/>
    <w:rsid w:val="0056729F"/>
    <w:rsid w:val="005672BF"/>
    <w:rsid w:val="00567387"/>
    <w:rsid w:val="005673ED"/>
    <w:rsid w:val="00567568"/>
    <w:rsid w:val="005676B3"/>
    <w:rsid w:val="00567E25"/>
    <w:rsid w:val="00570014"/>
    <w:rsid w:val="00570022"/>
    <w:rsid w:val="00570103"/>
    <w:rsid w:val="005703A2"/>
    <w:rsid w:val="005704B9"/>
    <w:rsid w:val="005706A4"/>
    <w:rsid w:val="005707DD"/>
    <w:rsid w:val="00570A8F"/>
    <w:rsid w:val="00570BAD"/>
    <w:rsid w:val="00570EE0"/>
    <w:rsid w:val="00570F08"/>
    <w:rsid w:val="00570FAF"/>
    <w:rsid w:val="00570FF5"/>
    <w:rsid w:val="005710CE"/>
    <w:rsid w:val="0057124B"/>
    <w:rsid w:val="00571434"/>
    <w:rsid w:val="00571468"/>
    <w:rsid w:val="0057164B"/>
    <w:rsid w:val="00571A06"/>
    <w:rsid w:val="00571C59"/>
    <w:rsid w:val="00571FEC"/>
    <w:rsid w:val="00572035"/>
    <w:rsid w:val="00572162"/>
    <w:rsid w:val="005721B0"/>
    <w:rsid w:val="00572366"/>
    <w:rsid w:val="00572394"/>
    <w:rsid w:val="005724B5"/>
    <w:rsid w:val="00572735"/>
    <w:rsid w:val="00572A36"/>
    <w:rsid w:val="00572E31"/>
    <w:rsid w:val="0057373C"/>
    <w:rsid w:val="0057375F"/>
    <w:rsid w:val="005737B1"/>
    <w:rsid w:val="005738BB"/>
    <w:rsid w:val="005739E4"/>
    <w:rsid w:val="00573B59"/>
    <w:rsid w:val="00573BCA"/>
    <w:rsid w:val="00573CC1"/>
    <w:rsid w:val="0057423C"/>
    <w:rsid w:val="005748E5"/>
    <w:rsid w:val="00574B5E"/>
    <w:rsid w:val="00574CE8"/>
    <w:rsid w:val="00574D18"/>
    <w:rsid w:val="00574F65"/>
    <w:rsid w:val="005750BB"/>
    <w:rsid w:val="0057541A"/>
    <w:rsid w:val="00575669"/>
    <w:rsid w:val="0057572D"/>
    <w:rsid w:val="005757C7"/>
    <w:rsid w:val="005759F6"/>
    <w:rsid w:val="00575C71"/>
    <w:rsid w:val="00575CE8"/>
    <w:rsid w:val="00575D44"/>
    <w:rsid w:val="00575DDE"/>
    <w:rsid w:val="0057609C"/>
    <w:rsid w:val="0057618C"/>
    <w:rsid w:val="00576371"/>
    <w:rsid w:val="0057643F"/>
    <w:rsid w:val="00576489"/>
    <w:rsid w:val="00576854"/>
    <w:rsid w:val="00576924"/>
    <w:rsid w:val="005769AF"/>
    <w:rsid w:val="00576A6E"/>
    <w:rsid w:val="00576B4B"/>
    <w:rsid w:val="00576F7B"/>
    <w:rsid w:val="0057713A"/>
    <w:rsid w:val="0057731C"/>
    <w:rsid w:val="005776F1"/>
    <w:rsid w:val="005777CE"/>
    <w:rsid w:val="00577D22"/>
    <w:rsid w:val="00577D7B"/>
    <w:rsid w:val="00577E82"/>
    <w:rsid w:val="00577F53"/>
    <w:rsid w:val="0058003B"/>
    <w:rsid w:val="005800AD"/>
    <w:rsid w:val="00580199"/>
    <w:rsid w:val="00580234"/>
    <w:rsid w:val="00580467"/>
    <w:rsid w:val="005808CB"/>
    <w:rsid w:val="00580B3F"/>
    <w:rsid w:val="00580DB1"/>
    <w:rsid w:val="00580EFB"/>
    <w:rsid w:val="00580F8A"/>
    <w:rsid w:val="005810D3"/>
    <w:rsid w:val="00581271"/>
    <w:rsid w:val="00581277"/>
    <w:rsid w:val="00581637"/>
    <w:rsid w:val="00581876"/>
    <w:rsid w:val="00581F74"/>
    <w:rsid w:val="00581F9D"/>
    <w:rsid w:val="0058204C"/>
    <w:rsid w:val="0058211D"/>
    <w:rsid w:val="0058241F"/>
    <w:rsid w:val="005824FE"/>
    <w:rsid w:val="0058265B"/>
    <w:rsid w:val="0058273C"/>
    <w:rsid w:val="00582815"/>
    <w:rsid w:val="00582A03"/>
    <w:rsid w:val="00582D78"/>
    <w:rsid w:val="00582E21"/>
    <w:rsid w:val="00583230"/>
    <w:rsid w:val="005834F3"/>
    <w:rsid w:val="0058351E"/>
    <w:rsid w:val="00583739"/>
    <w:rsid w:val="00583809"/>
    <w:rsid w:val="005839D2"/>
    <w:rsid w:val="00583C07"/>
    <w:rsid w:val="00583EA5"/>
    <w:rsid w:val="0058405E"/>
    <w:rsid w:val="0058415B"/>
    <w:rsid w:val="0058421C"/>
    <w:rsid w:val="00584354"/>
    <w:rsid w:val="00584409"/>
    <w:rsid w:val="00584482"/>
    <w:rsid w:val="00584CEA"/>
    <w:rsid w:val="00584F03"/>
    <w:rsid w:val="00585948"/>
    <w:rsid w:val="00585A38"/>
    <w:rsid w:val="00585C5F"/>
    <w:rsid w:val="00585ED4"/>
    <w:rsid w:val="00586038"/>
    <w:rsid w:val="0058616D"/>
    <w:rsid w:val="00586389"/>
    <w:rsid w:val="005863F2"/>
    <w:rsid w:val="0058657B"/>
    <w:rsid w:val="00586827"/>
    <w:rsid w:val="0058686C"/>
    <w:rsid w:val="00586C79"/>
    <w:rsid w:val="0058721A"/>
    <w:rsid w:val="005875E0"/>
    <w:rsid w:val="005877CC"/>
    <w:rsid w:val="0058791A"/>
    <w:rsid w:val="005879D4"/>
    <w:rsid w:val="005879EE"/>
    <w:rsid w:val="00587ECF"/>
    <w:rsid w:val="005900CB"/>
    <w:rsid w:val="00590130"/>
    <w:rsid w:val="005904D8"/>
    <w:rsid w:val="005906B2"/>
    <w:rsid w:val="00590824"/>
    <w:rsid w:val="0059083A"/>
    <w:rsid w:val="00590A5B"/>
    <w:rsid w:val="00590B15"/>
    <w:rsid w:val="00590D67"/>
    <w:rsid w:val="00590E35"/>
    <w:rsid w:val="00591202"/>
    <w:rsid w:val="005912CD"/>
    <w:rsid w:val="005913B4"/>
    <w:rsid w:val="005916AD"/>
    <w:rsid w:val="00591993"/>
    <w:rsid w:val="00591EF8"/>
    <w:rsid w:val="00592005"/>
    <w:rsid w:val="00592333"/>
    <w:rsid w:val="005925C5"/>
    <w:rsid w:val="00592719"/>
    <w:rsid w:val="00592CDC"/>
    <w:rsid w:val="00592DCD"/>
    <w:rsid w:val="00592E2E"/>
    <w:rsid w:val="00592E38"/>
    <w:rsid w:val="00592F71"/>
    <w:rsid w:val="00593030"/>
    <w:rsid w:val="0059310D"/>
    <w:rsid w:val="00593470"/>
    <w:rsid w:val="00593548"/>
    <w:rsid w:val="005935DC"/>
    <w:rsid w:val="00593934"/>
    <w:rsid w:val="00593D32"/>
    <w:rsid w:val="00594138"/>
    <w:rsid w:val="00594935"/>
    <w:rsid w:val="0059494C"/>
    <w:rsid w:val="00594A05"/>
    <w:rsid w:val="00594A1A"/>
    <w:rsid w:val="00594ED9"/>
    <w:rsid w:val="0059554C"/>
    <w:rsid w:val="005955EA"/>
    <w:rsid w:val="00595887"/>
    <w:rsid w:val="0059591D"/>
    <w:rsid w:val="00595923"/>
    <w:rsid w:val="00595D02"/>
    <w:rsid w:val="00595D7B"/>
    <w:rsid w:val="00595DD3"/>
    <w:rsid w:val="00595F7C"/>
    <w:rsid w:val="00595F85"/>
    <w:rsid w:val="0059666A"/>
    <w:rsid w:val="005969EB"/>
    <w:rsid w:val="00596B63"/>
    <w:rsid w:val="00596D7F"/>
    <w:rsid w:val="0059701A"/>
    <w:rsid w:val="00597310"/>
    <w:rsid w:val="0059788A"/>
    <w:rsid w:val="00597CB9"/>
    <w:rsid w:val="005A0058"/>
    <w:rsid w:val="005A0483"/>
    <w:rsid w:val="005A04CD"/>
    <w:rsid w:val="005A060F"/>
    <w:rsid w:val="005A06FD"/>
    <w:rsid w:val="005A07E8"/>
    <w:rsid w:val="005A08F6"/>
    <w:rsid w:val="005A0E22"/>
    <w:rsid w:val="005A0FBC"/>
    <w:rsid w:val="005A10DA"/>
    <w:rsid w:val="005A1324"/>
    <w:rsid w:val="005A13EE"/>
    <w:rsid w:val="005A155C"/>
    <w:rsid w:val="005A1ADC"/>
    <w:rsid w:val="005A1B14"/>
    <w:rsid w:val="005A1C94"/>
    <w:rsid w:val="005A1D4E"/>
    <w:rsid w:val="005A1D55"/>
    <w:rsid w:val="005A2007"/>
    <w:rsid w:val="005A2126"/>
    <w:rsid w:val="005A2397"/>
    <w:rsid w:val="005A2502"/>
    <w:rsid w:val="005A2622"/>
    <w:rsid w:val="005A295E"/>
    <w:rsid w:val="005A29D8"/>
    <w:rsid w:val="005A2B7F"/>
    <w:rsid w:val="005A2D99"/>
    <w:rsid w:val="005A2FC1"/>
    <w:rsid w:val="005A3012"/>
    <w:rsid w:val="005A3367"/>
    <w:rsid w:val="005A36BC"/>
    <w:rsid w:val="005A3D6E"/>
    <w:rsid w:val="005A3F4F"/>
    <w:rsid w:val="005A3F73"/>
    <w:rsid w:val="005A4264"/>
    <w:rsid w:val="005A4528"/>
    <w:rsid w:val="005A46C5"/>
    <w:rsid w:val="005A4D7F"/>
    <w:rsid w:val="005A4FFC"/>
    <w:rsid w:val="005A50DC"/>
    <w:rsid w:val="005A51E2"/>
    <w:rsid w:val="005A53BA"/>
    <w:rsid w:val="005A558D"/>
    <w:rsid w:val="005A59EE"/>
    <w:rsid w:val="005A5C1A"/>
    <w:rsid w:val="005A5E66"/>
    <w:rsid w:val="005A5FDC"/>
    <w:rsid w:val="005A6765"/>
    <w:rsid w:val="005A6866"/>
    <w:rsid w:val="005A6B57"/>
    <w:rsid w:val="005A7CBE"/>
    <w:rsid w:val="005A7CF7"/>
    <w:rsid w:val="005A7D38"/>
    <w:rsid w:val="005B0008"/>
    <w:rsid w:val="005B0039"/>
    <w:rsid w:val="005B0053"/>
    <w:rsid w:val="005B01E7"/>
    <w:rsid w:val="005B0735"/>
    <w:rsid w:val="005B15F2"/>
    <w:rsid w:val="005B192A"/>
    <w:rsid w:val="005B19A7"/>
    <w:rsid w:val="005B1C76"/>
    <w:rsid w:val="005B1D0A"/>
    <w:rsid w:val="005B1E2C"/>
    <w:rsid w:val="005B2030"/>
    <w:rsid w:val="005B221F"/>
    <w:rsid w:val="005B2338"/>
    <w:rsid w:val="005B25D1"/>
    <w:rsid w:val="005B2748"/>
    <w:rsid w:val="005B2A0C"/>
    <w:rsid w:val="005B2D10"/>
    <w:rsid w:val="005B2D54"/>
    <w:rsid w:val="005B2F1A"/>
    <w:rsid w:val="005B31DA"/>
    <w:rsid w:val="005B3384"/>
    <w:rsid w:val="005B361E"/>
    <w:rsid w:val="005B387E"/>
    <w:rsid w:val="005B3A12"/>
    <w:rsid w:val="005B3A78"/>
    <w:rsid w:val="005B404C"/>
    <w:rsid w:val="005B4181"/>
    <w:rsid w:val="005B460B"/>
    <w:rsid w:val="005B4CF8"/>
    <w:rsid w:val="005B4D55"/>
    <w:rsid w:val="005B50DE"/>
    <w:rsid w:val="005B5283"/>
    <w:rsid w:val="005B5313"/>
    <w:rsid w:val="005B542B"/>
    <w:rsid w:val="005B54F8"/>
    <w:rsid w:val="005B5697"/>
    <w:rsid w:val="005B5928"/>
    <w:rsid w:val="005B5DE4"/>
    <w:rsid w:val="005B5E9D"/>
    <w:rsid w:val="005B614D"/>
    <w:rsid w:val="005B6363"/>
    <w:rsid w:val="005B673F"/>
    <w:rsid w:val="005B69B7"/>
    <w:rsid w:val="005B69DE"/>
    <w:rsid w:val="005B6C87"/>
    <w:rsid w:val="005B6CC1"/>
    <w:rsid w:val="005B6D26"/>
    <w:rsid w:val="005B6F1D"/>
    <w:rsid w:val="005B752C"/>
    <w:rsid w:val="005B76D8"/>
    <w:rsid w:val="005B7A36"/>
    <w:rsid w:val="005B7B97"/>
    <w:rsid w:val="005B7BC9"/>
    <w:rsid w:val="005B7E39"/>
    <w:rsid w:val="005C02CB"/>
    <w:rsid w:val="005C0388"/>
    <w:rsid w:val="005C05CB"/>
    <w:rsid w:val="005C06EE"/>
    <w:rsid w:val="005C0742"/>
    <w:rsid w:val="005C08EF"/>
    <w:rsid w:val="005C0AB3"/>
    <w:rsid w:val="005C0BCC"/>
    <w:rsid w:val="005C0C69"/>
    <w:rsid w:val="005C0EAA"/>
    <w:rsid w:val="005C11E5"/>
    <w:rsid w:val="005C17A0"/>
    <w:rsid w:val="005C187B"/>
    <w:rsid w:val="005C1F28"/>
    <w:rsid w:val="005C2349"/>
    <w:rsid w:val="005C271E"/>
    <w:rsid w:val="005C27C2"/>
    <w:rsid w:val="005C27F9"/>
    <w:rsid w:val="005C2B38"/>
    <w:rsid w:val="005C2CD2"/>
    <w:rsid w:val="005C2E55"/>
    <w:rsid w:val="005C3105"/>
    <w:rsid w:val="005C3107"/>
    <w:rsid w:val="005C33CC"/>
    <w:rsid w:val="005C3586"/>
    <w:rsid w:val="005C38DF"/>
    <w:rsid w:val="005C42B1"/>
    <w:rsid w:val="005C484D"/>
    <w:rsid w:val="005C489B"/>
    <w:rsid w:val="005C497C"/>
    <w:rsid w:val="005C49BD"/>
    <w:rsid w:val="005C4D4A"/>
    <w:rsid w:val="005C4D8B"/>
    <w:rsid w:val="005C4F3D"/>
    <w:rsid w:val="005C5132"/>
    <w:rsid w:val="005C54A5"/>
    <w:rsid w:val="005C583D"/>
    <w:rsid w:val="005C5DBA"/>
    <w:rsid w:val="005C603D"/>
    <w:rsid w:val="005C60A0"/>
    <w:rsid w:val="005C6259"/>
    <w:rsid w:val="005C66F8"/>
    <w:rsid w:val="005C6AA3"/>
    <w:rsid w:val="005C6BB6"/>
    <w:rsid w:val="005C6FF9"/>
    <w:rsid w:val="005C7198"/>
    <w:rsid w:val="005C728D"/>
    <w:rsid w:val="005C72F7"/>
    <w:rsid w:val="005C733D"/>
    <w:rsid w:val="005C7645"/>
    <w:rsid w:val="005C784D"/>
    <w:rsid w:val="005C7BCF"/>
    <w:rsid w:val="005C7BEF"/>
    <w:rsid w:val="005C7CF2"/>
    <w:rsid w:val="005C7F6A"/>
    <w:rsid w:val="005D08A0"/>
    <w:rsid w:val="005D0A50"/>
    <w:rsid w:val="005D0BFA"/>
    <w:rsid w:val="005D0C0C"/>
    <w:rsid w:val="005D0D1B"/>
    <w:rsid w:val="005D0F56"/>
    <w:rsid w:val="005D0F6C"/>
    <w:rsid w:val="005D114C"/>
    <w:rsid w:val="005D11FF"/>
    <w:rsid w:val="005D1312"/>
    <w:rsid w:val="005D1461"/>
    <w:rsid w:val="005D19FD"/>
    <w:rsid w:val="005D1B2D"/>
    <w:rsid w:val="005D1B92"/>
    <w:rsid w:val="005D2151"/>
    <w:rsid w:val="005D21CD"/>
    <w:rsid w:val="005D223D"/>
    <w:rsid w:val="005D238A"/>
    <w:rsid w:val="005D2500"/>
    <w:rsid w:val="005D26AE"/>
    <w:rsid w:val="005D2824"/>
    <w:rsid w:val="005D2956"/>
    <w:rsid w:val="005D2D83"/>
    <w:rsid w:val="005D2E96"/>
    <w:rsid w:val="005D3081"/>
    <w:rsid w:val="005D33D3"/>
    <w:rsid w:val="005D33F2"/>
    <w:rsid w:val="005D3635"/>
    <w:rsid w:val="005D373A"/>
    <w:rsid w:val="005D3A48"/>
    <w:rsid w:val="005D3DD1"/>
    <w:rsid w:val="005D3E9B"/>
    <w:rsid w:val="005D3F32"/>
    <w:rsid w:val="005D3FE5"/>
    <w:rsid w:val="005D42ED"/>
    <w:rsid w:val="005D4323"/>
    <w:rsid w:val="005D48CF"/>
    <w:rsid w:val="005D4A54"/>
    <w:rsid w:val="005D4A94"/>
    <w:rsid w:val="005D4B34"/>
    <w:rsid w:val="005D502F"/>
    <w:rsid w:val="005D52D0"/>
    <w:rsid w:val="005D5535"/>
    <w:rsid w:val="005D554F"/>
    <w:rsid w:val="005D5A02"/>
    <w:rsid w:val="005D5D03"/>
    <w:rsid w:val="005D5E65"/>
    <w:rsid w:val="005D5E6A"/>
    <w:rsid w:val="005D5FF8"/>
    <w:rsid w:val="005D602C"/>
    <w:rsid w:val="005D607A"/>
    <w:rsid w:val="005D64B5"/>
    <w:rsid w:val="005D6812"/>
    <w:rsid w:val="005D6B95"/>
    <w:rsid w:val="005D72BB"/>
    <w:rsid w:val="005D7415"/>
    <w:rsid w:val="005D7569"/>
    <w:rsid w:val="005D7751"/>
    <w:rsid w:val="005D7E38"/>
    <w:rsid w:val="005D7EAE"/>
    <w:rsid w:val="005D7EEC"/>
    <w:rsid w:val="005E01E3"/>
    <w:rsid w:val="005E0355"/>
    <w:rsid w:val="005E0456"/>
    <w:rsid w:val="005E047D"/>
    <w:rsid w:val="005E0859"/>
    <w:rsid w:val="005E0EE5"/>
    <w:rsid w:val="005E0FB8"/>
    <w:rsid w:val="005E1018"/>
    <w:rsid w:val="005E104B"/>
    <w:rsid w:val="005E1473"/>
    <w:rsid w:val="005E1474"/>
    <w:rsid w:val="005E1611"/>
    <w:rsid w:val="005E1667"/>
    <w:rsid w:val="005E1C27"/>
    <w:rsid w:val="005E1C47"/>
    <w:rsid w:val="005E1D79"/>
    <w:rsid w:val="005E1DD0"/>
    <w:rsid w:val="005E1E08"/>
    <w:rsid w:val="005E1E77"/>
    <w:rsid w:val="005E213A"/>
    <w:rsid w:val="005E259E"/>
    <w:rsid w:val="005E25BF"/>
    <w:rsid w:val="005E2726"/>
    <w:rsid w:val="005E298E"/>
    <w:rsid w:val="005E2AB6"/>
    <w:rsid w:val="005E2DE9"/>
    <w:rsid w:val="005E3243"/>
    <w:rsid w:val="005E327F"/>
    <w:rsid w:val="005E338B"/>
    <w:rsid w:val="005E33BF"/>
    <w:rsid w:val="005E342E"/>
    <w:rsid w:val="005E34D7"/>
    <w:rsid w:val="005E3500"/>
    <w:rsid w:val="005E35F2"/>
    <w:rsid w:val="005E3676"/>
    <w:rsid w:val="005E3771"/>
    <w:rsid w:val="005E3B2F"/>
    <w:rsid w:val="005E3C6F"/>
    <w:rsid w:val="005E3EB4"/>
    <w:rsid w:val="005E43BA"/>
    <w:rsid w:val="005E4447"/>
    <w:rsid w:val="005E4754"/>
    <w:rsid w:val="005E49FB"/>
    <w:rsid w:val="005E4BCC"/>
    <w:rsid w:val="005E4C91"/>
    <w:rsid w:val="005E533D"/>
    <w:rsid w:val="005E5864"/>
    <w:rsid w:val="005E5B83"/>
    <w:rsid w:val="005E5DE4"/>
    <w:rsid w:val="005E5F9E"/>
    <w:rsid w:val="005E628D"/>
    <w:rsid w:val="005E6563"/>
    <w:rsid w:val="005E669F"/>
    <w:rsid w:val="005E694A"/>
    <w:rsid w:val="005E6EC1"/>
    <w:rsid w:val="005E6FB6"/>
    <w:rsid w:val="005E7047"/>
    <w:rsid w:val="005E7357"/>
    <w:rsid w:val="005E754F"/>
    <w:rsid w:val="005E7AAA"/>
    <w:rsid w:val="005E7AAE"/>
    <w:rsid w:val="005E7D41"/>
    <w:rsid w:val="005E7DEE"/>
    <w:rsid w:val="005F0028"/>
    <w:rsid w:val="005F0108"/>
    <w:rsid w:val="005F021D"/>
    <w:rsid w:val="005F047A"/>
    <w:rsid w:val="005F06A1"/>
    <w:rsid w:val="005F0CD9"/>
    <w:rsid w:val="005F0CDA"/>
    <w:rsid w:val="005F0CFA"/>
    <w:rsid w:val="005F0D0B"/>
    <w:rsid w:val="005F0EDA"/>
    <w:rsid w:val="005F108C"/>
    <w:rsid w:val="005F13C8"/>
    <w:rsid w:val="005F1577"/>
    <w:rsid w:val="005F15D0"/>
    <w:rsid w:val="005F1A7A"/>
    <w:rsid w:val="005F1FE4"/>
    <w:rsid w:val="005F2100"/>
    <w:rsid w:val="005F2234"/>
    <w:rsid w:val="005F233D"/>
    <w:rsid w:val="005F245D"/>
    <w:rsid w:val="005F2554"/>
    <w:rsid w:val="005F258D"/>
    <w:rsid w:val="005F2A6C"/>
    <w:rsid w:val="005F2C3E"/>
    <w:rsid w:val="005F2E18"/>
    <w:rsid w:val="005F2FD1"/>
    <w:rsid w:val="005F342F"/>
    <w:rsid w:val="005F3644"/>
    <w:rsid w:val="005F382E"/>
    <w:rsid w:val="005F389C"/>
    <w:rsid w:val="005F3BA1"/>
    <w:rsid w:val="005F3C0D"/>
    <w:rsid w:val="005F3C1D"/>
    <w:rsid w:val="005F3C91"/>
    <w:rsid w:val="005F3E34"/>
    <w:rsid w:val="005F4A40"/>
    <w:rsid w:val="005F4A6F"/>
    <w:rsid w:val="005F4D02"/>
    <w:rsid w:val="005F4ECA"/>
    <w:rsid w:val="005F511F"/>
    <w:rsid w:val="005F52DA"/>
    <w:rsid w:val="005F5461"/>
    <w:rsid w:val="005F563A"/>
    <w:rsid w:val="005F593B"/>
    <w:rsid w:val="005F5EF8"/>
    <w:rsid w:val="005F60C3"/>
    <w:rsid w:val="005F6205"/>
    <w:rsid w:val="005F6245"/>
    <w:rsid w:val="005F634E"/>
    <w:rsid w:val="005F64D2"/>
    <w:rsid w:val="005F690A"/>
    <w:rsid w:val="005F69EE"/>
    <w:rsid w:val="005F6E1B"/>
    <w:rsid w:val="005F6F8B"/>
    <w:rsid w:val="005F70C6"/>
    <w:rsid w:val="005F7386"/>
    <w:rsid w:val="005F742F"/>
    <w:rsid w:val="005F78C8"/>
    <w:rsid w:val="005F7BF6"/>
    <w:rsid w:val="005F7C12"/>
    <w:rsid w:val="005F7C15"/>
    <w:rsid w:val="005F7F91"/>
    <w:rsid w:val="00600046"/>
    <w:rsid w:val="0060013C"/>
    <w:rsid w:val="006001FE"/>
    <w:rsid w:val="00600662"/>
    <w:rsid w:val="006008FC"/>
    <w:rsid w:val="00600EC4"/>
    <w:rsid w:val="006010B2"/>
    <w:rsid w:val="0060129E"/>
    <w:rsid w:val="00601321"/>
    <w:rsid w:val="006013A8"/>
    <w:rsid w:val="0060157D"/>
    <w:rsid w:val="0060185E"/>
    <w:rsid w:val="00601B2B"/>
    <w:rsid w:val="00601BB7"/>
    <w:rsid w:val="00601C8F"/>
    <w:rsid w:val="0060236C"/>
    <w:rsid w:val="0060299B"/>
    <w:rsid w:val="00602D92"/>
    <w:rsid w:val="006036D4"/>
    <w:rsid w:val="00603768"/>
    <w:rsid w:val="00603999"/>
    <w:rsid w:val="00603C40"/>
    <w:rsid w:val="0060407B"/>
    <w:rsid w:val="0060429D"/>
    <w:rsid w:val="00604317"/>
    <w:rsid w:val="006044E9"/>
    <w:rsid w:val="0060453B"/>
    <w:rsid w:val="00604599"/>
    <w:rsid w:val="00604790"/>
    <w:rsid w:val="0060483A"/>
    <w:rsid w:val="006053C5"/>
    <w:rsid w:val="006055A7"/>
    <w:rsid w:val="0060582B"/>
    <w:rsid w:val="0060584F"/>
    <w:rsid w:val="00605A29"/>
    <w:rsid w:val="00605A39"/>
    <w:rsid w:val="00605DA4"/>
    <w:rsid w:val="00605E73"/>
    <w:rsid w:val="0060673C"/>
    <w:rsid w:val="0060698E"/>
    <w:rsid w:val="00606EAB"/>
    <w:rsid w:val="00606EDD"/>
    <w:rsid w:val="0060701E"/>
    <w:rsid w:val="0060724D"/>
    <w:rsid w:val="00607460"/>
    <w:rsid w:val="006077B0"/>
    <w:rsid w:val="00607873"/>
    <w:rsid w:val="006078F0"/>
    <w:rsid w:val="00607A86"/>
    <w:rsid w:val="00607B47"/>
    <w:rsid w:val="00607CD5"/>
    <w:rsid w:val="00607D80"/>
    <w:rsid w:val="00610104"/>
    <w:rsid w:val="006101C0"/>
    <w:rsid w:val="00610C8D"/>
    <w:rsid w:val="00610FA4"/>
    <w:rsid w:val="006112DE"/>
    <w:rsid w:val="006119AA"/>
    <w:rsid w:val="00611DC6"/>
    <w:rsid w:val="00611EC8"/>
    <w:rsid w:val="00611F50"/>
    <w:rsid w:val="00612095"/>
    <w:rsid w:val="00612265"/>
    <w:rsid w:val="00612566"/>
    <w:rsid w:val="0061256A"/>
    <w:rsid w:val="006126F0"/>
    <w:rsid w:val="006127E4"/>
    <w:rsid w:val="00612B55"/>
    <w:rsid w:val="00612D9A"/>
    <w:rsid w:val="00613237"/>
    <w:rsid w:val="00613265"/>
    <w:rsid w:val="00613650"/>
    <w:rsid w:val="00613AA7"/>
    <w:rsid w:val="00613B86"/>
    <w:rsid w:val="00613BAC"/>
    <w:rsid w:val="00613E2E"/>
    <w:rsid w:val="006141B4"/>
    <w:rsid w:val="006146A6"/>
    <w:rsid w:val="00614BB2"/>
    <w:rsid w:val="00614C6C"/>
    <w:rsid w:val="00614DE0"/>
    <w:rsid w:val="00615837"/>
    <w:rsid w:val="006159B1"/>
    <w:rsid w:val="00615B14"/>
    <w:rsid w:val="00615CC9"/>
    <w:rsid w:val="00615D7E"/>
    <w:rsid w:val="00615E60"/>
    <w:rsid w:val="00615F63"/>
    <w:rsid w:val="0061618F"/>
    <w:rsid w:val="006161D6"/>
    <w:rsid w:val="006163BA"/>
    <w:rsid w:val="006163C5"/>
    <w:rsid w:val="006166F5"/>
    <w:rsid w:val="006168F8"/>
    <w:rsid w:val="0061691C"/>
    <w:rsid w:val="00616A55"/>
    <w:rsid w:val="00616F58"/>
    <w:rsid w:val="006173ED"/>
    <w:rsid w:val="0061781D"/>
    <w:rsid w:val="00617C8D"/>
    <w:rsid w:val="00617E04"/>
    <w:rsid w:val="00617E74"/>
    <w:rsid w:val="00617EB9"/>
    <w:rsid w:val="00617F5A"/>
    <w:rsid w:val="006203B2"/>
    <w:rsid w:val="00620427"/>
    <w:rsid w:val="0062050E"/>
    <w:rsid w:val="00620A43"/>
    <w:rsid w:val="00620EC0"/>
    <w:rsid w:val="00620EF3"/>
    <w:rsid w:val="006213D2"/>
    <w:rsid w:val="00621619"/>
    <w:rsid w:val="006216F6"/>
    <w:rsid w:val="00621827"/>
    <w:rsid w:val="006218B3"/>
    <w:rsid w:val="00621CD1"/>
    <w:rsid w:val="00621E2D"/>
    <w:rsid w:val="006220F7"/>
    <w:rsid w:val="00622224"/>
    <w:rsid w:val="006222E9"/>
    <w:rsid w:val="0062230A"/>
    <w:rsid w:val="00622518"/>
    <w:rsid w:val="00622609"/>
    <w:rsid w:val="00622723"/>
    <w:rsid w:val="00622A7B"/>
    <w:rsid w:val="00622B15"/>
    <w:rsid w:val="00622C83"/>
    <w:rsid w:val="00622DF4"/>
    <w:rsid w:val="00622F92"/>
    <w:rsid w:val="00623037"/>
    <w:rsid w:val="006231C0"/>
    <w:rsid w:val="006233CF"/>
    <w:rsid w:val="0062355A"/>
    <w:rsid w:val="00623874"/>
    <w:rsid w:val="00623B08"/>
    <w:rsid w:val="00623FDA"/>
    <w:rsid w:val="00624485"/>
    <w:rsid w:val="00624491"/>
    <w:rsid w:val="006246ED"/>
    <w:rsid w:val="00624A4D"/>
    <w:rsid w:val="006253BD"/>
    <w:rsid w:val="00625437"/>
    <w:rsid w:val="00625B04"/>
    <w:rsid w:val="00625CE2"/>
    <w:rsid w:val="00625D3D"/>
    <w:rsid w:val="00625DC8"/>
    <w:rsid w:val="006260C5"/>
    <w:rsid w:val="006262E5"/>
    <w:rsid w:val="006264C6"/>
    <w:rsid w:val="00626559"/>
    <w:rsid w:val="006267FC"/>
    <w:rsid w:val="00626866"/>
    <w:rsid w:val="0062688B"/>
    <w:rsid w:val="006268B9"/>
    <w:rsid w:val="0062698D"/>
    <w:rsid w:val="00626DA5"/>
    <w:rsid w:val="00626E4A"/>
    <w:rsid w:val="006271C5"/>
    <w:rsid w:val="006273CD"/>
    <w:rsid w:val="006274B6"/>
    <w:rsid w:val="0062787D"/>
    <w:rsid w:val="006278D7"/>
    <w:rsid w:val="0062797E"/>
    <w:rsid w:val="00627AB1"/>
    <w:rsid w:val="00627DEB"/>
    <w:rsid w:val="00627E49"/>
    <w:rsid w:val="006300FD"/>
    <w:rsid w:val="006304BA"/>
    <w:rsid w:val="006304D7"/>
    <w:rsid w:val="0063066F"/>
    <w:rsid w:val="006307D2"/>
    <w:rsid w:val="006309BE"/>
    <w:rsid w:val="00630ABD"/>
    <w:rsid w:val="00630BE0"/>
    <w:rsid w:val="00630BEB"/>
    <w:rsid w:val="00630DA4"/>
    <w:rsid w:val="00630DAA"/>
    <w:rsid w:val="00630E94"/>
    <w:rsid w:val="0063144E"/>
    <w:rsid w:val="0063171F"/>
    <w:rsid w:val="00631AEE"/>
    <w:rsid w:val="00631C27"/>
    <w:rsid w:val="00631D4E"/>
    <w:rsid w:val="00631EAC"/>
    <w:rsid w:val="0063203A"/>
    <w:rsid w:val="0063208E"/>
    <w:rsid w:val="006321C7"/>
    <w:rsid w:val="006321FE"/>
    <w:rsid w:val="006322DD"/>
    <w:rsid w:val="0063233E"/>
    <w:rsid w:val="006328FA"/>
    <w:rsid w:val="00632AAC"/>
    <w:rsid w:val="00632EF8"/>
    <w:rsid w:val="00632FB5"/>
    <w:rsid w:val="0063303A"/>
    <w:rsid w:val="006330E7"/>
    <w:rsid w:val="00633314"/>
    <w:rsid w:val="006333A6"/>
    <w:rsid w:val="0063355B"/>
    <w:rsid w:val="0063370B"/>
    <w:rsid w:val="006338E1"/>
    <w:rsid w:val="00633A64"/>
    <w:rsid w:val="00633A92"/>
    <w:rsid w:val="00633CD6"/>
    <w:rsid w:val="00634500"/>
    <w:rsid w:val="0063456F"/>
    <w:rsid w:val="00634611"/>
    <w:rsid w:val="00634D2E"/>
    <w:rsid w:val="00634D33"/>
    <w:rsid w:val="006352E1"/>
    <w:rsid w:val="0063572A"/>
    <w:rsid w:val="0063580A"/>
    <w:rsid w:val="00635828"/>
    <w:rsid w:val="00635B32"/>
    <w:rsid w:val="00635BCF"/>
    <w:rsid w:val="00635CD7"/>
    <w:rsid w:val="00635D37"/>
    <w:rsid w:val="00635E4E"/>
    <w:rsid w:val="006360EB"/>
    <w:rsid w:val="006361B5"/>
    <w:rsid w:val="00636554"/>
    <w:rsid w:val="0063693C"/>
    <w:rsid w:val="006369AF"/>
    <w:rsid w:val="00637160"/>
    <w:rsid w:val="006373D3"/>
    <w:rsid w:val="00637430"/>
    <w:rsid w:val="00637659"/>
    <w:rsid w:val="0063770D"/>
    <w:rsid w:val="00640450"/>
    <w:rsid w:val="00640485"/>
    <w:rsid w:val="006405FC"/>
    <w:rsid w:val="00640CAC"/>
    <w:rsid w:val="00640D3B"/>
    <w:rsid w:val="00640E3A"/>
    <w:rsid w:val="0064116D"/>
    <w:rsid w:val="006414AE"/>
    <w:rsid w:val="00641760"/>
    <w:rsid w:val="0064183C"/>
    <w:rsid w:val="00641B04"/>
    <w:rsid w:val="00641BF3"/>
    <w:rsid w:val="00641E8E"/>
    <w:rsid w:val="0064209F"/>
    <w:rsid w:val="006427AB"/>
    <w:rsid w:val="00642BF4"/>
    <w:rsid w:val="00642C05"/>
    <w:rsid w:val="00643185"/>
    <w:rsid w:val="00643207"/>
    <w:rsid w:val="006434B4"/>
    <w:rsid w:val="006435C6"/>
    <w:rsid w:val="00643805"/>
    <w:rsid w:val="00643A29"/>
    <w:rsid w:val="00643B74"/>
    <w:rsid w:val="00643C75"/>
    <w:rsid w:val="00643D37"/>
    <w:rsid w:val="00643FF9"/>
    <w:rsid w:val="00644151"/>
    <w:rsid w:val="0064415D"/>
    <w:rsid w:val="00644207"/>
    <w:rsid w:val="0064429D"/>
    <w:rsid w:val="00644408"/>
    <w:rsid w:val="00644502"/>
    <w:rsid w:val="006446B7"/>
    <w:rsid w:val="00644930"/>
    <w:rsid w:val="00644AD1"/>
    <w:rsid w:val="0064569C"/>
    <w:rsid w:val="00645886"/>
    <w:rsid w:val="00645943"/>
    <w:rsid w:val="00645DE1"/>
    <w:rsid w:val="006461C9"/>
    <w:rsid w:val="00646A28"/>
    <w:rsid w:val="00646AE6"/>
    <w:rsid w:val="00646B69"/>
    <w:rsid w:val="00646DA4"/>
    <w:rsid w:val="006471E7"/>
    <w:rsid w:val="0064728E"/>
    <w:rsid w:val="0064738A"/>
    <w:rsid w:val="0064744F"/>
    <w:rsid w:val="006474F6"/>
    <w:rsid w:val="0064793D"/>
    <w:rsid w:val="006479EE"/>
    <w:rsid w:val="00647B78"/>
    <w:rsid w:val="00647C5C"/>
    <w:rsid w:val="00650072"/>
    <w:rsid w:val="006502C3"/>
    <w:rsid w:val="0065031C"/>
    <w:rsid w:val="006506F1"/>
    <w:rsid w:val="0065091F"/>
    <w:rsid w:val="006509ED"/>
    <w:rsid w:val="00650D3F"/>
    <w:rsid w:val="00650E1B"/>
    <w:rsid w:val="00650E6C"/>
    <w:rsid w:val="00651213"/>
    <w:rsid w:val="006512D3"/>
    <w:rsid w:val="00651449"/>
    <w:rsid w:val="00651467"/>
    <w:rsid w:val="00651742"/>
    <w:rsid w:val="00651BAB"/>
    <w:rsid w:val="00651C34"/>
    <w:rsid w:val="0065209E"/>
    <w:rsid w:val="006520C8"/>
    <w:rsid w:val="0065212A"/>
    <w:rsid w:val="006522F4"/>
    <w:rsid w:val="0065253A"/>
    <w:rsid w:val="00652886"/>
    <w:rsid w:val="00652B54"/>
    <w:rsid w:val="00652D56"/>
    <w:rsid w:val="00652E1B"/>
    <w:rsid w:val="00653104"/>
    <w:rsid w:val="006532F4"/>
    <w:rsid w:val="00653BB8"/>
    <w:rsid w:val="0065414D"/>
    <w:rsid w:val="00654462"/>
    <w:rsid w:val="006544A0"/>
    <w:rsid w:val="00654641"/>
    <w:rsid w:val="00654CED"/>
    <w:rsid w:val="00654FB2"/>
    <w:rsid w:val="0065515D"/>
    <w:rsid w:val="00655242"/>
    <w:rsid w:val="006552A0"/>
    <w:rsid w:val="00655382"/>
    <w:rsid w:val="00655699"/>
    <w:rsid w:val="006556D0"/>
    <w:rsid w:val="00655901"/>
    <w:rsid w:val="00655A01"/>
    <w:rsid w:val="00655A22"/>
    <w:rsid w:val="00655ABB"/>
    <w:rsid w:val="00655BA6"/>
    <w:rsid w:val="00655D80"/>
    <w:rsid w:val="00655EAD"/>
    <w:rsid w:val="006563BB"/>
    <w:rsid w:val="00656524"/>
    <w:rsid w:val="0065656A"/>
    <w:rsid w:val="00656687"/>
    <w:rsid w:val="006569FF"/>
    <w:rsid w:val="00656A31"/>
    <w:rsid w:val="00656F97"/>
    <w:rsid w:val="00657075"/>
    <w:rsid w:val="00657747"/>
    <w:rsid w:val="00657845"/>
    <w:rsid w:val="006578FB"/>
    <w:rsid w:val="0065796D"/>
    <w:rsid w:val="006600B6"/>
    <w:rsid w:val="0066010F"/>
    <w:rsid w:val="006602FC"/>
    <w:rsid w:val="006604A0"/>
    <w:rsid w:val="006605A5"/>
    <w:rsid w:val="0066061E"/>
    <w:rsid w:val="006607D8"/>
    <w:rsid w:val="00660C15"/>
    <w:rsid w:val="00661087"/>
    <w:rsid w:val="006610BB"/>
    <w:rsid w:val="00661298"/>
    <w:rsid w:val="00661470"/>
    <w:rsid w:val="00661693"/>
    <w:rsid w:val="0066169F"/>
    <w:rsid w:val="006616C4"/>
    <w:rsid w:val="00661816"/>
    <w:rsid w:val="00661863"/>
    <w:rsid w:val="0066187D"/>
    <w:rsid w:val="00661AC9"/>
    <w:rsid w:val="006620C2"/>
    <w:rsid w:val="00662266"/>
    <w:rsid w:val="00662322"/>
    <w:rsid w:val="0066253F"/>
    <w:rsid w:val="006625E2"/>
    <w:rsid w:val="00662885"/>
    <w:rsid w:val="00662A59"/>
    <w:rsid w:val="00662C3D"/>
    <w:rsid w:val="00662D58"/>
    <w:rsid w:val="00662F56"/>
    <w:rsid w:val="006635E7"/>
    <w:rsid w:val="0066376D"/>
    <w:rsid w:val="00663C52"/>
    <w:rsid w:val="00663ECA"/>
    <w:rsid w:val="00664367"/>
    <w:rsid w:val="006646E3"/>
    <w:rsid w:val="00664AEB"/>
    <w:rsid w:val="00664FEB"/>
    <w:rsid w:val="0066505E"/>
    <w:rsid w:val="006650DC"/>
    <w:rsid w:val="00665B59"/>
    <w:rsid w:val="00665B6F"/>
    <w:rsid w:val="006660C1"/>
    <w:rsid w:val="00666341"/>
    <w:rsid w:val="0066636F"/>
    <w:rsid w:val="006663D9"/>
    <w:rsid w:val="0066641B"/>
    <w:rsid w:val="00666473"/>
    <w:rsid w:val="00666735"/>
    <w:rsid w:val="00666796"/>
    <w:rsid w:val="006667AD"/>
    <w:rsid w:val="0066690D"/>
    <w:rsid w:val="00666AEA"/>
    <w:rsid w:val="00666C95"/>
    <w:rsid w:val="00666E1D"/>
    <w:rsid w:val="00666F5E"/>
    <w:rsid w:val="0066742D"/>
    <w:rsid w:val="00667797"/>
    <w:rsid w:val="00667E88"/>
    <w:rsid w:val="0067002F"/>
    <w:rsid w:val="006701E5"/>
    <w:rsid w:val="00670730"/>
    <w:rsid w:val="0067078B"/>
    <w:rsid w:val="006707DD"/>
    <w:rsid w:val="00670C14"/>
    <w:rsid w:val="00670CD2"/>
    <w:rsid w:val="00670DD9"/>
    <w:rsid w:val="00670E23"/>
    <w:rsid w:val="00671073"/>
    <w:rsid w:val="0067140B"/>
    <w:rsid w:val="00671650"/>
    <w:rsid w:val="00671775"/>
    <w:rsid w:val="00671886"/>
    <w:rsid w:val="00671891"/>
    <w:rsid w:val="0067196E"/>
    <w:rsid w:val="00671D2F"/>
    <w:rsid w:val="00671FC1"/>
    <w:rsid w:val="00671FD9"/>
    <w:rsid w:val="00672121"/>
    <w:rsid w:val="006722B2"/>
    <w:rsid w:val="0067241E"/>
    <w:rsid w:val="00672552"/>
    <w:rsid w:val="0067278F"/>
    <w:rsid w:val="006729D9"/>
    <w:rsid w:val="00672A0F"/>
    <w:rsid w:val="00672ACA"/>
    <w:rsid w:val="00672F4E"/>
    <w:rsid w:val="00673101"/>
    <w:rsid w:val="00673119"/>
    <w:rsid w:val="00673481"/>
    <w:rsid w:val="006734C9"/>
    <w:rsid w:val="00673AB3"/>
    <w:rsid w:val="00673AE1"/>
    <w:rsid w:val="00673D0E"/>
    <w:rsid w:val="00673D24"/>
    <w:rsid w:val="006742AA"/>
    <w:rsid w:val="0067480B"/>
    <w:rsid w:val="0067485B"/>
    <w:rsid w:val="00674933"/>
    <w:rsid w:val="00674AF9"/>
    <w:rsid w:val="00674C07"/>
    <w:rsid w:val="00674C52"/>
    <w:rsid w:val="00674C67"/>
    <w:rsid w:val="00674CBB"/>
    <w:rsid w:val="00674EAA"/>
    <w:rsid w:val="00675097"/>
    <w:rsid w:val="00675125"/>
    <w:rsid w:val="00675271"/>
    <w:rsid w:val="00675313"/>
    <w:rsid w:val="0067546A"/>
    <w:rsid w:val="006758A9"/>
    <w:rsid w:val="00675B81"/>
    <w:rsid w:val="00675D2C"/>
    <w:rsid w:val="00675DC4"/>
    <w:rsid w:val="00675F1D"/>
    <w:rsid w:val="00676023"/>
    <w:rsid w:val="00676583"/>
    <w:rsid w:val="00676647"/>
    <w:rsid w:val="00676694"/>
    <w:rsid w:val="00676A65"/>
    <w:rsid w:val="00676AB3"/>
    <w:rsid w:val="00676CEE"/>
    <w:rsid w:val="00677482"/>
    <w:rsid w:val="006774B9"/>
    <w:rsid w:val="00677562"/>
    <w:rsid w:val="00677640"/>
    <w:rsid w:val="00677834"/>
    <w:rsid w:val="0067783C"/>
    <w:rsid w:val="00677891"/>
    <w:rsid w:val="006779A1"/>
    <w:rsid w:val="00677EF6"/>
    <w:rsid w:val="0068003B"/>
    <w:rsid w:val="00680250"/>
    <w:rsid w:val="00680665"/>
    <w:rsid w:val="00680747"/>
    <w:rsid w:val="00680755"/>
    <w:rsid w:val="00680800"/>
    <w:rsid w:val="00680BFF"/>
    <w:rsid w:val="00680DAF"/>
    <w:rsid w:val="00680F0B"/>
    <w:rsid w:val="00681592"/>
    <w:rsid w:val="006816F9"/>
    <w:rsid w:val="006818B1"/>
    <w:rsid w:val="00681AE0"/>
    <w:rsid w:val="00681C4C"/>
    <w:rsid w:val="0068236F"/>
    <w:rsid w:val="00682616"/>
    <w:rsid w:val="006827C7"/>
    <w:rsid w:val="006827F1"/>
    <w:rsid w:val="00682893"/>
    <w:rsid w:val="00682A64"/>
    <w:rsid w:val="00682B38"/>
    <w:rsid w:val="00682F00"/>
    <w:rsid w:val="00683110"/>
    <w:rsid w:val="00683204"/>
    <w:rsid w:val="0068321A"/>
    <w:rsid w:val="0068345B"/>
    <w:rsid w:val="0068382C"/>
    <w:rsid w:val="006838D8"/>
    <w:rsid w:val="006838E4"/>
    <w:rsid w:val="006838ED"/>
    <w:rsid w:val="00683A30"/>
    <w:rsid w:val="00683C7A"/>
    <w:rsid w:val="006840A7"/>
    <w:rsid w:val="00684667"/>
    <w:rsid w:val="006849C3"/>
    <w:rsid w:val="006849CB"/>
    <w:rsid w:val="00684AFD"/>
    <w:rsid w:val="00684D16"/>
    <w:rsid w:val="00684D9A"/>
    <w:rsid w:val="00684DAD"/>
    <w:rsid w:val="00684E37"/>
    <w:rsid w:val="00684ECC"/>
    <w:rsid w:val="00684FD0"/>
    <w:rsid w:val="00685176"/>
    <w:rsid w:val="006853B1"/>
    <w:rsid w:val="00685560"/>
    <w:rsid w:val="0068578B"/>
    <w:rsid w:val="00685791"/>
    <w:rsid w:val="00685BF9"/>
    <w:rsid w:val="00685D70"/>
    <w:rsid w:val="00685DAC"/>
    <w:rsid w:val="00685FAE"/>
    <w:rsid w:val="0068608B"/>
    <w:rsid w:val="006860FA"/>
    <w:rsid w:val="006861F3"/>
    <w:rsid w:val="00686350"/>
    <w:rsid w:val="0068658D"/>
    <w:rsid w:val="00686623"/>
    <w:rsid w:val="00686676"/>
    <w:rsid w:val="00686F83"/>
    <w:rsid w:val="006872A1"/>
    <w:rsid w:val="00687673"/>
    <w:rsid w:val="0068793B"/>
    <w:rsid w:val="00687B20"/>
    <w:rsid w:val="00687E49"/>
    <w:rsid w:val="00687E97"/>
    <w:rsid w:val="0069016C"/>
    <w:rsid w:val="0069054B"/>
    <w:rsid w:val="006908FF"/>
    <w:rsid w:val="0069090D"/>
    <w:rsid w:val="006909A0"/>
    <w:rsid w:val="0069116F"/>
    <w:rsid w:val="00691375"/>
    <w:rsid w:val="00691B04"/>
    <w:rsid w:val="00691BAB"/>
    <w:rsid w:val="00691F7A"/>
    <w:rsid w:val="006920AA"/>
    <w:rsid w:val="006921F0"/>
    <w:rsid w:val="00692629"/>
    <w:rsid w:val="00692E0A"/>
    <w:rsid w:val="00692EB9"/>
    <w:rsid w:val="006931DD"/>
    <w:rsid w:val="006931E7"/>
    <w:rsid w:val="006931FA"/>
    <w:rsid w:val="00693420"/>
    <w:rsid w:val="006935F8"/>
    <w:rsid w:val="006935FF"/>
    <w:rsid w:val="0069380E"/>
    <w:rsid w:val="00693B56"/>
    <w:rsid w:val="00693BC8"/>
    <w:rsid w:val="00693D19"/>
    <w:rsid w:val="00693D93"/>
    <w:rsid w:val="006941F7"/>
    <w:rsid w:val="00694224"/>
    <w:rsid w:val="00694933"/>
    <w:rsid w:val="00694FD9"/>
    <w:rsid w:val="00695045"/>
    <w:rsid w:val="0069510A"/>
    <w:rsid w:val="0069530E"/>
    <w:rsid w:val="006953E7"/>
    <w:rsid w:val="00695445"/>
    <w:rsid w:val="006959B2"/>
    <w:rsid w:val="00695B39"/>
    <w:rsid w:val="00695C5A"/>
    <w:rsid w:val="00695D20"/>
    <w:rsid w:val="00695E64"/>
    <w:rsid w:val="00695F80"/>
    <w:rsid w:val="0069624D"/>
    <w:rsid w:val="0069641A"/>
    <w:rsid w:val="0069646F"/>
    <w:rsid w:val="0069672B"/>
    <w:rsid w:val="0069682C"/>
    <w:rsid w:val="00696861"/>
    <w:rsid w:val="00696927"/>
    <w:rsid w:val="006969C3"/>
    <w:rsid w:val="006969F9"/>
    <w:rsid w:val="00696B7F"/>
    <w:rsid w:val="0069706F"/>
    <w:rsid w:val="006971EB"/>
    <w:rsid w:val="0069787F"/>
    <w:rsid w:val="006978DE"/>
    <w:rsid w:val="00697989"/>
    <w:rsid w:val="00697B20"/>
    <w:rsid w:val="00697B7E"/>
    <w:rsid w:val="00697BB9"/>
    <w:rsid w:val="00697BEC"/>
    <w:rsid w:val="00697BEE"/>
    <w:rsid w:val="00697E24"/>
    <w:rsid w:val="006A01FD"/>
    <w:rsid w:val="006A0573"/>
    <w:rsid w:val="006A082B"/>
    <w:rsid w:val="006A0BDA"/>
    <w:rsid w:val="006A1134"/>
    <w:rsid w:val="006A1147"/>
    <w:rsid w:val="006A11F6"/>
    <w:rsid w:val="006A12B3"/>
    <w:rsid w:val="006A1376"/>
    <w:rsid w:val="006A13EB"/>
    <w:rsid w:val="006A16FE"/>
    <w:rsid w:val="006A1723"/>
    <w:rsid w:val="006A1BD2"/>
    <w:rsid w:val="006A21C0"/>
    <w:rsid w:val="006A225E"/>
    <w:rsid w:val="006A28F1"/>
    <w:rsid w:val="006A2973"/>
    <w:rsid w:val="006A2D12"/>
    <w:rsid w:val="006A304C"/>
    <w:rsid w:val="006A3165"/>
    <w:rsid w:val="006A3E63"/>
    <w:rsid w:val="006A3FAD"/>
    <w:rsid w:val="006A419A"/>
    <w:rsid w:val="006A4436"/>
    <w:rsid w:val="006A4AE2"/>
    <w:rsid w:val="006A4AFB"/>
    <w:rsid w:val="006A4C05"/>
    <w:rsid w:val="006A4DF2"/>
    <w:rsid w:val="006A4FEB"/>
    <w:rsid w:val="006A516C"/>
    <w:rsid w:val="006A5175"/>
    <w:rsid w:val="006A51B2"/>
    <w:rsid w:val="006A56F2"/>
    <w:rsid w:val="006A572C"/>
    <w:rsid w:val="006A58FF"/>
    <w:rsid w:val="006A5ACB"/>
    <w:rsid w:val="006A611F"/>
    <w:rsid w:val="006A6136"/>
    <w:rsid w:val="006A6162"/>
    <w:rsid w:val="006A633A"/>
    <w:rsid w:val="006A640F"/>
    <w:rsid w:val="006A6542"/>
    <w:rsid w:val="006A6C6D"/>
    <w:rsid w:val="006A6CC1"/>
    <w:rsid w:val="006A6E47"/>
    <w:rsid w:val="006A70AE"/>
    <w:rsid w:val="006A73E3"/>
    <w:rsid w:val="006A7498"/>
    <w:rsid w:val="006A7AEE"/>
    <w:rsid w:val="006A7D86"/>
    <w:rsid w:val="006A7D95"/>
    <w:rsid w:val="006A7E2A"/>
    <w:rsid w:val="006B0058"/>
    <w:rsid w:val="006B0097"/>
    <w:rsid w:val="006B07AB"/>
    <w:rsid w:val="006B07C1"/>
    <w:rsid w:val="006B0866"/>
    <w:rsid w:val="006B08E9"/>
    <w:rsid w:val="006B09B9"/>
    <w:rsid w:val="006B0ABE"/>
    <w:rsid w:val="006B0D8A"/>
    <w:rsid w:val="006B0DD0"/>
    <w:rsid w:val="006B0FAF"/>
    <w:rsid w:val="006B0FB4"/>
    <w:rsid w:val="006B100D"/>
    <w:rsid w:val="006B12D9"/>
    <w:rsid w:val="006B1506"/>
    <w:rsid w:val="006B162C"/>
    <w:rsid w:val="006B1A22"/>
    <w:rsid w:val="006B1C1B"/>
    <w:rsid w:val="006B1D35"/>
    <w:rsid w:val="006B219D"/>
    <w:rsid w:val="006B2534"/>
    <w:rsid w:val="006B2625"/>
    <w:rsid w:val="006B26EA"/>
    <w:rsid w:val="006B26FD"/>
    <w:rsid w:val="006B29A0"/>
    <w:rsid w:val="006B2D85"/>
    <w:rsid w:val="006B2DD5"/>
    <w:rsid w:val="006B2E92"/>
    <w:rsid w:val="006B321B"/>
    <w:rsid w:val="006B3411"/>
    <w:rsid w:val="006B353E"/>
    <w:rsid w:val="006B3726"/>
    <w:rsid w:val="006B378C"/>
    <w:rsid w:val="006B3817"/>
    <w:rsid w:val="006B39F7"/>
    <w:rsid w:val="006B3AA9"/>
    <w:rsid w:val="006B3C75"/>
    <w:rsid w:val="006B3C9D"/>
    <w:rsid w:val="006B3DC2"/>
    <w:rsid w:val="006B3F7B"/>
    <w:rsid w:val="006B474D"/>
    <w:rsid w:val="006B4888"/>
    <w:rsid w:val="006B4BB3"/>
    <w:rsid w:val="006B4DFD"/>
    <w:rsid w:val="006B55C6"/>
    <w:rsid w:val="006B57B2"/>
    <w:rsid w:val="006B57FC"/>
    <w:rsid w:val="006B5943"/>
    <w:rsid w:val="006B5BE5"/>
    <w:rsid w:val="006B5D82"/>
    <w:rsid w:val="006B618B"/>
    <w:rsid w:val="006B625A"/>
    <w:rsid w:val="006B6286"/>
    <w:rsid w:val="006B6389"/>
    <w:rsid w:val="006B6448"/>
    <w:rsid w:val="006B64E3"/>
    <w:rsid w:val="006B64ED"/>
    <w:rsid w:val="006B67E8"/>
    <w:rsid w:val="006B6BAD"/>
    <w:rsid w:val="006B6D8E"/>
    <w:rsid w:val="006B6DBB"/>
    <w:rsid w:val="006B6F4D"/>
    <w:rsid w:val="006B7465"/>
    <w:rsid w:val="006B7482"/>
    <w:rsid w:val="006B7872"/>
    <w:rsid w:val="006B789F"/>
    <w:rsid w:val="006B7993"/>
    <w:rsid w:val="006B7C05"/>
    <w:rsid w:val="006B7E35"/>
    <w:rsid w:val="006C080B"/>
    <w:rsid w:val="006C0839"/>
    <w:rsid w:val="006C087F"/>
    <w:rsid w:val="006C0A06"/>
    <w:rsid w:val="006C0F6A"/>
    <w:rsid w:val="006C0F7D"/>
    <w:rsid w:val="006C0F9C"/>
    <w:rsid w:val="006C11C2"/>
    <w:rsid w:val="006C1371"/>
    <w:rsid w:val="006C158A"/>
    <w:rsid w:val="006C1668"/>
    <w:rsid w:val="006C1978"/>
    <w:rsid w:val="006C23F3"/>
    <w:rsid w:val="006C2534"/>
    <w:rsid w:val="006C25FB"/>
    <w:rsid w:val="006C29AA"/>
    <w:rsid w:val="006C2B54"/>
    <w:rsid w:val="006C2F66"/>
    <w:rsid w:val="006C2FBE"/>
    <w:rsid w:val="006C31D0"/>
    <w:rsid w:val="006C3251"/>
    <w:rsid w:val="006C3283"/>
    <w:rsid w:val="006C32D3"/>
    <w:rsid w:val="006C3669"/>
    <w:rsid w:val="006C3754"/>
    <w:rsid w:val="006C39DE"/>
    <w:rsid w:val="006C3A07"/>
    <w:rsid w:val="006C3C14"/>
    <w:rsid w:val="006C3D87"/>
    <w:rsid w:val="006C3FCB"/>
    <w:rsid w:val="006C405D"/>
    <w:rsid w:val="006C408F"/>
    <w:rsid w:val="006C4622"/>
    <w:rsid w:val="006C4714"/>
    <w:rsid w:val="006C47F9"/>
    <w:rsid w:val="006C4929"/>
    <w:rsid w:val="006C49C6"/>
    <w:rsid w:val="006C4B8A"/>
    <w:rsid w:val="006C4DE8"/>
    <w:rsid w:val="006C4EB4"/>
    <w:rsid w:val="006C4F07"/>
    <w:rsid w:val="006C4FB7"/>
    <w:rsid w:val="006C53C9"/>
    <w:rsid w:val="006C571F"/>
    <w:rsid w:val="006C5A85"/>
    <w:rsid w:val="006C5C49"/>
    <w:rsid w:val="006C5C9D"/>
    <w:rsid w:val="006C5D6E"/>
    <w:rsid w:val="006C5E6D"/>
    <w:rsid w:val="006C5F54"/>
    <w:rsid w:val="006C64C7"/>
    <w:rsid w:val="006C6886"/>
    <w:rsid w:val="006C68BD"/>
    <w:rsid w:val="006C6CE5"/>
    <w:rsid w:val="006C6E5C"/>
    <w:rsid w:val="006C7017"/>
    <w:rsid w:val="006C7434"/>
    <w:rsid w:val="006C782D"/>
    <w:rsid w:val="006C788B"/>
    <w:rsid w:val="006C7A73"/>
    <w:rsid w:val="006C7D21"/>
    <w:rsid w:val="006D064C"/>
    <w:rsid w:val="006D06F5"/>
    <w:rsid w:val="006D08E5"/>
    <w:rsid w:val="006D0C7E"/>
    <w:rsid w:val="006D0CB3"/>
    <w:rsid w:val="006D0D92"/>
    <w:rsid w:val="006D0E6A"/>
    <w:rsid w:val="006D0F9A"/>
    <w:rsid w:val="006D1061"/>
    <w:rsid w:val="006D1474"/>
    <w:rsid w:val="006D14CA"/>
    <w:rsid w:val="006D155A"/>
    <w:rsid w:val="006D1839"/>
    <w:rsid w:val="006D189A"/>
    <w:rsid w:val="006D1A1B"/>
    <w:rsid w:val="006D1BD8"/>
    <w:rsid w:val="006D2127"/>
    <w:rsid w:val="006D2187"/>
    <w:rsid w:val="006D2360"/>
    <w:rsid w:val="006D2B24"/>
    <w:rsid w:val="006D392E"/>
    <w:rsid w:val="006D3CF5"/>
    <w:rsid w:val="006D3DEF"/>
    <w:rsid w:val="006D3FD2"/>
    <w:rsid w:val="006D41E7"/>
    <w:rsid w:val="006D4503"/>
    <w:rsid w:val="006D4689"/>
    <w:rsid w:val="006D48E5"/>
    <w:rsid w:val="006D48F8"/>
    <w:rsid w:val="006D4908"/>
    <w:rsid w:val="006D4BC7"/>
    <w:rsid w:val="006D503F"/>
    <w:rsid w:val="006D563B"/>
    <w:rsid w:val="006D5811"/>
    <w:rsid w:val="006D5D1F"/>
    <w:rsid w:val="006D5F54"/>
    <w:rsid w:val="006D5FBF"/>
    <w:rsid w:val="006D601B"/>
    <w:rsid w:val="006D60B3"/>
    <w:rsid w:val="006D6142"/>
    <w:rsid w:val="006D6223"/>
    <w:rsid w:val="006D633D"/>
    <w:rsid w:val="006D6632"/>
    <w:rsid w:val="006D6A59"/>
    <w:rsid w:val="006D6A84"/>
    <w:rsid w:val="006D6CE4"/>
    <w:rsid w:val="006D7096"/>
    <w:rsid w:val="006D7268"/>
    <w:rsid w:val="006D72B1"/>
    <w:rsid w:val="006D72B8"/>
    <w:rsid w:val="006D73DF"/>
    <w:rsid w:val="006D74F9"/>
    <w:rsid w:val="006D75FD"/>
    <w:rsid w:val="006D78C2"/>
    <w:rsid w:val="006D7B7C"/>
    <w:rsid w:val="006D7E67"/>
    <w:rsid w:val="006E02A3"/>
    <w:rsid w:val="006E082C"/>
    <w:rsid w:val="006E08A0"/>
    <w:rsid w:val="006E0934"/>
    <w:rsid w:val="006E0A60"/>
    <w:rsid w:val="006E12D6"/>
    <w:rsid w:val="006E140A"/>
    <w:rsid w:val="006E14E8"/>
    <w:rsid w:val="006E15D1"/>
    <w:rsid w:val="006E1761"/>
    <w:rsid w:val="006E19FF"/>
    <w:rsid w:val="006E1BB9"/>
    <w:rsid w:val="006E1C36"/>
    <w:rsid w:val="006E1DF9"/>
    <w:rsid w:val="006E1E16"/>
    <w:rsid w:val="006E2195"/>
    <w:rsid w:val="006E23A1"/>
    <w:rsid w:val="006E23D7"/>
    <w:rsid w:val="006E25C5"/>
    <w:rsid w:val="006E298D"/>
    <w:rsid w:val="006E2B53"/>
    <w:rsid w:val="006E2D2A"/>
    <w:rsid w:val="006E2E5A"/>
    <w:rsid w:val="006E2EDA"/>
    <w:rsid w:val="006E308A"/>
    <w:rsid w:val="006E3105"/>
    <w:rsid w:val="006E3162"/>
    <w:rsid w:val="006E32FC"/>
    <w:rsid w:val="006E3349"/>
    <w:rsid w:val="006E339E"/>
    <w:rsid w:val="006E3416"/>
    <w:rsid w:val="006E3487"/>
    <w:rsid w:val="006E3788"/>
    <w:rsid w:val="006E378A"/>
    <w:rsid w:val="006E3B32"/>
    <w:rsid w:val="006E3B63"/>
    <w:rsid w:val="006E418D"/>
    <w:rsid w:val="006E42F7"/>
    <w:rsid w:val="006E451F"/>
    <w:rsid w:val="006E4574"/>
    <w:rsid w:val="006E4576"/>
    <w:rsid w:val="006E474C"/>
    <w:rsid w:val="006E4935"/>
    <w:rsid w:val="006E49E7"/>
    <w:rsid w:val="006E4D0B"/>
    <w:rsid w:val="006E4FDF"/>
    <w:rsid w:val="006E5080"/>
    <w:rsid w:val="006E56A7"/>
    <w:rsid w:val="006E5A02"/>
    <w:rsid w:val="006E5F81"/>
    <w:rsid w:val="006E60E3"/>
    <w:rsid w:val="006E6A35"/>
    <w:rsid w:val="006E6AE1"/>
    <w:rsid w:val="006E6B11"/>
    <w:rsid w:val="006E6C89"/>
    <w:rsid w:val="006E6CC0"/>
    <w:rsid w:val="006E6DC3"/>
    <w:rsid w:val="006E6E00"/>
    <w:rsid w:val="006E6FA7"/>
    <w:rsid w:val="006E7393"/>
    <w:rsid w:val="006E73F4"/>
    <w:rsid w:val="006E742A"/>
    <w:rsid w:val="006E76F8"/>
    <w:rsid w:val="006E7C28"/>
    <w:rsid w:val="006E7E58"/>
    <w:rsid w:val="006F02CB"/>
    <w:rsid w:val="006F0315"/>
    <w:rsid w:val="006F0856"/>
    <w:rsid w:val="006F0B82"/>
    <w:rsid w:val="006F11DE"/>
    <w:rsid w:val="006F122E"/>
    <w:rsid w:val="006F1329"/>
    <w:rsid w:val="006F13E8"/>
    <w:rsid w:val="006F1559"/>
    <w:rsid w:val="006F1602"/>
    <w:rsid w:val="006F1778"/>
    <w:rsid w:val="006F1965"/>
    <w:rsid w:val="006F1D7E"/>
    <w:rsid w:val="006F1FDF"/>
    <w:rsid w:val="006F260A"/>
    <w:rsid w:val="006F2790"/>
    <w:rsid w:val="006F2A22"/>
    <w:rsid w:val="006F2D66"/>
    <w:rsid w:val="006F3006"/>
    <w:rsid w:val="006F311D"/>
    <w:rsid w:val="006F33A2"/>
    <w:rsid w:val="006F33D8"/>
    <w:rsid w:val="006F380A"/>
    <w:rsid w:val="006F3CA0"/>
    <w:rsid w:val="006F3D73"/>
    <w:rsid w:val="006F3DE6"/>
    <w:rsid w:val="006F3E01"/>
    <w:rsid w:val="006F41C9"/>
    <w:rsid w:val="006F45B4"/>
    <w:rsid w:val="006F492D"/>
    <w:rsid w:val="006F4A63"/>
    <w:rsid w:val="006F4BC2"/>
    <w:rsid w:val="006F4E61"/>
    <w:rsid w:val="006F5420"/>
    <w:rsid w:val="006F5DB3"/>
    <w:rsid w:val="006F60DF"/>
    <w:rsid w:val="006F6118"/>
    <w:rsid w:val="006F6632"/>
    <w:rsid w:val="006F69A3"/>
    <w:rsid w:val="006F69B5"/>
    <w:rsid w:val="006F6C9C"/>
    <w:rsid w:val="006F6E5A"/>
    <w:rsid w:val="006F6F35"/>
    <w:rsid w:val="006F6FBC"/>
    <w:rsid w:val="006F7172"/>
    <w:rsid w:val="006F7512"/>
    <w:rsid w:val="006F76A9"/>
    <w:rsid w:val="006F77D2"/>
    <w:rsid w:val="006F7BCD"/>
    <w:rsid w:val="006F7CEF"/>
    <w:rsid w:val="00700153"/>
    <w:rsid w:val="007002CC"/>
    <w:rsid w:val="0070048D"/>
    <w:rsid w:val="00700587"/>
    <w:rsid w:val="00700865"/>
    <w:rsid w:val="00700AB9"/>
    <w:rsid w:val="00700DA7"/>
    <w:rsid w:val="00700DFA"/>
    <w:rsid w:val="00700E07"/>
    <w:rsid w:val="007011E8"/>
    <w:rsid w:val="00701B1C"/>
    <w:rsid w:val="00701E1A"/>
    <w:rsid w:val="007020F6"/>
    <w:rsid w:val="00702126"/>
    <w:rsid w:val="007023C8"/>
    <w:rsid w:val="00702495"/>
    <w:rsid w:val="00702729"/>
    <w:rsid w:val="007027C6"/>
    <w:rsid w:val="00702AB1"/>
    <w:rsid w:val="00702C22"/>
    <w:rsid w:val="00702C6C"/>
    <w:rsid w:val="00702E6E"/>
    <w:rsid w:val="00702E73"/>
    <w:rsid w:val="00702E7E"/>
    <w:rsid w:val="00702F35"/>
    <w:rsid w:val="00702FC0"/>
    <w:rsid w:val="00703323"/>
    <w:rsid w:val="00703919"/>
    <w:rsid w:val="0070392E"/>
    <w:rsid w:val="0070396D"/>
    <w:rsid w:val="007039B6"/>
    <w:rsid w:val="007039FC"/>
    <w:rsid w:val="00703A24"/>
    <w:rsid w:val="00703AF4"/>
    <w:rsid w:val="00703C36"/>
    <w:rsid w:val="00703D29"/>
    <w:rsid w:val="00703E46"/>
    <w:rsid w:val="00703EBB"/>
    <w:rsid w:val="00703F55"/>
    <w:rsid w:val="0070422D"/>
    <w:rsid w:val="007049B4"/>
    <w:rsid w:val="00704B6D"/>
    <w:rsid w:val="00704D27"/>
    <w:rsid w:val="00704E00"/>
    <w:rsid w:val="00704E6E"/>
    <w:rsid w:val="00705037"/>
    <w:rsid w:val="0070508B"/>
    <w:rsid w:val="00705243"/>
    <w:rsid w:val="00705271"/>
    <w:rsid w:val="00705484"/>
    <w:rsid w:val="007055BF"/>
    <w:rsid w:val="007056E1"/>
    <w:rsid w:val="00705AD3"/>
    <w:rsid w:val="00705B4E"/>
    <w:rsid w:val="00705C4C"/>
    <w:rsid w:val="00705EEE"/>
    <w:rsid w:val="007065E9"/>
    <w:rsid w:val="007069BB"/>
    <w:rsid w:val="00706A63"/>
    <w:rsid w:val="00706A9A"/>
    <w:rsid w:val="00706ADC"/>
    <w:rsid w:val="00706E80"/>
    <w:rsid w:val="00706EAC"/>
    <w:rsid w:val="00706FE3"/>
    <w:rsid w:val="00707189"/>
    <w:rsid w:val="0070731E"/>
    <w:rsid w:val="007073DB"/>
    <w:rsid w:val="007077FB"/>
    <w:rsid w:val="00707AA5"/>
    <w:rsid w:val="00707B1F"/>
    <w:rsid w:val="00707DE9"/>
    <w:rsid w:val="00707F04"/>
    <w:rsid w:val="00707F65"/>
    <w:rsid w:val="0071005E"/>
    <w:rsid w:val="0071022F"/>
    <w:rsid w:val="00710338"/>
    <w:rsid w:val="00710496"/>
    <w:rsid w:val="00710626"/>
    <w:rsid w:val="00710703"/>
    <w:rsid w:val="00710721"/>
    <w:rsid w:val="00710C33"/>
    <w:rsid w:val="00710D04"/>
    <w:rsid w:val="00710F05"/>
    <w:rsid w:val="00710F0A"/>
    <w:rsid w:val="00710F45"/>
    <w:rsid w:val="007110D1"/>
    <w:rsid w:val="0071110A"/>
    <w:rsid w:val="007112A8"/>
    <w:rsid w:val="0071141D"/>
    <w:rsid w:val="00711AA0"/>
    <w:rsid w:val="00711AFC"/>
    <w:rsid w:val="00711E21"/>
    <w:rsid w:val="0071213C"/>
    <w:rsid w:val="007121B5"/>
    <w:rsid w:val="0071239F"/>
    <w:rsid w:val="007124E6"/>
    <w:rsid w:val="007126ED"/>
    <w:rsid w:val="00712DEE"/>
    <w:rsid w:val="007130BC"/>
    <w:rsid w:val="00713281"/>
    <w:rsid w:val="00713649"/>
    <w:rsid w:val="0071392C"/>
    <w:rsid w:val="00713C6D"/>
    <w:rsid w:val="00713E6E"/>
    <w:rsid w:val="00713FD4"/>
    <w:rsid w:val="00714195"/>
    <w:rsid w:val="007144FC"/>
    <w:rsid w:val="0071492F"/>
    <w:rsid w:val="00714B75"/>
    <w:rsid w:val="00714DE4"/>
    <w:rsid w:val="00714E40"/>
    <w:rsid w:val="00715049"/>
    <w:rsid w:val="007153D5"/>
    <w:rsid w:val="0071563D"/>
    <w:rsid w:val="00715727"/>
    <w:rsid w:val="007157B4"/>
    <w:rsid w:val="00715A57"/>
    <w:rsid w:val="00715A94"/>
    <w:rsid w:val="00715D98"/>
    <w:rsid w:val="00715F19"/>
    <w:rsid w:val="007160CD"/>
    <w:rsid w:val="007164F1"/>
    <w:rsid w:val="0071672F"/>
    <w:rsid w:val="0071679C"/>
    <w:rsid w:val="00716AF9"/>
    <w:rsid w:val="00716C80"/>
    <w:rsid w:val="00716E3E"/>
    <w:rsid w:val="00716E96"/>
    <w:rsid w:val="00716FFF"/>
    <w:rsid w:val="0071764C"/>
    <w:rsid w:val="007176AA"/>
    <w:rsid w:val="00717716"/>
    <w:rsid w:val="00717765"/>
    <w:rsid w:val="0071798B"/>
    <w:rsid w:val="00717B78"/>
    <w:rsid w:val="00717C13"/>
    <w:rsid w:val="007201BE"/>
    <w:rsid w:val="007205D3"/>
    <w:rsid w:val="007206C0"/>
    <w:rsid w:val="00721071"/>
    <w:rsid w:val="00721289"/>
    <w:rsid w:val="0072128F"/>
    <w:rsid w:val="00721776"/>
    <w:rsid w:val="00721A10"/>
    <w:rsid w:val="00721AF7"/>
    <w:rsid w:val="00721BBB"/>
    <w:rsid w:val="00721D47"/>
    <w:rsid w:val="007224D4"/>
    <w:rsid w:val="007224D5"/>
    <w:rsid w:val="007226B9"/>
    <w:rsid w:val="007226C6"/>
    <w:rsid w:val="00722C4C"/>
    <w:rsid w:val="00722EC7"/>
    <w:rsid w:val="0072304A"/>
    <w:rsid w:val="007230F5"/>
    <w:rsid w:val="007231A5"/>
    <w:rsid w:val="0072320B"/>
    <w:rsid w:val="0072324A"/>
    <w:rsid w:val="0072331A"/>
    <w:rsid w:val="007234CE"/>
    <w:rsid w:val="0072350F"/>
    <w:rsid w:val="007235C9"/>
    <w:rsid w:val="00723830"/>
    <w:rsid w:val="007238D6"/>
    <w:rsid w:val="00723CDB"/>
    <w:rsid w:val="00723DA7"/>
    <w:rsid w:val="00723E39"/>
    <w:rsid w:val="00724003"/>
    <w:rsid w:val="0072440E"/>
    <w:rsid w:val="0072462E"/>
    <w:rsid w:val="00724737"/>
    <w:rsid w:val="00724AE0"/>
    <w:rsid w:val="00724C47"/>
    <w:rsid w:val="00724E0A"/>
    <w:rsid w:val="007250DA"/>
    <w:rsid w:val="0072528C"/>
    <w:rsid w:val="00725699"/>
    <w:rsid w:val="00725715"/>
    <w:rsid w:val="00725FD2"/>
    <w:rsid w:val="0072609F"/>
    <w:rsid w:val="00726188"/>
    <w:rsid w:val="007266F6"/>
    <w:rsid w:val="0072675B"/>
    <w:rsid w:val="00726D53"/>
    <w:rsid w:val="00726DCE"/>
    <w:rsid w:val="00726EEA"/>
    <w:rsid w:val="00727172"/>
    <w:rsid w:val="0072731B"/>
    <w:rsid w:val="00727930"/>
    <w:rsid w:val="00727B3B"/>
    <w:rsid w:val="00727C4F"/>
    <w:rsid w:val="00727D54"/>
    <w:rsid w:val="00727D60"/>
    <w:rsid w:val="00727D93"/>
    <w:rsid w:val="0073002A"/>
    <w:rsid w:val="007300D2"/>
    <w:rsid w:val="00730218"/>
    <w:rsid w:val="00730323"/>
    <w:rsid w:val="0073056C"/>
    <w:rsid w:val="0073057F"/>
    <w:rsid w:val="007306D4"/>
    <w:rsid w:val="007307D6"/>
    <w:rsid w:val="00730A40"/>
    <w:rsid w:val="00730A9F"/>
    <w:rsid w:val="00730C53"/>
    <w:rsid w:val="00730E6D"/>
    <w:rsid w:val="007311E5"/>
    <w:rsid w:val="00731347"/>
    <w:rsid w:val="0073134F"/>
    <w:rsid w:val="007316AE"/>
    <w:rsid w:val="007318ED"/>
    <w:rsid w:val="00731DA8"/>
    <w:rsid w:val="00731EDB"/>
    <w:rsid w:val="007321BA"/>
    <w:rsid w:val="00732289"/>
    <w:rsid w:val="00732C77"/>
    <w:rsid w:val="00732CC1"/>
    <w:rsid w:val="00732E96"/>
    <w:rsid w:val="00732FF4"/>
    <w:rsid w:val="00733103"/>
    <w:rsid w:val="0073331A"/>
    <w:rsid w:val="007335D4"/>
    <w:rsid w:val="00733747"/>
    <w:rsid w:val="00733872"/>
    <w:rsid w:val="00733A21"/>
    <w:rsid w:val="00733B9E"/>
    <w:rsid w:val="00733BF6"/>
    <w:rsid w:val="00733EC6"/>
    <w:rsid w:val="00733F81"/>
    <w:rsid w:val="00734099"/>
    <w:rsid w:val="00734108"/>
    <w:rsid w:val="0073424B"/>
    <w:rsid w:val="007342ED"/>
    <w:rsid w:val="00734414"/>
    <w:rsid w:val="0073465B"/>
    <w:rsid w:val="00734808"/>
    <w:rsid w:val="00734B4F"/>
    <w:rsid w:val="00734B52"/>
    <w:rsid w:val="00734B9C"/>
    <w:rsid w:val="00734C5D"/>
    <w:rsid w:val="00734F80"/>
    <w:rsid w:val="0073515C"/>
    <w:rsid w:val="007355F7"/>
    <w:rsid w:val="007359B7"/>
    <w:rsid w:val="007359BF"/>
    <w:rsid w:val="00735DB4"/>
    <w:rsid w:val="00735F24"/>
    <w:rsid w:val="00736045"/>
    <w:rsid w:val="007363BF"/>
    <w:rsid w:val="007367EC"/>
    <w:rsid w:val="00736874"/>
    <w:rsid w:val="00736CC0"/>
    <w:rsid w:val="00736D68"/>
    <w:rsid w:val="00736E71"/>
    <w:rsid w:val="0073707C"/>
    <w:rsid w:val="00737251"/>
    <w:rsid w:val="007373C7"/>
    <w:rsid w:val="0073750A"/>
    <w:rsid w:val="007378CF"/>
    <w:rsid w:val="0073792B"/>
    <w:rsid w:val="00737A0F"/>
    <w:rsid w:val="00737E1F"/>
    <w:rsid w:val="00740282"/>
    <w:rsid w:val="0074055D"/>
    <w:rsid w:val="00740E36"/>
    <w:rsid w:val="00740FB3"/>
    <w:rsid w:val="0074120C"/>
    <w:rsid w:val="00741473"/>
    <w:rsid w:val="00741501"/>
    <w:rsid w:val="00741877"/>
    <w:rsid w:val="0074194A"/>
    <w:rsid w:val="00741A70"/>
    <w:rsid w:val="00741B5A"/>
    <w:rsid w:val="00741CCC"/>
    <w:rsid w:val="00741CEA"/>
    <w:rsid w:val="00741DA7"/>
    <w:rsid w:val="00742384"/>
    <w:rsid w:val="007423BB"/>
    <w:rsid w:val="007425FD"/>
    <w:rsid w:val="007428F5"/>
    <w:rsid w:val="00742AD4"/>
    <w:rsid w:val="00743026"/>
    <w:rsid w:val="007431C6"/>
    <w:rsid w:val="0074340D"/>
    <w:rsid w:val="007435B0"/>
    <w:rsid w:val="00743B82"/>
    <w:rsid w:val="00743CD5"/>
    <w:rsid w:val="00743DEC"/>
    <w:rsid w:val="00744303"/>
    <w:rsid w:val="0074458A"/>
    <w:rsid w:val="007446EA"/>
    <w:rsid w:val="00744724"/>
    <w:rsid w:val="00744A07"/>
    <w:rsid w:val="00744A55"/>
    <w:rsid w:val="00744AE2"/>
    <w:rsid w:val="00744B06"/>
    <w:rsid w:val="00744D64"/>
    <w:rsid w:val="00745247"/>
    <w:rsid w:val="00745435"/>
    <w:rsid w:val="007456BD"/>
    <w:rsid w:val="007456C4"/>
    <w:rsid w:val="007456DD"/>
    <w:rsid w:val="00745B67"/>
    <w:rsid w:val="00745C8B"/>
    <w:rsid w:val="00745D79"/>
    <w:rsid w:val="00745DA0"/>
    <w:rsid w:val="00746283"/>
    <w:rsid w:val="0074653D"/>
    <w:rsid w:val="00746683"/>
    <w:rsid w:val="007466AF"/>
    <w:rsid w:val="007467B3"/>
    <w:rsid w:val="00746829"/>
    <w:rsid w:val="00746C45"/>
    <w:rsid w:val="007476F1"/>
    <w:rsid w:val="00747786"/>
    <w:rsid w:val="00747C7D"/>
    <w:rsid w:val="00747CF6"/>
    <w:rsid w:val="00747EAB"/>
    <w:rsid w:val="0075048A"/>
    <w:rsid w:val="00750656"/>
    <w:rsid w:val="0075070F"/>
    <w:rsid w:val="007508B9"/>
    <w:rsid w:val="00750952"/>
    <w:rsid w:val="00750C29"/>
    <w:rsid w:val="00750CED"/>
    <w:rsid w:val="00750CF1"/>
    <w:rsid w:val="007510C1"/>
    <w:rsid w:val="00751533"/>
    <w:rsid w:val="0075161C"/>
    <w:rsid w:val="007517B9"/>
    <w:rsid w:val="007518AF"/>
    <w:rsid w:val="00751A0F"/>
    <w:rsid w:val="00751B38"/>
    <w:rsid w:val="00751EE9"/>
    <w:rsid w:val="007521E7"/>
    <w:rsid w:val="00752582"/>
    <w:rsid w:val="007525E1"/>
    <w:rsid w:val="0075279F"/>
    <w:rsid w:val="00752AFA"/>
    <w:rsid w:val="00752C88"/>
    <w:rsid w:val="00752DAD"/>
    <w:rsid w:val="00753248"/>
    <w:rsid w:val="00753484"/>
    <w:rsid w:val="007534FD"/>
    <w:rsid w:val="007538F3"/>
    <w:rsid w:val="00753965"/>
    <w:rsid w:val="00753BB2"/>
    <w:rsid w:val="00753D01"/>
    <w:rsid w:val="00753FF6"/>
    <w:rsid w:val="00754184"/>
    <w:rsid w:val="00754D58"/>
    <w:rsid w:val="00755185"/>
    <w:rsid w:val="007552EE"/>
    <w:rsid w:val="00755667"/>
    <w:rsid w:val="007558D5"/>
    <w:rsid w:val="00756076"/>
    <w:rsid w:val="00756248"/>
    <w:rsid w:val="00756278"/>
    <w:rsid w:val="00756726"/>
    <w:rsid w:val="0075680E"/>
    <w:rsid w:val="0075796C"/>
    <w:rsid w:val="007579A8"/>
    <w:rsid w:val="00757CB0"/>
    <w:rsid w:val="00757E1E"/>
    <w:rsid w:val="00757ECD"/>
    <w:rsid w:val="00757FA0"/>
    <w:rsid w:val="007601D3"/>
    <w:rsid w:val="00760B89"/>
    <w:rsid w:val="00760BC8"/>
    <w:rsid w:val="007610C4"/>
    <w:rsid w:val="00761182"/>
    <w:rsid w:val="00761294"/>
    <w:rsid w:val="00761508"/>
    <w:rsid w:val="00761546"/>
    <w:rsid w:val="00761768"/>
    <w:rsid w:val="00761AAF"/>
    <w:rsid w:val="00762130"/>
    <w:rsid w:val="00762164"/>
    <w:rsid w:val="00762406"/>
    <w:rsid w:val="00762911"/>
    <w:rsid w:val="00762B21"/>
    <w:rsid w:val="00762B2C"/>
    <w:rsid w:val="00762CB7"/>
    <w:rsid w:val="0076307E"/>
    <w:rsid w:val="00763601"/>
    <w:rsid w:val="0076364F"/>
    <w:rsid w:val="00763906"/>
    <w:rsid w:val="00763928"/>
    <w:rsid w:val="00763C28"/>
    <w:rsid w:val="00764094"/>
    <w:rsid w:val="00764CA3"/>
    <w:rsid w:val="00764D5B"/>
    <w:rsid w:val="0076564B"/>
    <w:rsid w:val="00765870"/>
    <w:rsid w:val="00765924"/>
    <w:rsid w:val="00765B20"/>
    <w:rsid w:val="00765F2F"/>
    <w:rsid w:val="00766084"/>
    <w:rsid w:val="00766361"/>
    <w:rsid w:val="00766A04"/>
    <w:rsid w:val="00766A2B"/>
    <w:rsid w:val="00766C1E"/>
    <w:rsid w:val="00766DE2"/>
    <w:rsid w:val="007672EA"/>
    <w:rsid w:val="00767688"/>
    <w:rsid w:val="0076782F"/>
    <w:rsid w:val="007678C0"/>
    <w:rsid w:val="00767A05"/>
    <w:rsid w:val="00767A95"/>
    <w:rsid w:val="00767E9B"/>
    <w:rsid w:val="00770178"/>
    <w:rsid w:val="00770241"/>
    <w:rsid w:val="007705E4"/>
    <w:rsid w:val="00770784"/>
    <w:rsid w:val="007709B3"/>
    <w:rsid w:val="00770AA1"/>
    <w:rsid w:val="00770C0C"/>
    <w:rsid w:val="00770CA7"/>
    <w:rsid w:val="00770DAE"/>
    <w:rsid w:val="007711EB"/>
    <w:rsid w:val="0077127E"/>
    <w:rsid w:val="0077133E"/>
    <w:rsid w:val="00771467"/>
    <w:rsid w:val="007716A0"/>
    <w:rsid w:val="00771779"/>
    <w:rsid w:val="00771784"/>
    <w:rsid w:val="00772156"/>
    <w:rsid w:val="0077217E"/>
    <w:rsid w:val="0077261C"/>
    <w:rsid w:val="0077291B"/>
    <w:rsid w:val="00772978"/>
    <w:rsid w:val="00772ADC"/>
    <w:rsid w:val="00772CBA"/>
    <w:rsid w:val="00772EEF"/>
    <w:rsid w:val="00772F86"/>
    <w:rsid w:val="00772FC4"/>
    <w:rsid w:val="0077336F"/>
    <w:rsid w:val="007736DA"/>
    <w:rsid w:val="007739B8"/>
    <w:rsid w:val="00773D4F"/>
    <w:rsid w:val="00773FE4"/>
    <w:rsid w:val="00774014"/>
    <w:rsid w:val="00774018"/>
    <w:rsid w:val="00774297"/>
    <w:rsid w:val="007742F5"/>
    <w:rsid w:val="00774337"/>
    <w:rsid w:val="00774408"/>
    <w:rsid w:val="007746E6"/>
    <w:rsid w:val="007748ED"/>
    <w:rsid w:val="00774942"/>
    <w:rsid w:val="00774977"/>
    <w:rsid w:val="00774AE5"/>
    <w:rsid w:val="00774DB2"/>
    <w:rsid w:val="00774F59"/>
    <w:rsid w:val="00775219"/>
    <w:rsid w:val="007755CD"/>
    <w:rsid w:val="007756D7"/>
    <w:rsid w:val="0077571C"/>
    <w:rsid w:val="00775B09"/>
    <w:rsid w:val="00775BDB"/>
    <w:rsid w:val="0077600E"/>
    <w:rsid w:val="007762AC"/>
    <w:rsid w:val="007762CA"/>
    <w:rsid w:val="007764E2"/>
    <w:rsid w:val="00776632"/>
    <w:rsid w:val="007766AB"/>
    <w:rsid w:val="00776F97"/>
    <w:rsid w:val="007776C1"/>
    <w:rsid w:val="00777A98"/>
    <w:rsid w:val="007802E3"/>
    <w:rsid w:val="00780435"/>
    <w:rsid w:val="00780585"/>
    <w:rsid w:val="0078058B"/>
    <w:rsid w:val="0078066D"/>
    <w:rsid w:val="00780675"/>
    <w:rsid w:val="007808B2"/>
    <w:rsid w:val="00780EC6"/>
    <w:rsid w:val="0078101A"/>
    <w:rsid w:val="00781020"/>
    <w:rsid w:val="0078112A"/>
    <w:rsid w:val="007812AB"/>
    <w:rsid w:val="00781385"/>
    <w:rsid w:val="00781415"/>
    <w:rsid w:val="007817B0"/>
    <w:rsid w:val="007818D9"/>
    <w:rsid w:val="00781A96"/>
    <w:rsid w:val="00781BEA"/>
    <w:rsid w:val="00781C66"/>
    <w:rsid w:val="0078234A"/>
    <w:rsid w:val="0078256A"/>
    <w:rsid w:val="007825F0"/>
    <w:rsid w:val="0078260D"/>
    <w:rsid w:val="00782728"/>
    <w:rsid w:val="0078277D"/>
    <w:rsid w:val="00782859"/>
    <w:rsid w:val="00782BF0"/>
    <w:rsid w:val="00782CB8"/>
    <w:rsid w:val="00782F9C"/>
    <w:rsid w:val="0078303B"/>
    <w:rsid w:val="0078349F"/>
    <w:rsid w:val="0078361F"/>
    <w:rsid w:val="0078371B"/>
    <w:rsid w:val="00783753"/>
    <w:rsid w:val="0078391A"/>
    <w:rsid w:val="00783D79"/>
    <w:rsid w:val="0078414A"/>
    <w:rsid w:val="00784212"/>
    <w:rsid w:val="0078433C"/>
    <w:rsid w:val="00784816"/>
    <w:rsid w:val="00784818"/>
    <w:rsid w:val="00784A45"/>
    <w:rsid w:val="00784B6E"/>
    <w:rsid w:val="00784EC4"/>
    <w:rsid w:val="00784FD8"/>
    <w:rsid w:val="007850A0"/>
    <w:rsid w:val="0078545F"/>
    <w:rsid w:val="00785905"/>
    <w:rsid w:val="00785A9E"/>
    <w:rsid w:val="00785B46"/>
    <w:rsid w:val="00785C02"/>
    <w:rsid w:val="00786138"/>
    <w:rsid w:val="00786345"/>
    <w:rsid w:val="00786368"/>
    <w:rsid w:val="00786553"/>
    <w:rsid w:val="00786581"/>
    <w:rsid w:val="00786939"/>
    <w:rsid w:val="00786AAE"/>
    <w:rsid w:val="00786ACF"/>
    <w:rsid w:val="00786AD0"/>
    <w:rsid w:val="00786C7C"/>
    <w:rsid w:val="00786FCF"/>
    <w:rsid w:val="0078748D"/>
    <w:rsid w:val="00787604"/>
    <w:rsid w:val="007877F2"/>
    <w:rsid w:val="00787912"/>
    <w:rsid w:val="00787CD7"/>
    <w:rsid w:val="00787F45"/>
    <w:rsid w:val="00787F96"/>
    <w:rsid w:val="00790029"/>
    <w:rsid w:val="007901F1"/>
    <w:rsid w:val="00790517"/>
    <w:rsid w:val="007906AB"/>
    <w:rsid w:val="007906C7"/>
    <w:rsid w:val="00790C28"/>
    <w:rsid w:val="00790D7E"/>
    <w:rsid w:val="00790DB4"/>
    <w:rsid w:val="00791437"/>
    <w:rsid w:val="00791810"/>
    <w:rsid w:val="00791878"/>
    <w:rsid w:val="00791C14"/>
    <w:rsid w:val="00791FF3"/>
    <w:rsid w:val="0079213A"/>
    <w:rsid w:val="007921D3"/>
    <w:rsid w:val="007922A6"/>
    <w:rsid w:val="00792495"/>
    <w:rsid w:val="00792738"/>
    <w:rsid w:val="00792988"/>
    <w:rsid w:val="00792A5D"/>
    <w:rsid w:val="00792B82"/>
    <w:rsid w:val="00792BC5"/>
    <w:rsid w:val="00792F41"/>
    <w:rsid w:val="00793065"/>
    <w:rsid w:val="007930C5"/>
    <w:rsid w:val="0079310A"/>
    <w:rsid w:val="00793304"/>
    <w:rsid w:val="007934A9"/>
    <w:rsid w:val="0079376E"/>
    <w:rsid w:val="0079392B"/>
    <w:rsid w:val="00793B04"/>
    <w:rsid w:val="00793CB4"/>
    <w:rsid w:val="00794147"/>
    <w:rsid w:val="007942A8"/>
    <w:rsid w:val="007942C9"/>
    <w:rsid w:val="007942E7"/>
    <w:rsid w:val="007942FD"/>
    <w:rsid w:val="00794805"/>
    <w:rsid w:val="00794812"/>
    <w:rsid w:val="00794C58"/>
    <w:rsid w:val="00794E8C"/>
    <w:rsid w:val="007950A4"/>
    <w:rsid w:val="007951D1"/>
    <w:rsid w:val="007951D9"/>
    <w:rsid w:val="00795276"/>
    <w:rsid w:val="00795323"/>
    <w:rsid w:val="00795495"/>
    <w:rsid w:val="00795696"/>
    <w:rsid w:val="00795A1F"/>
    <w:rsid w:val="00795CE1"/>
    <w:rsid w:val="00795D2E"/>
    <w:rsid w:val="00795E10"/>
    <w:rsid w:val="00795E12"/>
    <w:rsid w:val="00796140"/>
    <w:rsid w:val="007963C9"/>
    <w:rsid w:val="00796454"/>
    <w:rsid w:val="00796667"/>
    <w:rsid w:val="00796A7B"/>
    <w:rsid w:val="00796C05"/>
    <w:rsid w:val="0079707E"/>
    <w:rsid w:val="007970D2"/>
    <w:rsid w:val="007971B2"/>
    <w:rsid w:val="007972E8"/>
    <w:rsid w:val="00797327"/>
    <w:rsid w:val="0079766D"/>
    <w:rsid w:val="00797924"/>
    <w:rsid w:val="00797B1D"/>
    <w:rsid w:val="00797E31"/>
    <w:rsid w:val="00797F4D"/>
    <w:rsid w:val="007A0311"/>
    <w:rsid w:val="007A03FD"/>
    <w:rsid w:val="007A0461"/>
    <w:rsid w:val="007A092B"/>
    <w:rsid w:val="007A0ACB"/>
    <w:rsid w:val="007A0D26"/>
    <w:rsid w:val="007A0F2E"/>
    <w:rsid w:val="007A1276"/>
    <w:rsid w:val="007A1277"/>
    <w:rsid w:val="007A14C4"/>
    <w:rsid w:val="007A1521"/>
    <w:rsid w:val="007A15FB"/>
    <w:rsid w:val="007A165C"/>
    <w:rsid w:val="007A16DD"/>
    <w:rsid w:val="007A207A"/>
    <w:rsid w:val="007A2121"/>
    <w:rsid w:val="007A259B"/>
    <w:rsid w:val="007A26F8"/>
    <w:rsid w:val="007A274D"/>
    <w:rsid w:val="007A287F"/>
    <w:rsid w:val="007A2C0A"/>
    <w:rsid w:val="007A2C7A"/>
    <w:rsid w:val="007A2D5F"/>
    <w:rsid w:val="007A344B"/>
    <w:rsid w:val="007A3456"/>
    <w:rsid w:val="007A3782"/>
    <w:rsid w:val="007A3A06"/>
    <w:rsid w:val="007A3D06"/>
    <w:rsid w:val="007A3FB7"/>
    <w:rsid w:val="007A41AE"/>
    <w:rsid w:val="007A420A"/>
    <w:rsid w:val="007A4261"/>
    <w:rsid w:val="007A44A0"/>
    <w:rsid w:val="007A44D1"/>
    <w:rsid w:val="007A4649"/>
    <w:rsid w:val="007A46C5"/>
    <w:rsid w:val="007A4838"/>
    <w:rsid w:val="007A48C3"/>
    <w:rsid w:val="007A4A0B"/>
    <w:rsid w:val="007A4EAA"/>
    <w:rsid w:val="007A51B9"/>
    <w:rsid w:val="007A51E5"/>
    <w:rsid w:val="007A596C"/>
    <w:rsid w:val="007A5B23"/>
    <w:rsid w:val="007A5E60"/>
    <w:rsid w:val="007A60F4"/>
    <w:rsid w:val="007A668D"/>
    <w:rsid w:val="007A6B1F"/>
    <w:rsid w:val="007A6C76"/>
    <w:rsid w:val="007A6FD0"/>
    <w:rsid w:val="007A7148"/>
    <w:rsid w:val="007A717B"/>
    <w:rsid w:val="007A725C"/>
    <w:rsid w:val="007A747A"/>
    <w:rsid w:val="007A778C"/>
    <w:rsid w:val="007A779D"/>
    <w:rsid w:val="007A77D4"/>
    <w:rsid w:val="007A78A3"/>
    <w:rsid w:val="007A7964"/>
    <w:rsid w:val="007A7AB1"/>
    <w:rsid w:val="007A7B33"/>
    <w:rsid w:val="007A7D59"/>
    <w:rsid w:val="007A7F58"/>
    <w:rsid w:val="007B01BB"/>
    <w:rsid w:val="007B02C0"/>
    <w:rsid w:val="007B02E2"/>
    <w:rsid w:val="007B05C4"/>
    <w:rsid w:val="007B06BB"/>
    <w:rsid w:val="007B0863"/>
    <w:rsid w:val="007B0A31"/>
    <w:rsid w:val="007B0B42"/>
    <w:rsid w:val="007B0BF9"/>
    <w:rsid w:val="007B0EA8"/>
    <w:rsid w:val="007B0FF7"/>
    <w:rsid w:val="007B114C"/>
    <w:rsid w:val="007B11F6"/>
    <w:rsid w:val="007B126A"/>
    <w:rsid w:val="007B13CC"/>
    <w:rsid w:val="007B1ACB"/>
    <w:rsid w:val="007B1CA3"/>
    <w:rsid w:val="007B1CD5"/>
    <w:rsid w:val="007B1D9C"/>
    <w:rsid w:val="007B2107"/>
    <w:rsid w:val="007B22EA"/>
    <w:rsid w:val="007B28C5"/>
    <w:rsid w:val="007B2AC2"/>
    <w:rsid w:val="007B2CA8"/>
    <w:rsid w:val="007B2D2D"/>
    <w:rsid w:val="007B2D70"/>
    <w:rsid w:val="007B2F51"/>
    <w:rsid w:val="007B3621"/>
    <w:rsid w:val="007B3695"/>
    <w:rsid w:val="007B38FE"/>
    <w:rsid w:val="007B3B56"/>
    <w:rsid w:val="007B3D46"/>
    <w:rsid w:val="007B3D7B"/>
    <w:rsid w:val="007B3F97"/>
    <w:rsid w:val="007B40BB"/>
    <w:rsid w:val="007B4515"/>
    <w:rsid w:val="007B4828"/>
    <w:rsid w:val="007B4AE3"/>
    <w:rsid w:val="007B4B14"/>
    <w:rsid w:val="007B4C4F"/>
    <w:rsid w:val="007B500C"/>
    <w:rsid w:val="007B5325"/>
    <w:rsid w:val="007B53B5"/>
    <w:rsid w:val="007B5566"/>
    <w:rsid w:val="007B566A"/>
    <w:rsid w:val="007B5C35"/>
    <w:rsid w:val="007B63A8"/>
    <w:rsid w:val="007B6438"/>
    <w:rsid w:val="007B65AF"/>
    <w:rsid w:val="007B65EE"/>
    <w:rsid w:val="007B67B7"/>
    <w:rsid w:val="007B68C7"/>
    <w:rsid w:val="007B753D"/>
    <w:rsid w:val="007B75AB"/>
    <w:rsid w:val="007B75F9"/>
    <w:rsid w:val="007B780E"/>
    <w:rsid w:val="007B79E1"/>
    <w:rsid w:val="007B7A89"/>
    <w:rsid w:val="007B7FA1"/>
    <w:rsid w:val="007C00D9"/>
    <w:rsid w:val="007C0236"/>
    <w:rsid w:val="007C0268"/>
    <w:rsid w:val="007C02E8"/>
    <w:rsid w:val="007C04FD"/>
    <w:rsid w:val="007C0605"/>
    <w:rsid w:val="007C0765"/>
    <w:rsid w:val="007C0A46"/>
    <w:rsid w:val="007C0DAE"/>
    <w:rsid w:val="007C1199"/>
    <w:rsid w:val="007C11A0"/>
    <w:rsid w:val="007C1363"/>
    <w:rsid w:val="007C188A"/>
    <w:rsid w:val="007C1957"/>
    <w:rsid w:val="007C198F"/>
    <w:rsid w:val="007C1D37"/>
    <w:rsid w:val="007C1E1E"/>
    <w:rsid w:val="007C21A3"/>
    <w:rsid w:val="007C2268"/>
    <w:rsid w:val="007C23E9"/>
    <w:rsid w:val="007C2964"/>
    <w:rsid w:val="007C2990"/>
    <w:rsid w:val="007C2ABD"/>
    <w:rsid w:val="007C2BB0"/>
    <w:rsid w:val="007C2E7C"/>
    <w:rsid w:val="007C326C"/>
    <w:rsid w:val="007C37F0"/>
    <w:rsid w:val="007C3B8F"/>
    <w:rsid w:val="007C3E97"/>
    <w:rsid w:val="007C42C5"/>
    <w:rsid w:val="007C4365"/>
    <w:rsid w:val="007C4464"/>
    <w:rsid w:val="007C4711"/>
    <w:rsid w:val="007C485B"/>
    <w:rsid w:val="007C4CA1"/>
    <w:rsid w:val="007C5185"/>
    <w:rsid w:val="007C5453"/>
    <w:rsid w:val="007C5728"/>
    <w:rsid w:val="007C5A38"/>
    <w:rsid w:val="007C5AA2"/>
    <w:rsid w:val="007C5BCE"/>
    <w:rsid w:val="007C5C13"/>
    <w:rsid w:val="007C5C68"/>
    <w:rsid w:val="007C60BA"/>
    <w:rsid w:val="007C6479"/>
    <w:rsid w:val="007C650E"/>
    <w:rsid w:val="007C6672"/>
    <w:rsid w:val="007C66F9"/>
    <w:rsid w:val="007C6A80"/>
    <w:rsid w:val="007C6AFD"/>
    <w:rsid w:val="007C6E24"/>
    <w:rsid w:val="007C6EED"/>
    <w:rsid w:val="007C73DA"/>
    <w:rsid w:val="007C7406"/>
    <w:rsid w:val="007C747D"/>
    <w:rsid w:val="007C7574"/>
    <w:rsid w:val="007C7591"/>
    <w:rsid w:val="007C77F6"/>
    <w:rsid w:val="007C7941"/>
    <w:rsid w:val="007C7DB8"/>
    <w:rsid w:val="007C7DC5"/>
    <w:rsid w:val="007D0019"/>
    <w:rsid w:val="007D014D"/>
    <w:rsid w:val="007D03BB"/>
    <w:rsid w:val="007D03C0"/>
    <w:rsid w:val="007D06E7"/>
    <w:rsid w:val="007D0725"/>
    <w:rsid w:val="007D0B50"/>
    <w:rsid w:val="007D0C23"/>
    <w:rsid w:val="007D105F"/>
    <w:rsid w:val="007D1172"/>
    <w:rsid w:val="007D117E"/>
    <w:rsid w:val="007D13D2"/>
    <w:rsid w:val="007D14E7"/>
    <w:rsid w:val="007D1532"/>
    <w:rsid w:val="007D15A7"/>
    <w:rsid w:val="007D15BA"/>
    <w:rsid w:val="007D16EF"/>
    <w:rsid w:val="007D1ADB"/>
    <w:rsid w:val="007D1DF7"/>
    <w:rsid w:val="007D1FF7"/>
    <w:rsid w:val="007D2388"/>
    <w:rsid w:val="007D2392"/>
    <w:rsid w:val="007D24A4"/>
    <w:rsid w:val="007D2713"/>
    <w:rsid w:val="007D273C"/>
    <w:rsid w:val="007D28F1"/>
    <w:rsid w:val="007D297A"/>
    <w:rsid w:val="007D2BA4"/>
    <w:rsid w:val="007D2D77"/>
    <w:rsid w:val="007D2FA2"/>
    <w:rsid w:val="007D305E"/>
    <w:rsid w:val="007D32F7"/>
    <w:rsid w:val="007D3967"/>
    <w:rsid w:val="007D39C2"/>
    <w:rsid w:val="007D3B36"/>
    <w:rsid w:val="007D3C61"/>
    <w:rsid w:val="007D4026"/>
    <w:rsid w:val="007D4211"/>
    <w:rsid w:val="007D429C"/>
    <w:rsid w:val="007D4490"/>
    <w:rsid w:val="007D4626"/>
    <w:rsid w:val="007D4649"/>
    <w:rsid w:val="007D4A17"/>
    <w:rsid w:val="007D4A24"/>
    <w:rsid w:val="007D4B30"/>
    <w:rsid w:val="007D4CA7"/>
    <w:rsid w:val="007D4CAC"/>
    <w:rsid w:val="007D4DA4"/>
    <w:rsid w:val="007D4EA2"/>
    <w:rsid w:val="007D4FCA"/>
    <w:rsid w:val="007D523C"/>
    <w:rsid w:val="007D53D4"/>
    <w:rsid w:val="007D5717"/>
    <w:rsid w:val="007D5770"/>
    <w:rsid w:val="007D5CAE"/>
    <w:rsid w:val="007D5D16"/>
    <w:rsid w:val="007D5D18"/>
    <w:rsid w:val="007D5ED5"/>
    <w:rsid w:val="007D664E"/>
    <w:rsid w:val="007D684B"/>
    <w:rsid w:val="007D703C"/>
    <w:rsid w:val="007D7079"/>
    <w:rsid w:val="007D70F1"/>
    <w:rsid w:val="007D71B8"/>
    <w:rsid w:val="007D7374"/>
    <w:rsid w:val="007D7AF3"/>
    <w:rsid w:val="007D7BF0"/>
    <w:rsid w:val="007D7CA7"/>
    <w:rsid w:val="007D7E3E"/>
    <w:rsid w:val="007E003B"/>
    <w:rsid w:val="007E015B"/>
    <w:rsid w:val="007E01FA"/>
    <w:rsid w:val="007E02E2"/>
    <w:rsid w:val="007E049E"/>
    <w:rsid w:val="007E07A6"/>
    <w:rsid w:val="007E09A0"/>
    <w:rsid w:val="007E0BB1"/>
    <w:rsid w:val="007E0F90"/>
    <w:rsid w:val="007E127C"/>
    <w:rsid w:val="007E1450"/>
    <w:rsid w:val="007E1E7C"/>
    <w:rsid w:val="007E204B"/>
    <w:rsid w:val="007E218E"/>
    <w:rsid w:val="007E240B"/>
    <w:rsid w:val="007E263A"/>
    <w:rsid w:val="007E2DA7"/>
    <w:rsid w:val="007E2FE3"/>
    <w:rsid w:val="007E314E"/>
    <w:rsid w:val="007E372B"/>
    <w:rsid w:val="007E384A"/>
    <w:rsid w:val="007E384F"/>
    <w:rsid w:val="007E3867"/>
    <w:rsid w:val="007E399E"/>
    <w:rsid w:val="007E3A5E"/>
    <w:rsid w:val="007E3B55"/>
    <w:rsid w:val="007E3DA0"/>
    <w:rsid w:val="007E3EEA"/>
    <w:rsid w:val="007E41D1"/>
    <w:rsid w:val="007E4218"/>
    <w:rsid w:val="007E45D4"/>
    <w:rsid w:val="007E4E27"/>
    <w:rsid w:val="007E4E5E"/>
    <w:rsid w:val="007E4F1A"/>
    <w:rsid w:val="007E516A"/>
    <w:rsid w:val="007E5229"/>
    <w:rsid w:val="007E5360"/>
    <w:rsid w:val="007E560A"/>
    <w:rsid w:val="007E5A13"/>
    <w:rsid w:val="007E5BE3"/>
    <w:rsid w:val="007E6240"/>
    <w:rsid w:val="007E64A6"/>
    <w:rsid w:val="007E6CDA"/>
    <w:rsid w:val="007E710C"/>
    <w:rsid w:val="007E721B"/>
    <w:rsid w:val="007E7237"/>
    <w:rsid w:val="007E72C4"/>
    <w:rsid w:val="007E72E3"/>
    <w:rsid w:val="007E749D"/>
    <w:rsid w:val="007E7A8F"/>
    <w:rsid w:val="007E7B3A"/>
    <w:rsid w:val="007E7CB0"/>
    <w:rsid w:val="007F000F"/>
    <w:rsid w:val="007F026A"/>
    <w:rsid w:val="007F028F"/>
    <w:rsid w:val="007F0309"/>
    <w:rsid w:val="007F05F9"/>
    <w:rsid w:val="007F06D4"/>
    <w:rsid w:val="007F0869"/>
    <w:rsid w:val="007F0A8F"/>
    <w:rsid w:val="007F10D9"/>
    <w:rsid w:val="007F1459"/>
    <w:rsid w:val="007F15F6"/>
    <w:rsid w:val="007F1657"/>
    <w:rsid w:val="007F18D1"/>
    <w:rsid w:val="007F1A91"/>
    <w:rsid w:val="007F1C68"/>
    <w:rsid w:val="007F1C73"/>
    <w:rsid w:val="007F1D34"/>
    <w:rsid w:val="007F1D57"/>
    <w:rsid w:val="007F1E8F"/>
    <w:rsid w:val="007F1EFD"/>
    <w:rsid w:val="007F20A0"/>
    <w:rsid w:val="007F244B"/>
    <w:rsid w:val="007F24AC"/>
    <w:rsid w:val="007F2613"/>
    <w:rsid w:val="007F26E4"/>
    <w:rsid w:val="007F2952"/>
    <w:rsid w:val="007F29E8"/>
    <w:rsid w:val="007F2A0F"/>
    <w:rsid w:val="007F2A32"/>
    <w:rsid w:val="007F2B46"/>
    <w:rsid w:val="007F2D45"/>
    <w:rsid w:val="007F2D5A"/>
    <w:rsid w:val="007F3409"/>
    <w:rsid w:val="007F3622"/>
    <w:rsid w:val="007F386E"/>
    <w:rsid w:val="007F395A"/>
    <w:rsid w:val="007F3ACB"/>
    <w:rsid w:val="007F409B"/>
    <w:rsid w:val="007F4193"/>
    <w:rsid w:val="007F421D"/>
    <w:rsid w:val="007F4265"/>
    <w:rsid w:val="007F46A3"/>
    <w:rsid w:val="007F47C9"/>
    <w:rsid w:val="007F47D4"/>
    <w:rsid w:val="007F490E"/>
    <w:rsid w:val="007F4977"/>
    <w:rsid w:val="007F49DE"/>
    <w:rsid w:val="007F4D35"/>
    <w:rsid w:val="007F4DCB"/>
    <w:rsid w:val="007F4FEB"/>
    <w:rsid w:val="007F502F"/>
    <w:rsid w:val="007F5042"/>
    <w:rsid w:val="007F5072"/>
    <w:rsid w:val="007F514D"/>
    <w:rsid w:val="007F515A"/>
    <w:rsid w:val="007F57AE"/>
    <w:rsid w:val="007F58E4"/>
    <w:rsid w:val="007F597C"/>
    <w:rsid w:val="007F59C3"/>
    <w:rsid w:val="007F59E8"/>
    <w:rsid w:val="007F5A0D"/>
    <w:rsid w:val="007F5DA7"/>
    <w:rsid w:val="007F5DB8"/>
    <w:rsid w:val="007F5F82"/>
    <w:rsid w:val="007F60AC"/>
    <w:rsid w:val="007F644C"/>
    <w:rsid w:val="007F67B1"/>
    <w:rsid w:val="007F6875"/>
    <w:rsid w:val="007F68F1"/>
    <w:rsid w:val="007F69CF"/>
    <w:rsid w:val="007F70BE"/>
    <w:rsid w:val="007F797E"/>
    <w:rsid w:val="007F7A6A"/>
    <w:rsid w:val="007F7AFD"/>
    <w:rsid w:val="007F7C4F"/>
    <w:rsid w:val="007F7E15"/>
    <w:rsid w:val="00800041"/>
    <w:rsid w:val="00800143"/>
    <w:rsid w:val="0080056D"/>
    <w:rsid w:val="008006C3"/>
    <w:rsid w:val="008006DD"/>
    <w:rsid w:val="00800717"/>
    <w:rsid w:val="0080080A"/>
    <w:rsid w:val="00800C12"/>
    <w:rsid w:val="00800FA6"/>
    <w:rsid w:val="0080113B"/>
    <w:rsid w:val="008014F6"/>
    <w:rsid w:val="008016AA"/>
    <w:rsid w:val="00801838"/>
    <w:rsid w:val="00801A67"/>
    <w:rsid w:val="0080204D"/>
    <w:rsid w:val="008021A3"/>
    <w:rsid w:val="00802258"/>
    <w:rsid w:val="00802339"/>
    <w:rsid w:val="008027C5"/>
    <w:rsid w:val="008028AD"/>
    <w:rsid w:val="00802B31"/>
    <w:rsid w:val="00802C1C"/>
    <w:rsid w:val="00802EFF"/>
    <w:rsid w:val="00802FA9"/>
    <w:rsid w:val="0080303E"/>
    <w:rsid w:val="00803644"/>
    <w:rsid w:val="00803753"/>
    <w:rsid w:val="0080393D"/>
    <w:rsid w:val="00803BC3"/>
    <w:rsid w:val="00803D23"/>
    <w:rsid w:val="00803EE7"/>
    <w:rsid w:val="00803F7F"/>
    <w:rsid w:val="00803FA8"/>
    <w:rsid w:val="008048A2"/>
    <w:rsid w:val="008049C9"/>
    <w:rsid w:val="00804A23"/>
    <w:rsid w:val="00804A5E"/>
    <w:rsid w:val="00804A86"/>
    <w:rsid w:val="00804AB9"/>
    <w:rsid w:val="00804E03"/>
    <w:rsid w:val="00804EF0"/>
    <w:rsid w:val="00805038"/>
    <w:rsid w:val="00805206"/>
    <w:rsid w:val="00805301"/>
    <w:rsid w:val="0080558B"/>
    <w:rsid w:val="0080569B"/>
    <w:rsid w:val="008057B9"/>
    <w:rsid w:val="00805A11"/>
    <w:rsid w:val="00805FBA"/>
    <w:rsid w:val="00806205"/>
    <w:rsid w:val="00806453"/>
    <w:rsid w:val="0080667C"/>
    <w:rsid w:val="00806F1B"/>
    <w:rsid w:val="00806FB3"/>
    <w:rsid w:val="00806FE1"/>
    <w:rsid w:val="008071B5"/>
    <w:rsid w:val="00807236"/>
    <w:rsid w:val="008075E1"/>
    <w:rsid w:val="00807613"/>
    <w:rsid w:val="00807623"/>
    <w:rsid w:val="008076F0"/>
    <w:rsid w:val="00807C45"/>
    <w:rsid w:val="00807C8B"/>
    <w:rsid w:val="00807D54"/>
    <w:rsid w:val="00807D7D"/>
    <w:rsid w:val="00807EBC"/>
    <w:rsid w:val="0081042D"/>
    <w:rsid w:val="00810476"/>
    <w:rsid w:val="008107E3"/>
    <w:rsid w:val="00810DC6"/>
    <w:rsid w:val="0081102D"/>
    <w:rsid w:val="008110AA"/>
    <w:rsid w:val="00811C03"/>
    <w:rsid w:val="00811CDE"/>
    <w:rsid w:val="00811DD8"/>
    <w:rsid w:val="00811F72"/>
    <w:rsid w:val="0081210F"/>
    <w:rsid w:val="0081246E"/>
    <w:rsid w:val="00812A47"/>
    <w:rsid w:val="00812ADA"/>
    <w:rsid w:val="00812B75"/>
    <w:rsid w:val="00812C37"/>
    <w:rsid w:val="00812DFB"/>
    <w:rsid w:val="00812ED7"/>
    <w:rsid w:val="00812F19"/>
    <w:rsid w:val="008134D8"/>
    <w:rsid w:val="0081358C"/>
    <w:rsid w:val="0081372E"/>
    <w:rsid w:val="00813770"/>
    <w:rsid w:val="00813A93"/>
    <w:rsid w:val="00813EED"/>
    <w:rsid w:val="00814193"/>
    <w:rsid w:val="008143C7"/>
    <w:rsid w:val="008146B2"/>
    <w:rsid w:val="008149D7"/>
    <w:rsid w:val="00814CDD"/>
    <w:rsid w:val="00814DDA"/>
    <w:rsid w:val="00815088"/>
    <w:rsid w:val="008151E1"/>
    <w:rsid w:val="00815397"/>
    <w:rsid w:val="00815799"/>
    <w:rsid w:val="00815C2D"/>
    <w:rsid w:val="0081635B"/>
    <w:rsid w:val="00816918"/>
    <w:rsid w:val="00816AF4"/>
    <w:rsid w:val="00816D7B"/>
    <w:rsid w:val="00816DEE"/>
    <w:rsid w:val="00816FBB"/>
    <w:rsid w:val="008173C6"/>
    <w:rsid w:val="008176F7"/>
    <w:rsid w:val="0081784F"/>
    <w:rsid w:val="00817A9B"/>
    <w:rsid w:val="00817B9B"/>
    <w:rsid w:val="00817D34"/>
    <w:rsid w:val="00817E70"/>
    <w:rsid w:val="008200BD"/>
    <w:rsid w:val="008201D1"/>
    <w:rsid w:val="0082025A"/>
    <w:rsid w:val="008205C2"/>
    <w:rsid w:val="008207F0"/>
    <w:rsid w:val="00820824"/>
    <w:rsid w:val="00820835"/>
    <w:rsid w:val="00820BDD"/>
    <w:rsid w:val="00820BE1"/>
    <w:rsid w:val="00820FD1"/>
    <w:rsid w:val="008212FC"/>
    <w:rsid w:val="008214AC"/>
    <w:rsid w:val="008216ED"/>
    <w:rsid w:val="008217AF"/>
    <w:rsid w:val="00821894"/>
    <w:rsid w:val="00821CF1"/>
    <w:rsid w:val="00821E1C"/>
    <w:rsid w:val="00821F26"/>
    <w:rsid w:val="00822085"/>
    <w:rsid w:val="0082232A"/>
    <w:rsid w:val="0082264E"/>
    <w:rsid w:val="008226E0"/>
    <w:rsid w:val="0082271A"/>
    <w:rsid w:val="00822859"/>
    <w:rsid w:val="00822C76"/>
    <w:rsid w:val="00822E20"/>
    <w:rsid w:val="00822EBF"/>
    <w:rsid w:val="008230B3"/>
    <w:rsid w:val="0082318F"/>
    <w:rsid w:val="008233B4"/>
    <w:rsid w:val="008236AB"/>
    <w:rsid w:val="00823ABA"/>
    <w:rsid w:val="00823ACC"/>
    <w:rsid w:val="00823F0D"/>
    <w:rsid w:val="00823F2D"/>
    <w:rsid w:val="0082406E"/>
    <w:rsid w:val="008241AA"/>
    <w:rsid w:val="00824372"/>
    <w:rsid w:val="00824432"/>
    <w:rsid w:val="00824863"/>
    <w:rsid w:val="00825118"/>
    <w:rsid w:val="00825438"/>
    <w:rsid w:val="0082571C"/>
    <w:rsid w:val="0082573E"/>
    <w:rsid w:val="00825AB8"/>
    <w:rsid w:val="00825B4D"/>
    <w:rsid w:val="00825B82"/>
    <w:rsid w:val="00825C5D"/>
    <w:rsid w:val="0082607A"/>
    <w:rsid w:val="008260A9"/>
    <w:rsid w:val="008261D3"/>
    <w:rsid w:val="0082653D"/>
    <w:rsid w:val="00826652"/>
    <w:rsid w:val="0082676B"/>
    <w:rsid w:val="00826AA6"/>
    <w:rsid w:val="00826C17"/>
    <w:rsid w:val="00826E0F"/>
    <w:rsid w:val="00826E52"/>
    <w:rsid w:val="00826F91"/>
    <w:rsid w:val="00826FF4"/>
    <w:rsid w:val="0082734A"/>
    <w:rsid w:val="00827FFB"/>
    <w:rsid w:val="00830130"/>
    <w:rsid w:val="008301A8"/>
    <w:rsid w:val="00830463"/>
    <w:rsid w:val="00830813"/>
    <w:rsid w:val="00830850"/>
    <w:rsid w:val="00830A62"/>
    <w:rsid w:val="00830D39"/>
    <w:rsid w:val="00830DE2"/>
    <w:rsid w:val="00830EC7"/>
    <w:rsid w:val="00830F32"/>
    <w:rsid w:val="008312C3"/>
    <w:rsid w:val="0083137F"/>
    <w:rsid w:val="00831731"/>
    <w:rsid w:val="008319F0"/>
    <w:rsid w:val="00831C4F"/>
    <w:rsid w:val="00831D1D"/>
    <w:rsid w:val="00831D3A"/>
    <w:rsid w:val="00832440"/>
    <w:rsid w:val="0083290C"/>
    <w:rsid w:val="0083294D"/>
    <w:rsid w:val="0083298C"/>
    <w:rsid w:val="00832AC1"/>
    <w:rsid w:val="00832BF8"/>
    <w:rsid w:val="00832DCF"/>
    <w:rsid w:val="008330A9"/>
    <w:rsid w:val="008331A4"/>
    <w:rsid w:val="00833221"/>
    <w:rsid w:val="00833423"/>
    <w:rsid w:val="00833683"/>
    <w:rsid w:val="00834451"/>
    <w:rsid w:val="008344CF"/>
    <w:rsid w:val="00834617"/>
    <w:rsid w:val="0083473D"/>
    <w:rsid w:val="0083478C"/>
    <w:rsid w:val="00834B37"/>
    <w:rsid w:val="00834D61"/>
    <w:rsid w:val="00834E0E"/>
    <w:rsid w:val="00834E3E"/>
    <w:rsid w:val="00834FBF"/>
    <w:rsid w:val="0083548F"/>
    <w:rsid w:val="00835AC3"/>
    <w:rsid w:val="00835B23"/>
    <w:rsid w:val="00836026"/>
    <w:rsid w:val="00836358"/>
    <w:rsid w:val="00836503"/>
    <w:rsid w:val="0083658D"/>
    <w:rsid w:val="00836A62"/>
    <w:rsid w:val="00836B04"/>
    <w:rsid w:val="00836BAE"/>
    <w:rsid w:val="00836BD4"/>
    <w:rsid w:val="00836C3A"/>
    <w:rsid w:val="00836E7D"/>
    <w:rsid w:val="0083719E"/>
    <w:rsid w:val="008372C2"/>
    <w:rsid w:val="008372DA"/>
    <w:rsid w:val="008375E2"/>
    <w:rsid w:val="0083779A"/>
    <w:rsid w:val="008379A1"/>
    <w:rsid w:val="008379E8"/>
    <w:rsid w:val="0084025D"/>
    <w:rsid w:val="008405C4"/>
    <w:rsid w:val="00840688"/>
    <w:rsid w:val="00840980"/>
    <w:rsid w:val="00840A1F"/>
    <w:rsid w:val="00840C68"/>
    <w:rsid w:val="00840DF1"/>
    <w:rsid w:val="00840E74"/>
    <w:rsid w:val="00840F56"/>
    <w:rsid w:val="00841037"/>
    <w:rsid w:val="008416F6"/>
    <w:rsid w:val="00841764"/>
    <w:rsid w:val="008417AD"/>
    <w:rsid w:val="00841A55"/>
    <w:rsid w:val="00841C72"/>
    <w:rsid w:val="00841CA3"/>
    <w:rsid w:val="00841D23"/>
    <w:rsid w:val="00841F53"/>
    <w:rsid w:val="00842075"/>
    <w:rsid w:val="0084210B"/>
    <w:rsid w:val="00842298"/>
    <w:rsid w:val="008425A1"/>
    <w:rsid w:val="008425BC"/>
    <w:rsid w:val="008426F0"/>
    <w:rsid w:val="00842C84"/>
    <w:rsid w:val="00842D5E"/>
    <w:rsid w:val="00842E9C"/>
    <w:rsid w:val="00842FCC"/>
    <w:rsid w:val="00843367"/>
    <w:rsid w:val="0084345A"/>
    <w:rsid w:val="00843519"/>
    <w:rsid w:val="00843589"/>
    <w:rsid w:val="008435A4"/>
    <w:rsid w:val="00843774"/>
    <w:rsid w:val="0084380F"/>
    <w:rsid w:val="0084383E"/>
    <w:rsid w:val="008438D6"/>
    <w:rsid w:val="00843E20"/>
    <w:rsid w:val="00843EB3"/>
    <w:rsid w:val="0084414F"/>
    <w:rsid w:val="008441A1"/>
    <w:rsid w:val="008441CA"/>
    <w:rsid w:val="00844345"/>
    <w:rsid w:val="0084493F"/>
    <w:rsid w:val="00844B10"/>
    <w:rsid w:val="00844FD8"/>
    <w:rsid w:val="008450DC"/>
    <w:rsid w:val="008452E9"/>
    <w:rsid w:val="00845361"/>
    <w:rsid w:val="00845899"/>
    <w:rsid w:val="00845A83"/>
    <w:rsid w:val="00845F17"/>
    <w:rsid w:val="008464A3"/>
    <w:rsid w:val="008465A0"/>
    <w:rsid w:val="008465B3"/>
    <w:rsid w:val="008470BB"/>
    <w:rsid w:val="00847232"/>
    <w:rsid w:val="00847479"/>
    <w:rsid w:val="008476BB"/>
    <w:rsid w:val="0084791B"/>
    <w:rsid w:val="008500AA"/>
    <w:rsid w:val="00850293"/>
    <w:rsid w:val="00850602"/>
    <w:rsid w:val="008506F4"/>
    <w:rsid w:val="00850721"/>
    <w:rsid w:val="00850E09"/>
    <w:rsid w:val="0085124C"/>
    <w:rsid w:val="00851444"/>
    <w:rsid w:val="008514AA"/>
    <w:rsid w:val="0085175E"/>
    <w:rsid w:val="008518B7"/>
    <w:rsid w:val="00851B4A"/>
    <w:rsid w:val="00851DDD"/>
    <w:rsid w:val="00852237"/>
    <w:rsid w:val="0085287F"/>
    <w:rsid w:val="00852B0E"/>
    <w:rsid w:val="00852E26"/>
    <w:rsid w:val="00852E78"/>
    <w:rsid w:val="00853139"/>
    <w:rsid w:val="008532A4"/>
    <w:rsid w:val="00853326"/>
    <w:rsid w:val="00853AB5"/>
    <w:rsid w:val="00853B0A"/>
    <w:rsid w:val="00853B3C"/>
    <w:rsid w:val="00854269"/>
    <w:rsid w:val="0085432E"/>
    <w:rsid w:val="008544FE"/>
    <w:rsid w:val="00854ADE"/>
    <w:rsid w:val="00854B3B"/>
    <w:rsid w:val="00854ED3"/>
    <w:rsid w:val="00855013"/>
    <w:rsid w:val="00855105"/>
    <w:rsid w:val="00855122"/>
    <w:rsid w:val="008551E6"/>
    <w:rsid w:val="0085523D"/>
    <w:rsid w:val="008553D6"/>
    <w:rsid w:val="00855524"/>
    <w:rsid w:val="00855868"/>
    <w:rsid w:val="00855906"/>
    <w:rsid w:val="0085594A"/>
    <w:rsid w:val="00855979"/>
    <w:rsid w:val="00855A2C"/>
    <w:rsid w:val="00855BB2"/>
    <w:rsid w:val="00855D49"/>
    <w:rsid w:val="00855D76"/>
    <w:rsid w:val="00855EB6"/>
    <w:rsid w:val="00855ECB"/>
    <w:rsid w:val="008561F6"/>
    <w:rsid w:val="00856392"/>
    <w:rsid w:val="00856760"/>
    <w:rsid w:val="00856843"/>
    <w:rsid w:val="00856B21"/>
    <w:rsid w:val="00856BFF"/>
    <w:rsid w:val="00856DA5"/>
    <w:rsid w:val="00857041"/>
    <w:rsid w:val="0085710C"/>
    <w:rsid w:val="0085731B"/>
    <w:rsid w:val="0085739B"/>
    <w:rsid w:val="0085768C"/>
    <w:rsid w:val="008579FF"/>
    <w:rsid w:val="00857D74"/>
    <w:rsid w:val="00860025"/>
    <w:rsid w:val="0086018C"/>
    <w:rsid w:val="0086026C"/>
    <w:rsid w:val="00860495"/>
    <w:rsid w:val="0086065D"/>
    <w:rsid w:val="0086081D"/>
    <w:rsid w:val="008608D6"/>
    <w:rsid w:val="008609F9"/>
    <w:rsid w:val="00860B62"/>
    <w:rsid w:val="00860CFF"/>
    <w:rsid w:val="00860D6C"/>
    <w:rsid w:val="008610B7"/>
    <w:rsid w:val="008614C3"/>
    <w:rsid w:val="00861650"/>
    <w:rsid w:val="008616BE"/>
    <w:rsid w:val="00861785"/>
    <w:rsid w:val="00861B1E"/>
    <w:rsid w:val="00861C8C"/>
    <w:rsid w:val="00861E75"/>
    <w:rsid w:val="00861F97"/>
    <w:rsid w:val="00862076"/>
    <w:rsid w:val="008621AB"/>
    <w:rsid w:val="008622E7"/>
    <w:rsid w:val="00862439"/>
    <w:rsid w:val="00862620"/>
    <w:rsid w:val="00862798"/>
    <w:rsid w:val="0086286D"/>
    <w:rsid w:val="00862957"/>
    <w:rsid w:val="00862D38"/>
    <w:rsid w:val="00862DD0"/>
    <w:rsid w:val="00862F83"/>
    <w:rsid w:val="00862F9D"/>
    <w:rsid w:val="008633A6"/>
    <w:rsid w:val="008635FE"/>
    <w:rsid w:val="008639BF"/>
    <w:rsid w:val="00863FF5"/>
    <w:rsid w:val="00864049"/>
    <w:rsid w:val="008641EE"/>
    <w:rsid w:val="008642AC"/>
    <w:rsid w:val="00864336"/>
    <w:rsid w:val="00864424"/>
    <w:rsid w:val="008644B5"/>
    <w:rsid w:val="00864CED"/>
    <w:rsid w:val="00865065"/>
    <w:rsid w:val="008652BB"/>
    <w:rsid w:val="0086535D"/>
    <w:rsid w:val="00865366"/>
    <w:rsid w:val="0086558C"/>
    <w:rsid w:val="008657D1"/>
    <w:rsid w:val="008657E9"/>
    <w:rsid w:val="00865845"/>
    <w:rsid w:val="008659C8"/>
    <w:rsid w:val="00865C77"/>
    <w:rsid w:val="00865D46"/>
    <w:rsid w:val="00865EAE"/>
    <w:rsid w:val="008661BA"/>
    <w:rsid w:val="008663F6"/>
    <w:rsid w:val="0086641A"/>
    <w:rsid w:val="00866597"/>
    <w:rsid w:val="00866835"/>
    <w:rsid w:val="00866960"/>
    <w:rsid w:val="008669CE"/>
    <w:rsid w:val="00866A6A"/>
    <w:rsid w:val="00866CB6"/>
    <w:rsid w:val="00866DF5"/>
    <w:rsid w:val="00866FCD"/>
    <w:rsid w:val="00867302"/>
    <w:rsid w:val="00867756"/>
    <w:rsid w:val="00867B91"/>
    <w:rsid w:val="00867EC0"/>
    <w:rsid w:val="00867EEE"/>
    <w:rsid w:val="008700F3"/>
    <w:rsid w:val="008701BF"/>
    <w:rsid w:val="00870271"/>
    <w:rsid w:val="00870450"/>
    <w:rsid w:val="0087047B"/>
    <w:rsid w:val="00870549"/>
    <w:rsid w:val="00870583"/>
    <w:rsid w:val="00870679"/>
    <w:rsid w:val="00870871"/>
    <w:rsid w:val="00870CF0"/>
    <w:rsid w:val="00870DE1"/>
    <w:rsid w:val="00870DF3"/>
    <w:rsid w:val="00870FBB"/>
    <w:rsid w:val="0087105A"/>
    <w:rsid w:val="00871356"/>
    <w:rsid w:val="00871548"/>
    <w:rsid w:val="00871D78"/>
    <w:rsid w:val="008721B9"/>
    <w:rsid w:val="0087242F"/>
    <w:rsid w:val="0087253C"/>
    <w:rsid w:val="00872567"/>
    <w:rsid w:val="00872572"/>
    <w:rsid w:val="008726F9"/>
    <w:rsid w:val="0087297C"/>
    <w:rsid w:val="00872B12"/>
    <w:rsid w:val="00872D46"/>
    <w:rsid w:val="0087347B"/>
    <w:rsid w:val="008736F8"/>
    <w:rsid w:val="00873813"/>
    <w:rsid w:val="00873886"/>
    <w:rsid w:val="00873B4E"/>
    <w:rsid w:val="00873C4A"/>
    <w:rsid w:val="00874018"/>
    <w:rsid w:val="008740F0"/>
    <w:rsid w:val="0087419D"/>
    <w:rsid w:val="008743A9"/>
    <w:rsid w:val="00874603"/>
    <w:rsid w:val="00874849"/>
    <w:rsid w:val="00874C69"/>
    <w:rsid w:val="00874E19"/>
    <w:rsid w:val="00874F11"/>
    <w:rsid w:val="0087506E"/>
    <w:rsid w:val="00875272"/>
    <w:rsid w:val="008752FA"/>
    <w:rsid w:val="008754F1"/>
    <w:rsid w:val="0087563E"/>
    <w:rsid w:val="00875A70"/>
    <w:rsid w:val="00875B91"/>
    <w:rsid w:val="00876152"/>
    <w:rsid w:val="0087623A"/>
    <w:rsid w:val="00876363"/>
    <w:rsid w:val="00876591"/>
    <w:rsid w:val="0087668A"/>
    <w:rsid w:val="00876742"/>
    <w:rsid w:val="00876811"/>
    <w:rsid w:val="00876B62"/>
    <w:rsid w:val="00876D66"/>
    <w:rsid w:val="00876E65"/>
    <w:rsid w:val="00876E87"/>
    <w:rsid w:val="00876EB0"/>
    <w:rsid w:val="00877124"/>
    <w:rsid w:val="008773AB"/>
    <w:rsid w:val="008775B5"/>
    <w:rsid w:val="00877719"/>
    <w:rsid w:val="008777E5"/>
    <w:rsid w:val="00877ECA"/>
    <w:rsid w:val="0088058C"/>
    <w:rsid w:val="008805EC"/>
    <w:rsid w:val="00880B3E"/>
    <w:rsid w:val="00880C6A"/>
    <w:rsid w:val="00880CF8"/>
    <w:rsid w:val="00880DA6"/>
    <w:rsid w:val="008815A6"/>
    <w:rsid w:val="0088165D"/>
    <w:rsid w:val="0088170B"/>
    <w:rsid w:val="00881726"/>
    <w:rsid w:val="008817C1"/>
    <w:rsid w:val="0088192C"/>
    <w:rsid w:val="00881BAF"/>
    <w:rsid w:val="00881E6A"/>
    <w:rsid w:val="008820BE"/>
    <w:rsid w:val="0088264A"/>
    <w:rsid w:val="0088271B"/>
    <w:rsid w:val="00882928"/>
    <w:rsid w:val="008829B9"/>
    <w:rsid w:val="00882CD2"/>
    <w:rsid w:val="00882ED4"/>
    <w:rsid w:val="00883083"/>
    <w:rsid w:val="008830DB"/>
    <w:rsid w:val="0088313B"/>
    <w:rsid w:val="008831AA"/>
    <w:rsid w:val="008831C6"/>
    <w:rsid w:val="008835F4"/>
    <w:rsid w:val="008838D0"/>
    <w:rsid w:val="00883C2C"/>
    <w:rsid w:val="00883E8A"/>
    <w:rsid w:val="0088421C"/>
    <w:rsid w:val="0088472F"/>
    <w:rsid w:val="00884990"/>
    <w:rsid w:val="008849BE"/>
    <w:rsid w:val="008849E1"/>
    <w:rsid w:val="00884CE3"/>
    <w:rsid w:val="00884EDC"/>
    <w:rsid w:val="00884F5A"/>
    <w:rsid w:val="00885064"/>
    <w:rsid w:val="008850F6"/>
    <w:rsid w:val="00885165"/>
    <w:rsid w:val="0088519C"/>
    <w:rsid w:val="008859FE"/>
    <w:rsid w:val="00885A70"/>
    <w:rsid w:val="00885CB2"/>
    <w:rsid w:val="00885F4B"/>
    <w:rsid w:val="00886005"/>
    <w:rsid w:val="00886034"/>
    <w:rsid w:val="008861B7"/>
    <w:rsid w:val="00886AC6"/>
    <w:rsid w:val="00886BAF"/>
    <w:rsid w:val="00886F85"/>
    <w:rsid w:val="00887245"/>
    <w:rsid w:val="008873A0"/>
    <w:rsid w:val="00887515"/>
    <w:rsid w:val="008878FF"/>
    <w:rsid w:val="00887928"/>
    <w:rsid w:val="00887CA2"/>
    <w:rsid w:val="00890142"/>
    <w:rsid w:val="00890349"/>
    <w:rsid w:val="00890454"/>
    <w:rsid w:val="008907E2"/>
    <w:rsid w:val="00890862"/>
    <w:rsid w:val="00890B39"/>
    <w:rsid w:val="00890E9C"/>
    <w:rsid w:val="008910BE"/>
    <w:rsid w:val="00891133"/>
    <w:rsid w:val="00891148"/>
    <w:rsid w:val="00891270"/>
    <w:rsid w:val="00891364"/>
    <w:rsid w:val="008914B2"/>
    <w:rsid w:val="008916F5"/>
    <w:rsid w:val="00891871"/>
    <w:rsid w:val="00891A47"/>
    <w:rsid w:val="00891BA3"/>
    <w:rsid w:val="0089248D"/>
    <w:rsid w:val="008924FC"/>
    <w:rsid w:val="008925FB"/>
    <w:rsid w:val="00892876"/>
    <w:rsid w:val="00892894"/>
    <w:rsid w:val="008928CD"/>
    <w:rsid w:val="00892CCC"/>
    <w:rsid w:val="00892CF0"/>
    <w:rsid w:val="00892D15"/>
    <w:rsid w:val="008930AC"/>
    <w:rsid w:val="008932A1"/>
    <w:rsid w:val="0089342C"/>
    <w:rsid w:val="008936CE"/>
    <w:rsid w:val="00893893"/>
    <w:rsid w:val="0089394A"/>
    <w:rsid w:val="00893BA6"/>
    <w:rsid w:val="00893DB6"/>
    <w:rsid w:val="00893E78"/>
    <w:rsid w:val="00893FB0"/>
    <w:rsid w:val="00894038"/>
    <w:rsid w:val="008940FD"/>
    <w:rsid w:val="0089426C"/>
    <w:rsid w:val="008942BC"/>
    <w:rsid w:val="0089447A"/>
    <w:rsid w:val="00894725"/>
    <w:rsid w:val="00894931"/>
    <w:rsid w:val="00894A06"/>
    <w:rsid w:val="00894F2B"/>
    <w:rsid w:val="0089509A"/>
    <w:rsid w:val="008952A8"/>
    <w:rsid w:val="00895370"/>
    <w:rsid w:val="008957B4"/>
    <w:rsid w:val="008958AF"/>
    <w:rsid w:val="0089592A"/>
    <w:rsid w:val="00895AF6"/>
    <w:rsid w:val="00895CE2"/>
    <w:rsid w:val="00895D07"/>
    <w:rsid w:val="00895DC1"/>
    <w:rsid w:val="008960D1"/>
    <w:rsid w:val="00896283"/>
    <w:rsid w:val="00896336"/>
    <w:rsid w:val="00896695"/>
    <w:rsid w:val="008967E6"/>
    <w:rsid w:val="00896AEB"/>
    <w:rsid w:val="00897645"/>
    <w:rsid w:val="0089781A"/>
    <w:rsid w:val="0089793E"/>
    <w:rsid w:val="00897C3E"/>
    <w:rsid w:val="00897E3E"/>
    <w:rsid w:val="00897F1E"/>
    <w:rsid w:val="008A00CD"/>
    <w:rsid w:val="008A0401"/>
    <w:rsid w:val="008A0414"/>
    <w:rsid w:val="008A04BB"/>
    <w:rsid w:val="008A04E1"/>
    <w:rsid w:val="008A0E19"/>
    <w:rsid w:val="008A0F2D"/>
    <w:rsid w:val="008A0FB0"/>
    <w:rsid w:val="008A1050"/>
    <w:rsid w:val="008A11A3"/>
    <w:rsid w:val="008A12BA"/>
    <w:rsid w:val="008A12FC"/>
    <w:rsid w:val="008A1430"/>
    <w:rsid w:val="008A14DF"/>
    <w:rsid w:val="008A167A"/>
    <w:rsid w:val="008A1712"/>
    <w:rsid w:val="008A183D"/>
    <w:rsid w:val="008A1AEE"/>
    <w:rsid w:val="008A1BEA"/>
    <w:rsid w:val="008A1C52"/>
    <w:rsid w:val="008A1E23"/>
    <w:rsid w:val="008A2202"/>
    <w:rsid w:val="008A2227"/>
    <w:rsid w:val="008A22A0"/>
    <w:rsid w:val="008A28FF"/>
    <w:rsid w:val="008A2937"/>
    <w:rsid w:val="008A2979"/>
    <w:rsid w:val="008A2A5E"/>
    <w:rsid w:val="008A2ACA"/>
    <w:rsid w:val="008A2B5D"/>
    <w:rsid w:val="008A2CEA"/>
    <w:rsid w:val="008A3275"/>
    <w:rsid w:val="008A341E"/>
    <w:rsid w:val="008A34D0"/>
    <w:rsid w:val="008A36CC"/>
    <w:rsid w:val="008A37A3"/>
    <w:rsid w:val="008A37FA"/>
    <w:rsid w:val="008A39EC"/>
    <w:rsid w:val="008A409E"/>
    <w:rsid w:val="008A42BD"/>
    <w:rsid w:val="008A43F3"/>
    <w:rsid w:val="008A461E"/>
    <w:rsid w:val="008A4C9C"/>
    <w:rsid w:val="008A4CCC"/>
    <w:rsid w:val="008A4D3C"/>
    <w:rsid w:val="008A50D0"/>
    <w:rsid w:val="008A50EA"/>
    <w:rsid w:val="008A522E"/>
    <w:rsid w:val="008A52D6"/>
    <w:rsid w:val="008A536E"/>
    <w:rsid w:val="008A54A8"/>
    <w:rsid w:val="008A5755"/>
    <w:rsid w:val="008A5839"/>
    <w:rsid w:val="008A5ABD"/>
    <w:rsid w:val="008A5CE7"/>
    <w:rsid w:val="008A61DE"/>
    <w:rsid w:val="008A6265"/>
    <w:rsid w:val="008A6485"/>
    <w:rsid w:val="008A6496"/>
    <w:rsid w:val="008A6774"/>
    <w:rsid w:val="008A67BC"/>
    <w:rsid w:val="008A6819"/>
    <w:rsid w:val="008A68CF"/>
    <w:rsid w:val="008A6A08"/>
    <w:rsid w:val="008A6A26"/>
    <w:rsid w:val="008A6B43"/>
    <w:rsid w:val="008A6BAA"/>
    <w:rsid w:val="008A6D30"/>
    <w:rsid w:val="008A6F37"/>
    <w:rsid w:val="008A6F6C"/>
    <w:rsid w:val="008A722F"/>
    <w:rsid w:val="008A729E"/>
    <w:rsid w:val="008A7446"/>
    <w:rsid w:val="008A783F"/>
    <w:rsid w:val="008A78E4"/>
    <w:rsid w:val="008A78EE"/>
    <w:rsid w:val="008A7929"/>
    <w:rsid w:val="008A7ADB"/>
    <w:rsid w:val="008A7B5C"/>
    <w:rsid w:val="008A7DC4"/>
    <w:rsid w:val="008A7FA2"/>
    <w:rsid w:val="008B0323"/>
    <w:rsid w:val="008B03B7"/>
    <w:rsid w:val="008B0997"/>
    <w:rsid w:val="008B09D3"/>
    <w:rsid w:val="008B09D4"/>
    <w:rsid w:val="008B0AFF"/>
    <w:rsid w:val="008B0C84"/>
    <w:rsid w:val="008B0E62"/>
    <w:rsid w:val="008B0FC0"/>
    <w:rsid w:val="008B13EE"/>
    <w:rsid w:val="008B15A6"/>
    <w:rsid w:val="008B1933"/>
    <w:rsid w:val="008B19B0"/>
    <w:rsid w:val="008B1AAF"/>
    <w:rsid w:val="008B1BD6"/>
    <w:rsid w:val="008B1BD7"/>
    <w:rsid w:val="008B1E18"/>
    <w:rsid w:val="008B207D"/>
    <w:rsid w:val="008B2101"/>
    <w:rsid w:val="008B2469"/>
    <w:rsid w:val="008B251A"/>
    <w:rsid w:val="008B27E9"/>
    <w:rsid w:val="008B2A77"/>
    <w:rsid w:val="008B2AF6"/>
    <w:rsid w:val="008B2D91"/>
    <w:rsid w:val="008B2E38"/>
    <w:rsid w:val="008B2EF0"/>
    <w:rsid w:val="008B394F"/>
    <w:rsid w:val="008B3A61"/>
    <w:rsid w:val="008B4061"/>
    <w:rsid w:val="008B44F7"/>
    <w:rsid w:val="008B476A"/>
    <w:rsid w:val="008B47E9"/>
    <w:rsid w:val="008B4AC8"/>
    <w:rsid w:val="008B4ADF"/>
    <w:rsid w:val="008B4E5B"/>
    <w:rsid w:val="008B5048"/>
    <w:rsid w:val="008B5065"/>
    <w:rsid w:val="008B5290"/>
    <w:rsid w:val="008B54AF"/>
    <w:rsid w:val="008B5644"/>
    <w:rsid w:val="008B5720"/>
    <w:rsid w:val="008B578F"/>
    <w:rsid w:val="008B5801"/>
    <w:rsid w:val="008B5926"/>
    <w:rsid w:val="008B5B76"/>
    <w:rsid w:val="008B5BE9"/>
    <w:rsid w:val="008B5CA7"/>
    <w:rsid w:val="008B5DA6"/>
    <w:rsid w:val="008B5F21"/>
    <w:rsid w:val="008B5FCD"/>
    <w:rsid w:val="008B62D2"/>
    <w:rsid w:val="008B6314"/>
    <w:rsid w:val="008B631C"/>
    <w:rsid w:val="008B6356"/>
    <w:rsid w:val="008B636A"/>
    <w:rsid w:val="008B63A0"/>
    <w:rsid w:val="008B6445"/>
    <w:rsid w:val="008B66AD"/>
    <w:rsid w:val="008B6732"/>
    <w:rsid w:val="008B6932"/>
    <w:rsid w:val="008B6A2A"/>
    <w:rsid w:val="008B7628"/>
    <w:rsid w:val="008B78E8"/>
    <w:rsid w:val="008B79DB"/>
    <w:rsid w:val="008B79F8"/>
    <w:rsid w:val="008B7CEC"/>
    <w:rsid w:val="008C01BC"/>
    <w:rsid w:val="008C0273"/>
    <w:rsid w:val="008C08B4"/>
    <w:rsid w:val="008C097D"/>
    <w:rsid w:val="008C0D05"/>
    <w:rsid w:val="008C0D12"/>
    <w:rsid w:val="008C0D58"/>
    <w:rsid w:val="008C0E18"/>
    <w:rsid w:val="008C0E4B"/>
    <w:rsid w:val="008C0EDD"/>
    <w:rsid w:val="008C1646"/>
    <w:rsid w:val="008C1788"/>
    <w:rsid w:val="008C190A"/>
    <w:rsid w:val="008C1914"/>
    <w:rsid w:val="008C1A6A"/>
    <w:rsid w:val="008C1ACE"/>
    <w:rsid w:val="008C1D58"/>
    <w:rsid w:val="008C290E"/>
    <w:rsid w:val="008C30EE"/>
    <w:rsid w:val="008C3126"/>
    <w:rsid w:val="008C335F"/>
    <w:rsid w:val="008C35D6"/>
    <w:rsid w:val="008C368B"/>
    <w:rsid w:val="008C3A51"/>
    <w:rsid w:val="008C3CB1"/>
    <w:rsid w:val="008C3EB4"/>
    <w:rsid w:val="008C41C8"/>
    <w:rsid w:val="008C4391"/>
    <w:rsid w:val="008C4BC4"/>
    <w:rsid w:val="008C508D"/>
    <w:rsid w:val="008C5162"/>
    <w:rsid w:val="008C527E"/>
    <w:rsid w:val="008C52E8"/>
    <w:rsid w:val="008C59E9"/>
    <w:rsid w:val="008C5AEB"/>
    <w:rsid w:val="008C5F8A"/>
    <w:rsid w:val="008C6281"/>
    <w:rsid w:val="008C6424"/>
    <w:rsid w:val="008C64D7"/>
    <w:rsid w:val="008C68DE"/>
    <w:rsid w:val="008C6BFC"/>
    <w:rsid w:val="008C6DC4"/>
    <w:rsid w:val="008C6E45"/>
    <w:rsid w:val="008C6E54"/>
    <w:rsid w:val="008C6FE1"/>
    <w:rsid w:val="008C7314"/>
    <w:rsid w:val="008C7617"/>
    <w:rsid w:val="008C79AB"/>
    <w:rsid w:val="008C7A8E"/>
    <w:rsid w:val="008C7F6B"/>
    <w:rsid w:val="008D020A"/>
    <w:rsid w:val="008D0358"/>
    <w:rsid w:val="008D04A1"/>
    <w:rsid w:val="008D04A8"/>
    <w:rsid w:val="008D058C"/>
    <w:rsid w:val="008D0E4F"/>
    <w:rsid w:val="008D0EB1"/>
    <w:rsid w:val="008D11AA"/>
    <w:rsid w:val="008D11F8"/>
    <w:rsid w:val="008D165B"/>
    <w:rsid w:val="008D18A2"/>
    <w:rsid w:val="008D18C5"/>
    <w:rsid w:val="008D1B38"/>
    <w:rsid w:val="008D1BDB"/>
    <w:rsid w:val="008D1FC9"/>
    <w:rsid w:val="008D2067"/>
    <w:rsid w:val="008D23F2"/>
    <w:rsid w:val="008D2491"/>
    <w:rsid w:val="008D259E"/>
    <w:rsid w:val="008D28C8"/>
    <w:rsid w:val="008D29E2"/>
    <w:rsid w:val="008D2ADE"/>
    <w:rsid w:val="008D2B17"/>
    <w:rsid w:val="008D2DCF"/>
    <w:rsid w:val="008D2ECA"/>
    <w:rsid w:val="008D2FD7"/>
    <w:rsid w:val="008D3116"/>
    <w:rsid w:val="008D33F3"/>
    <w:rsid w:val="008D38E4"/>
    <w:rsid w:val="008D3CAD"/>
    <w:rsid w:val="008D3D71"/>
    <w:rsid w:val="008D3E8C"/>
    <w:rsid w:val="008D3F84"/>
    <w:rsid w:val="008D3F90"/>
    <w:rsid w:val="008D4267"/>
    <w:rsid w:val="008D4774"/>
    <w:rsid w:val="008D4961"/>
    <w:rsid w:val="008D4B4F"/>
    <w:rsid w:val="008D4C44"/>
    <w:rsid w:val="008D4D00"/>
    <w:rsid w:val="008D5417"/>
    <w:rsid w:val="008D5642"/>
    <w:rsid w:val="008D5795"/>
    <w:rsid w:val="008D5875"/>
    <w:rsid w:val="008D5C74"/>
    <w:rsid w:val="008D5D3A"/>
    <w:rsid w:val="008D5E1B"/>
    <w:rsid w:val="008D5E45"/>
    <w:rsid w:val="008D66E0"/>
    <w:rsid w:val="008D68EB"/>
    <w:rsid w:val="008D6AF3"/>
    <w:rsid w:val="008D6F2B"/>
    <w:rsid w:val="008D6FE3"/>
    <w:rsid w:val="008D7423"/>
    <w:rsid w:val="008D744C"/>
    <w:rsid w:val="008D74F1"/>
    <w:rsid w:val="008D79A6"/>
    <w:rsid w:val="008D7A8E"/>
    <w:rsid w:val="008D7A90"/>
    <w:rsid w:val="008E02E0"/>
    <w:rsid w:val="008E0437"/>
    <w:rsid w:val="008E065F"/>
    <w:rsid w:val="008E0773"/>
    <w:rsid w:val="008E09A3"/>
    <w:rsid w:val="008E0B38"/>
    <w:rsid w:val="008E0D90"/>
    <w:rsid w:val="008E12F6"/>
    <w:rsid w:val="008E1396"/>
    <w:rsid w:val="008E146D"/>
    <w:rsid w:val="008E1668"/>
    <w:rsid w:val="008E16AB"/>
    <w:rsid w:val="008E19FF"/>
    <w:rsid w:val="008E1A08"/>
    <w:rsid w:val="008E1C7C"/>
    <w:rsid w:val="008E1E41"/>
    <w:rsid w:val="008E2054"/>
    <w:rsid w:val="008E2586"/>
    <w:rsid w:val="008E26CF"/>
    <w:rsid w:val="008E2832"/>
    <w:rsid w:val="008E28C6"/>
    <w:rsid w:val="008E2A83"/>
    <w:rsid w:val="008E2D19"/>
    <w:rsid w:val="008E2E2B"/>
    <w:rsid w:val="008E310B"/>
    <w:rsid w:val="008E33F0"/>
    <w:rsid w:val="008E3653"/>
    <w:rsid w:val="008E373B"/>
    <w:rsid w:val="008E395D"/>
    <w:rsid w:val="008E40F1"/>
    <w:rsid w:val="008E431A"/>
    <w:rsid w:val="008E43C2"/>
    <w:rsid w:val="008E44C2"/>
    <w:rsid w:val="008E451E"/>
    <w:rsid w:val="008E466D"/>
    <w:rsid w:val="008E4673"/>
    <w:rsid w:val="008E46D0"/>
    <w:rsid w:val="008E5058"/>
    <w:rsid w:val="008E5311"/>
    <w:rsid w:val="008E548B"/>
    <w:rsid w:val="008E55D0"/>
    <w:rsid w:val="008E574A"/>
    <w:rsid w:val="008E5C68"/>
    <w:rsid w:val="008E5F5A"/>
    <w:rsid w:val="008E6081"/>
    <w:rsid w:val="008E65FE"/>
    <w:rsid w:val="008E6627"/>
    <w:rsid w:val="008E6F58"/>
    <w:rsid w:val="008E71CA"/>
    <w:rsid w:val="008E73B8"/>
    <w:rsid w:val="008E73E2"/>
    <w:rsid w:val="008E7552"/>
    <w:rsid w:val="008E78C8"/>
    <w:rsid w:val="008E7ED0"/>
    <w:rsid w:val="008E7EE3"/>
    <w:rsid w:val="008F040B"/>
    <w:rsid w:val="008F0700"/>
    <w:rsid w:val="008F0779"/>
    <w:rsid w:val="008F0787"/>
    <w:rsid w:val="008F0815"/>
    <w:rsid w:val="008F09A4"/>
    <w:rsid w:val="008F0C77"/>
    <w:rsid w:val="008F0E7E"/>
    <w:rsid w:val="008F0FB8"/>
    <w:rsid w:val="008F108A"/>
    <w:rsid w:val="008F1272"/>
    <w:rsid w:val="008F17AA"/>
    <w:rsid w:val="008F18FF"/>
    <w:rsid w:val="008F21CD"/>
    <w:rsid w:val="008F2219"/>
    <w:rsid w:val="008F2333"/>
    <w:rsid w:val="008F251F"/>
    <w:rsid w:val="008F28B9"/>
    <w:rsid w:val="008F28F7"/>
    <w:rsid w:val="008F2B6D"/>
    <w:rsid w:val="008F2C61"/>
    <w:rsid w:val="008F36E8"/>
    <w:rsid w:val="008F3726"/>
    <w:rsid w:val="008F39F1"/>
    <w:rsid w:val="008F3B90"/>
    <w:rsid w:val="008F3DCD"/>
    <w:rsid w:val="008F40C6"/>
    <w:rsid w:val="008F41BA"/>
    <w:rsid w:val="008F445D"/>
    <w:rsid w:val="008F4878"/>
    <w:rsid w:val="008F4879"/>
    <w:rsid w:val="008F4906"/>
    <w:rsid w:val="008F4A28"/>
    <w:rsid w:val="008F4B1C"/>
    <w:rsid w:val="008F4BC9"/>
    <w:rsid w:val="008F4DCF"/>
    <w:rsid w:val="008F5067"/>
    <w:rsid w:val="008F551F"/>
    <w:rsid w:val="008F5853"/>
    <w:rsid w:val="008F5FE7"/>
    <w:rsid w:val="008F6000"/>
    <w:rsid w:val="008F6253"/>
    <w:rsid w:val="008F6811"/>
    <w:rsid w:val="008F6B91"/>
    <w:rsid w:val="008F6D4D"/>
    <w:rsid w:val="008F703C"/>
    <w:rsid w:val="008F7291"/>
    <w:rsid w:val="008F7300"/>
    <w:rsid w:val="008F75BF"/>
    <w:rsid w:val="008F763B"/>
    <w:rsid w:val="008F768A"/>
    <w:rsid w:val="008F7B9A"/>
    <w:rsid w:val="008F7F66"/>
    <w:rsid w:val="008F7FCA"/>
    <w:rsid w:val="0090007D"/>
    <w:rsid w:val="00900261"/>
    <w:rsid w:val="009005AD"/>
    <w:rsid w:val="0090065B"/>
    <w:rsid w:val="00900874"/>
    <w:rsid w:val="00900916"/>
    <w:rsid w:val="00900B93"/>
    <w:rsid w:val="00900EE4"/>
    <w:rsid w:val="009010D1"/>
    <w:rsid w:val="0090124E"/>
    <w:rsid w:val="0090188A"/>
    <w:rsid w:val="00901A50"/>
    <w:rsid w:val="0090213D"/>
    <w:rsid w:val="009023FD"/>
    <w:rsid w:val="0090273C"/>
    <w:rsid w:val="00902848"/>
    <w:rsid w:val="009028D6"/>
    <w:rsid w:val="00902C7B"/>
    <w:rsid w:val="00902F34"/>
    <w:rsid w:val="00903132"/>
    <w:rsid w:val="00903462"/>
    <w:rsid w:val="0090358B"/>
    <w:rsid w:val="00903A26"/>
    <w:rsid w:val="009043F5"/>
    <w:rsid w:val="0090454F"/>
    <w:rsid w:val="00904627"/>
    <w:rsid w:val="00904959"/>
    <w:rsid w:val="00904B98"/>
    <w:rsid w:val="00905031"/>
    <w:rsid w:val="009050FA"/>
    <w:rsid w:val="00905304"/>
    <w:rsid w:val="00905A43"/>
    <w:rsid w:val="00905ABE"/>
    <w:rsid w:val="00905C10"/>
    <w:rsid w:val="00905FB1"/>
    <w:rsid w:val="009061B7"/>
    <w:rsid w:val="0090643B"/>
    <w:rsid w:val="00906672"/>
    <w:rsid w:val="0090679C"/>
    <w:rsid w:val="009067B1"/>
    <w:rsid w:val="00906849"/>
    <w:rsid w:val="00906D32"/>
    <w:rsid w:val="009073C8"/>
    <w:rsid w:val="00907416"/>
    <w:rsid w:val="009076C1"/>
    <w:rsid w:val="00907AF9"/>
    <w:rsid w:val="00910088"/>
    <w:rsid w:val="009100D4"/>
    <w:rsid w:val="009102A0"/>
    <w:rsid w:val="009103B1"/>
    <w:rsid w:val="0091071A"/>
    <w:rsid w:val="00911003"/>
    <w:rsid w:val="0091101A"/>
    <w:rsid w:val="0091117D"/>
    <w:rsid w:val="009114F5"/>
    <w:rsid w:val="00911709"/>
    <w:rsid w:val="009118AC"/>
    <w:rsid w:val="00911A7A"/>
    <w:rsid w:val="00911F09"/>
    <w:rsid w:val="00911FAF"/>
    <w:rsid w:val="00912481"/>
    <w:rsid w:val="0091283F"/>
    <w:rsid w:val="009128B8"/>
    <w:rsid w:val="009128F6"/>
    <w:rsid w:val="009129A3"/>
    <w:rsid w:val="00912AB9"/>
    <w:rsid w:val="00912B1F"/>
    <w:rsid w:val="00912DD1"/>
    <w:rsid w:val="00912FC2"/>
    <w:rsid w:val="00913145"/>
    <w:rsid w:val="009133C8"/>
    <w:rsid w:val="00913701"/>
    <w:rsid w:val="00913759"/>
    <w:rsid w:val="00913F49"/>
    <w:rsid w:val="00914134"/>
    <w:rsid w:val="00914146"/>
    <w:rsid w:val="00914179"/>
    <w:rsid w:val="009143B9"/>
    <w:rsid w:val="0091499B"/>
    <w:rsid w:val="009149D8"/>
    <w:rsid w:val="00914B10"/>
    <w:rsid w:val="00915050"/>
    <w:rsid w:val="009150A0"/>
    <w:rsid w:val="009150FD"/>
    <w:rsid w:val="00915176"/>
    <w:rsid w:val="0091557D"/>
    <w:rsid w:val="009159DF"/>
    <w:rsid w:val="00915A53"/>
    <w:rsid w:val="00915B01"/>
    <w:rsid w:val="00916347"/>
    <w:rsid w:val="009163A3"/>
    <w:rsid w:val="009165C5"/>
    <w:rsid w:val="009165E9"/>
    <w:rsid w:val="00916665"/>
    <w:rsid w:val="009168B6"/>
    <w:rsid w:val="009168F0"/>
    <w:rsid w:val="00916A88"/>
    <w:rsid w:val="00916AA2"/>
    <w:rsid w:val="00916AE4"/>
    <w:rsid w:val="00916C5C"/>
    <w:rsid w:val="00916C81"/>
    <w:rsid w:val="009174C0"/>
    <w:rsid w:val="009177F3"/>
    <w:rsid w:val="00917964"/>
    <w:rsid w:val="00917BA4"/>
    <w:rsid w:val="00917F14"/>
    <w:rsid w:val="009200FA"/>
    <w:rsid w:val="00920158"/>
    <w:rsid w:val="009201C3"/>
    <w:rsid w:val="009201CB"/>
    <w:rsid w:val="0092020E"/>
    <w:rsid w:val="00920384"/>
    <w:rsid w:val="009203F7"/>
    <w:rsid w:val="0092094D"/>
    <w:rsid w:val="00920A11"/>
    <w:rsid w:val="00920AD1"/>
    <w:rsid w:val="00920D53"/>
    <w:rsid w:val="00920D6D"/>
    <w:rsid w:val="0092133F"/>
    <w:rsid w:val="009217E2"/>
    <w:rsid w:val="00921A34"/>
    <w:rsid w:val="00921D40"/>
    <w:rsid w:val="00921DAF"/>
    <w:rsid w:val="00922052"/>
    <w:rsid w:val="009220D1"/>
    <w:rsid w:val="0092243B"/>
    <w:rsid w:val="0092251B"/>
    <w:rsid w:val="00922B4E"/>
    <w:rsid w:val="00922E70"/>
    <w:rsid w:val="00922F26"/>
    <w:rsid w:val="00923072"/>
    <w:rsid w:val="0092373B"/>
    <w:rsid w:val="00923763"/>
    <w:rsid w:val="00923C96"/>
    <w:rsid w:val="00923E2B"/>
    <w:rsid w:val="00923F71"/>
    <w:rsid w:val="00924161"/>
    <w:rsid w:val="00924261"/>
    <w:rsid w:val="00924556"/>
    <w:rsid w:val="0092465B"/>
    <w:rsid w:val="009246F1"/>
    <w:rsid w:val="00924D09"/>
    <w:rsid w:val="00924E48"/>
    <w:rsid w:val="009254E7"/>
    <w:rsid w:val="0092560A"/>
    <w:rsid w:val="00925625"/>
    <w:rsid w:val="009256B4"/>
    <w:rsid w:val="00925934"/>
    <w:rsid w:val="00925B7C"/>
    <w:rsid w:val="00925CFD"/>
    <w:rsid w:val="00925E60"/>
    <w:rsid w:val="00926188"/>
    <w:rsid w:val="00926702"/>
    <w:rsid w:val="0092679A"/>
    <w:rsid w:val="00926A59"/>
    <w:rsid w:val="00926C74"/>
    <w:rsid w:val="00926C7F"/>
    <w:rsid w:val="00926CAB"/>
    <w:rsid w:val="00926EF1"/>
    <w:rsid w:val="0092719B"/>
    <w:rsid w:val="0092770D"/>
    <w:rsid w:val="0092774F"/>
    <w:rsid w:val="009279B0"/>
    <w:rsid w:val="00927A3A"/>
    <w:rsid w:val="00927BC9"/>
    <w:rsid w:val="00927CF4"/>
    <w:rsid w:val="00930399"/>
    <w:rsid w:val="009307F6"/>
    <w:rsid w:val="0093087F"/>
    <w:rsid w:val="00930884"/>
    <w:rsid w:val="009308AE"/>
    <w:rsid w:val="009308F6"/>
    <w:rsid w:val="00930A8A"/>
    <w:rsid w:val="00930D6E"/>
    <w:rsid w:val="0093128E"/>
    <w:rsid w:val="00931597"/>
    <w:rsid w:val="009315DF"/>
    <w:rsid w:val="00931624"/>
    <w:rsid w:val="00931A7E"/>
    <w:rsid w:val="00931C2C"/>
    <w:rsid w:val="00932089"/>
    <w:rsid w:val="009323C4"/>
    <w:rsid w:val="00932577"/>
    <w:rsid w:val="00932CF2"/>
    <w:rsid w:val="009330CF"/>
    <w:rsid w:val="009333BE"/>
    <w:rsid w:val="00933881"/>
    <w:rsid w:val="00933BBD"/>
    <w:rsid w:val="00933CF1"/>
    <w:rsid w:val="00933FB3"/>
    <w:rsid w:val="00934127"/>
    <w:rsid w:val="00934157"/>
    <w:rsid w:val="00934370"/>
    <w:rsid w:val="00934662"/>
    <w:rsid w:val="009346EB"/>
    <w:rsid w:val="00934740"/>
    <w:rsid w:val="0093477F"/>
    <w:rsid w:val="0093525E"/>
    <w:rsid w:val="0093546E"/>
    <w:rsid w:val="009354B9"/>
    <w:rsid w:val="00935922"/>
    <w:rsid w:val="009359E9"/>
    <w:rsid w:val="00935C24"/>
    <w:rsid w:val="00935D38"/>
    <w:rsid w:val="00935F9C"/>
    <w:rsid w:val="00935FBA"/>
    <w:rsid w:val="00936034"/>
    <w:rsid w:val="0093663C"/>
    <w:rsid w:val="009367CC"/>
    <w:rsid w:val="0093696B"/>
    <w:rsid w:val="00936C1C"/>
    <w:rsid w:val="00936DCA"/>
    <w:rsid w:val="009371C0"/>
    <w:rsid w:val="0093723E"/>
    <w:rsid w:val="0093727D"/>
    <w:rsid w:val="009373FB"/>
    <w:rsid w:val="009374D6"/>
    <w:rsid w:val="00937BA2"/>
    <w:rsid w:val="00940089"/>
    <w:rsid w:val="009404F1"/>
    <w:rsid w:val="009407DA"/>
    <w:rsid w:val="0094098A"/>
    <w:rsid w:val="00940A8F"/>
    <w:rsid w:val="0094109E"/>
    <w:rsid w:val="009410D2"/>
    <w:rsid w:val="009412BA"/>
    <w:rsid w:val="009412E8"/>
    <w:rsid w:val="00941330"/>
    <w:rsid w:val="00941577"/>
    <w:rsid w:val="009415CB"/>
    <w:rsid w:val="00941684"/>
    <w:rsid w:val="00941A4E"/>
    <w:rsid w:val="009421B8"/>
    <w:rsid w:val="0094223D"/>
    <w:rsid w:val="009422EA"/>
    <w:rsid w:val="00942547"/>
    <w:rsid w:val="00942563"/>
    <w:rsid w:val="00942723"/>
    <w:rsid w:val="00942783"/>
    <w:rsid w:val="00942A41"/>
    <w:rsid w:val="00942AD1"/>
    <w:rsid w:val="00942B5C"/>
    <w:rsid w:val="00942C1D"/>
    <w:rsid w:val="00942CFC"/>
    <w:rsid w:val="00942E71"/>
    <w:rsid w:val="00942F7F"/>
    <w:rsid w:val="00942FE7"/>
    <w:rsid w:val="00943082"/>
    <w:rsid w:val="009432C1"/>
    <w:rsid w:val="009433A8"/>
    <w:rsid w:val="009433B8"/>
    <w:rsid w:val="00943709"/>
    <w:rsid w:val="0094383C"/>
    <w:rsid w:val="009439EA"/>
    <w:rsid w:val="00943B2A"/>
    <w:rsid w:val="00943C77"/>
    <w:rsid w:val="00943D5A"/>
    <w:rsid w:val="00944010"/>
    <w:rsid w:val="00944154"/>
    <w:rsid w:val="0094423E"/>
    <w:rsid w:val="009444B8"/>
    <w:rsid w:val="0094455B"/>
    <w:rsid w:val="009446D0"/>
    <w:rsid w:val="009447F0"/>
    <w:rsid w:val="0094490C"/>
    <w:rsid w:val="0094494B"/>
    <w:rsid w:val="009449B8"/>
    <w:rsid w:val="00944A95"/>
    <w:rsid w:val="00944AA8"/>
    <w:rsid w:val="00944D21"/>
    <w:rsid w:val="00944D40"/>
    <w:rsid w:val="00944D63"/>
    <w:rsid w:val="009450C5"/>
    <w:rsid w:val="00945887"/>
    <w:rsid w:val="009458E8"/>
    <w:rsid w:val="009458FD"/>
    <w:rsid w:val="00945B7B"/>
    <w:rsid w:val="00945D7A"/>
    <w:rsid w:val="00945EB9"/>
    <w:rsid w:val="00946384"/>
    <w:rsid w:val="009464B9"/>
    <w:rsid w:val="00946906"/>
    <w:rsid w:val="00946C17"/>
    <w:rsid w:val="00946D7A"/>
    <w:rsid w:val="0094709A"/>
    <w:rsid w:val="00947655"/>
    <w:rsid w:val="0094776C"/>
    <w:rsid w:val="00947896"/>
    <w:rsid w:val="0094796F"/>
    <w:rsid w:val="009479A4"/>
    <w:rsid w:val="00947DC3"/>
    <w:rsid w:val="00947E93"/>
    <w:rsid w:val="00950135"/>
    <w:rsid w:val="0095029F"/>
    <w:rsid w:val="009502F6"/>
    <w:rsid w:val="0095068E"/>
    <w:rsid w:val="009506DE"/>
    <w:rsid w:val="0095084C"/>
    <w:rsid w:val="0095089A"/>
    <w:rsid w:val="00950B37"/>
    <w:rsid w:val="00950D23"/>
    <w:rsid w:val="00950ED9"/>
    <w:rsid w:val="00950FF3"/>
    <w:rsid w:val="00951510"/>
    <w:rsid w:val="0095180A"/>
    <w:rsid w:val="0095181E"/>
    <w:rsid w:val="00951964"/>
    <w:rsid w:val="0095196E"/>
    <w:rsid w:val="00951B5D"/>
    <w:rsid w:val="00951D5C"/>
    <w:rsid w:val="00951D65"/>
    <w:rsid w:val="00952237"/>
    <w:rsid w:val="0095226F"/>
    <w:rsid w:val="00952275"/>
    <w:rsid w:val="0095227B"/>
    <w:rsid w:val="0095233D"/>
    <w:rsid w:val="009523A7"/>
    <w:rsid w:val="009523FA"/>
    <w:rsid w:val="009524A7"/>
    <w:rsid w:val="009524D2"/>
    <w:rsid w:val="00952A93"/>
    <w:rsid w:val="00952B7B"/>
    <w:rsid w:val="00952BFD"/>
    <w:rsid w:val="00952C65"/>
    <w:rsid w:val="00952DE0"/>
    <w:rsid w:val="00952F3A"/>
    <w:rsid w:val="009534AA"/>
    <w:rsid w:val="00953613"/>
    <w:rsid w:val="009538E8"/>
    <w:rsid w:val="00953ADF"/>
    <w:rsid w:val="00953AFA"/>
    <w:rsid w:val="00953CE0"/>
    <w:rsid w:val="00953DD6"/>
    <w:rsid w:val="00953E04"/>
    <w:rsid w:val="0095407C"/>
    <w:rsid w:val="00954346"/>
    <w:rsid w:val="009544E3"/>
    <w:rsid w:val="00954731"/>
    <w:rsid w:val="00954BA3"/>
    <w:rsid w:val="00954CFD"/>
    <w:rsid w:val="00954FFA"/>
    <w:rsid w:val="00955044"/>
    <w:rsid w:val="00955735"/>
    <w:rsid w:val="00955D38"/>
    <w:rsid w:val="00955DBB"/>
    <w:rsid w:val="00955F93"/>
    <w:rsid w:val="00956014"/>
    <w:rsid w:val="00956268"/>
    <w:rsid w:val="00956379"/>
    <w:rsid w:val="009564F9"/>
    <w:rsid w:val="009569EB"/>
    <w:rsid w:val="00956CBE"/>
    <w:rsid w:val="00956DFE"/>
    <w:rsid w:val="00956EC4"/>
    <w:rsid w:val="00956FCC"/>
    <w:rsid w:val="00957486"/>
    <w:rsid w:val="00957705"/>
    <w:rsid w:val="0095792E"/>
    <w:rsid w:val="00957A02"/>
    <w:rsid w:val="00957B2D"/>
    <w:rsid w:val="00957B38"/>
    <w:rsid w:val="00957E2C"/>
    <w:rsid w:val="00957F59"/>
    <w:rsid w:val="00957F63"/>
    <w:rsid w:val="00960132"/>
    <w:rsid w:val="00960685"/>
    <w:rsid w:val="009606F3"/>
    <w:rsid w:val="00960CC4"/>
    <w:rsid w:val="0096133C"/>
    <w:rsid w:val="009613AE"/>
    <w:rsid w:val="00961467"/>
    <w:rsid w:val="009614C8"/>
    <w:rsid w:val="0096161F"/>
    <w:rsid w:val="00961674"/>
    <w:rsid w:val="009616D8"/>
    <w:rsid w:val="00961B38"/>
    <w:rsid w:val="00962946"/>
    <w:rsid w:val="00962A12"/>
    <w:rsid w:val="00962F5D"/>
    <w:rsid w:val="009635EC"/>
    <w:rsid w:val="0096385F"/>
    <w:rsid w:val="00963A8C"/>
    <w:rsid w:val="00963C4B"/>
    <w:rsid w:val="00963E61"/>
    <w:rsid w:val="00964072"/>
    <w:rsid w:val="009641E3"/>
    <w:rsid w:val="0096435A"/>
    <w:rsid w:val="009646B6"/>
    <w:rsid w:val="00964984"/>
    <w:rsid w:val="00964987"/>
    <w:rsid w:val="00964BDD"/>
    <w:rsid w:val="00964CDF"/>
    <w:rsid w:val="00964D59"/>
    <w:rsid w:val="00965012"/>
    <w:rsid w:val="00965215"/>
    <w:rsid w:val="00965882"/>
    <w:rsid w:val="009658C9"/>
    <w:rsid w:val="00965E85"/>
    <w:rsid w:val="009661A0"/>
    <w:rsid w:val="009661FB"/>
    <w:rsid w:val="00966273"/>
    <w:rsid w:val="0096666D"/>
    <w:rsid w:val="009667BE"/>
    <w:rsid w:val="0096695C"/>
    <w:rsid w:val="00966A76"/>
    <w:rsid w:val="00966C72"/>
    <w:rsid w:val="00966D40"/>
    <w:rsid w:val="009677AD"/>
    <w:rsid w:val="009678B2"/>
    <w:rsid w:val="0096797D"/>
    <w:rsid w:val="00967ACD"/>
    <w:rsid w:val="00967C55"/>
    <w:rsid w:val="00967E56"/>
    <w:rsid w:val="00970138"/>
    <w:rsid w:val="00970369"/>
    <w:rsid w:val="009704AF"/>
    <w:rsid w:val="009707FD"/>
    <w:rsid w:val="00970B2C"/>
    <w:rsid w:val="009710E8"/>
    <w:rsid w:val="00971254"/>
    <w:rsid w:val="009716EA"/>
    <w:rsid w:val="009719A6"/>
    <w:rsid w:val="00971B26"/>
    <w:rsid w:val="00971F0B"/>
    <w:rsid w:val="00972A5E"/>
    <w:rsid w:val="00972B4B"/>
    <w:rsid w:val="00972B77"/>
    <w:rsid w:val="00972EB5"/>
    <w:rsid w:val="009731BC"/>
    <w:rsid w:val="0097372A"/>
    <w:rsid w:val="009738FE"/>
    <w:rsid w:val="00973A63"/>
    <w:rsid w:val="00973F8C"/>
    <w:rsid w:val="0097400C"/>
    <w:rsid w:val="009744F8"/>
    <w:rsid w:val="00974C62"/>
    <w:rsid w:val="00974F15"/>
    <w:rsid w:val="00975113"/>
    <w:rsid w:val="0097539B"/>
    <w:rsid w:val="00975887"/>
    <w:rsid w:val="00975C8D"/>
    <w:rsid w:val="009760A6"/>
    <w:rsid w:val="00976178"/>
    <w:rsid w:val="0097629B"/>
    <w:rsid w:val="009762C6"/>
    <w:rsid w:val="0097637D"/>
    <w:rsid w:val="009763FD"/>
    <w:rsid w:val="009768FF"/>
    <w:rsid w:val="00976926"/>
    <w:rsid w:val="009769EC"/>
    <w:rsid w:val="00976AF8"/>
    <w:rsid w:val="00976BFC"/>
    <w:rsid w:val="00976D64"/>
    <w:rsid w:val="00976DB2"/>
    <w:rsid w:val="00977252"/>
    <w:rsid w:val="009772D1"/>
    <w:rsid w:val="00977739"/>
    <w:rsid w:val="009777A9"/>
    <w:rsid w:val="00977823"/>
    <w:rsid w:val="009778A8"/>
    <w:rsid w:val="009778FE"/>
    <w:rsid w:val="00977B14"/>
    <w:rsid w:val="00977CD1"/>
    <w:rsid w:val="00980023"/>
    <w:rsid w:val="00980031"/>
    <w:rsid w:val="00980779"/>
    <w:rsid w:val="0098083B"/>
    <w:rsid w:val="00980A58"/>
    <w:rsid w:val="00980B15"/>
    <w:rsid w:val="00980F4A"/>
    <w:rsid w:val="00981171"/>
    <w:rsid w:val="0098148B"/>
    <w:rsid w:val="0098174D"/>
    <w:rsid w:val="009817E9"/>
    <w:rsid w:val="009819CF"/>
    <w:rsid w:val="009819F4"/>
    <w:rsid w:val="00981B5E"/>
    <w:rsid w:val="00981C18"/>
    <w:rsid w:val="00981C62"/>
    <w:rsid w:val="00981D4B"/>
    <w:rsid w:val="00981DE1"/>
    <w:rsid w:val="00981F20"/>
    <w:rsid w:val="0098252D"/>
    <w:rsid w:val="0098280E"/>
    <w:rsid w:val="00982829"/>
    <w:rsid w:val="009829FC"/>
    <w:rsid w:val="00982A13"/>
    <w:rsid w:val="00982AF5"/>
    <w:rsid w:val="00982B97"/>
    <w:rsid w:val="00983050"/>
    <w:rsid w:val="0098317F"/>
    <w:rsid w:val="009833E0"/>
    <w:rsid w:val="0098356E"/>
    <w:rsid w:val="0098363C"/>
    <w:rsid w:val="009836EF"/>
    <w:rsid w:val="00983870"/>
    <w:rsid w:val="00983BA8"/>
    <w:rsid w:val="00983BC4"/>
    <w:rsid w:val="0098401E"/>
    <w:rsid w:val="00984121"/>
    <w:rsid w:val="00984611"/>
    <w:rsid w:val="00984645"/>
    <w:rsid w:val="009847C8"/>
    <w:rsid w:val="00984CE6"/>
    <w:rsid w:val="00984EA7"/>
    <w:rsid w:val="00985185"/>
    <w:rsid w:val="009855F9"/>
    <w:rsid w:val="00985714"/>
    <w:rsid w:val="00985884"/>
    <w:rsid w:val="009858ED"/>
    <w:rsid w:val="0098592D"/>
    <w:rsid w:val="00985EC3"/>
    <w:rsid w:val="00985F18"/>
    <w:rsid w:val="009860C9"/>
    <w:rsid w:val="009867B3"/>
    <w:rsid w:val="00986F27"/>
    <w:rsid w:val="00987161"/>
    <w:rsid w:val="0098725A"/>
    <w:rsid w:val="00987341"/>
    <w:rsid w:val="00987349"/>
    <w:rsid w:val="00987472"/>
    <w:rsid w:val="009875DB"/>
    <w:rsid w:val="009877A4"/>
    <w:rsid w:val="00987B0A"/>
    <w:rsid w:val="00987D9C"/>
    <w:rsid w:val="0099018E"/>
    <w:rsid w:val="009901B8"/>
    <w:rsid w:val="0099033D"/>
    <w:rsid w:val="009906A3"/>
    <w:rsid w:val="009906DA"/>
    <w:rsid w:val="00990722"/>
    <w:rsid w:val="00990951"/>
    <w:rsid w:val="00990A18"/>
    <w:rsid w:val="00990DC3"/>
    <w:rsid w:val="00990F3B"/>
    <w:rsid w:val="00990F68"/>
    <w:rsid w:val="00990F92"/>
    <w:rsid w:val="009912C9"/>
    <w:rsid w:val="00991A75"/>
    <w:rsid w:val="00991BF9"/>
    <w:rsid w:val="00991C67"/>
    <w:rsid w:val="00991E0E"/>
    <w:rsid w:val="009925FC"/>
    <w:rsid w:val="00992F16"/>
    <w:rsid w:val="00992FDC"/>
    <w:rsid w:val="0099306F"/>
    <w:rsid w:val="00993A74"/>
    <w:rsid w:val="00993C7C"/>
    <w:rsid w:val="00993EF5"/>
    <w:rsid w:val="00993F4A"/>
    <w:rsid w:val="009940F3"/>
    <w:rsid w:val="00994188"/>
    <w:rsid w:val="009943F5"/>
    <w:rsid w:val="009947DA"/>
    <w:rsid w:val="00994A68"/>
    <w:rsid w:val="00994B2A"/>
    <w:rsid w:val="00994D9C"/>
    <w:rsid w:val="00995148"/>
    <w:rsid w:val="00995858"/>
    <w:rsid w:val="00995AC0"/>
    <w:rsid w:val="00995C1C"/>
    <w:rsid w:val="00995C8E"/>
    <w:rsid w:val="00995F37"/>
    <w:rsid w:val="009963D9"/>
    <w:rsid w:val="00996843"/>
    <w:rsid w:val="00996846"/>
    <w:rsid w:val="00996ADF"/>
    <w:rsid w:val="00996CD2"/>
    <w:rsid w:val="00996FBF"/>
    <w:rsid w:val="009970C7"/>
    <w:rsid w:val="009971FC"/>
    <w:rsid w:val="00997664"/>
    <w:rsid w:val="00997CF1"/>
    <w:rsid w:val="00997E45"/>
    <w:rsid w:val="00997E86"/>
    <w:rsid w:val="00997E9E"/>
    <w:rsid w:val="009A030D"/>
    <w:rsid w:val="009A0950"/>
    <w:rsid w:val="009A0997"/>
    <w:rsid w:val="009A0C37"/>
    <w:rsid w:val="009A0CA8"/>
    <w:rsid w:val="009A0EAF"/>
    <w:rsid w:val="009A1063"/>
    <w:rsid w:val="009A13C7"/>
    <w:rsid w:val="009A1902"/>
    <w:rsid w:val="009A197B"/>
    <w:rsid w:val="009A1B36"/>
    <w:rsid w:val="009A1BD4"/>
    <w:rsid w:val="009A20F9"/>
    <w:rsid w:val="009A240D"/>
    <w:rsid w:val="009A2664"/>
    <w:rsid w:val="009A2848"/>
    <w:rsid w:val="009A2C29"/>
    <w:rsid w:val="009A2D38"/>
    <w:rsid w:val="009A305B"/>
    <w:rsid w:val="009A358D"/>
    <w:rsid w:val="009A36F6"/>
    <w:rsid w:val="009A3CA4"/>
    <w:rsid w:val="009A41B4"/>
    <w:rsid w:val="009A45B3"/>
    <w:rsid w:val="009A464B"/>
    <w:rsid w:val="009A48C6"/>
    <w:rsid w:val="009A4C18"/>
    <w:rsid w:val="009A4C1C"/>
    <w:rsid w:val="009A4EB5"/>
    <w:rsid w:val="009A506B"/>
    <w:rsid w:val="009A51D8"/>
    <w:rsid w:val="009A5379"/>
    <w:rsid w:val="009A54A1"/>
    <w:rsid w:val="009A54D0"/>
    <w:rsid w:val="009A5A14"/>
    <w:rsid w:val="009A5CEF"/>
    <w:rsid w:val="009A6043"/>
    <w:rsid w:val="009A61AC"/>
    <w:rsid w:val="009A61B4"/>
    <w:rsid w:val="009A668F"/>
    <w:rsid w:val="009A6B17"/>
    <w:rsid w:val="009A71CB"/>
    <w:rsid w:val="009A725F"/>
    <w:rsid w:val="009A73BC"/>
    <w:rsid w:val="009A74A0"/>
    <w:rsid w:val="009A769C"/>
    <w:rsid w:val="009A7B60"/>
    <w:rsid w:val="009A7C2F"/>
    <w:rsid w:val="009A7EA0"/>
    <w:rsid w:val="009B05D1"/>
    <w:rsid w:val="009B0722"/>
    <w:rsid w:val="009B0AA7"/>
    <w:rsid w:val="009B12AC"/>
    <w:rsid w:val="009B1655"/>
    <w:rsid w:val="009B16BF"/>
    <w:rsid w:val="009B17F8"/>
    <w:rsid w:val="009B19A1"/>
    <w:rsid w:val="009B19DA"/>
    <w:rsid w:val="009B1ABC"/>
    <w:rsid w:val="009B1C37"/>
    <w:rsid w:val="009B2108"/>
    <w:rsid w:val="009B2198"/>
    <w:rsid w:val="009B21DE"/>
    <w:rsid w:val="009B22AD"/>
    <w:rsid w:val="009B2350"/>
    <w:rsid w:val="009B23D5"/>
    <w:rsid w:val="009B23ED"/>
    <w:rsid w:val="009B249A"/>
    <w:rsid w:val="009B2516"/>
    <w:rsid w:val="009B2705"/>
    <w:rsid w:val="009B2923"/>
    <w:rsid w:val="009B2BB1"/>
    <w:rsid w:val="009B2E98"/>
    <w:rsid w:val="009B2FEA"/>
    <w:rsid w:val="009B3025"/>
    <w:rsid w:val="009B30E6"/>
    <w:rsid w:val="009B37A0"/>
    <w:rsid w:val="009B3A82"/>
    <w:rsid w:val="009B3ADB"/>
    <w:rsid w:val="009B405A"/>
    <w:rsid w:val="009B40B6"/>
    <w:rsid w:val="009B43B4"/>
    <w:rsid w:val="009B441F"/>
    <w:rsid w:val="009B477C"/>
    <w:rsid w:val="009B477F"/>
    <w:rsid w:val="009B4B97"/>
    <w:rsid w:val="009B4CE4"/>
    <w:rsid w:val="009B4D43"/>
    <w:rsid w:val="009B5AA3"/>
    <w:rsid w:val="009B5B66"/>
    <w:rsid w:val="009B5BD9"/>
    <w:rsid w:val="009B5CC8"/>
    <w:rsid w:val="009B5DCA"/>
    <w:rsid w:val="009B5E95"/>
    <w:rsid w:val="009B5EF3"/>
    <w:rsid w:val="009B61A3"/>
    <w:rsid w:val="009B631D"/>
    <w:rsid w:val="009B63C9"/>
    <w:rsid w:val="009B6467"/>
    <w:rsid w:val="009B668E"/>
    <w:rsid w:val="009B6AD2"/>
    <w:rsid w:val="009B6B45"/>
    <w:rsid w:val="009B6C52"/>
    <w:rsid w:val="009B6EB6"/>
    <w:rsid w:val="009B71B7"/>
    <w:rsid w:val="009B7394"/>
    <w:rsid w:val="009B7B65"/>
    <w:rsid w:val="009C038F"/>
    <w:rsid w:val="009C03E0"/>
    <w:rsid w:val="009C05D8"/>
    <w:rsid w:val="009C0A16"/>
    <w:rsid w:val="009C0D3A"/>
    <w:rsid w:val="009C0E9C"/>
    <w:rsid w:val="009C0F18"/>
    <w:rsid w:val="009C1401"/>
    <w:rsid w:val="009C1640"/>
    <w:rsid w:val="009C1997"/>
    <w:rsid w:val="009C202F"/>
    <w:rsid w:val="009C2118"/>
    <w:rsid w:val="009C22F0"/>
    <w:rsid w:val="009C2A4C"/>
    <w:rsid w:val="009C2D74"/>
    <w:rsid w:val="009C2E60"/>
    <w:rsid w:val="009C2E72"/>
    <w:rsid w:val="009C2F8E"/>
    <w:rsid w:val="009C2FF6"/>
    <w:rsid w:val="009C309B"/>
    <w:rsid w:val="009C3299"/>
    <w:rsid w:val="009C33DE"/>
    <w:rsid w:val="009C3682"/>
    <w:rsid w:val="009C37F9"/>
    <w:rsid w:val="009C4750"/>
    <w:rsid w:val="009C4B3D"/>
    <w:rsid w:val="009C4BB9"/>
    <w:rsid w:val="009C4BE0"/>
    <w:rsid w:val="009C4E91"/>
    <w:rsid w:val="009C4F87"/>
    <w:rsid w:val="009C544E"/>
    <w:rsid w:val="009C596C"/>
    <w:rsid w:val="009C59DA"/>
    <w:rsid w:val="009C5ACF"/>
    <w:rsid w:val="009C5ADF"/>
    <w:rsid w:val="009C5B48"/>
    <w:rsid w:val="009C5B68"/>
    <w:rsid w:val="009C5C00"/>
    <w:rsid w:val="009C5DFE"/>
    <w:rsid w:val="009C6117"/>
    <w:rsid w:val="009C61B2"/>
    <w:rsid w:val="009C6556"/>
    <w:rsid w:val="009C6881"/>
    <w:rsid w:val="009C6A20"/>
    <w:rsid w:val="009C6B05"/>
    <w:rsid w:val="009C6B62"/>
    <w:rsid w:val="009C6B81"/>
    <w:rsid w:val="009C6C0C"/>
    <w:rsid w:val="009C6C63"/>
    <w:rsid w:val="009C737B"/>
    <w:rsid w:val="009C75CB"/>
    <w:rsid w:val="009C7617"/>
    <w:rsid w:val="009C794A"/>
    <w:rsid w:val="009C7BD4"/>
    <w:rsid w:val="009C7DEB"/>
    <w:rsid w:val="009C7FEB"/>
    <w:rsid w:val="009D027E"/>
    <w:rsid w:val="009D02D0"/>
    <w:rsid w:val="009D071B"/>
    <w:rsid w:val="009D0ABF"/>
    <w:rsid w:val="009D0C80"/>
    <w:rsid w:val="009D0F7C"/>
    <w:rsid w:val="009D1095"/>
    <w:rsid w:val="009D10B9"/>
    <w:rsid w:val="009D1389"/>
    <w:rsid w:val="009D13FB"/>
    <w:rsid w:val="009D1492"/>
    <w:rsid w:val="009D14FD"/>
    <w:rsid w:val="009D166D"/>
    <w:rsid w:val="009D19FF"/>
    <w:rsid w:val="009D2113"/>
    <w:rsid w:val="009D22CA"/>
    <w:rsid w:val="009D23C6"/>
    <w:rsid w:val="009D23CD"/>
    <w:rsid w:val="009D251E"/>
    <w:rsid w:val="009D25E3"/>
    <w:rsid w:val="009D272A"/>
    <w:rsid w:val="009D27C0"/>
    <w:rsid w:val="009D27D3"/>
    <w:rsid w:val="009D2A9F"/>
    <w:rsid w:val="009D2AB5"/>
    <w:rsid w:val="009D2F81"/>
    <w:rsid w:val="009D31D2"/>
    <w:rsid w:val="009D3B1B"/>
    <w:rsid w:val="009D3BB6"/>
    <w:rsid w:val="009D3EFA"/>
    <w:rsid w:val="009D4018"/>
    <w:rsid w:val="009D445C"/>
    <w:rsid w:val="009D4780"/>
    <w:rsid w:val="009D4B74"/>
    <w:rsid w:val="009D4CF4"/>
    <w:rsid w:val="009D516B"/>
    <w:rsid w:val="009D5421"/>
    <w:rsid w:val="009D54CB"/>
    <w:rsid w:val="009D554B"/>
    <w:rsid w:val="009D55D6"/>
    <w:rsid w:val="009D56B8"/>
    <w:rsid w:val="009D597C"/>
    <w:rsid w:val="009D5C0D"/>
    <w:rsid w:val="009D5D56"/>
    <w:rsid w:val="009D62EC"/>
    <w:rsid w:val="009D635C"/>
    <w:rsid w:val="009D64DB"/>
    <w:rsid w:val="009D672A"/>
    <w:rsid w:val="009D6976"/>
    <w:rsid w:val="009D6B13"/>
    <w:rsid w:val="009D6FB2"/>
    <w:rsid w:val="009D7328"/>
    <w:rsid w:val="009D73BC"/>
    <w:rsid w:val="009D73F7"/>
    <w:rsid w:val="009D75C7"/>
    <w:rsid w:val="009D76C4"/>
    <w:rsid w:val="009D76D4"/>
    <w:rsid w:val="009D793F"/>
    <w:rsid w:val="009D7C34"/>
    <w:rsid w:val="009D7DFF"/>
    <w:rsid w:val="009D7E0F"/>
    <w:rsid w:val="009D7F54"/>
    <w:rsid w:val="009E011C"/>
    <w:rsid w:val="009E01F0"/>
    <w:rsid w:val="009E029B"/>
    <w:rsid w:val="009E03C1"/>
    <w:rsid w:val="009E056A"/>
    <w:rsid w:val="009E087C"/>
    <w:rsid w:val="009E0AA1"/>
    <w:rsid w:val="009E0AAC"/>
    <w:rsid w:val="009E103C"/>
    <w:rsid w:val="009E1191"/>
    <w:rsid w:val="009E12EB"/>
    <w:rsid w:val="009E1307"/>
    <w:rsid w:val="009E142C"/>
    <w:rsid w:val="009E1449"/>
    <w:rsid w:val="009E1824"/>
    <w:rsid w:val="009E190D"/>
    <w:rsid w:val="009E1A6A"/>
    <w:rsid w:val="009E1BF3"/>
    <w:rsid w:val="009E2101"/>
    <w:rsid w:val="009E21C8"/>
    <w:rsid w:val="009E2731"/>
    <w:rsid w:val="009E29B3"/>
    <w:rsid w:val="009E2AD4"/>
    <w:rsid w:val="009E2B6F"/>
    <w:rsid w:val="009E2BD4"/>
    <w:rsid w:val="009E2E26"/>
    <w:rsid w:val="009E317B"/>
    <w:rsid w:val="009E3282"/>
    <w:rsid w:val="009E34F8"/>
    <w:rsid w:val="009E3657"/>
    <w:rsid w:val="009E3727"/>
    <w:rsid w:val="009E3978"/>
    <w:rsid w:val="009E3C7D"/>
    <w:rsid w:val="009E3D02"/>
    <w:rsid w:val="009E3D5F"/>
    <w:rsid w:val="009E3D7D"/>
    <w:rsid w:val="009E4109"/>
    <w:rsid w:val="009E463E"/>
    <w:rsid w:val="009E47EA"/>
    <w:rsid w:val="009E485F"/>
    <w:rsid w:val="009E4918"/>
    <w:rsid w:val="009E4A09"/>
    <w:rsid w:val="009E4AD6"/>
    <w:rsid w:val="009E4B8C"/>
    <w:rsid w:val="009E4D42"/>
    <w:rsid w:val="009E4F7F"/>
    <w:rsid w:val="009E586E"/>
    <w:rsid w:val="009E58D5"/>
    <w:rsid w:val="009E59DF"/>
    <w:rsid w:val="009E604F"/>
    <w:rsid w:val="009E6343"/>
    <w:rsid w:val="009E6371"/>
    <w:rsid w:val="009E66D2"/>
    <w:rsid w:val="009E6710"/>
    <w:rsid w:val="009E69E6"/>
    <w:rsid w:val="009E6A83"/>
    <w:rsid w:val="009E6A9C"/>
    <w:rsid w:val="009E6BA4"/>
    <w:rsid w:val="009E6E21"/>
    <w:rsid w:val="009E6FDD"/>
    <w:rsid w:val="009E7142"/>
    <w:rsid w:val="009E7262"/>
    <w:rsid w:val="009E7980"/>
    <w:rsid w:val="009E7C46"/>
    <w:rsid w:val="009E7EBA"/>
    <w:rsid w:val="009F0589"/>
    <w:rsid w:val="009F06E1"/>
    <w:rsid w:val="009F0762"/>
    <w:rsid w:val="009F0813"/>
    <w:rsid w:val="009F0847"/>
    <w:rsid w:val="009F0CB1"/>
    <w:rsid w:val="009F0D51"/>
    <w:rsid w:val="009F0DE9"/>
    <w:rsid w:val="009F0FD3"/>
    <w:rsid w:val="009F128B"/>
    <w:rsid w:val="009F12CA"/>
    <w:rsid w:val="009F1379"/>
    <w:rsid w:val="009F137C"/>
    <w:rsid w:val="009F145E"/>
    <w:rsid w:val="009F1543"/>
    <w:rsid w:val="009F194D"/>
    <w:rsid w:val="009F1A20"/>
    <w:rsid w:val="009F1AEA"/>
    <w:rsid w:val="009F1F56"/>
    <w:rsid w:val="009F201C"/>
    <w:rsid w:val="009F21F1"/>
    <w:rsid w:val="009F2240"/>
    <w:rsid w:val="009F251D"/>
    <w:rsid w:val="009F2C9D"/>
    <w:rsid w:val="009F2ED8"/>
    <w:rsid w:val="009F3262"/>
    <w:rsid w:val="009F3445"/>
    <w:rsid w:val="009F3483"/>
    <w:rsid w:val="009F34FD"/>
    <w:rsid w:val="009F366B"/>
    <w:rsid w:val="009F3807"/>
    <w:rsid w:val="009F39B9"/>
    <w:rsid w:val="009F3AF0"/>
    <w:rsid w:val="009F3D04"/>
    <w:rsid w:val="009F3DE4"/>
    <w:rsid w:val="009F3E55"/>
    <w:rsid w:val="009F3E94"/>
    <w:rsid w:val="009F4737"/>
    <w:rsid w:val="009F47F9"/>
    <w:rsid w:val="009F480E"/>
    <w:rsid w:val="009F4906"/>
    <w:rsid w:val="009F50D5"/>
    <w:rsid w:val="009F526D"/>
    <w:rsid w:val="009F5270"/>
    <w:rsid w:val="009F5548"/>
    <w:rsid w:val="009F5C99"/>
    <w:rsid w:val="009F5D75"/>
    <w:rsid w:val="009F5FF5"/>
    <w:rsid w:val="009F610F"/>
    <w:rsid w:val="009F64CF"/>
    <w:rsid w:val="009F64DF"/>
    <w:rsid w:val="009F64FC"/>
    <w:rsid w:val="009F65BF"/>
    <w:rsid w:val="009F676A"/>
    <w:rsid w:val="009F6A1E"/>
    <w:rsid w:val="009F6EAE"/>
    <w:rsid w:val="009F772A"/>
    <w:rsid w:val="009F77DA"/>
    <w:rsid w:val="009F792C"/>
    <w:rsid w:val="009F7DBD"/>
    <w:rsid w:val="009F7E8C"/>
    <w:rsid w:val="00A000BF"/>
    <w:rsid w:val="00A00308"/>
    <w:rsid w:val="00A00384"/>
    <w:rsid w:val="00A006DB"/>
    <w:rsid w:val="00A0074C"/>
    <w:rsid w:val="00A009CC"/>
    <w:rsid w:val="00A00C95"/>
    <w:rsid w:val="00A00E1A"/>
    <w:rsid w:val="00A00F70"/>
    <w:rsid w:val="00A0142D"/>
    <w:rsid w:val="00A018AC"/>
    <w:rsid w:val="00A019A4"/>
    <w:rsid w:val="00A01A5C"/>
    <w:rsid w:val="00A02482"/>
    <w:rsid w:val="00A02575"/>
    <w:rsid w:val="00A0269C"/>
    <w:rsid w:val="00A027E3"/>
    <w:rsid w:val="00A0286B"/>
    <w:rsid w:val="00A02938"/>
    <w:rsid w:val="00A02A65"/>
    <w:rsid w:val="00A02B25"/>
    <w:rsid w:val="00A02ECE"/>
    <w:rsid w:val="00A03577"/>
    <w:rsid w:val="00A035B6"/>
    <w:rsid w:val="00A037D6"/>
    <w:rsid w:val="00A03AE5"/>
    <w:rsid w:val="00A03FB9"/>
    <w:rsid w:val="00A0438C"/>
    <w:rsid w:val="00A0447E"/>
    <w:rsid w:val="00A04551"/>
    <w:rsid w:val="00A04667"/>
    <w:rsid w:val="00A048B1"/>
    <w:rsid w:val="00A0495A"/>
    <w:rsid w:val="00A04E53"/>
    <w:rsid w:val="00A05048"/>
    <w:rsid w:val="00A050C7"/>
    <w:rsid w:val="00A05392"/>
    <w:rsid w:val="00A058EF"/>
    <w:rsid w:val="00A0596D"/>
    <w:rsid w:val="00A05A2B"/>
    <w:rsid w:val="00A05A40"/>
    <w:rsid w:val="00A05B1A"/>
    <w:rsid w:val="00A05B48"/>
    <w:rsid w:val="00A05D84"/>
    <w:rsid w:val="00A05DBA"/>
    <w:rsid w:val="00A06243"/>
    <w:rsid w:val="00A06339"/>
    <w:rsid w:val="00A063A0"/>
    <w:rsid w:val="00A0686B"/>
    <w:rsid w:val="00A0690D"/>
    <w:rsid w:val="00A0698D"/>
    <w:rsid w:val="00A06AA2"/>
    <w:rsid w:val="00A06E0E"/>
    <w:rsid w:val="00A06F88"/>
    <w:rsid w:val="00A070F7"/>
    <w:rsid w:val="00A0723E"/>
    <w:rsid w:val="00A07544"/>
    <w:rsid w:val="00A077B7"/>
    <w:rsid w:val="00A07852"/>
    <w:rsid w:val="00A07CA1"/>
    <w:rsid w:val="00A07D84"/>
    <w:rsid w:val="00A07E61"/>
    <w:rsid w:val="00A102AD"/>
    <w:rsid w:val="00A10E5F"/>
    <w:rsid w:val="00A1115D"/>
    <w:rsid w:val="00A11316"/>
    <w:rsid w:val="00A11377"/>
    <w:rsid w:val="00A117F2"/>
    <w:rsid w:val="00A119AA"/>
    <w:rsid w:val="00A11CA5"/>
    <w:rsid w:val="00A12258"/>
    <w:rsid w:val="00A12560"/>
    <w:rsid w:val="00A125CC"/>
    <w:rsid w:val="00A126E0"/>
    <w:rsid w:val="00A1271A"/>
    <w:rsid w:val="00A12A6F"/>
    <w:rsid w:val="00A12CB5"/>
    <w:rsid w:val="00A12E16"/>
    <w:rsid w:val="00A12FC0"/>
    <w:rsid w:val="00A130A2"/>
    <w:rsid w:val="00A13184"/>
    <w:rsid w:val="00A13238"/>
    <w:rsid w:val="00A132FB"/>
    <w:rsid w:val="00A135EA"/>
    <w:rsid w:val="00A1381D"/>
    <w:rsid w:val="00A13828"/>
    <w:rsid w:val="00A139F2"/>
    <w:rsid w:val="00A13AEF"/>
    <w:rsid w:val="00A13B02"/>
    <w:rsid w:val="00A13B5D"/>
    <w:rsid w:val="00A13CB7"/>
    <w:rsid w:val="00A13E7A"/>
    <w:rsid w:val="00A1492A"/>
    <w:rsid w:val="00A14960"/>
    <w:rsid w:val="00A14B61"/>
    <w:rsid w:val="00A14C3B"/>
    <w:rsid w:val="00A14CFA"/>
    <w:rsid w:val="00A14F06"/>
    <w:rsid w:val="00A14F28"/>
    <w:rsid w:val="00A15107"/>
    <w:rsid w:val="00A1525E"/>
    <w:rsid w:val="00A156E8"/>
    <w:rsid w:val="00A156FD"/>
    <w:rsid w:val="00A159DF"/>
    <w:rsid w:val="00A15AFC"/>
    <w:rsid w:val="00A15BC2"/>
    <w:rsid w:val="00A15CA4"/>
    <w:rsid w:val="00A16190"/>
    <w:rsid w:val="00A162CE"/>
    <w:rsid w:val="00A16520"/>
    <w:rsid w:val="00A16C70"/>
    <w:rsid w:val="00A16D0F"/>
    <w:rsid w:val="00A16E44"/>
    <w:rsid w:val="00A16F60"/>
    <w:rsid w:val="00A16F63"/>
    <w:rsid w:val="00A16F79"/>
    <w:rsid w:val="00A170ED"/>
    <w:rsid w:val="00A1736E"/>
    <w:rsid w:val="00A17578"/>
    <w:rsid w:val="00A1776C"/>
    <w:rsid w:val="00A178EC"/>
    <w:rsid w:val="00A17E0D"/>
    <w:rsid w:val="00A2001D"/>
    <w:rsid w:val="00A202A9"/>
    <w:rsid w:val="00A203AD"/>
    <w:rsid w:val="00A203B2"/>
    <w:rsid w:val="00A20494"/>
    <w:rsid w:val="00A204E5"/>
    <w:rsid w:val="00A20522"/>
    <w:rsid w:val="00A205BC"/>
    <w:rsid w:val="00A2076A"/>
    <w:rsid w:val="00A20C0E"/>
    <w:rsid w:val="00A2106F"/>
    <w:rsid w:val="00A21324"/>
    <w:rsid w:val="00A21444"/>
    <w:rsid w:val="00A214A7"/>
    <w:rsid w:val="00A2162F"/>
    <w:rsid w:val="00A21670"/>
    <w:rsid w:val="00A216FC"/>
    <w:rsid w:val="00A2195A"/>
    <w:rsid w:val="00A21968"/>
    <w:rsid w:val="00A21A4A"/>
    <w:rsid w:val="00A21E82"/>
    <w:rsid w:val="00A2206D"/>
    <w:rsid w:val="00A222EB"/>
    <w:rsid w:val="00A22463"/>
    <w:rsid w:val="00A2261D"/>
    <w:rsid w:val="00A227EF"/>
    <w:rsid w:val="00A22856"/>
    <w:rsid w:val="00A229F5"/>
    <w:rsid w:val="00A22AD4"/>
    <w:rsid w:val="00A22BB2"/>
    <w:rsid w:val="00A22C96"/>
    <w:rsid w:val="00A2313B"/>
    <w:rsid w:val="00A231AA"/>
    <w:rsid w:val="00A2323A"/>
    <w:rsid w:val="00A23AAB"/>
    <w:rsid w:val="00A23C1B"/>
    <w:rsid w:val="00A23E10"/>
    <w:rsid w:val="00A2404E"/>
    <w:rsid w:val="00A24389"/>
    <w:rsid w:val="00A249B3"/>
    <w:rsid w:val="00A24D2E"/>
    <w:rsid w:val="00A24D8F"/>
    <w:rsid w:val="00A24E12"/>
    <w:rsid w:val="00A24E78"/>
    <w:rsid w:val="00A25161"/>
    <w:rsid w:val="00A251D3"/>
    <w:rsid w:val="00A251FD"/>
    <w:rsid w:val="00A256FF"/>
    <w:rsid w:val="00A25E69"/>
    <w:rsid w:val="00A2607E"/>
    <w:rsid w:val="00A262C9"/>
    <w:rsid w:val="00A2631D"/>
    <w:rsid w:val="00A26744"/>
    <w:rsid w:val="00A26FF8"/>
    <w:rsid w:val="00A270D5"/>
    <w:rsid w:val="00A27376"/>
    <w:rsid w:val="00A275CB"/>
    <w:rsid w:val="00A27647"/>
    <w:rsid w:val="00A27666"/>
    <w:rsid w:val="00A27F31"/>
    <w:rsid w:val="00A300BA"/>
    <w:rsid w:val="00A30915"/>
    <w:rsid w:val="00A30A28"/>
    <w:rsid w:val="00A30B62"/>
    <w:rsid w:val="00A30D9B"/>
    <w:rsid w:val="00A310DD"/>
    <w:rsid w:val="00A3116C"/>
    <w:rsid w:val="00A3128C"/>
    <w:rsid w:val="00A316BB"/>
    <w:rsid w:val="00A31DD9"/>
    <w:rsid w:val="00A31F0C"/>
    <w:rsid w:val="00A3205E"/>
    <w:rsid w:val="00A3219F"/>
    <w:rsid w:val="00A32322"/>
    <w:rsid w:val="00A32497"/>
    <w:rsid w:val="00A32682"/>
    <w:rsid w:val="00A32968"/>
    <w:rsid w:val="00A32C43"/>
    <w:rsid w:val="00A32DB5"/>
    <w:rsid w:val="00A32E0F"/>
    <w:rsid w:val="00A32E37"/>
    <w:rsid w:val="00A32E4D"/>
    <w:rsid w:val="00A32E72"/>
    <w:rsid w:val="00A330BF"/>
    <w:rsid w:val="00A33107"/>
    <w:rsid w:val="00A33157"/>
    <w:rsid w:val="00A33172"/>
    <w:rsid w:val="00A332A4"/>
    <w:rsid w:val="00A3393A"/>
    <w:rsid w:val="00A3420F"/>
    <w:rsid w:val="00A342E0"/>
    <w:rsid w:val="00A34585"/>
    <w:rsid w:val="00A34674"/>
    <w:rsid w:val="00A34A3C"/>
    <w:rsid w:val="00A34AE4"/>
    <w:rsid w:val="00A34B98"/>
    <w:rsid w:val="00A34F61"/>
    <w:rsid w:val="00A34F79"/>
    <w:rsid w:val="00A35196"/>
    <w:rsid w:val="00A352A9"/>
    <w:rsid w:val="00A353A9"/>
    <w:rsid w:val="00A353C1"/>
    <w:rsid w:val="00A35425"/>
    <w:rsid w:val="00A35803"/>
    <w:rsid w:val="00A3590E"/>
    <w:rsid w:val="00A3593F"/>
    <w:rsid w:val="00A360B5"/>
    <w:rsid w:val="00A36102"/>
    <w:rsid w:val="00A36246"/>
    <w:rsid w:val="00A3674A"/>
    <w:rsid w:val="00A36A31"/>
    <w:rsid w:val="00A36A4C"/>
    <w:rsid w:val="00A36E8E"/>
    <w:rsid w:val="00A37190"/>
    <w:rsid w:val="00A373A8"/>
    <w:rsid w:val="00A3744B"/>
    <w:rsid w:val="00A37940"/>
    <w:rsid w:val="00A37A1C"/>
    <w:rsid w:val="00A37B5D"/>
    <w:rsid w:val="00A37BF8"/>
    <w:rsid w:val="00A37C47"/>
    <w:rsid w:val="00A37ECC"/>
    <w:rsid w:val="00A40747"/>
    <w:rsid w:val="00A40AFC"/>
    <w:rsid w:val="00A40B17"/>
    <w:rsid w:val="00A40C68"/>
    <w:rsid w:val="00A40E2F"/>
    <w:rsid w:val="00A40EDA"/>
    <w:rsid w:val="00A412F8"/>
    <w:rsid w:val="00A41CE1"/>
    <w:rsid w:val="00A41CF1"/>
    <w:rsid w:val="00A41FDF"/>
    <w:rsid w:val="00A42353"/>
    <w:rsid w:val="00A42821"/>
    <w:rsid w:val="00A4282D"/>
    <w:rsid w:val="00A42832"/>
    <w:rsid w:val="00A428EB"/>
    <w:rsid w:val="00A42925"/>
    <w:rsid w:val="00A42C43"/>
    <w:rsid w:val="00A42C4F"/>
    <w:rsid w:val="00A42E3D"/>
    <w:rsid w:val="00A43086"/>
    <w:rsid w:val="00A430C9"/>
    <w:rsid w:val="00A430FD"/>
    <w:rsid w:val="00A4317F"/>
    <w:rsid w:val="00A431CF"/>
    <w:rsid w:val="00A4321E"/>
    <w:rsid w:val="00A4345B"/>
    <w:rsid w:val="00A435B3"/>
    <w:rsid w:val="00A43612"/>
    <w:rsid w:val="00A439BF"/>
    <w:rsid w:val="00A43A15"/>
    <w:rsid w:val="00A43A4D"/>
    <w:rsid w:val="00A43AB2"/>
    <w:rsid w:val="00A43E12"/>
    <w:rsid w:val="00A442DC"/>
    <w:rsid w:val="00A4440B"/>
    <w:rsid w:val="00A44571"/>
    <w:rsid w:val="00A448AF"/>
    <w:rsid w:val="00A449AB"/>
    <w:rsid w:val="00A449F0"/>
    <w:rsid w:val="00A44AD6"/>
    <w:rsid w:val="00A44DF3"/>
    <w:rsid w:val="00A44E57"/>
    <w:rsid w:val="00A44F21"/>
    <w:rsid w:val="00A455DF"/>
    <w:rsid w:val="00A45DF8"/>
    <w:rsid w:val="00A4610F"/>
    <w:rsid w:val="00A46319"/>
    <w:rsid w:val="00A46784"/>
    <w:rsid w:val="00A467A1"/>
    <w:rsid w:val="00A46D99"/>
    <w:rsid w:val="00A4707B"/>
    <w:rsid w:val="00A470CC"/>
    <w:rsid w:val="00A47191"/>
    <w:rsid w:val="00A4732D"/>
    <w:rsid w:val="00A473DE"/>
    <w:rsid w:val="00A47A10"/>
    <w:rsid w:val="00A47B13"/>
    <w:rsid w:val="00A47D1F"/>
    <w:rsid w:val="00A5018D"/>
    <w:rsid w:val="00A503ED"/>
    <w:rsid w:val="00A5040D"/>
    <w:rsid w:val="00A50906"/>
    <w:rsid w:val="00A50A26"/>
    <w:rsid w:val="00A50B69"/>
    <w:rsid w:val="00A5117A"/>
    <w:rsid w:val="00A514C2"/>
    <w:rsid w:val="00A517A6"/>
    <w:rsid w:val="00A517B4"/>
    <w:rsid w:val="00A519F8"/>
    <w:rsid w:val="00A51A2F"/>
    <w:rsid w:val="00A51CB1"/>
    <w:rsid w:val="00A51D8E"/>
    <w:rsid w:val="00A51EB3"/>
    <w:rsid w:val="00A51F37"/>
    <w:rsid w:val="00A51FDD"/>
    <w:rsid w:val="00A521A3"/>
    <w:rsid w:val="00A52234"/>
    <w:rsid w:val="00A522E4"/>
    <w:rsid w:val="00A52355"/>
    <w:rsid w:val="00A52543"/>
    <w:rsid w:val="00A52725"/>
    <w:rsid w:val="00A529FC"/>
    <w:rsid w:val="00A52C57"/>
    <w:rsid w:val="00A52E08"/>
    <w:rsid w:val="00A52F3F"/>
    <w:rsid w:val="00A52FE1"/>
    <w:rsid w:val="00A532CA"/>
    <w:rsid w:val="00A53388"/>
    <w:rsid w:val="00A5359C"/>
    <w:rsid w:val="00A53799"/>
    <w:rsid w:val="00A537D1"/>
    <w:rsid w:val="00A5390E"/>
    <w:rsid w:val="00A53CFF"/>
    <w:rsid w:val="00A53D15"/>
    <w:rsid w:val="00A53DE0"/>
    <w:rsid w:val="00A53E71"/>
    <w:rsid w:val="00A54088"/>
    <w:rsid w:val="00A545EB"/>
    <w:rsid w:val="00A547E3"/>
    <w:rsid w:val="00A549A7"/>
    <w:rsid w:val="00A54CB6"/>
    <w:rsid w:val="00A54CBB"/>
    <w:rsid w:val="00A54E0A"/>
    <w:rsid w:val="00A54F88"/>
    <w:rsid w:val="00A550A1"/>
    <w:rsid w:val="00A55281"/>
    <w:rsid w:val="00A558F7"/>
    <w:rsid w:val="00A55AB2"/>
    <w:rsid w:val="00A55E05"/>
    <w:rsid w:val="00A56553"/>
    <w:rsid w:val="00A56BB7"/>
    <w:rsid w:val="00A571AF"/>
    <w:rsid w:val="00A57C05"/>
    <w:rsid w:val="00A57CB8"/>
    <w:rsid w:val="00A57D58"/>
    <w:rsid w:val="00A57F0C"/>
    <w:rsid w:val="00A6008A"/>
    <w:rsid w:val="00A6024D"/>
    <w:rsid w:val="00A60520"/>
    <w:rsid w:val="00A605B2"/>
    <w:rsid w:val="00A60633"/>
    <w:rsid w:val="00A6077C"/>
    <w:rsid w:val="00A608DC"/>
    <w:rsid w:val="00A60CA4"/>
    <w:rsid w:val="00A61555"/>
    <w:rsid w:val="00A61878"/>
    <w:rsid w:val="00A61D24"/>
    <w:rsid w:val="00A61DCC"/>
    <w:rsid w:val="00A61EB6"/>
    <w:rsid w:val="00A61F7A"/>
    <w:rsid w:val="00A62029"/>
    <w:rsid w:val="00A6217A"/>
    <w:rsid w:val="00A62458"/>
    <w:rsid w:val="00A6275F"/>
    <w:rsid w:val="00A6277F"/>
    <w:rsid w:val="00A62946"/>
    <w:rsid w:val="00A62D86"/>
    <w:rsid w:val="00A6351E"/>
    <w:rsid w:val="00A638C9"/>
    <w:rsid w:val="00A63DE2"/>
    <w:rsid w:val="00A63FAC"/>
    <w:rsid w:val="00A640C3"/>
    <w:rsid w:val="00A64439"/>
    <w:rsid w:val="00A64507"/>
    <w:rsid w:val="00A64676"/>
    <w:rsid w:val="00A6471A"/>
    <w:rsid w:val="00A648C2"/>
    <w:rsid w:val="00A6495F"/>
    <w:rsid w:val="00A64CC0"/>
    <w:rsid w:val="00A64E9C"/>
    <w:rsid w:val="00A64FBC"/>
    <w:rsid w:val="00A651A4"/>
    <w:rsid w:val="00A651F7"/>
    <w:rsid w:val="00A65229"/>
    <w:rsid w:val="00A652D3"/>
    <w:rsid w:val="00A6542F"/>
    <w:rsid w:val="00A65A26"/>
    <w:rsid w:val="00A65BB4"/>
    <w:rsid w:val="00A65E0F"/>
    <w:rsid w:val="00A65FED"/>
    <w:rsid w:val="00A66301"/>
    <w:rsid w:val="00A6656D"/>
    <w:rsid w:val="00A6659F"/>
    <w:rsid w:val="00A66D5C"/>
    <w:rsid w:val="00A66DFF"/>
    <w:rsid w:val="00A677B1"/>
    <w:rsid w:val="00A677E5"/>
    <w:rsid w:val="00A67817"/>
    <w:rsid w:val="00A67C9C"/>
    <w:rsid w:val="00A67E5A"/>
    <w:rsid w:val="00A67F09"/>
    <w:rsid w:val="00A70212"/>
    <w:rsid w:val="00A70253"/>
    <w:rsid w:val="00A705F5"/>
    <w:rsid w:val="00A7088F"/>
    <w:rsid w:val="00A70B4B"/>
    <w:rsid w:val="00A70B84"/>
    <w:rsid w:val="00A70BA8"/>
    <w:rsid w:val="00A70BB2"/>
    <w:rsid w:val="00A70C93"/>
    <w:rsid w:val="00A70DBF"/>
    <w:rsid w:val="00A70F69"/>
    <w:rsid w:val="00A7135F"/>
    <w:rsid w:val="00A71561"/>
    <w:rsid w:val="00A715E3"/>
    <w:rsid w:val="00A718E9"/>
    <w:rsid w:val="00A71997"/>
    <w:rsid w:val="00A71A98"/>
    <w:rsid w:val="00A71C20"/>
    <w:rsid w:val="00A71CE2"/>
    <w:rsid w:val="00A71F7D"/>
    <w:rsid w:val="00A72000"/>
    <w:rsid w:val="00A722AD"/>
    <w:rsid w:val="00A72493"/>
    <w:rsid w:val="00A728D5"/>
    <w:rsid w:val="00A72A95"/>
    <w:rsid w:val="00A733ED"/>
    <w:rsid w:val="00A735B7"/>
    <w:rsid w:val="00A7363D"/>
    <w:rsid w:val="00A739C4"/>
    <w:rsid w:val="00A73C48"/>
    <w:rsid w:val="00A73E16"/>
    <w:rsid w:val="00A73F70"/>
    <w:rsid w:val="00A74248"/>
    <w:rsid w:val="00A742AE"/>
    <w:rsid w:val="00A74367"/>
    <w:rsid w:val="00A745CA"/>
    <w:rsid w:val="00A746A7"/>
    <w:rsid w:val="00A74934"/>
    <w:rsid w:val="00A74C91"/>
    <w:rsid w:val="00A750F7"/>
    <w:rsid w:val="00A75213"/>
    <w:rsid w:val="00A7559B"/>
    <w:rsid w:val="00A758C4"/>
    <w:rsid w:val="00A759CA"/>
    <w:rsid w:val="00A759E7"/>
    <w:rsid w:val="00A75A3D"/>
    <w:rsid w:val="00A75AAD"/>
    <w:rsid w:val="00A75ABD"/>
    <w:rsid w:val="00A75B39"/>
    <w:rsid w:val="00A75BAD"/>
    <w:rsid w:val="00A75C1E"/>
    <w:rsid w:val="00A75E0E"/>
    <w:rsid w:val="00A75F22"/>
    <w:rsid w:val="00A761B8"/>
    <w:rsid w:val="00A76301"/>
    <w:rsid w:val="00A7662D"/>
    <w:rsid w:val="00A767DD"/>
    <w:rsid w:val="00A769E3"/>
    <w:rsid w:val="00A76A5E"/>
    <w:rsid w:val="00A76B70"/>
    <w:rsid w:val="00A77471"/>
    <w:rsid w:val="00A778F3"/>
    <w:rsid w:val="00A77ACB"/>
    <w:rsid w:val="00A77CC9"/>
    <w:rsid w:val="00A77EE1"/>
    <w:rsid w:val="00A77FF3"/>
    <w:rsid w:val="00A806CA"/>
    <w:rsid w:val="00A807B9"/>
    <w:rsid w:val="00A807BE"/>
    <w:rsid w:val="00A80A82"/>
    <w:rsid w:val="00A80B71"/>
    <w:rsid w:val="00A80C71"/>
    <w:rsid w:val="00A80F0D"/>
    <w:rsid w:val="00A80F23"/>
    <w:rsid w:val="00A81B79"/>
    <w:rsid w:val="00A81E4A"/>
    <w:rsid w:val="00A82053"/>
    <w:rsid w:val="00A82202"/>
    <w:rsid w:val="00A82567"/>
    <w:rsid w:val="00A82661"/>
    <w:rsid w:val="00A8286B"/>
    <w:rsid w:val="00A8288E"/>
    <w:rsid w:val="00A82A54"/>
    <w:rsid w:val="00A82B6B"/>
    <w:rsid w:val="00A82CFE"/>
    <w:rsid w:val="00A82D2B"/>
    <w:rsid w:val="00A82E8B"/>
    <w:rsid w:val="00A83332"/>
    <w:rsid w:val="00A83574"/>
    <w:rsid w:val="00A83670"/>
    <w:rsid w:val="00A83CB4"/>
    <w:rsid w:val="00A83E96"/>
    <w:rsid w:val="00A83F19"/>
    <w:rsid w:val="00A84088"/>
    <w:rsid w:val="00A841F2"/>
    <w:rsid w:val="00A842DD"/>
    <w:rsid w:val="00A842EE"/>
    <w:rsid w:val="00A84388"/>
    <w:rsid w:val="00A84592"/>
    <w:rsid w:val="00A847B5"/>
    <w:rsid w:val="00A847BE"/>
    <w:rsid w:val="00A847E6"/>
    <w:rsid w:val="00A848B8"/>
    <w:rsid w:val="00A84A27"/>
    <w:rsid w:val="00A84AE9"/>
    <w:rsid w:val="00A84C75"/>
    <w:rsid w:val="00A84C85"/>
    <w:rsid w:val="00A84DDB"/>
    <w:rsid w:val="00A85006"/>
    <w:rsid w:val="00A851DA"/>
    <w:rsid w:val="00A852C6"/>
    <w:rsid w:val="00A8558F"/>
    <w:rsid w:val="00A85608"/>
    <w:rsid w:val="00A857E0"/>
    <w:rsid w:val="00A85A4A"/>
    <w:rsid w:val="00A85C2A"/>
    <w:rsid w:val="00A85DF3"/>
    <w:rsid w:val="00A85FC6"/>
    <w:rsid w:val="00A86701"/>
    <w:rsid w:val="00A86767"/>
    <w:rsid w:val="00A868BB"/>
    <w:rsid w:val="00A86A0A"/>
    <w:rsid w:val="00A86B80"/>
    <w:rsid w:val="00A86DDD"/>
    <w:rsid w:val="00A86E63"/>
    <w:rsid w:val="00A86F41"/>
    <w:rsid w:val="00A86F45"/>
    <w:rsid w:val="00A870B2"/>
    <w:rsid w:val="00A87514"/>
    <w:rsid w:val="00A87762"/>
    <w:rsid w:val="00A87845"/>
    <w:rsid w:val="00A87A4B"/>
    <w:rsid w:val="00A87EBB"/>
    <w:rsid w:val="00A9022B"/>
    <w:rsid w:val="00A90275"/>
    <w:rsid w:val="00A90338"/>
    <w:rsid w:val="00A90640"/>
    <w:rsid w:val="00A907AA"/>
    <w:rsid w:val="00A90916"/>
    <w:rsid w:val="00A90DEE"/>
    <w:rsid w:val="00A911FC"/>
    <w:rsid w:val="00A91510"/>
    <w:rsid w:val="00A9181B"/>
    <w:rsid w:val="00A91875"/>
    <w:rsid w:val="00A91B9B"/>
    <w:rsid w:val="00A91E32"/>
    <w:rsid w:val="00A925D5"/>
    <w:rsid w:val="00A9277E"/>
    <w:rsid w:val="00A927DF"/>
    <w:rsid w:val="00A92A6A"/>
    <w:rsid w:val="00A92FFF"/>
    <w:rsid w:val="00A9363D"/>
    <w:rsid w:val="00A937D8"/>
    <w:rsid w:val="00A93F6D"/>
    <w:rsid w:val="00A94069"/>
    <w:rsid w:val="00A9414C"/>
    <w:rsid w:val="00A942FD"/>
    <w:rsid w:val="00A94350"/>
    <w:rsid w:val="00A94357"/>
    <w:rsid w:val="00A944C4"/>
    <w:rsid w:val="00A9465A"/>
    <w:rsid w:val="00A946DA"/>
    <w:rsid w:val="00A94924"/>
    <w:rsid w:val="00A94AC8"/>
    <w:rsid w:val="00A94C03"/>
    <w:rsid w:val="00A94DDE"/>
    <w:rsid w:val="00A94EA4"/>
    <w:rsid w:val="00A94EDC"/>
    <w:rsid w:val="00A950B5"/>
    <w:rsid w:val="00A95DCC"/>
    <w:rsid w:val="00A95E3C"/>
    <w:rsid w:val="00A95E66"/>
    <w:rsid w:val="00A96065"/>
    <w:rsid w:val="00A96294"/>
    <w:rsid w:val="00A963E5"/>
    <w:rsid w:val="00A963EB"/>
    <w:rsid w:val="00A9670A"/>
    <w:rsid w:val="00A96AD0"/>
    <w:rsid w:val="00A96B05"/>
    <w:rsid w:val="00A96F61"/>
    <w:rsid w:val="00A97199"/>
    <w:rsid w:val="00A9719F"/>
    <w:rsid w:val="00A971BB"/>
    <w:rsid w:val="00A972A8"/>
    <w:rsid w:val="00A974E6"/>
    <w:rsid w:val="00A975CE"/>
    <w:rsid w:val="00A977CC"/>
    <w:rsid w:val="00A97CC9"/>
    <w:rsid w:val="00A97CCF"/>
    <w:rsid w:val="00A97CD0"/>
    <w:rsid w:val="00A97FC5"/>
    <w:rsid w:val="00AA0062"/>
    <w:rsid w:val="00AA015A"/>
    <w:rsid w:val="00AA046F"/>
    <w:rsid w:val="00AA0ABE"/>
    <w:rsid w:val="00AA111F"/>
    <w:rsid w:val="00AA1167"/>
    <w:rsid w:val="00AA12D2"/>
    <w:rsid w:val="00AA149F"/>
    <w:rsid w:val="00AA14A7"/>
    <w:rsid w:val="00AA1555"/>
    <w:rsid w:val="00AA181D"/>
    <w:rsid w:val="00AA1A7B"/>
    <w:rsid w:val="00AA1B72"/>
    <w:rsid w:val="00AA1C91"/>
    <w:rsid w:val="00AA1C9A"/>
    <w:rsid w:val="00AA1DBD"/>
    <w:rsid w:val="00AA1EE0"/>
    <w:rsid w:val="00AA2197"/>
    <w:rsid w:val="00AA2388"/>
    <w:rsid w:val="00AA2399"/>
    <w:rsid w:val="00AA253C"/>
    <w:rsid w:val="00AA26E5"/>
    <w:rsid w:val="00AA2753"/>
    <w:rsid w:val="00AA284C"/>
    <w:rsid w:val="00AA29CB"/>
    <w:rsid w:val="00AA2AEC"/>
    <w:rsid w:val="00AA2B67"/>
    <w:rsid w:val="00AA2DCF"/>
    <w:rsid w:val="00AA2F61"/>
    <w:rsid w:val="00AA2F94"/>
    <w:rsid w:val="00AA32E4"/>
    <w:rsid w:val="00AA3534"/>
    <w:rsid w:val="00AA38E5"/>
    <w:rsid w:val="00AA39ED"/>
    <w:rsid w:val="00AA401C"/>
    <w:rsid w:val="00AA449C"/>
    <w:rsid w:val="00AA44A0"/>
    <w:rsid w:val="00AA46C3"/>
    <w:rsid w:val="00AA47F6"/>
    <w:rsid w:val="00AA4B97"/>
    <w:rsid w:val="00AA4D19"/>
    <w:rsid w:val="00AA5077"/>
    <w:rsid w:val="00AA5425"/>
    <w:rsid w:val="00AA55D5"/>
    <w:rsid w:val="00AA571D"/>
    <w:rsid w:val="00AA5D9D"/>
    <w:rsid w:val="00AA5DC7"/>
    <w:rsid w:val="00AA5F38"/>
    <w:rsid w:val="00AA60A1"/>
    <w:rsid w:val="00AA64E5"/>
    <w:rsid w:val="00AA6788"/>
    <w:rsid w:val="00AA6B7F"/>
    <w:rsid w:val="00AA6BB5"/>
    <w:rsid w:val="00AA6BC2"/>
    <w:rsid w:val="00AA6C10"/>
    <w:rsid w:val="00AA6C72"/>
    <w:rsid w:val="00AA6D38"/>
    <w:rsid w:val="00AA6EE1"/>
    <w:rsid w:val="00AA6FA6"/>
    <w:rsid w:val="00AA70AA"/>
    <w:rsid w:val="00AA71CB"/>
    <w:rsid w:val="00AA763E"/>
    <w:rsid w:val="00AA7875"/>
    <w:rsid w:val="00AA7AC3"/>
    <w:rsid w:val="00AA7C5D"/>
    <w:rsid w:val="00AA7FEF"/>
    <w:rsid w:val="00AB0D7A"/>
    <w:rsid w:val="00AB0E51"/>
    <w:rsid w:val="00AB1425"/>
    <w:rsid w:val="00AB164E"/>
    <w:rsid w:val="00AB1982"/>
    <w:rsid w:val="00AB1AFC"/>
    <w:rsid w:val="00AB1F93"/>
    <w:rsid w:val="00AB20D8"/>
    <w:rsid w:val="00AB2248"/>
    <w:rsid w:val="00AB22BA"/>
    <w:rsid w:val="00AB2510"/>
    <w:rsid w:val="00AB256B"/>
    <w:rsid w:val="00AB2598"/>
    <w:rsid w:val="00AB266F"/>
    <w:rsid w:val="00AB27F8"/>
    <w:rsid w:val="00AB2935"/>
    <w:rsid w:val="00AB32B5"/>
    <w:rsid w:val="00AB3476"/>
    <w:rsid w:val="00AB3762"/>
    <w:rsid w:val="00AB37B2"/>
    <w:rsid w:val="00AB3B2F"/>
    <w:rsid w:val="00AB3C04"/>
    <w:rsid w:val="00AB3CB7"/>
    <w:rsid w:val="00AB3CEC"/>
    <w:rsid w:val="00AB3EE5"/>
    <w:rsid w:val="00AB4039"/>
    <w:rsid w:val="00AB412D"/>
    <w:rsid w:val="00AB4205"/>
    <w:rsid w:val="00AB42E0"/>
    <w:rsid w:val="00AB4C09"/>
    <w:rsid w:val="00AB4DCA"/>
    <w:rsid w:val="00AB4EC1"/>
    <w:rsid w:val="00AB5096"/>
    <w:rsid w:val="00AB5790"/>
    <w:rsid w:val="00AB591B"/>
    <w:rsid w:val="00AB5AB9"/>
    <w:rsid w:val="00AB5C8B"/>
    <w:rsid w:val="00AB5CCF"/>
    <w:rsid w:val="00AB5E5B"/>
    <w:rsid w:val="00AB608D"/>
    <w:rsid w:val="00AB6107"/>
    <w:rsid w:val="00AB6427"/>
    <w:rsid w:val="00AB6477"/>
    <w:rsid w:val="00AB659D"/>
    <w:rsid w:val="00AB661B"/>
    <w:rsid w:val="00AB7089"/>
    <w:rsid w:val="00AB72CD"/>
    <w:rsid w:val="00AB745E"/>
    <w:rsid w:val="00AB74BB"/>
    <w:rsid w:val="00AB7583"/>
    <w:rsid w:val="00AB759D"/>
    <w:rsid w:val="00AB76DF"/>
    <w:rsid w:val="00AB7718"/>
    <w:rsid w:val="00AB77C3"/>
    <w:rsid w:val="00AB7B44"/>
    <w:rsid w:val="00AB7E7E"/>
    <w:rsid w:val="00AC054C"/>
    <w:rsid w:val="00AC08D0"/>
    <w:rsid w:val="00AC092E"/>
    <w:rsid w:val="00AC0BAD"/>
    <w:rsid w:val="00AC0D53"/>
    <w:rsid w:val="00AC0E0D"/>
    <w:rsid w:val="00AC0EF1"/>
    <w:rsid w:val="00AC10A2"/>
    <w:rsid w:val="00AC12E4"/>
    <w:rsid w:val="00AC137E"/>
    <w:rsid w:val="00AC1587"/>
    <w:rsid w:val="00AC15D9"/>
    <w:rsid w:val="00AC18DE"/>
    <w:rsid w:val="00AC1ABA"/>
    <w:rsid w:val="00AC1D1D"/>
    <w:rsid w:val="00AC1D2E"/>
    <w:rsid w:val="00AC1EBC"/>
    <w:rsid w:val="00AC20C5"/>
    <w:rsid w:val="00AC2248"/>
    <w:rsid w:val="00AC2478"/>
    <w:rsid w:val="00AC2675"/>
    <w:rsid w:val="00AC2910"/>
    <w:rsid w:val="00AC29BE"/>
    <w:rsid w:val="00AC2BD7"/>
    <w:rsid w:val="00AC2C07"/>
    <w:rsid w:val="00AC2E08"/>
    <w:rsid w:val="00AC3133"/>
    <w:rsid w:val="00AC32D1"/>
    <w:rsid w:val="00AC3A47"/>
    <w:rsid w:val="00AC3BB5"/>
    <w:rsid w:val="00AC3C34"/>
    <w:rsid w:val="00AC3C3B"/>
    <w:rsid w:val="00AC3EC0"/>
    <w:rsid w:val="00AC40B9"/>
    <w:rsid w:val="00AC40CA"/>
    <w:rsid w:val="00AC43DC"/>
    <w:rsid w:val="00AC442A"/>
    <w:rsid w:val="00AC4535"/>
    <w:rsid w:val="00AC4572"/>
    <w:rsid w:val="00AC45B0"/>
    <w:rsid w:val="00AC477E"/>
    <w:rsid w:val="00AC4786"/>
    <w:rsid w:val="00AC48F6"/>
    <w:rsid w:val="00AC4A8B"/>
    <w:rsid w:val="00AC4C0E"/>
    <w:rsid w:val="00AC4C81"/>
    <w:rsid w:val="00AC5756"/>
    <w:rsid w:val="00AC5CAD"/>
    <w:rsid w:val="00AC5E52"/>
    <w:rsid w:val="00AC607F"/>
    <w:rsid w:val="00AC61C8"/>
    <w:rsid w:val="00AC6B77"/>
    <w:rsid w:val="00AC6BCB"/>
    <w:rsid w:val="00AC6C3C"/>
    <w:rsid w:val="00AC6FD8"/>
    <w:rsid w:val="00AC7037"/>
    <w:rsid w:val="00AC7066"/>
    <w:rsid w:val="00AC70B2"/>
    <w:rsid w:val="00AC70B5"/>
    <w:rsid w:val="00AC70C7"/>
    <w:rsid w:val="00AC7121"/>
    <w:rsid w:val="00AC71FB"/>
    <w:rsid w:val="00AC71FE"/>
    <w:rsid w:val="00AC722A"/>
    <w:rsid w:val="00AC74B6"/>
    <w:rsid w:val="00AC757B"/>
    <w:rsid w:val="00AC75D6"/>
    <w:rsid w:val="00AC792D"/>
    <w:rsid w:val="00AC79C7"/>
    <w:rsid w:val="00AC7B13"/>
    <w:rsid w:val="00AC7C20"/>
    <w:rsid w:val="00AC7FD8"/>
    <w:rsid w:val="00AD0121"/>
    <w:rsid w:val="00AD0510"/>
    <w:rsid w:val="00AD088B"/>
    <w:rsid w:val="00AD088D"/>
    <w:rsid w:val="00AD08B2"/>
    <w:rsid w:val="00AD08F3"/>
    <w:rsid w:val="00AD0A7C"/>
    <w:rsid w:val="00AD0CFD"/>
    <w:rsid w:val="00AD11FC"/>
    <w:rsid w:val="00AD1305"/>
    <w:rsid w:val="00AD1344"/>
    <w:rsid w:val="00AD1390"/>
    <w:rsid w:val="00AD1660"/>
    <w:rsid w:val="00AD181B"/>
    <w:rsid w:val="00AD194C"/>
    <w:rsid w:val="00AD1C4C"/>
    <w:rsid w:val="00AD1DF4"/>
    <w:rsid w:val="00AD1EF0"/>
    <w:rsid w:val="00AD1FFB"/>
    <w:rsid w:val="00AD2722"/>
    <w:rsid w:val="00AD27D5"/>
    <w:rsid w:val="00AD2986"/>
    <w:rsid w:val="00AD2A34"/>
    <w:rsid w:val="00AD2CB9"/>
    <w:rsid w:val="00AD2D4F"/>
    <w:rsid w:val="00AD316B"/>
    <w:rsid w:val="00AD355C"/>
    <w:rsid w:val="00AD3B6F"/>
    <w:rsid w:val="00AD3C6F"/>
    <w:rsid w:val="00AD3D8C"/>
    <w:rsid w:val="00AD3EA6"/>
    <w:rsid w:val="00AD42F1"/>
    <w:rsid w:val="00AD44EC"/>
    <w:rsid w:val="00AD484E"/>
    <w:rsid w:val="00AD4AEB"/>
    <w:rsid w:val="00AD4B1D"/>
    <w:rsid w:val="00AD5199"/>
    <w:rsid w:val="00AD5689"/>
    <w:rsid w:val="00AD577C"/>
    <w:rsid w:val="00AD57BF"/>
    <w:rsid w:val="00AD58E6"/>
    <w:rsid w:val="00AD5A89"/>
    <w:rsid w:val="00AD5AAC"/>
    <w:rsid w:val="00AD5C99"/>
    <w:rsid w:val="00AD5FD3"/>
    <w:rsid w:val="00AD608D"/>
    <w:rsid w:val="00AD608E"/>
    <w:rsid w:val="00AD6199"/>
    <w:rsid w:val="00AD63A0"/>
    <w:rsid w:val="00AD63F5"/>
    <w:rsid w:val="00AD69AD"/>
    <w:rsid w:val="00AD6A62"/>
    <w:rsid w:val="00AD6C17"/>
    <w:rsid w:val="00AD6E2A"/>
    <w:rsid w:val="00AD6E3C"/>
    <w:rsid w:val="00AD6EB2"/>
    <w:rsid w:val="00AD7000"/>
    <w:rsid w:val="00AD734E"/>
    <w:rsid w:val="00AD735E"/>
    <w:rsid w:val="00AD7847"/>
    <w:rsid w:val="00AD7A06"/>
    <w:rsid w:val="00AD7E71"/>
    <w:rsid w:val="00AD7ED2"/>
    <w:rsid w:val="00AE013A"/>
    <w:rsid w:val="00AE02FD"/>
    <w:rsid w:val="00AE0565"/>
    <w:rsid w:val="00AE05BC"/>
    <w:rsid w:val="00AE0845"/>
    <w:rsid w:val="00AE098C"/>
    <w:rsid w:val="00AE09DB"/>
    <w:rsid w:val="00AE0E56"/>
    <w:rsid w:val="00AE0FF9"/>
    <w:rsid w:val="00AE1080"/>
    <w:rsid w:val="00AE1680"/>
    <w:rsid w:val="00AE17BA"/>
    <w:rsid w:val="00AE1883"/>
    <w:rsid w:val="00AE1ACE"/>
    <w:rsid w:val="00AE2389"/>
    <w:rsid w:val="00AE2952"/>
    <w:rsid w:val="00AE29C2"/>
    <w:rsid w:val="00AE2B7F"/>
    <w:rsid w:val="00AE2D2E"/>
    <w:rsid w:val="00AE30AA"/>
    <w:rsid w:val="00AE326D"/>
    <w:rsid w:val="00AE33D4"/>
    <w:rsid w:val="00AE364C"/>
    <w:rsid w:val="00AE37B1"/>
    <w:rsid w:val="00AE3974"/>
    <w:rsid w:val="00AE3E99"/>
    <w:rsid w:val="00AE3EB3"/>
    <w:rsid w:val="00AE3FDE"/>
    <w:rsid w:val="00AE43D7"/>
    <w:rsid w:val="00AE4506"/>
    <w:rsid w:val="00AE4516"/>
    <w:rsid w:val="00AE463A"/>
    <w:rsid w:val="00AE472F"/>
    <w:rsid w:val="00AE4816"/>
    <w:rsid w:val="00AE49D5"/>
    <w:rsid w:val="00AE4CBB"/>
    <w:rsid w:val="00AE50C7"/>
    <w:rsid w:val="00AE582B"/>
    <w:rsid w:val="00AE59AA"/>
    <w:rsid w:val="00AE5A4E"/>
    <w:rsid w:val="00AE5B17"/>
    <w:rsid w:val="00AE5CA4"/>
    <w:rsid w:val="00AE5F13"/>
    <w:rsid w:val="00AE605F"/>
    <w:rsid w:val="00AE6620"/>
    <w:rsid w:val="00AE665D"/>
    <w:rsid w:val="00AE684B"/>
    <w:rsid w:val="00AE6A42"/>
    <w:rsid w:val="00AE6DD7"/>
    <w:rsid w:val="00AE6F0C"/>
    <w:rsid w:val="00AE777F"/>
    <w:rsid w:val="00AE7940"/>
    <w:rsid w:val="00AE79AC"/>
    <w:rsid w:val="00AE7CF0"/>
    <w:rsid w:val="00AE7D31"/>
    <w:rsid w:val="00AE7D41"/>
    <w:rsid w:val="00AE7F1A"/>
    <w:rsid w:val="00AE7FDB"/>
    <w:rsid w:val="00AF04B1"/>
    <w:rsid w:val="00AF07E2"/>
    <w:rsid w:val="00AF0829"/>
    <w:rsid w:val="00AF0891"/>
    <w:rsid w:val="00AF094C"/>
    <w:rsid w:val="00AF09B4"/>
    <w:rsid w:val="00AF0CE3"/>
    <w:rsid w:val="00AF0E10"/>
    <w:rsid w:val="00AF0EA4"/>
    <w:rsid w:val="00AF0FB5"/>
    <w:rsid w:val="00AF11EE"/>
    <w:rsid w:val="00AF1274"/>
    <w:rsid w:val="00AF1279"/>
    <w:rsid w:val="00AF12FA"/>
    <w:rsid w:val="00AF13B6"/>
    <w:rsid w:val="00AF15F0"/>
    <w:rsid w:val="00AF1A38"/>
    <w:rsid w:val="00AF1B8D"/>
    <w:rsid w:val="00AF1D23"/>
    <w:rsid w:val="00AF1FD6"/>
    <w:rsid w:val="00AF215A"/>
    <w:rsid w:val="00AF23E6"/>
    <w:rsid w:val="00AF273C"/>
    <w:rsid w:val="00AF2AF7"/>
    <w:rsid w:val="00AF2DA2"/>
    <w:rsid w:val="00AF2DF1"/>
    <w:rsid w:val="00AF2F6D"/>
    <w:rsid w:val="00AF30BA"/>
    <w:rsid w:val="00AF30D6"/>
    <w:rsid w:val="00AF32B2"/>
    <w:rsid w:val="00AF34E3"/>
    <w:rsid w:val="00AF3633"/>
    <w:rsid w:val="00AF37F1"/>
    <w:rsid w:val="00AF3DA2"/>
    <w:rsid w:val="00AF3E75"/>
    <w:rsid w:val="00AF3EFE"/>
    <w:rsid w:val="00AF409E"/>
    <w:rsid w:val="00AF42DF"/>
    <w:rsid w:val="00AF44F3"/>
    <w:rsid w:val="00AF50D6"/>
    <w:rsid w:val="00AF50E5"/>
    <w:rsid w:val="00AF52E7"/>
    <w:rsid w:val="00AF5320"/>
    <w:rsid w:val="00AF56B1"/>
    <w:rsid w:val="00AF57E8"/>
    <w:rsid w:val="00AF58DA"/>
    <w:rsid w:val="00AF5C83"/>
    <w:rsid w:val="00AF5C9F"/>
    <w:rsid w:val="00AF5D91"/>
    <w:rsid w:val="00AF627B"/>
    <w:rsid w:val="00AF630F"/>
    <w:rsid w:val="00AF677F"/>
    <w:rsid w:val="00AF68BC"/>
    <w:rsid w:val="00AF69E5"/>
    <w:rsid w:val="00AF6C31"/>
    <w:rsid w:val="00AF6C3C"/>
    <w:rsid w:val="00AF6E1F"/>
    <w:rsid w:val="00AF7736"/>
    <w:rsid w:val="00AF7966"/>
    <w:rsid w:val="00AF797F"/>
    <w:rsid w:val="00AF7FE4"/>
    <w:rsid w:val="00B00067"/>
    <w:rsid w:val="00B002CE"/>
    <w:rsid w:val="00B002E7"/>
    <w:rsid w:val="00B00C34"/>
    <w:rsid w:val="00B00ECD"/>
    <w:rsid w:val="00B0101D"/>
    <w:rsid w:val="00B01088"/>
    <w:rsid w:val="00B0118D"/>
    <w:rsid w:val="00B01253"/>
    <w:rsid w:val="00B013EA"/>
    <w:rsid w:val="00B018B0"/>
    <w:rsid w:val="00B01B28"/>
    <w:rsid w:val="00B01F5D"/>
    <w:rsid w:val="00B02009"/>
    <w:rsid w:val="00B02033"/>
    <w:rsid w:val="00B0222F"/>
    <w:rsid w:val="00B0225F"/>
    <w:rsid w:val="00B0234E"/>
    <w:rsid w:val="00B02400"/>
    <w:rsid w:val="00B02522"/>
    <w:rsid w:val="00B026DE"/>
    <w:rsid w:val="00B027A0"/>
    <w:rsid w:val="00B02CCC"/>
    <w:rsid w:val="00B02D33"/>
    <w:rsid w:val="00B02D82"/>
    <w:rsid w:val="00B03478"/>
    <w:rsid w:val="00B03799"/>
    <w:rsid w:val="00B03946"/>
    <w:rsid w:val="00B03A77"/>
    <w:rsid w:val="00B03B1F"/>
    <w:rsid w:val="00B03C06"/>
    <w:rsid w:val="00B03D36"/>
    <w:rsid w:val="00B03DC4"/>
    <w:rsid w:val="00B041D1"/>
    <w:rsid w:val="00B0449E"/>
    <w:rsid w:val="00B04552"/>
    <w:rsid w:val="00B04718"/>
    <w:rsid w:val="00B0487E"/>
    <w:rsid w:val="00B049C5"/>
    <w:rsid w:val="00B04AF9"/>
    <w:rsid w:val="00B04DBC"/>
    <w:rsid w:val="00B04E34"/>
    <w:rsid w:val="00B04EEF"/>
    <w:rsid w:val="00B050AB"/>
    <w:rsid w:val="00B050E8"/>
    <w:rsid w:val="00B05349"/>
    <w:rsid w:val="00B05421"/>
    <w:rsid w:val="00B05602"/>
    <w:rsid w:val="00B057B9"/>
    <w:rsid w:val="00B05902"/>
    <w:rsid w:val="00B05C1C"/>
    <w:rsid w:val="00B05D96"/>
    <w:rsid w:val="00B05ECB"/>
    <w:rsid w:val="00B05F1B"/>
    <w:rsid w:val="00B05F5B"/>
    <w:rsid w:val="00B05F72"/>
    <w:rsid w:val="00B05F73"/>
    <w:rsid w:val="00B06C69"/>
    <w:rsid w:val="00B06C84"/>
    <w:rsid w:val="00B076F1"/>
    <w:rsid w:val="00B07701"/>
    <w:rsid w:val="00B07820"/>
    <w:rsid w:val="00B078CD"/>
    <w:rsid w:val="00B104C0"/>
    <w:rsid w:val="00B104C9"/>
    <w:rsid w:val="00B10695"/>
    <w:rsid w:val="00B106D4"/>
    <w:rsid w:val="00B10700"/>
    <w:rsid w:val="00B10992"/>
    <w:rsid w:val="00B10D96"/>
    <w:rsid w:val="00B10E8D"/>
    <w:rsid w:val="00B111E3"/>
    <w:rsid w:val="00B112C2"/>
    <w:rsid w:val="00B114C9"/>
    <w:rsid w:val="00B116CD"/>
    <w:rsid w:val="00B117AF"/>
    <w:rsid w:val="00B1188D"/>
    <w:rsid w:val="00B1213D"/>
    <w:rsid w:val="00B1248B"/>
    <w:rsid w:val="00B124D6"/>
    <w:rsid w:val="00B126B9"/>
    <w:rsid w:val="00B126C0"/>
    <w:rsid w:val="00B126F8"/>
    <w:rsid w:val="00B12931"/>
    <w:rsid w:val="00B129C4"/>
    <w:rsid w:val="00B12A00"/>
    <w:rsid w:val="00B12A27"/>
    <w:rsid w:val="00B12E57"/>
    <w:rsid w:val="00B12F96"/>
    <w:rsid w:val="00B13331"/>
    <w:rsid w:val="00B1370E"/>
    <w:rsid w:val="00B1373F"/>
    <w:rsid w:val="00B13780"/>
    <w:rsid w:val="00B139BE"/>
    <w:rsid w:val="00B13B9A"/>
    <w:rsid w:val="00B13BAE"/>
    <w:rsid w:val="00B13E45"/>
    <w:rsid w:val="00B142EC"/>
    <w:rsid w:val="00B14920"/>
    <w:rsid w:val="00B14A7E"/>
    <w:rsid w:val="00B14C45"/>
    <w:rsid w:val="00B14DF3"/>
    <w:rsid w:val="00B14E7E"/>
    <w:rsid w:val="00B1534C"/>
    <w:rsid w:val="00B15468"/>
    <w:rsid w:val="00B158B9"/>
    <w:rsid w:val="00B1592C"/>
    <w:rsid w:val="00B15987"/>
    <w:rsid w:val="00B15A5A"/>
    <w:rsid w:val="00B15C46"/>
    <w:rsid w:val="00B15D3A"/>
    <w:rsid w:val="00B16347"/>
    <w:rsid w:val="00B1646D"/>
    <w:rsid w:val="00B1663E"/>
    <w:rsid w:val="00B16977"/>
    <w:rsid w:val="00B16B43"/>
    <w:rsid w:val="00B17180"/>
    <w:rsid w:val="00B174FE"/>
    <w:rsid w:val="00B17BE7"/>
    <w:rsid w:val="00B17E47"/>
    <w:rsid w:val="00B17E54"/>
    <w:rsid w:val="00B2022F"/>
    <w:rsid w:val="00B20727"/>
    <w:rsid w:val="00B20D73"/>
    <w:rsid w:val="00B210E2"/>
    <w:rsid w:val="00B216D1"/>
    <w:rsid w:val="00B2172C"/>
    <w:rsid w:val="00B219AD"/>
    <w:rsid w:val="00B21B18"/>
    <w:rsid w:val="00B21FD8"/>
    <w:rsid w:val="00B22215"/>
    <w:rsid w:val="00B22322"/>
    <w:rsid w:val="00B2237E"/>
    <w:rsid w:val="00B22473"/>
    <w:rsid w:val="00B22687"/>
    <w:rsid w:val="00B22A04"/>
    <w:rsid w:val="00B22B20"/>
    <w:rsid w:val="00B22D69"/>
    <w:rsid w:val="00B22D95"/>
    <w:rsid w:val="00B23760"/>
    <w:rsid w:val="00B238C8"/>
    <w:rsid w:val="00B23BD9"/>
    <w:rsid w:val="00B23BEB"/>
    <w:rsid w:val="00B23C8B"/>
    <w:rsid w:val="00B23E4B"/>
    <w:rsid w:val="00B2405A"/>
    <w:rsid w:val="00B240FD"/>
    <w:rsid w:val="00B242B6"/>
    <w:rsid w:val="00B24591"/>
    <w:rsid w:val="00B245EE"/>
    <w:rsid w:val="00B24958"/>
    <w:rsid w:val="00B24DAE"/>
    <w:rsid w:val="00B24E42"/>
    <w:rsid w:val="00B24F2A"/>
    <w:rsid w:val="00B24F71"/>
    <w:rsid w:val="00B2524F"/>
    <w:rsid w:val="00B25479"/>
    <w:rsid w:val="00B2551B"/>
    <w:rsid w:val="00B25525"/>
    <w:rsid w:val="00B25534"/>
    <w:rsid w:val="00B25708"/>
    <w:rsid w:val="00B258DF"/>
    <w:rsid w:val="00B25ACA"/>
    <w:rsid w:val="00B25E2F"/>
    <w:rsid w:val="00B25EAD"/>
    <w:rsid w:val="00B25F4B"/>
    <w:rsid w:val="00B25F55"/>
    <w:rsid w:val="00B25FB9"/>
    <w:rsid w:val="00B26011"/>
    <w:rsid w:val="00B260F3"/>
    <w:rsid w:val="00B26260"/>
    <w:rsid w:val="00B2636A"/>
    <w:rsid w:val="00B264F8"/>
    <w:rsid w:val="00B2650E"/>
    <w:rsid w:val="00B268BA"/>
    <w:rsid w:val="00B26B6D"/>
    <w:rsid w:val="00B26EFC"/>
    <w:rsid w:val="00B26F5D"/>
    <w:rsid w:val="00B2711A"/>
    <w:rsid w:val="00B271E4"/>
    <w:rsid w:val="00B2720D"/>
    <w:rsid w:val="00B27755"/>
    <w:rsid w:val="00B27C8C"/>
    <w:rsid w:val="00B30118"/>
    <w:rsid w:val="00B30394"/>
    <w:rsid w:val="00B304BF"/>
    <w:rsid w:val="00B30588"/>
    <w:rsid w:val="00B3074F"/>
    <w:rsid w:val="00B30838"/>
    <w:rsid w:val="00B309DF"/>
    <w:rsid w:val="00B30A65"/>
    <w:rsid w:val="00B30D77"/>
    <w:rsid w:val="00B31270"/>
    <w:rsid w:val="00B3127C"/>
    <w:rsid w:val="00B312AF"/>
    <w:rsid w:val="00B312C9"/>
    <w:rsid w:val="00B314CD"/>
    <w:rsid w:val="00B31669"/>
    <w:rsid w:val="00B316C7"/>
    <w:rsid w:val="00B31B8F"/>
    <w:rsid w:val="00B31C01"/>
    <w:rsid w:val="00B31CBE"/>
    <w:rsid w:val="00B31D47"/>
    <w:rsid w:val="00B31D65"/>
    <w:rsid w:val="00B31FEE"/>
    <w:rsid w:val="00B3207F"/>
    <w:rsid w:val="00B32459"/>
    <w:rsid w:val="00B324D5"/>
    <w:rsid w:val="00B32760"/>
    <w:rsid w:val="00B327CE"/>
    <w:rsid w:val="00B32D3E"/>
    <w:rsid w:val="00B332D2"/>
    <w:rsid w:val="00B338BE"/>
    <w:rsid w:val="00B33AFC"/>
    <w:rsid w:val="00B34031"/>
    <w:rsid w:val="00B342A2"/>
    <w:rsid w:val="00B344BB"/>
    <w:rsid w:val="00B348D8"/>
    <w:rsid w:val="00B34B6A"/>
    <w:rsid w:val="00B34CD0"/>
    <w:rsid w:val="00B34EAD"/>
    <w:rsid w:val="00B34F83"/>
    <w:rsid w:val="00B35067"/>
    <w:rsid w:val="00B35949"/>
    <w:rsid w:val="00B35B06"/>
    <w:rsid w:val="00B35C85"/>
    <w:rsid w:val="00B35C8B"/>
    <w:rsid w:val="00B35D32"/>
    <w:rsid w:val="00B36407"/>
    <w:rsid w:val="00B36628"/>
    <w:rsid w:val="00B36847"/>
    <w:rsid w:val="00B36A3A"/>
    <w:rsid w:val="00B36FC8"/>
    <w:rsid w:val="00B37034"/>
    <w:rsid w:val="00B374B2"/>
    <w:rsid w:val="00B376BD"/>
    <w:rsid w:val="00B377B1"/>
    <w:rsid w:val="00B37903"/>
    <w:rsid w:val="00B3797D"/>
    <w:rsid w:val="00B37FBA"/>
    <w:rsid w:val="00B40255"/>
    <w:rsid w:val="00B405A1"/>
    <w:rsid w:val="00B40A9B"/>
    <w:rsid w:val="00B40D27"/>
    <w:rsid w:val="00B40FCD"/>
    <w:rsid w:val="00B41204"/>
    <w:rsid w:val="00B41345"/>
    <w:rsid w:val="00B4150C"/>
    <w:rsid w:val="00B41A1A"/>
    <w:rsid w:val="00B41CD6"/>
    <w:rsid w:val="00B421D1"/>
    <w:rsid w:val="00B42507"/>
    <w:rsid w:val="00B42559"/>
    <w:rsid w:val="00B42584"/>
    <w:rsid w:val="00B42599"/>
    <w:rsid w:val="00B42799"/>
    <w:rsid w:val="00B42B3F"/>
    <w:rsid w:val="00B42F74"/>
    <w:rsid w:val="00B433FA"/>
    <w:rsid w:val="00B4386A"/>
    <w:rsid w:val="00B4390B"/>
    <w:rsid w:val="00B43B35"/>
    <w:rsid w:val="00B43EBA"/>
    <w:rsid w:val="00B4475E"/>
    <w:rsid w:val="00B45025"/>
    <w:rsid w:val="00B45276"/>
    <w:rsid w:val="00B45302"/>
    <w:rsid w:val="00B45350"/>
    <w:rsid w:val="00B454E8"/>
    <w:rsid w:val="00B455BB"/>
    <w:rsid w:val="00B458DA"/>
    <w:rsid w:val="00B45944"/>
    <w:rsid w:val="00B45B4D"/>
    <w:rsid w:val="00B45C84"/>
    <w:rsid w:val="00B45D54"/>
    <w:rsid w:val="00B45E90"/>
    <w:rsid w:val="00B45F0C"/>
    <w:rsid w:val="00B4601F"/>
    <w:rsid w:val="00B46742"/>
    <w:rsid w:val="00B467EF"/>
    <w:rsid w:val="00B46987"/>
    <w:rsid w:val="00B4698E"/>
    <w:rsid w:val="00B4721B"/>
    <w:rsid w:val="00B473F9"/>
    <w:rsid w:val="00B4743A"/>
    <w:rsid w:val="00B474C1"/>
    <w:rsid w:val="00B47AD6"/>
    <w:rsid w:val="00B50471"/>
    <w:rsid w:val="00B504F3"/>
    <w:rsid w:val="00B505C6"/>
    <w:rsid w:val="00B508A3"/>
    <w:rsid w:val="00B509E9"/>
    <w:rsid w:val="00B509F5"/>
    <w:rsid w:val="00B50C31"/>
    <w:rsid w:val="00B51226"/>
    <w:rsid w:val="00B51278"/>
    <w:rsid w:val="00B514EE"/>
    <w:rsid w:val="00B517B9"/>
    <w:rsid w:val="00B51872"/>
    <w:rsid w:val="00B51996"/>
    <w:rsid w:val="00B51B9F"/>
    <w:rsid w:val="00B51CFB"/>
    <w:rsid w:val="00B52065"/>
    <w:rsid w:val="00B52307"/>
    <w:rsid w:val="00B52406"/>
    <w:rsid w:val="00B5246B"/>
    <w:rsid w:val="00B525F8"/>
    <w:rsid w:val="00B52810"/>
    <w:rsid w:val="00B530DC"/>
    <w:rsid w:val="00B531F7"/>
    <w:rsid w:val="00B533FE"/>
    <w:rsid w:val="00B53C97"/>
    <w:rsid w:val="00B53F04"/>
    <w:rsid w:val="00B53FA9"/>
    <w:rsid w:val="00B54502"/>
    <w:rsid w:val="00B546DC"/>
    <w:rsid w:val="00B548CB"/>
    <w:rsid w:val="00B54B9B"/>
    <w:rsid w:val="00B54DD3"/>
    <w:rsid w:val="00B55008"/>
    <w:rsid w:val="00B55022"/>
    <w:rsid w:val="00B55030"/>
    <w:rsid w:val="00B554D4"/>
    <w:rsid w:val="00B5550B"/>
    <w:rsid w:val="00B55574"/>
    <w:rsid w:val="00B55642"/>
    <w:rsid w:val="00B556C6"/>
    <w:rsid w:val="00B55C43"/>
    <w:rsid w:val="00B560BD"/>
    <w:rsid w:val="00B56197"/>
    <w:rsid w:val="00B563F9"/>
    <w:rsid w:val="00B5644C"/>
    <w:rsid w:val="00B566C2"/>
    <w:rsid w:val="00B5673C"/>
    <w:rsid w:val="00B568B5"/>
    <w:rsid w:val="00B5692B"/>
    <w:rsid w:val="00B569E0"/>
    <w:rsid w:val="00B56A4B"/>
    <w:rsid w:val="00B56D15"/>
    <w:rsid w:val="00B570D6"/>
    <w:rsid w:val="00B5719B"/>
    <w:rsid w:val="00B5741F"/>
    <w:rsid w:val="00B5786C"/>
    <w:rsid w:val="00B57AB9"/>
    <w:rsid w:val="00B57B26"/>
    <w:rsid w:val="00B57FB1"/>
    <w:rsid w:val="00B60463"/>
    <w:rsid w:val="00B60971"/>
    <w:rsid w:val="00B609A2"/>
    <w:rsid w:val="00B60C5F"/>
    <w:rsid w:val="00B60D0C"/>
    <w:rsid w:val="00B60FFF"/>
    <w:rsid w:val="00B61173"/>
    <w:rsid w:val="00B613A5"/>
    <w:rsid w:val="00B613AB"/>
    <w:rsid w:val="00B619B4"/>
    <w:rsid w:val="00B619CD"/>
    <w:rsid w:val="00B61A45"/>
    <w:rsid w:val="00B61AD1"/>
    <w:rsid w:val="00B61B89"/>
    <w:rsid w:val="00B61DC7"/>
    <w:rsid w:val="00B61E6D"/>
    <w:rsid w:val="00B61EEE"/>
    <w:rsid w:val="00B62249"/>
    <w:rsid w:val="00B62296"/>
    <w:rsid w:val="00B6250F"/>
    <w:rsid w:val="00B62814"/>
    <w:rsid w:val="00B62938"/>
    <w:rsid w:val="00B62977"/>
    <w:rsid w:val="00B62A15"/>
    <w:rsid w:val="00B62A72"/>
    <w:rsid w:val="00B62B98"/>
    <w:rsid w:val="00B62BA6"/>
    <w:rsid w:val="00B62BFB"/>
    <w:rsid w:val="00B62D29"/>
    <w:rsid w:val="00B62F2C"/>
    <w:rsid w:val="00B62F5E"/>
    <w:rsid w:val="00B6308B"/>
    <w:rsid w:val="00B630AA"/>
    <w:rsid w:val="00B63388"/>
    <w:rsid w:val="00B633EB"/>
    <w:rsid w:val="00B634C7"/>
    <w:rsid w:val="00B63550"/>
    <w:rsid w:val="00B635A3"/>
    <w:rsid w:val="00B636DF"/>
    <w:rsid w:val="00B6383E"/>
    <w:rsid w:val="00B63859"/>
    <w:rsid w:val="00B63891"/>
    <w:rsid w:val="00B63A07"/>
    <w:rsid w:val="00B63A1D"/>
    <w:rsid w:val="00B63C44"/>
    <w:rsid w:val="00B63F0E"/>
    <w:rsid w:val="00B63F3F"/>
    <w:rsid w:val="00B64576"/>
    <w:rsid w:val="00B6457B"/>
    <w:rsid w:val="00B64592"/>
    <w:rsid w:val="00B64669"/>
    <w:rsid w:val="00B649CE"/>
    <w:rsid w:val="00B64AEA"/>
    <w:rsid w:val="00B64B2E"/>
    <w:rsid w:val="00B64B3A"/>
    <w:rsid w:val="00B64B5C"/>
    <w:rsid w:val="00B64FD8"/>
    <w:rsid w:val="00B652E0"/>
    <w:rsid w:val="00B65A55"/>
    <w:rsid w:val="00B65AE0"/>
    <w:rsid w:val="00B65CDB"/>
    <w:rsid w:val="00B65DCD"/>
    <w:rsid w:val="00B65FED"/>
    <w:rsid w:val="00B66066"/>
    <w:rsid w:val="00B6627F"/>
    <w:rsid w:val="00B666B6"/>
    <w:rsid w:val="00B6670F"/>
    <w:rsid w:val="00B66AAB"/>
    <w:rsid w:val="00B66BBB"/>
    <w:rsid w:val="00B674DE"/>
    <w:rsid w:val="00B67581"/>
    <w:rsid w:val="00B6770F"/>
    <w:rsid w:val="00B67ACC"/>
    <w:rsid w:val="00B70149"/>
    <w:rsid w:val="00B70AC7"/>
    <w:rsid w:val="00B70B3A"/>
    <w:rsid w:val="00B71358"/>
    <w:rsid w:val="00B7145A"/>
    <w:rsid w:val="00B714EE"/>
    <w:rsid w:val="00B715CE"/>
    <w:rsid w:val="00B716B9"/>
    <w:rsid w:val="00B7173A"/>
    <w:rsid w:val="00B7176B"/>
    <w:rsid w:val="00B71AB5"/>
    <w:rsid w:val="00B71D8E"/>
    <w:rsid w:val="00B71F8D"/>
    <w:rsid w:val="00B721B6"/>
    <w:rsid w:val="00B7275A"/>
    <w:rsid w:val="00B728B7"/>
    <w:rsid w:val="00B72AA6"/>
    <w:rsid w:val="00B72C2A"/>
    <w:rsid w:val="00B7327D"/>
    <w:rsid w:val="00B732E6"/>
    <w:rsid w:val="00B73370"/>
    <w:rsid w:val="00B73968"/>
    <w:rsid w:val="00B73C99"/>
    <w:rsid w:val="00B73CE9"/>
    <w:rsid w:val="00B73E50"/>
    <w:rsid w:val="00B742B8"/>
    <w:rsid w:val="00B74858"/>
    <w:rsid w:val="00B748F9"/>
    <w:rsid w:val="00B7490C"/>
    <w:rsid w:val="00B74A5F"/>
    <w:rsid w:val="00B74B61"/>
    <w:rsid w:val="00B74EEA"/>
    <w:rsid w:val="00B75139"/>
    <w:rsid w:val="00B75537"/>
    <w:rsid w:val="00B75664"/>
    <w:rsid w:val="00B75969"/>
    <w:rsid w:val="00B759E6"/>
    <w:rsid w:val="00B75D39"/>
    <w:rsid w:val="00B76693"/>
    <w:rsid w:val="00B766FC"/>
    <w:rsid w:val="00B767F6"/>
    <w:rsid w:val="00B7689F"/>
    <w:rsid w:val="00B7696B"/>
    <w:rsid w:val="00B76C20"/>
    <w:rsid w:val="00B76EB9"/>
    <w:rsid w:val="00B76F48"/>
    <w:rsid w:val="00B77028"/>
    <w:rsid w:val="00B77090"/>
    <w:rsid w:val="00B775A8"/>
    <w:rsid w:val="00B775AD"/>
    <w:rsid w:val="00B778E7"/>
    <w:rsid w:val="00B779C2"/>
    <w:rsid w:val="00B77C2A"/>
    <w:rsid w:val="00B77CF8"/>
    <w:rsid w:val="00B800F3"/>
    <w:rsid w:val="00B8019F"/>
    <w:rsid w:val="00B8041B"/>
    <w:rsid w:val="00B80571"/>
    <w:rsid w:val="00B805CF"/>
    <w:rsid w:val="00B80989"/>
    <w:rsid w:val="00B80B6F"/>
    <w:rsid w:val="00B80D0B"/>
    <w:rsid w:val="00B8105E"/>
    <w:rsid w:val="00B82063"/>
    <w:rsid w:val="00B8207C"/>
    <w:rsid w:val="00B8231C"/>
    <w:rsid w:val="00B823DE"/>
    <w:rsid w:val="00B82530"/>
    <w:rsid w:val="00B82594"/>
    <w:rsid w:val="00B82A4B"/>
    <w:rsid w:val="00B82AB2"/>
    <w:rsid w:val="00B83023"/>
    <w:rsid w:val="00B831A8"/>
    <w:rsid w:val="00B8340C"/>
    <w:rsid w:val="00B834B9"/>
    <w:rsid w:val="00B8396F"/>
    <w:rsid w:val="00B83B7F"/>
    <w:rsid w:val="00B83DC8"/>
    <w:rsid w:val="00B840F4"/>
    <w:rsid w:val="00B84745"/>
    <w:rsid w:val="00B84748"/>
    <w:rsid w:val="00B84D54"/>
    <w:rsid w:val="00B84E0B"/>
    <w:rsid w:val="00B84E2C"/>
    <w:rsid w:val="00B855BA"/>
    <w:rsid w:val="00B85641"/>
    <w:rsid w:val="00B856F6"/>
    <w:rsid w:val="00B85FFD"/>
    <w:rsid w:val="00B860ED"/>
    <w:rsid w:val="00B86B98"/>
    <w:rsid w:val="00B86E9A"/>
    <w:rsid w:val="00B86FEE"/>
    <w:rsid w:val="00B870AD"/>
    <w:rsid w:val="00B8713B"/>
    <w:rsid w:val="00B875B2"/>
    <w:rsid w:val="00B87A25"/>
    <w:rsid w:val="00B87C58"/>
    <w:rsid w:val="00B87D17"/>
    <w:rsid w:val="00B87E85"/>
    <w:rsid w:val="00B90354"/>
    <w:rsid w:val="00B904B8"/>
    <w:rsid w:val="00B9065F"/>
    <w:rsid w:val="00B90831"/>
    <w:rsid w:val="00B908B6"/>
    <w:rsid w:val="00B909C4"/>
    <w:rsid w:val="00B909F8"/>
    <w:rsid w:val="00B90C39"/>
    <w:rsid w:val="00B90CFC"/>
    <w:rsid w:val="00B913D5"/>
    <w:rsid w:val="00B917BD"/>
    <w:rsid w:val="00B91F44"/>
    <w:rsid w:val="00B92290"/>
    <w:rsid w:val="00B92334"/>
    <w:rsid w:val="00B92517"/>
    <w:rsid w:val="00B9265E"/>
    <w:rsid w:val="00B92859"/>
    <w:rsid w:val="00B92924"/>
    <w:rsid w:val="00B929FC"/>
    <w:rsid w:val="00B92EA2"/>
    <w:rsid w:val="00B92F1B"/>
    <w:rsid w:val="00B93211"/>
    <w:rsid w:val="00B93D6F"/>
    <w:rsid w:val="00B93F5E"/>
    <w:rsid w:val="00B93FB0"/>
    <w:rsid w:val="00B93FEA"/>
    <w:rsid w:val="00B94214"/>
    <w:rsid w:val="00B94566"/>
    <w:rsid w:val="00B949FB"/>
    <w:rsid w:val="00B94CCA"/>
    <w:rsid w:val="00B94DC6"/>
    <w:rsid w:val="00B95211"/>
    <w:rsid w:val="00B95455"/>
    <w:rsid w:val="00B95489"/>
    <w:rsid w:val="00B9566F"/>
    <w:rsid w:val="00B957B3"/>
    <w:rsid w:val="00B95963"/>
    <w:rsid w:val="00B95A8F"/>
    <w:rsid w:val="00B95BA5"/>
    <w:rsid w:val="00B95F3E"/>
    <w:rsid w:val="00B95F9B"/>
    <w:rsid w:val="00B96053"/>
    <w:rsid w:val="00B96397"/>
    <w:rsid w:val="00B968F8"/>
    <w:rsid w:val="00B9733C"/>
    <w:rsid w:val="00B97351"/>
    <w:rsid w:val="00B97513"/>
    <w:rsid w:val="00B97613"/>
    <w:rsid w:val="00B97810"/>
    <w:rsid w:val="00B97B5E"/>
    <w:rsid w:val="00B97BF8"/>
    <w:rsid w:val="00B97CC8"/>
    <w:rsid w:val="00B97DBC"/>
    <w:rsid w:val="00B97E54"/>
    <w:rsid w:val="00B97E9B"/>
    <w:rsid w:val="00B97FA9"/>
    <w:rsid w:val="00BA01CD"/>
    <w:rsid w:val="00BA01E8"/>
    <w:rsid w:val="00BA0460"/>
    <w:rsid w:val="00BA08D3"/>
    <w:rsid w:val="00BA0B51"/>
    <w:rsid w:val="00BA0B9F"/>
    <w:rsid w:val="00BA0D97"/>
    <w:rsid w:val="00BA0DC2"/>
    <w:rsid w:val="00BA1293"/>
    <w:rsid w:val="00BA12D5"/>
    <w:rsid w:val="00BA1949"/>
    <w:rsid w:val="00BA1AD5"/>
    <w:rsid w:val="00BA2027"/>
    <w:rsid w:val="00BA20EA"/>
    <w:rsid w:val="00BA2540"/>
    <w:rsid w:val="00BA255B"/>
    <w:rsid w:val="00BA2CA2"/>
    <w:rsid w:val="00BA2CC9"/>
    <w:rsid w:val="00BA2F98"/>
    <w:rsid w:val="00BA3720"/>
    <w:rsid w:val="00BA39F0"/>
    <w:rsid w:val="00BA3F83"/>
    <w:rsid w:val="00BA40E0"/>
    <w:rsid w:val="00BA43C6"/>
    <w:rsid w:val="00BA4598"/>
    <w:rsid w:val="00BA47BE"/>
    <w:rsid w:val="00BA4B4F"/>
    <w:rsid w:val="00BA4B6D"/>
    <w:rsid w:val="00BA4C1C"/>
    <w:rsid w:val="00BA4CF9"/>
    <w:rsid w:val="00BA50EE"/>
    <w:rsid w:val="00BA556F"/>
    <w:rsid w:val="00BA5707"/>
    <w:rsid w:val="00BA585C"/>
    <w:rsid w:val="00BA59BF"/>
    <w:rsid w:val="00BA5B31"/>
    <w:rsid w:val="00BA5C0D"/>
    <w:rsid w:val="00BA5C44"/>
    <w:rsid w:val="00BA609D"/>
    <w:rsid w:val="00BA614C"/>
    <w:rsid w:val="00BA62B3"/>
    <w:rsid w:val="00BA62D7"/>
    <w:rsid w:val="00BA6497"/>
    <w:rsid w:val="00BA64D3"/>
    <w:rsid w:val="00BA66DC"/>
    <w:rsid w:val="00BA68EA"/>
    <w:rsid w:val="00BA69FB"/>
    <w:rsid w:val="00BA6A8D"/>
    <w:rsid w:val="00BA6F98"/>
    <w:rsid w:val="00BA7077"/>
    <w:rsid w:val="00BA72F1"/>
    <w:rsid w:val="00BA73C9"/>
    <w:rsid w:val="00BA748B"/>
    <w:rsid w:val="00BA7DDE"/>
    <w:rsid w:val="00BA7F36"/>
    <w:rsid w:val="00BB05E7"/>
    <w:rsid w:val="00BB065D"/>
    <w:rsid w:val="00BB0B23"/>
    <w:rsid w:val="00BB0CD0"/>
    <w:rsid w:val="00BB0DA0"/>
    <w:rsid w:val="00BB111A"/>
    <w:rsid w:val="00BB1153"/>
    <w:rsid w:val="00BB1224"/>
    <w:rsid w:val="00BB1BB3"/>
    <w:rsid w:val="00BB1CA1"/>
    <w:rsid w:val="00BB1CC7"/>
    <w:rsid w:val="00BB1FA5"/>
    <w:rsid w:val="00BB220C"/>
    <w:rsid w:val="00BB2349"/>
    <w:rsid w:val="00BB23B2"/>
    <w:rsid w:val="00BB251B"/>
    <w:rsid w:val="00BB2604"/>
    <w:rsid w:val="00BB2682"/>
    <w:rsid w:val="00BB2728"/>
    <w:rsid w:val="00BB27B5"/>
    <w:rsid w:val="00BB27D7"/>
    <w:rsid w:val="00BB27EF"/>
    <w:rsid w:val="00BB2812"/>
    <w:rsid w:val="00BB2E26"/>
    <w:rsid w:val="00BB3327"/>
    <w:rsid w:val="00BB33DB"/>
    <w:rsid w:val="00BB355B"/>
    <w:rsid w:val="00BB361C"/>
    <w:rsid w:val="00BB3724"/>
    <w:rsid w:val="00BB3980"/>
    <w:rsid w:val="00BB3A41"/>
    <w:rsid w:val="00BB3C36"/>
    <w:rsid w:val="00BB3DA1"/>
    <w:rsid w:val="00BB3DE1"/>
    <w:rsid w:val="00BB3E1C"/>
    <w:rsid w:val="00BB4002"/>
    <w:rsid w:val="00BB403D"/>
    <w:rsid w:val="00BB40E7"/>
    <w:rsid w:val="00BB443C"/>
    <w:rsid w:val="00BB446C"/>
    <w:rsid w:val="00BB480D"/>
    <w:rsid w:val="00BB481B"/>
    <w:rsid w:val="00BB4901"/>
    <w:rsid w:val="00BB4A23"/>
    <w:rsid w:val="00BB4A50"/>
    <w:rsid w:val="00BB4E78"/>
    <w:rsid w:val="00BB5023"/>
    <w:rsid w:val="00BB507B"/>
    <w:rsid w:val="00BB50A1"/>
    <w:rsid w:val="00BB52C5"/>
    <w:rsid w:val="00BB575C"/>
    <w:rsid w:val="00BB5865"/>
    <w:rsid w:val="00BB5AD6"/>
    <w:rsid w:val="00BB5BCD"/>
    <w:rsid w:val="00BB5D6F"/>
    <w:rsid w:val="00BB5DF8"/>
    <w:rsid w:val="00BB6534"/>
    <w:rsid w:val="00BB66E2"/>
    <w:rsid w:val="00BB6759"/>
    <w:rsid w:val="00BB6873"/>
    <w:rsid w:val="00BB68A1"/>
    <w:rsid w:val="00BB6B79"/>
    <w:rsid w:val="00BB6E55"/>
    <w:rsid w:val="00BB6E78"/>
    <w:rsid w:val="00BB70E9"/>
    <w:rsid w:val="00BB7142"/>
    <w:rsid w:val="00BB71B6"/>
    <w:rsid w:val="00BB7330"/>
    <w:rsid w:val="00BB73EF"/>
    <w:rsid w:val="00BB78FE"/>
    <w:rsid w:val="00BB795B"/>
    <w:rsid w:val="00BB79B3"/>
    <w:rsid w:val="00BB7DD9"/>
    <w:rsid w:val="00BB7E06"/>
    <w:rsid w:val="00BB7EEE"/>
    <w:rsid w:val="00BB7F7E"/>
    <w:rsid w:val="00BC0044"/>
    <w:rsid w:val="00BC053E"/>
    <w:rsid w:val="00BC0A64"/>
    <w:rsid w:val="00BC0AEC"/>
    <w:rsid w:val="00BC0C33"/>
    <w:rsid w:val="00BC0F4B"/>
    <w:rsid w:val="00BC0F9C"/>
    <w:rsid w:val="00BC165E"/>
    <w:rsid w:val="00BC1B5D"/>
    <w:rsid w:val="00BC1C8C"/>
    <w:rsid w:val="00BC1EDD"/>
    <w:rsid w:val="00BC2075"/>
    <w:rsid w:val="00BC2091"/>
    <w:rsid w:val="00BC21B5"/>
    <w:rsid w:val="00BC249D"/>
    <w:rsid w:val="00BC2557"/>
    <w:rsid w:val="00BC25D7"/>
    <w:rsid w:val="00BC2700"/>
    <w:rsid w:val="00BC2B6A"/>
    <w:rsid w:val="00BC2BD0"/>
    <w:rsid w:val="00BC2E6C"/>
    <w:rsid w:val="00BC3056"/>
    <w:rsid w:val="00BC30B8"/>
    <w:rsid w:val="00BC3492"/>
    <w:rsid w:val="00BC35DB"/>
    <w:rsid w:val="00BC3687"/>
    <w:rsid w:val="00BC3725"/>
    <w:rsid w:val="00BC3847"/>
    <w:rsid w:val="00BC3BD7"/>
    <w:rsid w:val="00BC3C97"/>
    <w:rsid w:val="00BC3DF6"/>
    <w:rsid w:val="00BC4037"/>
    <w:rsid w:val="00BC4154"/>
    <w:rsid w:val="00BC4775"/>
    <w:rsid w:val="00BC4835"/>
    <w:rsid w:val="00BC4897"/>
    <w:rsid w:val="00BC4903"/>
    <w:rsid w:val="00BC4BD2"/>
    <w:rsid w:val="00BC4CBD"/>
    <w:rsid w:val="00BC4D16"/>
    <w:rsid w:val="00BC4D35"/>
    <w:rsid w:val="00BC5284"/>
    <w:rsid w:val="00BC5465"/>
    <w:rsid w:val="00BC5477"/>
    <w:rsid w:val="00BC566F"/>
    <w:rsid w:val="00BC582E"/>
    <w:rsid w:val="00BC58D1"/>
    <w:rsid w:val="00BC5D15"/>
    <w:rsid w:val="00BC5D91"/>
    <w:rsid w:val="00BC5EC3"/>
    <w:rsid w:val="00BC5FD0"/>
    <w:rsid w:val="00BC614F"/>
    <w:rsid w:val="00BC61E5"/>
    <w:rsid w:val="00BC63C7"/>
    <w:rsid w:val="00BC660D"/>
    <w:rsid w:val="00BC687A"/>
    <w:rsid w:val="00BC6E38"/>
    <w:rsid w:val="00BC70E0"/>
    <w:rsid w:val="00BC737C"/>
    <w:rsid w:val="00BC748A"/>
    <w:rsid w:val="00BC763B"/>
    <w:rsid w:val="00BC7C5E"/>
    <w:rsid w:val="00BC7F17"/>
    <w:rsid w:val="00BD025D"/>
    <w:rsid w:val="00BD02FE"/>
    <w:rsid w:val="00BD0733"/>
    <w:rsid w:val="00BD0801"/>
    <w:rsid w:val="00BD09E2"/>
    <w:rsid w:val="00BD0D23"/>
    <w:rsid w:val="00BD0D31"/>
    <w:rsid w:val="00BD0FCB"/>
    <w:rsid w:val="00BD153E"/>
    <w:rsid w:val="00BD16AC"/>
    <w:rsid w:val="00BD18BE"/>
    <w:rsid w:val="00BD18C5"/>
    <w:rsid w:val="00BD1908"/>
    <w:rsid w:val="00BD2138"/>
    <w:rsid w:val="00BD22B1"/>
    <w:rsid w:val="00BD2C0C"/>
    <w:rsid w:val="00BD2EB8"/>
    <w:rsid w:val="00BD30CB"/>
    <w:rsid w:val="00BD313A"/>
    <w:rsid w:val="00BD3AC1"/>
    <w:rsid w:val="00BD3E2D"/>
    <w:rsid w:val="00BD3F43"/>
    <w:rsid w:val="00BD3F8B"/>
    <w:rsid w:val="00BD46A2"/>
    <w:rsid w:val="00BD493A"/>
    <w:rsid w:val="00BD4987"/>
    <w:rsid w:val="00BD4A30"/>
    <w:rsid w:val="00BD4AE2"/>
    <w:rsid w:val="00BD4CB1"/>
    <w:rsid w:val="00BD4F79"/>
    <w:rsid w:val="00BD50B2"/>
    <w:rsid w:val="00BD596E"/>
    <w:rsid w:val="00BD5B86"/>
    <w:rsid w:val="00BD5BAA"/>
    <w:rsid w:val="00BD5D3A"/>
    <w:rsid w:val="00BD609A"/>
    <w:rsid w:val="00BD6475"/>
    <w:rsid w:val="00BD669D"/>
    <w:rsid w:val="00BD66A1"/>
    <w:rsid w:val="00BD6818"/>
    <w:rsid w:val="00BD68EF"/>
    <w:rsid w:val="00BD6911"/>
    <w:rsid w:val="00BD6AC1"/>
    <w:rsid w:val="00BD6C4C"/>
    <w:rsid w:val="00BD6F95"/>
    <w:rsid w:val="00BD7534"/>
    <w:rsid w:val="00BD7604"/>
    <w:rsid w:val="00BD78DC"/>
    <w:rsid w:val="00BD79BB"/>
    <w:rsid w:val="00BD7A92"/>
    <w:rsid w:val="00BD7ADB"/>
    <w:rsid w:val="00BD7C95"/>
    <w:rsid w:val="00BD7DCB"/>
    <w:rsid w:val="00BE02AF"/>
    <w:rsid w:val="00BE0667"/>
    <w:rsid w:val="00BE09C2"/>
    <w:rsid w:val="00BE0F04"/>
    <w:rsid w:val="00BE1191"/>
    <w:rsid w:val="00BE119F"/>
    <w:rsid w:val="00BE134B"/>
    <w:rsid w:val="00BE1678"/>
    <w:rsid w:val="00BE16DA"/>
    <w:rsid w:val="00BE17F6"/>
    <w:rsid w:val="00BE18F7"/>
    <w:rsid w:val="00BE197B"/>
    <w:rsid w:val="00BE1B9B"/>
    <w:rsid w:val="00BE1BF0"/>
    <w:rsid w:val="00BE1FB9"/>
    <w:rsid w:val="00BE235B"/>
    <w:rsid w:val="00BE247A"/>
    <w:rsid w:val="00BE255B"/>
    <w:rsid w:val="00BE2705"/>
    <w:rsid w:val="00BE2D3A"/>
    <w:rsid w:val="00BE2D62"/>
    <w:rsid w:val="00BE2DEB"/>
    <w:rsid w:val="00BE2E91"/>
    <w:rsid w:val="00BE322A"/>
    <w:rsid w:val="00BE325C"/>
    <w:rsid w:val="00BE3438"/>
    <w:rsid w:val="00BE3669"/>
    <w:rsid w:val="00BE3685"/>
    <w:rsid w:val="00BE36C2"/>
    <w:rsid w:val="00BE37CE"/>
    <w:rsid w:val="00BE38F1"/>
    <w:rsid w:val="00BE3D65"/>
    <w:rsid w:val="00BE43C0"/>
    <w:rsid w:val="00BE45AD"/>
    <w:rsid w:val="00BE4637"/>
    <w:rsid w:val="00BE4BBA"/>
    <w:rsid w:val="00BE4CCD"/>
    <w:rsid w:val="00BE56FB"/>
    <w:rsid w:val="00BE5704"/>
    <w:rsid w:val="00BE5819"/>
    <w:rsid w:val="00BE5899"/>
    <w:rsid w:val="00BE595E"/>
    <w:rsid w:val="00BE5BB0"/>
    <w:rsid w:val="00BE5C03"/>
    <w:rsid w:val="00BE60B3"/>
    <w:rsid w:val="00BE62EA"/>
    <w:rsid w:val="00BE6441"/>
    <w:rsid w:val="00BE6995"/>
    <w:rsid w:val="00BE6BB8"/>
    <w:rsid w:val="00BE6C67"/>
    <w:rsid w:val="00BE6C8D"/>
    <w:rsid w:val="00BE6DCF"/>
    <w:rsid w:val="00BE6E26"/>
    <w:rsid w:val="00BE7113"/>
    <w:rsid w:val="00BE7274"/>
    <w:rsid w:val="00BE72D8"/>
    <w:rsid w:val="00BE72FF"/>
    <w:rsid w:val="00BE766F"/>
    <w:rsid w:val="00BE7983"/>
    <w:rsid w:val="00BE7A85"/>
    <w:rsid w:val="00BE7B5D"/>
    <w:rsid w:val="00BE7CE9"/>
    <w:rsid w:val="00BF0129"/>
    <w:rsid w:val="00BF0148"/>
    <w:rsid w:val="00BF02EA"/>
    <w:rsid w:val="00BF0415"/>
    <w:rsid w:val="00BF0472"/>
    <w:rsid w:val="00BF0502"/>
    <w:rsid w:val="00BF05D9"/>
    <w:rsid w:val="00BF08BC"/>
    <w:rsid w:val="00BF08EB"/>
    <w:rsid w:val="00BF09B2"/>
    <w:rsid w:val="00BF0ABD"/>
    <w:rsid w:val="00BF0BCD"/>
    <w:rsid w:val="00BF0C00"/>
    <w:rsid w:val="00BF0CE4"/>
    <w:rsid w:val="00BF0E56"/>
    <w:rsid w:val="00BF0F1D"/>
    <w:rsid w:val="00BF1397"/>
    <w:rsid w:val="00BF1956"/>
    <w:rsid w:val="00BF1A64"/>
    <w:rsid w:val="00BF1D25"/>
    <w:rsid w:val="00BF1ECB"/>
    <w:rsid w:val="00BF1F9B"/>
    <w:rsid w:val="00BF21A0"/>
    <w:rsid w:val="00BF2376"/>
    <w:rsid w:val="00BF26C9"/>
    <w:rsid w:val="00BF279E"/>
    <w:rsid w:val="00BF2985"/>
    <w:rsid w:val="00BF34C5"/>
    <w:rsid w:val="00BF35DD"/>
    <w:rsid w:val="00BF360B"/>
    <w:rsid w:val="00BF3A22"/>
    <w:rsid w:val="00BF3ADF"/>
    <w:rsid w:val="00BF3B41"/>
    <w:rsid w:val="00BF41E4"/>
    <w:rsid w:val="00BF4363"/>
    <w:rsid w:val="00BF4479"/>
    <w:rsid w:val="00BF4482"/>
    <w:rsid w:val="00BF46C5"/>
    <w:rsid w:val="00BF46E0"/>
    <w:rsid w:val="00BF473F"/>
    <w:rsid w:val="00BF4BCE"/>
    <w:rsid w:val="00BF4CE3"/>
    <w:rsid w:val="00BF5098"/>
    <w:rsid w:val="00BF50C2"/>
    <w:rsid w:val="00BF516E"/>
    <w:rsid w:val="00BF51C1"/>
    <w:rsid w:val="00BF5877"/>
    <w:rsid w:val="00BF5B66"/>
    <w:rsid w:val="00BF5BE5"/>
    <w:rsid w:val="00BF5DC3"/>
    <w:rsid w:val="00BF5FE6"/>
    <w:rsid w:val="00BF5FE9"/>
    <w:rsid w:val="00BF5FF1"/>
    <w:rsid w:val="00BF66BE"/>
    <w:rsid w:val="00BF67DD"/>
    <w:rsid w:val="00BF6B5C"/>
    <w:rsid w:val="00BF6C95"/>
    <w:rsid w:val="00BF6E19"/>
    <w:rsid w:val="00BF6FB9"/>
    <w:rsid w:val="00BF710B"/>
    <w:rsid w:val="00BF7694"/>
    <w:rsid w:val="00BF79DB"/>
    <w:rsid w:val="00BF7CB2"/>
    <w:rsid w:val="00BF7F60"/>
    <w:rsid w:val="00BF7F63"/>
    <w:rsid w:val="00C000BD"/>
    <w:rsid w:val="00C0043D"/>
    <w:rsid w:val="00C00517"/>
    <w:rsid w:val="00C00566"/>
    <w:rsid w:val="00C00755"/>
    <w:rsid w:val="00C00A11"/>
    <w:rsid w:val="00C00B88"/>
    <w:rsid w:val="00C00C09"/>
    <w:rsid w:val="00C00CF1"/>
    <w:rsid w:val="00C01393"/>
    <w:rsid w:val="00C013AE"/>
    <w:rsid w:val="00C014FC"/>
    <w:rsid w:val="00C015B4"/>
    <w:rsid w:val="00C017AF"/>
    <w:rsid w:val="00C01834"/>
    <w:rsid w:val="00C01866"/>
    <w:rsid w:val="00C01C3A"/>
    <w:rsid w:val="00C01DA0"/>
    <w:rsid w:val="00C02375"/>
    <w:rsid w:val="00C02389"/>
    <w:rsid w:val="00C023B3"/>
    <w:rsid w:val="00C02718"/>
    <w:rsid w:val="00C02A78"/>
    <w:rsid w:val="00C02CE6"/>
    <w:rsid w:val="00C02EAA"/>
    <w:rsid w:val="00C0330B"/>
    <w:rsid w:val="00C039B6"/>
    <w:rsid w:val="00C04478"/>
    <w:rsid w:val="00C044B3"/>
    <w:rsid w:val="00C04879"/>
    <w:rsid w:val="00C0493B"/>
    <w:rsid w:val="00C04B5E"/>
    <w:rsid w:val="00C04C41"/>
    <w:rsid w:val="00C04E4F"/>
    <w:rsid w:val="00C04F16"/>
    <w:rsid w:val="00C051BC"/>
    <w:rsid w:val="00C0583D"/>
    <w:rsid w:val="00C05C46"/>
    <w:rsid w:val="00C05DA5"/>
    <w:rsid w:val="00C0619E"/>
    <w:rsid w:val="00C0624E"/>
    <w:rsid w:val="00C06341"/>
    <w:rsid w:val="00C0634C"/>
    <w:rsid w:val="00C06A3D"/>
    <w:rsid w:val="00C06D6E"/>
    <w:rsid w:val="00C06F32"/>
    <w:rsid w:val="00C07013"/>
    <w:rsid w:val="00C0714C"/>
    <w:rsid w:val="00C07172"/>
    <w:rsid w:val="00C07627"/>
    <w:rsid w:val="00C0770B"/>
    <w:rsid w:val="00C07BDB"/>
    <w:rsid w:val="00C07F05"/>
    <w:rsid w:val="00C10295"/>
    <w:rsid w:val="00C10427"/>
    <w:rsid w:val="00C1075B"/>
    <w:rsid w:val="00C10762"/>
    <w:rsid w:val="00C10A87"/>
    <w:rsid w:val="00C10BCB"/>
    <w:rsid w:val="00C10DF8"/>
    <w:rsid w:val="00C111F9"/>
    <w:rsid w:val="00C11376"/>
    <w:rsid w:val="00C11405"/>
    <w:rsid w:val="00C11772"/>
    <w:rsid w:val="00C11AE4"/>
    <w:rsid w:val="00C11D1C"/>
    <w:rsid w:val="00C12020"/>
    <w:rsid w:val="00C1271B"/>
    <w:rsid w:val="00C12F32"/>
    <w:rsid w:val="00C133AB"/>
    <w:rsid w:val="00C13452"/>
    <w:rsid w:val="00C13860"/>
    <w:rsid w:val="00C139A1"/>
    <w:rsid w:val="00C13A58"/>
    <w:rsid w:val="00C14001"/>
    <w:rsid w:val="00C1430B"/>
    <w:rsid w:val="00C14319"/>
    <w:rsid w:val="00C14364"/>
    <w:rsid w:val="00C144AA"/>
    <w:rsid w:val="00C144FE"/>
    <w:rsid w:val="00C14930"/>
    <w:rsid w:val="00C14944"/>
    <w:rsid w:val="00C15051"/>
    <w:rsid w:val="00C1508F"/>
    <w:rsid w:val="00C15181"/>
    <w:rsid w:val="00C15309"/>
    <w:rsid w:val="00C1538C"/>
    <w:rsid w:val="00C15677"/>
    <w:rsid w:val="00C158DE"/>
    <w:rsid w:val="00C15AFF"/>
    <w:rsid w:val="00C15CEC"/>
    <w:rsid w:val="00C15E32"/>
    <w:rsid w:val="00C15F2D"/>
    <w:rsid w:val="00C16107"/>
    <w:rsid w:val="00C16462"/>
    <w:rsid w:val="00C16627"/>
    <w:rsid w:val="00C16C31"/>
    <w:rsid w:val="00C16CAE"/>
    <w:rsid w:val="00C16D01"/>
    <w:rsid w:val="00C16FDB"/>
    <w:rsid w:val="00C1704E"/>
    <w:rsid w:val="00C1712B"/>
    <w:rsid w:val="00C17373"/>
    <w:rsid w:val="00C1754D"/>
    <w:rsid w:val="00C175DB"/>
    <w:rsid w:val="00C1772C"/>
    <w:rsid w:val="00C178CE"/>
    <w:rsid w:val="00C179E4"/>
    <w:rsid w:val="00C17CBA"/>
    <w:rsid w:val="00C2031A"/>
    <w:rsid w:val="00C20328"/>
    <w:rsid w:val="00C20365"/>
    <w:rsid w:val="00C2036F"/>
    <w:rsid w:val="00C206FA"/>
    <w:rsid w:val="00C20C98"/>
    <w:rsid w:val="00C20F86"/>
    <w:rsid w:val="00C212FA"/>
    <w:rsid w:val="00C21A1C"/>
    <w:rsid w:val="00C21D58"/>
    <w:rsid w:val="00C21E71"/>
    <w:rsid w:val="00C21FB9"/>
    <w:rsid w:val="00C22270"/>
    <w:rsid w:val="00C22861"/>
    <w:rsid w:val="00C22916"/>
    <w:rsid w:val="00C2295D"/>
    <w:rsid w:val="00C22B1D"/>
    <w:rsid w:val="00C22C55"/>
    <w:rsid w:val="00C235A9"/>
    <w:rsid w:val="00C2364A"/>
    <w:rsid w:val="00C2365B"/>
    <w:rsid w:val="00C2379D"/>
    <w:rsid w:val="00C23E7B"/>
    <w:rsid w:val="00C240BA"/>
    <w:rsid w:val="00C240E5"/>
    <w:rsid w:val="00C243C7"/>
    <w:rsid w:val="00C2443D"/>
    <w:rsid w:val="00C24649"/>
    <w:rsid w:val="00C2475A"/>
    <w:rsid w:val="00C24B08"/>
    <w:rsid w:val="00C24BA9"/>
    <w:rsid w:val="00C24D35"/>
    <w:rsid w:val="00C24F31"/>
    <w:rsid w:val="00C25305"/>
    <w:rsid w:val="00C253B9"/>
    <w:rsid w:val="00C25485"/>
    <w:rsid w:val="00C255F5"/>
    <w:rsid w:val="00C257C4"/>
    <w:rsid w:val="00C25BF7"/>
    <w:rsid w:val="00C25D1F"/>
    <w:rsid w:val="00C26029"/>
    <w:rsid w:val="00C26309"/>
    <w:rsid w:val="00C2650E"/>
    <w:rsid w:val="00C26521"/>
    <w:rsid w:val="00C26AD7"/>
    <w:rsid w:val="00C26B4E"/>
    <w:rsid w:val="00C26BF0"/>
    <w:rsid w:val="00C26E36"/>
    <w:rsid w:val="00C26E60"/>
    <w:rsid w:val="00C27339"/>
    <w:rsid w:val="00C274B5"/>
    <w:rsid w:val="00C27B19"/>
    <w:rsid w:val="00C27D5A"/>
    <w:rsid w:val="00C30039"/>
    <w:rsid w:val="00C30255"/>
    <w:rsid w:val="00C30267"/>
    <w:rsid w:val="00C30370"/>
    <w:rsid w:val="00C304B9"/>
    <w:rsid w:val="00C307FE"/>
    <w:rsid w:val="00C30F2E"/>
    <w:rsid w:val="00C311A7"/>
    <w:rsid w:val="00C31233"/>
    <w:rsid w:val="00C31923"/>
    <w:rsid w:val="00C31AA0"/>
    <w:rsid w:val="00C31B2C"/>
    <w:rsid w:val="00C31BAC"/>
    <w:rsid w:val="00C322A1"/>
    <w:rsid w:val="00C32316"/>
    <w:rsid w:val="00C32531"/>
    <w:rsid w:val="00C3280A"/>
    <w:rsid w:val="00C32B65"/>
    <w:rsid w:val="00C32CF1"/>
    <w:rsid w:val="00C32E1A"/>
    <w:rsid w:val="00C32FCB"/>
    <w:rsid w:val="00C330E4"/>
    <w:rsid w:val="00C33276"/>
    <w:rsid w:val="00C33AD9"/>
    <w:rsid w:val="00C33B0D"/>
    <w:rsid w:val="00C33BAE"/>
    <w:rsid w:val="00C33C25"/>
    <w:rsid w:val="00C34228"/>
    <w:rsid w:val="00C3435F"/>
    <w:rsid w:val="00C34448"/>
    <w:rsid w:val="00C3470F"/>
    <w:rsid w:val="00C34A2C"/>
    <w:rsid w:val="00C34FC1"/>
    <w:rsid w:val="00C35389"/>
    <w:rsid w:val="00C35525"/>
    <w:rsid w:val="00C356A3"/>
    <w:rsid w:val="00C3570A"/>
    <w:rsid w:val="00C359D6"/>
    <w:rsid w:val="00C35B09"/>
    <w:rsid w:val="00C35DC2"/>
    <w:rsid w:val="00C35EF0"/>
    <w:rsid w:val="00C35FB9"/>
    <w:rsid w:val="00C367AE"/>
    <w:rsid w:val="00C3688A"/>
    <w:rsid w:val="00C36CE7"/>
    <w:rsid w:val="00C36E03"/>
    <w:rsid w:val="00C36E07"/>
    <w:rsid w:val="00C3753A"/>
    <w:rsid w:val="00C377AC"/>
    <w:rsid w:val="00C378A6"/>
    <w:rsid w:val="00C37C7B"/>
    <w:rsid w:val="00C37FAA"/>
    <w:rsid w:val="00C402DB"/>
    <w:rsid w:val="00C4048F"/>
    <w:rsid w:val="00C40522"/>
    <w:rsid w:val="00C40634"/>
    <w:rsid w:val="00C407C7"/>
    <w:rsid w:val="00C40CE7"/>
    <w:rsid w:val="00C40E4F"/>
    <w:rsid w:val="00C4106B"/>
    <w:rsid w:val="00C41160"/>
    <w:rsid w:val="00C415EC"/>
    <w:rsid w:val="00C41736"/>
    <w:rsid w:val="00C4209C"/>
    <w:rsid w:val="00C421CB"/>
    <w:rsid w:val="00C423B5"/>
    <w:rsid w:val="00C426EB"/>
    <w:rsid w:val="00C427FF"/>
    <w:rsid w:val="00C42972"/>
    <w:rsid w:val="00C42A3D"/>
    <w:rsid w:val="00C42C4D"/>
    <w:rsid w:val="00C42F3C"/>
    <w:rsid w:val="00C433AA"/>
    <w:rsid w:val="00C4361F"/>
    <w:rsid w:val="00C43755"/>
    <w:rsid w:val="00C43AC5"/>
    <w:rsid w:val="00C43BF8"/>
    <w:rsid w:val="00C43CCB"/>
    <w:rsid w:val="00C43DF4"/>
    <w:rsid w:val="00C43FFF"/>
    <w:rsid w:val="00C4415C"/>
    <w:rsid w:val="00C4433C"/>
    <w:rsid w:val="00C4453E"/>
    <w:rsid w:val="00C44552"/>
    <w:rsid w:val="00C448C6"/>
    <w:rsid w:val="00C44A57"/>
    <w:rsid w:val="00C44E07"/>
    <w:rsid w:val="00C45133"/>
    <w:rsid w:val="00C451F0"/>
    <w:rsid w:val="00C454A1"/>
    <w:rsid w:val="00C45791"/>
    <w:rsid w:val="00C45961"/>
    <w:rsid w:val="00C45AE1"/>
    <w:rsid w:val="00C45BE2"/>
    <w:rsid w:val="00C45E91"/>
    <w:rsid w:val="00C46085"/>
    <w:rsid w:val="00C4674F"/>
    <w:rsid w:val="00C4692C"/>
    <w:rsid w:val="00C46A4A"/>
    <w:rsid w:val="00C46A4C"/>
    <w:rsid w:val="00C46DEE"/>
    <w:rsid w:val="00C46ED2"/>
    <w:rsid w:val="00C46F55"/>
    <w:rsid w:val="00C472BC"/>
    <w:rsid w:val="00C47D05"/>
    <w:rsid w:val="00C47D27"/>
    <w:rsid w:val="00C50166"/>
    <w:rsid w:val="00C5057F"/>
    <w:rsid w:val="00C506AC"/>
    <w:rsid w:val="00C50CEF"/>
    <w:rsid w:val="00C50FB7"/>
    <w:rsid w:val="00C5112E"/>
    <w:rsid w:val="00C51392"/>
    <w:rsid w:val="00C51486"/>
    <w:rsid w:val="00C51536"/>
    <w:rsid w:val="00C51712"/>
    <w:rsid w:val="00C519AA"/>
    <w:rsid w:val="00C51A53"/>
    <w:rsid w:val="00C51AE3"/>
    <w:rsid w:val="00C51B05"/>
    <w:rsid w:val="00C51B3B"/>
    <w:rsid w:val="00C51BA8"/>
    <w:rsid w:val="00C51F8A"/>
    <w:rsid w:val="00C52024"/>
    <w:rsid w:val="00C5229E"/>
    <w:rsid w:val="00C5283A"/>
    <w:rsid w:val="00C52C89"/>
    <w:rsid w:val="00C52E61"/>
    <w:rsid w:val="00C52F7C"/>
    <w:rsid w:val="00C5335B"/>
    <w:rsid w:val="00C5366C"/>
    <w:rsid w:val="00C538A0"/>
    <w:rsid w:val="00C53A0A"/>
    <w:rsid w:val="00C53BE7"/>
    <w:rsid w:val="00C53C79"/>
    <w:rsid w:val="00C53FBF"/>
    <w:rsid w:val="00C541AA"/>
    <w:rsid w:val="00C54490"/>
    <w:rsid w:val="00C544C2"/>
    <w:rsid w:val="00C54541"/>
    <w:rsid w:val="00C54A89"/>
    <w:rsid w:val="00C54FD3"/>
    <w:rsid w:val="00C55244"/>
    <w:rsid w:val="00C553A9"/>
    <w:rsid w:val="00C55816"/>
    <w:rsid w:val="00C55A2F"/>
    <w:rsid w:val="00C55B44"/>
    <w:rsid w:val="00C55CF9"/>
    <w:rsid w:val="00C55D20"/>
    <w:rsid w:val="00C55FCC"/>
    <w:rsid w:val="00C56019"/>
    <w:rsid w:val="00C561FA"/>
    <w:rsid w:val="00C566BE"/>
    <w:rsid w:val="00C56AB5"/>
    <w:rsid w:val="00C57540"/>
    <w:rsid w:val="00C5771B"/>
    <w:rsid w:val="00C578DA"/>
    <w:rsid w:val="00C57B15"/>
    <w:rsid w:val="00C57B7D"/>
    <w:rsid w:val="00C57E9A"/>
    <w:rsid w:val="00C60419"/>
    <w:rsid w:val="00C6052D"/>
    <w:rsid w:val="00C60736"/>
    <w:rsid w:val="00C6078B"/>
    <w:rsid w:val="00C608AD"/>
    <w:rsid w:val="00C60AF3"/>
    <w:rsid w:val="00C60C60"/>
    <w:rsid w:val="00C60FC0"/>
    <w:rsid w:val="00C615FE"/>
    <w:rsid w:val="00C61726"/>
    <w:rsid w:val="00C6180B"/>
    <w:rsid w:val="00C618B4"/>
    <w:rsid w:val="00C61931"/>
    <w:rsid w:val="00C61C0F"/>
    <w:rsid w:val="00C61D1E"/>
    <w:rsid w:val="00C61EE6"/>
    <w:rsid w:val="00C61F8B"/>
    <w:rsid w:val="00C621B9"/>
    <w:rsid w:val="00C62469"/>
    <w:rsid w:val="00C62B1D"/>
    <w:rsid w:val="00C62DAF"/>
    <w:rsid w:val="00C62DC4"/>
    <w:rsid w:val="00C62FD3"/>
    <w:rsid w:val="00C63152"/>
    <w:rsid w:val="00C637EF"/>
    <w:rsid w:val="00C63AA8"/>
    <w:rsid w:val="00C6441E"/>
    <w:rsid w:val="00C64505"/>
    <w:rsid w:val="00C64FA6"/>
    <w:rsid w:val="00C652B9"/>
    <w:rsid w:val="00C6565E"/>
    <w:rsid w:val="00C65A09"/>
    <w:rsid w:val="00C65AE9"/>
    <w:rsid w:val="00C65BE6"/>
    <w:rsid w:val="00C65C28"/>
    <w:rsid w:val="00C65E55"/>
    <w:rsid w:val="00C65EAB"/>
    <w:rsid w:val="00C66334"/>
    <w:rsid w:val="00C665D3"/>
    <w:rsid w:val="00C66670"/>
    <w:rsid w:val="00C66801"/>
    <w:rsid w:val="00C66BA6"/>
    <w:rsid w:val="00C66BDE"/>
    <w:rsid w:val="00C66D1D"/>
    <w:rsid w:val="00C66DFE"/>
    <w:rsid w:val="00C66EA5"/>
    <w:rsid w:val="00C66FAD"/>
    <w:rsid w:val="00C67295"/>
    <w:rsid w:val="00C674F5"/>
    <w:rsid w:val="00C6755F"/>
    <w:rsid w:val="00C6767F"/>
    <w:rsid w:val="00C676EE"/>
    <w:rsid w:val="00C677BE"/>
    <w:rsid w:val="00C67929"/>
    <w:rsid w:val="00C67968"/>
    <w:rsid w:val="00C67BE6"/>
    <w:rsid w:val="00C67E87"/>
    <w:rsid w:val="00C67F41"/>
    <w:rsid w:val="00C67FAA"/>
    <w:rsid w:val="00C67FB3"/>
    <w:rsid w:val="00C67FBA"/>
    <w:rsid w:val="00C70180"/>
    <w:rsid w:val="00C70202"/>
    <w:rsid w:val="00C70571"/>
    <w:rsid w:val="00C70604"/>
    <w:rsid w:val="00C708E6"/>
    <w:rsid w:val="00C70BA1"/>
    <w:rsid w:val="00C70C59"/>
    <w:rsid w:val="00C71103"/>
    <w:rsid w:val="00C713B3"/>
    <w:rsid w:val="00C71AC0"/>
    <w:rsid w:val="00C71B86"/>
    <w:rsid w:val="00C71FFF"/>
    <w:rsid w:val="00C7225E"/>
    <w:rsid w:val="00C724D6"/>
    <w:rsid w:val="00C72519"/>
    <w:rsid w:val="00C7256D"/>
    <w:rsid w:val="00C725CF"/>
    <w:rsid w:val="00C726B7"/>
    <w:rsid w:val="00C726C9"/>
    <w:rsid w:val="00C727A5"/>
    <w:rsid w:val="00C729C1"/>
    <w:rsid w:val="00C72B91"/>
    <w:rsid w:val="00C72D80"/>
    <w:rsid w:val="00C73005"/>
    <w:rsid w:val="00C73080"/>
    <w:rsid w:val="00C731A0"/>
    <w:rsid w:val="00C73E3B"/>
    <w:rsid w:val="00C73EFA"/>
    <w:rsid w:val="00C73F28"/>
    <w:rsid w:val="00C73FDF"/>
    <w:rsid w:val="00C73FEE"/>
    <w:rsid w:val="00C74178"/>
    <w:rsid w:val="00C74448"/>
    <w:rsid w:val="00C74458"/>
    <w:rsid w:val="00C74526"/>
    <w:rsid w:val="00C74825"/>
    <w:rsid w:val="00C749DC"/>
    <w:rsid w:val="00C74BD8"/>
    <w:rsid w:val="00C74C11"/>
    <w:rsid w:val="00C74DB6"/>
    <w:rsid w:val="00C756B0"/>
    <w:rsid w:val="00C756F8"/>
    <w:rsid w:val="00C7578D"/>
    <w:rsid w:val="00C75918"/>
    <w:rsid w:val="00C75A09"/>
    <w:rsid w:val="00C75EAE"/>
    <w:rsid w:val="00C76787"/>
    <w:rsid w:val="00C7678A"/>
    <w:rsid w:val="00C76A69"/>
    <w:rsid w:val="00C76BA0"/>
    <w:rsid w:val="00C76CDB"/>
    <w:rsid w:val="00C76D8B"/>
    <w:rsid w:val="00C76EDB"/>
    <w:rsid w:val="00C7710D"/>
    <w:rsid w:val="00C77611"/>
    <w:rsid w:val="00C77844"/>
    <w:rsid w:val="00C77A28"/>
    <w:rsid w:val="00C77F28"/>
    <w:rsid w:val="00C80057"/>
    <w:rsid w:val="00C802D9"/>
    <w:rsid w:val="00C80402"/>
    <w:rsid w:val="00C80528"/>
    <w:rsid w:val="00C8054F"/>
    <w:rsid w:val="00C80A4A"/>
    <w:rsid w:val="00C80AC0"/>
    <w:rsid w:val="00C80AF7"/>
    <w:rsid w:val="00C80B12"/>
    <w:rsid w:val="00C80B96"/>
    <w:rsid w:val="00C80D5E"/>
    <w:rsid w:val="00C80DDC"/>
    <w:rsid w:val="00C80EC8"/>
    <w:rsid w:val="00C810BC"/>
    <w:rsid w:val="00C81197"/>
    <w:rsid w:val="00C812AF"/>
    <w:rsid w:val="00C8133B"/>
    <w:rsid w:val="00C813CD"/>
    <w:rsid w:val="00C81C6B"/>
    <w:rsid w:val="00C81C77"/>
    <w:rsid w:val="00C81D48"/>
    <w:rsid w:val="00C81DFF"/>
    <w:rsid w:val="00C825C7"/>
    <w:rsid w:val="00C825F6"/>
    <w:rsid w:val="00C8270B"/>
    <w:rsid w:val="00C828FC"/>
    <w:rsid w:val="00C82CF1"/>
    <w:rsid w:val="00C82F0D"/>
    <w:rsid w:val="00C82F9C"/>
    <w:rsid w:val="00C831C8"/>
    <w:rsid w:val="00C832AD"/>
    <w:rsid w:val="00C833BB"/>
    <w:rsid w:val="00C83C25"/>
    <w:rsid w:val="00C83DAC"/>
    <w:rsid w:val="00C8417F"/>
    <w:rsid w:val="00C841E1"/>
    <w:rsid w:val="00C843A5"/>
    <w:rsid w:val="00C8445D"/>
    <w:rsid w:val="00C84473"/>
    <w:rsid w:val="00C848E3"/>
    <w:rsid w:val="00C84D3B"/>
    <w:rsid w:val="00C84EBD"/>
    <w:rsid w:val="00C84F49"/>
    <w:rsid w:val="00C850D6"/>
    <w:rsid w:val="00C851A6"/>
    <w:rsid w:val="00C851C1"/>
    <w:rsid w:val="00C851CB"/>
    <w:rsid w:val="00C85612"/>
    <w:rsid w:val="00C858EA"/>
    <w:rsid w:val="00C85E16"/>
    <w:rsid w:val="00C85E38"/>
    <w:rsid w:val="00C85FF9"/>
    <w:rsid w:val="00C862C3"/>
    <w:rsid w:val="00C864FE"/>
    <w:rsid w:val="00C867E7"/>
    <w:rsid w:val="00C867F7"/>
    <w:rsid w:val="00C86ACF"/>
    <w:rsid w:val="00C86BCC"/>
    <w:rsid w:val="00C872B4"/>
    <w:rsid w:val="00C87347"/>
    <w:rsid w:val="00C87835"/>
    <w:rsid w:val="00C87929"/>
    <w:rsid w:val="00C87B3B"/>
    <w:rsid w:val="00C87BB6"/>
    <w:rsid w:val="00C87C28"/>
    <w:rsid w:val="00C9018A"/>
    <w:rsid w:val="00C901BB"/>
    <w:rsid w:val="00C9047E"/>
    <w:rsid w:val="00C908A9"/>
    <w:rsid w:val="00C90D6C"/>
    <w:rsid w:val="00C90EEE"/>
    <w:rsid w:val="00C91171"/>
    <w:rsid w:val="00C914CB"/>
    <w:rsid w:val="00C914DF"/>
    <w:rsid w:val="00C91710"/>
    <w:rsid w:val="00C917E4"/>
    <w:rsid w:val="00C91805"/>
    <w:rsid w:val="00C91839"/>
    <w:rsid w:val="00C91D93"/>
    <w:rsid w:val="00C920D4"/>
    <w:rsid w:val="00C921A7"/>
    <w:rsid w:val="00C926D9"/>
    <w:rsid w:val="00C92782"/>
    <w:rsid w:val="00C92827"/>
    <w:rsid w:val="00C929E3"/>
    <w:rsid w:val="00C92B09"/>
    <w:rsid w:val="00C92B1A"/>
    <w:rsid w:val="00C92BF4"/>
    <w:rsid w:val="00C93121"/>
    <w:rsid w:val="00C933E9"/>
    <w:rsid w:val="00C93558"/>
    <w:rsid w:val="00C9355A"/>
    <w:rsid w:val="00C93D48"/>
    <w:rsid w:val="00C93F15"/>
    <w:rsid w:val="00C93FC8"/>
    <w:rsid w:val="00C94797"/>
    <w:rsid w:val="00C9479F"/>
    <w:rsid w:val="00C949CE"/>
    <w:rsid w:val="00C94D75"/>
    <w:rsid w:val="00C94DAB"/>
    <w:rsid w:val="00C94E6E"/>
    <w:rsid w:val="00C950EE"/>
    <w:rsid w:val="00C954B7"/>
    <w:rsid w:val="00C955D1"/>
    <w:rsid w:val="00C95698"/>
    <w:rsid w:val="00C9584B"/>
    <w:rsid w:val="00C95BE1"/>
    <w:rsid w:val="00C9601C"/>
    <w:rsid w:val="00C96106"/>
    <w:rsid w:val="00C96422"/>
    <w:rsid w:val="00C966DD"/>
    <w:rsid w:val="00C96A8E"/>
    <w:rsid w:val="00C96DF8"/>
    <w:rsid w:val="00C973FC"/>
    <w:rsid w:val="00C97437"/>
    <w:rsid w:val="00C9757D"/>
    <w:rsid w:val="00C97A39"/>
    <w:rsid w:val="00C97A75"/>
    <w:rsid w:val="00C97C39"/>
    <w:rsid w:val="00C97F26"/>
    <w:rsid w:val="00CA01B5"/>
    <w:rsid w:val="00CA02ED"/>
    <w:rsid w:val="00CA03B4"/>
    <w:rsid w:val="00CA04A9"/>
    <w:rsid w:val="00CA061B"/>
    <w:rsid w:val="00CA0712"/>
    <w:rsid w:val="00CA0BBC"/>
    <w:rsid w:val="00CA0CD3"/>
    <w:rsid w:val="00CA0DFC"/>
    <w:rsid w:val="00CA0E68"/>
    <w:rsid w:val="00CA0FE7"/>
    <w:rsid w:val="00CA15A6"/>
    <w:rsid w:val="00CA1A8F"/>
    <w:rsid w:val="00CA1C65"/>
    <w:rsid w:val="00CA1D64"/>
    <w:rsid w:val="00CA1D69"/>
    <w:rsid w:val="00CA1FB3"/>
    <w:rsid w:val="00CA25DD"/>
    <w:rsid w:val="00CA26E4"/>
    <w:rsid w:val="00CA285A"/>
    <w:rsid w:val="00CA28EE"/>
    <w:rsid w:val="00CA29CF"/>
    <w:rsid w:val="00CA29F3"/>
    <w:rsid w:val="00CA2A28"/>
    <w:rsid w:val="00CA2BCF"/>
    <w:rsid w:val="00CA2C95"/>
    <w:rsid w:val="00CA2CD9"/>
    <w:rsid w:val="00CA2D33"/>
    <w:rsid w:val="00CA2DF0"/>
    <w:rsid w:val="00CA33C6"/>
    <w:rsid w:val="00CA351E"/>
    <w:rsid w:val="00CA36A2"/>
    <w:rsid w:val="00CA3BA3"/>
    <w:rsid w:val="00CA3D57"/>
    <w:rsid w:val="00CA3F9F"/>
    <w:rsid w:val="00CA40A2"/>
    <w:rsid w:val="00CA42D7"/>
    <w:rsid w:val="00CA442E"/>
    <w:rsid w:val="00CA4548"/>
    <w:rsid w:val="00CA47F3"/>
    <w:rsid w:val="00CA4A2F"/>
    <w:rsid w:val="00CA4E07"/>
    <w:rsid w:val="00CA4E51"/>
    <w:rsid w:val="00CA501E"/>
    <w:rsid w:val="00CA5358"/>
    <w:rsid w:val="00CA53F6"/>
    <w:rsid w:val="00CA56A8"/>
    <w:rsid w:val="00CA599D"/>
    <w:rsid w:val="00CA5C76"/>
    <w:rsid w:val="00CA5CD4"/>
    <w:rsid w:val="00CA5FF4"/>
    <w:rsid w:val="00CA6714"/>
    <w:rsid w:val="00CA6987"/>
    <w:rsid w:val="00CA69A4"/>
    <w:rsid w:val="00CA6F66"/>
    <w:rsid w:val="00CA70DB"/>
    <w:rsid w:val="00CA74D9"/>
    <w:rsid w:val="00CA79A3"/>
    <w:rsid w:val="00CA7A47"/>
    <w:rsid w:val="00CA7DE0"/>
    <w:rsid w:val="00CA7E76"/>
    <w:rsid w:val="00CA7EC5"/>
    <w:rsid w:val="00CA7FF0"/>
    <w:rsid w:val="00CB024B"/>
    <w:rsid w:val="00CB04D1"/>
    <w:rsid w:val="00CB0553"/>
    <w:rsid w:val="00CB0602"/>
    <w:rsid w:val="00CB06BD"/>
    <w:rsid w:val="00CB0787"/>
    <w:rsid w:val="00CB096C"/>
    <w:rsid w:val="00CB0D1F"/>
    <w:rsid w:val="00CB0FBC"/>
    <w:rsid w:val="00CB104C"/>
    <w:rsid w:val="00CB13C3"/>
    <w:rsid w:val="00CB1431"/>
    <w:rsid w:val="00CB18B1"/>
    <w:rsid w:val="00CB19D3"/>
    <w:rsid w:val="00CB1B2B"/>
    <w:rsid w:val="00CB1BD2"/>
    <w:rsid w:val="00CB1E13"/>
    <w:rsid w:val="00CB1FF4"/>
    <w:rsid w:val="00CB2510"/>
    <w:rsid w:val="00CB25F8"/>
    <w:rsid w:val="00CB263E"/>
    <w:rsid w:val="00CB27BB"/>
    <w:rsid w:val="00CB2A3C"/>
    <w:rsid w:val="00CB2B8A"/>
    <w:rsid w:val="00CB30B3"/>
    <w:rsid w:val="00CB316D"/>
    <w:rsid w:val="00CB37A2"/>
    <w:rsid w:val="00CB3967"/>
    <w:rsid w:val="00CB39CF"/>
    <w:rsid w:val="00CB3B61"/>
    <w:rsid w:val="00CB3FB5"/>
    <w:rsid w:val="00CB3FF7"/>
    <w:rsid w:val="00CB439A"/>
    <w:rsid w:val="00CB4561"/>
    <w:rsid w:val="00CB4639"/>
    <w:rsid w:val="00CB4CFF"/>
    <w:rsid w:val="00CB4D6A"/>
    <w:rsid w:val="00CB4F94"/>
    <w:rsid w:val="00CB5181"/>
    <w:rsid w:val="00CB520F"/>
    <w:rsid w:val="00CB52CF"/>
    <w:rsid w:val="00CB56CB"/>
    <w:rsid w:val="00CB590D"/>
    <w:rsid w:val="00CB59CF"/>
    <w:rsid w:val="00CB5A69"/>
    <w:rsid w:val="00CB5BB1"/>
    <w:rsid w:val="00CB5CA9"/>
    <w:rsid w:val="00CB5DE8"/>
    <w:rsid w:val="00CB5EB5"/>
    <w:rsid w:val="00CB5ED5"/>
    <w:rsid w:val="00CB61B5"/>
    <w:rsid w:val="00CB6349"/>
    <w:rsid w:val="00CB646D"/>
    <w:rsid w:val="00CB64AC"/>
    <w:rsid w:val="00CB64F3"/>
    <w:rsid w:val="00CB651F"/>
    <w:rsid w:val="00CB6553"/>
    <w:rsid w:val="00CB66B0"/>
    <w:rsid w:val="00CB6763"/>
    <w:rsid w:val="00CB68BA"/>
    <w:rsid w:val="00CB6EFF"/>
    <w:rsid w:val="00CB71CC"/>
    <w:rsid w:val="00CB7432"/>
    <w:rsid w:val="00CB744C"/>
    <w:rsid w:val="00CB7824"/>
    <w:rsid w:val="00CB7CD1"/>
    <w:rsid w:val="00CB7F4C"/>
    <w:rsid w:val="00CC004C"/>
    <w:rsid w:val="00CC0266"/>
    <w:rsid w:val="00CC0598"/>
    <w:rsid w:val="00CC070D"/>
    <w:rsid w:val="00CC0852"/>
    <w:rsid w:val="00CC0915"/>
    <w:rsid w:val="00CC0D59"/>
    <w:rsid w:val="00CC10CF"/>
    <w:rsid w:val="00CC1106"/>
    <w:rsid w:val="00CC125B"/>
    <w:rsid w:val="00CC141C"/>
    <w:rsid w:val="00CC154C"/>
    <w:rsid w:val="00CC1A67"/>
    <w:rsid w:val="00CC1F17"/>
    <w:rsid w:val="00CC1F39"/>
    <w:rsid w:val="00CC1FFD"/>
    <w:rsid w:val="00CC2108"/>
    <w:rsid w:val="00CC22BE"/>
    <w:rsid w:val="00CC2375"/>
    <w:rsid w:val="00CC23B2"/>
    <w:rsid w:val="00CC2511"/>
    <w:rsid w:val="00CC26C6"/>
    <w:rsid w:val="00CC2710"/>
    <w:rsid w:val="00CC2975"/>
    <w:rsid w:val="00CC2978"/>
    <w:rsid w:val="00CC29C2"/>
    <w:rsid w:val="00CC2A9C"/>
    <w:rsid w:val="00CC2D5A"/>
    <w:rsid w:val="00CC3057"/>
    <w:rsid w:val="00CC3126"/>
    <w:rsid w:val="00CC31AC"/>
    <w:rsid w:val="00CC39FF"/>
    <w:rsid w:val="00CC3F12"/>
    <w:rsid w:val="00CC41A5"/>
    <w:rsid w:val="00CC4279"/>
    <w:rsid w:val="00CC4490"/>
    <w:rsid w:val="00CC4848"/>
    <w:rsid w:val="00CC49CA"/>
    <w:rsid w:val="00CC4A13"/>
    <w:rsid w:val="00CC4D54"/>
    <w:rsid w:val="00CC4F57"/>
    <w:rsid w:val="00CC4F7C"/>
    <w:rsid w:val="00CC4FEC"/>
    <w:rsid w:val="00CC50E6"/>
    <w:rsid w:val="00CC51B1"/>
    <w:rsid w:val="00CC5239"/>
    <w:rsid w:val="00CC5320"/>
    <w:rsid w:val="00CC54E5"/>
    <w:rsid w:val="00CC5732"/>
    <w:rsid w:val="00CC597F"/>
    <w:rsid w:val="00CC59D5"/>
    <w:rsid w:val="00CC59E4"/>
    <w:rsid w:val="00CC5A05"/>
    <w:rsid w:val="00CC5A37"/>
    <w:rsid w:val="00CC645F"/>
    <w:rsid w:val="00CC688D"/>
    <w:rsid w:val="00CC68BE"/>
    <w:rsid w:val="00CC6B55"/>
    <w:rsid w:val="00CC6BC7"/>
    <w:rsid w:val="00CC6CE7"/>
    <w:rsid w:val="00CC6D78"/>
    <w:rsid w:val="00CC6D99"/>
    <w:rsid w:val="00CC6DA6"/>
    <w:rsid w:val="00CC6FE3"/>
    <w:rsid w:val="00CC7046"/>
    <w:rsid w:val="00CC711B"/>
    <w:rsid w:val="00CC7258"/>
    <w:rsid w:val="00CC7326"/>
    <w:rsid w:val="00CC73E6"/>
    <w:rsid w:val="00CC7505"/>
    <w:rsid w:val="00CC76FB"/>
    <w:rsid w:val="00CC7702"/>
    <w:rsid w:val="00CC7738"/>
    <w:rsid w:val="00CC77B3"/>
    <w:rsid w:val="00CC7E9D"/>
    <w:rsid w:val="00CC7EC4"/>
    <w:rsid w:val="00CC7EFA"/>
    <w:rsid w:val="00CC7F02"/>
    <w:rsid w:val="00CC7FEC"/>
    <w:rsid w:val="00CD04D8"/>
    <w:rsid w:val="00CD0689"/>
    <w:rsid w:val="00CD08F8"/>
    <w:rsid w:val="00CD09D1"/>
    <w:rsid w:val="00CD0A8F"/>
    <w:rsid w:val="00CD0B9B"/>
    <w:rsid w:val="00CD0C33"/>
    <w:rsid w:val="00CD0F51"/>
    <w:rsid w:val="00CD12D2"/>
    <w:rsid w:val="00CD13A7"/>
    <w:rsid w:val="00CD140A"/>
    <w:rsid w:val="00CD142D"/>
    <w:rsid w:val="00CD16CC"/>
    <w:rsid w:val="00CD179F"/>
    <w:rsid w:val="00CD18E6"/>
    <w:rsid w:val="00CD19CC"/>
    <w:rsid w:val="00CD1C0B"/>
    <w:rsid w:val="00CD1CBC"/>
    <w:rsid w:val="00CD1CD7"/>
    <w:rsid w:val="00CD1D02"/>
    <w:rsid w:val="00CD1D2F"/>
    <w:rsid w:val="00CD1F0C"/>
    <w:rsid w:val="00CD28EE"/>
    <w:rsid w:val="00CD2CEE"/>
    <w:rsid w:val="00CD2FFC"/>
    <w:rsid w:val="00CD31D5"/>
    <w:rsid w:val="00CD34F9"/>
    <w:rsid w:val="00CD3939"/>
    <w:rsid w:val="00CD39C6"/>
    <w:rsid w:val="00CD3A3B"/>
    <w:rsid w:val="00CD3C0F"/>
    <w:rsid w:val="00CD3D70"/>
    <w:rsid w:val="00CD3DB7"/>
    <w:rsid w:val="00CD3E09"/>
    <w:rsid w:val="00CD3EA4"/>
    <w:rsid w:val="00CD411A"/>
    <w:rsid w:val="00CD43A5"/>
    <w:rsid w:val="00CD44A8"/>
    <w:rsid w:val="00CD44FB"/>
    <w:rsid w:val="00CD48A1"/>
    <w:rsid w:val="00CD49F1"/>
    <w:rsid w:val="00CD4CFC"/>
    <w:rsid w:val="00CD4F7D"/>
    <w:rsid w:val="00CD5042"/>
    <w:rsid w:val="00CD5255"/>
    <w:rsid w:val="00CD54D5"/>
    <w:rsid w:val="00CD579A"/>
    <w:rsid w:val="00CD5888"/>
    <w:rsid w:val="00CD5A63"/>
    <w:rsid w:val="00CD62A0"/>
    <w:rsid w:val="00CD6372"/>
    <w:rsid w:val="00CD641B"/>
    <w:rsid w:val="00CD6652"/>
    <w:rsid w:val="00CD6760"/>
    <w:rsid w:val="00CD67D2"/>
    <w:rsid w:val="00CD69DB"/>
    <w:rsid w:val="00CD6AF8"/>
    <w:rsid w:val="00CD6C94"/>
    <w:rsid w:val="00CD6DE2"/>
    <w:rsid w:val="00CD72A4"/>
    <w:rsid w:val="00CD72D4"/>
    <w:rsid w:val="00CD77DA"/>
    <w:rsid w:val="00CD77E2"/>
    <w:rsid w:val="00CD7CF9"/>
    <w:rsid w:val="00CE0114"/>
    <w:rsid w:val="00CE05ED"/>
    <w:rsid w:val="00CE0B06"/>
    <w:rsid w:val="00CE12BD"/>
    <w:rsid w:val="00CE15A0"/>
    <w:rsid w:val="00CE1A68"/>
    <w:rsid w:val="00CE21C9"/>
    <w:rsid w:val="00CE23CC"/>
    <w:rsid w:val="00CE2562"/>
    <w:rsid w:val="00CE272D"/>
    <w:rsid w:val="00CE29D1"/>
    <w:rsid w:val="00CE2EC1"/>
    <w:rsid w:val="00CE3415"/>
    <w:rsid w:val="00CE386D"/>
    <w:rsid w:val="00CE3B8A"/>
    <w:rsid w:val="00CE3CA5"/>
    <w:rsid w:val="00CE3D01"/>
    <w:rsid w:val="00CE3FF1"/>
    <w:rsid w:val="00CE4073"/>
    <w:rsid w:val="00CE4340"/>
    <w:rsid w:val="00CE46DF"/>
    <w:rsid w:val="00CE47B2"/>
    <w:rsid w:val="00CE49E4"/>
    <w:rsid w:val="00CE57E0"/>
    <w:rsid w:val="00CE581B"/>
    <w:rsid w:val="00CE5A27"/>
    <w:rsid w:val="00CE5A9F"/>
    <w:rsid w:val="00CE5AA7"/>
    <w:rsid w:val="00CE5BEE"/>
    <w:rsid w:val="00CE5F7C"/>
    <w:rsid w:val="00CE6098"/>
    <w:rsid w:val="00CE60B0"/>
    <w:rsid w:val="00CE6879"/>
    <w:rsid w:val="00CE69DB"/>
    <w:rsid w:val="00CE704D"/>
    <w:rsid w:val="00CE7268"/>
    <w:rsid w:val="00CE76AB"/>
    <w:rsid w:val="00CE7A21"/>
    <w:rsid w:val="00CE7A41"/>
    <w:rsid w:val="00CE7B26"/>
    <w:rsid w:val="00CE7D29"/>
    <w:rsid w:val="00CE7E48"/>
    <w:rsid w:val="00CE7F6D"/>
    <w:rsid w:val="00CF00EE"/>
    <w:rsid w:val="00CF02EC"/>
    <w:rsid w:val="00CF03FF"/>
    <w:rsid w:val="00CF043E"/>
    <w:rsid w:val="00CF0652"/>
    <w:rsid w:val="00CF07C5"/>
    <w:rsid w:val="00CF0F73"/>
    <w:rsid w:val="00CF118D"/>
    <w:rsid w:val="00CF127D"/>
    <w:rsid w:val="00CF141A"/>
    <w:rsid w:val="00CF14A0"/>
    <w:rsid w:val="00CF157C"/>
    <w:rsid w:val="00CF1607"/>
    <w:rsid w:val="00CF1809"/>
    <w:rsid w:val="00CF196B"/>
    <w:rsid w:val="00CF1BC3"/>
    <w:rsid w:val="00CF1CA3"/>
    <w:rsid w:val="00CF1D0D"/>
    <w:rsid w:val="00CF1E6C"/>
    <w:rsid w:val="00CF1FD3"/>
    <w:rsid w:val="00CF2198"/>
    <w:rsid w:val="00CF22B4"/>
    <w:rsid w:val="00CF22CA"/>
    <w:rsid w:val="00CF22F0"/>
    <w:rsid w:val="00CF236D"/>
    <w:rsid w:val="00CF256E"/>
    <w:rsid w:val="00CF2675"/>
    <w:rsid w:val="00CF2903"/>
    <w:rsid w:val="00CF2B91"/>
    <w:rsid w:val="00CF2BBD"/>
    <w:rsid w:val="00CF2D17"/>
    <w:rsid w:val="00CF2EA4"/>
    <w:rsid w:val="00CF2F70"/>
    <w:rsid w:val="00CF2FB5"/>
    <w:rsid w:val="00CF2FFD"/>
    <w:rsid w:val="00CF3725"/>
    <w:rsid w:val="00CF39FC"/>
    <w:rsid w:val="00CF3DB0"/>
    <w:rsid w:val="00CF3EA3"/>
    <w:rsid w:val="00CF3ECA"/>
    <w:rsid w:val="00CF3F28"/>
    <w:rsid w:val="00CF4139"/>
    <w:rsid w:val="00CF420B"/>
    <w:rsid w:val="00CF45C3"/>
    <w:rsid w:val="00CF4716"/>
    <w:rsid w:val="00CF4B09"/>
    <w:rsid w:val="00CF4C7C"/>
    <w:rsid w:val="00CF4E18"/>
    <w:rsid w:val="00CF5250"/>
    <w:rsid w:val="00CF53FE"/>
    <w:rsid w:val="00CF552C"/>
    <w:rsid w:val="00CF5651"/>
    <w:rsid w:val="00CF5920"/>
    <w:rsid w:val="00CF648A"/>
    <w:rsid w:val="00CF6967"/>
    <w:rsid w:val="00CF69BF"/>
    <w:rsid w:val="00CF6B76"/>
    <w:rsid w:val="00CF6C8D"/>
    <w:rsid w:val="00CF711E"/>
    <w:rsid w:val="00CF7341"/>
    <w:rsid w:val="00CF7394"/>
    <w:rsid w:val="00CF739A"/>
    <w:rsid w:val="00CF7530"/>
    <w:rsid w:val="00CF795A"/>
    <w:rsid w:val="00CF79C6"/>
    <w:rsid w:val="00CF7A6A"/>
    <w:rsid w:val="00CF7BF2"/>
    <w:rsid w:val="00CF7C0A"/>
    <w:rsid w:val="00CF7C26"/>
    <w:rsid w:val="00CF7E89"/>
    <w:rsid w:val="00D001C1"/>
    <w:rsid w:val="00D00AAD"/>
    <w:rsid w:val="00D00B77"/>
    <w:rsid w:val="00D013CC"/>
    <w:rsid w:val="00D01C7B"/>
    <w:rsid w:val="00D01E76"/>
    <w:rsid w:val="00D02027"/>
    <w:rsid w:val="00D0207C"/>
    <w:rsid w:val="00D020C2"/>
    <w:rsid w:val="00D022E0"/>
    <w:rsid w:val="00D024ED"/>
    <w:rsid w:val="00D02738"/>
    <w:rsid w:val="00D02749"/>
    <w:rsid w:val="00D027BF"/>
    <w:rsid w:val="00D02842"/>
    <w:rsid w:val="00D029AB"/>
    <w:rsid w:val="00D02A7B"/>
    <w:rsid w:val="00D02BA7"/>
    <w:rsid w:val="00D02BAC"/>
    <w:rsid w:val="00D02BEF"/>
    <w:rsid w:val="00D02C76"/>
    <w:rsid w:val="00D03089"/>
    <w:rsid w:val="00D03390"/>
    <w:rsid w:val="00D0339E"/>
    <w:rsid w:val="00D035E5"/>
    <w:rsid w:val="00D03637"/>
    <w:rsid w:val="00D03A23"/>
    <w:rsid w:val="00D03DA7"/>
    <w:rsid w:val="00D03DB1"/>
    <w:rsid w:val="00D03EEB"/>
    <w:rsid w:val="00D03FA2"/>
    <w:rsid w:val="00D03FA6"/>
    <w:rsid w:val="00D04615"/>
    <w:rsid w:val="00D04744"/>
    <w:rsid w:val="00D047B0"/>
    <w:rsid w:val="00D04B79"/>
    <w:rsid w:val="00D051A1"/>
    <w:rsid w:val="00D055C6"/>
    <w:rsid w:val="00D0577B"/>
    <w:rsid w:val="00D0580F"/>
    <w:rsid w:val="00D0583E"/>
    <w:rsid w:val="00D05A60"/>
    <w:rsid w:val="00D05A89"/>
    <w:rsid w:val="00D05B83"/>
    <w:rsid w:val="00D05DF8"/>
    <w:rsid w:val="00D05FF2"/>
    <w:rsid w:val="00D061C3"/>
    <w:rsid w:val="00D06218"/>
    <w:rsid w:val="00D062A2"/>
    <w:rsid w:val="00D063B6"/>
    <w:rsid w:val="00D064D9"/>
    <w:rsid w:val="00D0659A"/>
    <w:rsid w:val="00D065AE"/>
    <w:rsid w:val="00D067B4"/>
    <w:rsid w:val="00D069F1"/>
    <w:rsid w:val="00D07405"/>
    <w:rsid w:val="00D07542"/>
    <w:rsid w:val="00D07848"/>
    <w:rsid w:val="00D07886"/>
    <w:rsid w:val="00D07C16"/>
    <w:rsid w:val="00D10177"/>
    <w:rsid w:val="00D10411"/>
    <w:rsid w:val="00D106D6"/>
    <w:rsid w:val="00D107ED"/>
    <w:rsid w:val="00D10A5E"/>
    <w:rsid w:val="00D10AFE"/>
    <w:rsid w:val="00D10B78"/>
    <w:rsid w:val="00D10B7C"/>
    <w:rsid w:val="00D10C0F"/>
    <w:rsid w:val="00D10C24"/>
    <w:rsid w:val="00D10C3C"/>
    <w:rsid w:val="00D11328"/>
    <w:rsid w:val="00D11434"/>
    <w:rsid w:val="00D115B5"/>
    <w:rsid w:val="00D11649"/>
    <w:rsid w:val="00D1197F"/>
    <w:rsid w:val="00D119B6"/>
    <w:rsid w:val="00D11B65"/>
    <w:rsid w:val="00D11CA1"/>
    <w:rsid w:val="00D120A8"/>
    <w:rsid w:val="00D125E7"/>
    <w:rsid w:val="00D12979"/>
    <w:rsid w:val="00D12A9E"/>
    <w:rsid w:val="00D12C30"/>
    <w:rsid w:val="00D12CA5"/>
    <w:rsid w:val="00D12EAC"/>
    <w:rsid w:val="00D12F3F"/>
    <w:rsid w:val="00D137E2"/>
    <w:rsid w:val="00D138F4"/>
    <w:rsid w:val="00D13ABC"/>
    <w:rsid w:val="00D13DBD"/>
    <w:rsid w:val="00D13E1C"/>
    <w:rsid w:val="00D147C0"/>
    <w:rsid w:val="00D148D3"/>
    <w:rsid w:val="00D149D1"/>
    <w:rsid w:val="00D15385"/>
    <w:rsid w:val="00D1540C"/>
    <w:rsid w:val="00D156E4"/>
    <w:rsid w:val="00D15946"/>
    <w:rsid w:val="00D15ABD"/>
    <w:rsid w:val="00D15B9A"/>
    <w:rsid w:val="00D15D96"/>
    <w:rsid w:val="00D15F86"/>
    <w:rsid w:val="00D161C1"/>
    <w:rsid w:val="00D162E2"/>
    <w:rsid w:val="00D164F8"/>
    <w:rsid w:val="00D1650A"/>
    <w:rsid w:val="00D16628"/>
    <w:rsid w:val="00D1666D"/>
    <w:rsid w:val="00D166FB"/>
    <w:rsid w:val="00D16A15"/>
    <w:rsid w:val="00D16AC9"/>
    <w:rsid w:val="00D16F8B"/>
    <w:rsid w:val="00D17273"/>
    <w:rsid w:val="00D17359"/>
    <w:rsid w:val="00D1747E"/>
    <w:rsid w:val="00D175CF"/>
    <w:rsid w:val="00D1781C"/>
    <w:rsid w:val="00D178E8"/>
    <w:rsid w:val="00D179DF"/>
    <w:rsid w:val="00D17A2D"/>
    <w:rsid w:val="00D17B88"/>
    <w:rsid w:val="00D17C8C"/>
    <w:rsid w:val="00D17D73"/>
    <w:rsid w:val="00D17DD7"/>
    <w:rsid w:val="00D2033C"/>
    <w:rsid w:val="00D20653"/>
    <w:rsid w:val="00D206C6"/>
    <w:rsid w:val="00D20884"/>
    <w:rsid w:val="00D20994"/>
    <w:rsid w:val="00D20AD0"/>
    <w:rsid w:val="00D20B03"/>
    <w:rsid w:val="00D20CB3"/>
    <w:rsid w:val="00D20CC7"/>
    <w:rsid w:val="00D20FF2"/>
    <w:rsid w:val="00D2122F"/>
    <w:rsid w:val="00D2143A"/>
    <w:rsid w:val="00D216C1"/>
    <w:rsid w:val="00D21BDD"/>
    <w:rsid w:val="00D21C85"/>
    <w:rsid w:val="00D21F67"/>
    <w:rsid w:val="00D22266"/>
    <w:rsid w:val="00D225A4"/>
    <w:rsid w:val="00D2277D"/>
    <w:rsid w:val="00D22919"/>
    <w:rsid w:val="00D22A5D"/>
    <w:rsid w:val="00D22D78"/>
    <w:rsid w:val="00D235C1"/>
    <w:rsid w:val="00D23864"/>
    <w:rsid w:val="00D2390A"/>
    <w:rsid w:val="00D23982"/>
    <w:rsid w:val="00D24135"/>
    <w:rsid w:val="00D243B4"/>
    <w:rsid w:val="00D24409"/>
    <w:rsid w:val="00D24456"/>
    <w:rsid w:val="00D24999"/>
    <w:rsid w:val="00D24BF8"/>
    <w:rsid w:val="00D24EC6"/>
    <w:rsid w:val="00D252BC"/>
    <w:rsid w:val="00D252EE"/>
    <w:rsid w:val="00D253E0"/>
    <w:rsid w:val="00D255D2"/>
    <w:rsid w:val="00D2593C"/>
    <w:rsid w:val="00D25AED"/>
    <w:rsid w:val="00D25B4E"/>
    <w:rsid w:val="00D25B81"/>
    <w:rsid w:val="00D25B90"/>
    <w:rsid w:val="00D25F79"/>
    <w:rsid w:val="00D26137"/>
    <w:rsid w:val="00D265A1"/>
    <w:rsid w:val="00D2677D"/>
    <w:rsid w:val="00D26C3C"/>
    <w:rsid w:val="00D272EA"/>
    <w:rsid w:val="00D27496"/>
    <w:rsid w:val="00D27560"/>
    <w:rsid w:val="00D275FA"/>
    <w:rsid w:val="00D275FB"/>
    <w:rsid w:val="00D2763D"/>
    <w:rsid w:val="00D279B0"/>
    <w:rsid w:val="00D27A7E"/>
    <w:rsid w:val="00D27BD3"/>
    <w:rsid w:val="00D27BD8"/>
    <w:rsid w:val="00D27C8D"/>
    <w:rsid w:val="00D27ECF"/>
    <w:rsid w:val="00D30357"/>
    <w:rsid w:val="00D30532"/>
    <w:rsid w:val="00D307A7"/>
    <w:rsid w:val="00D307EC"/>
    <w:rsid w:val="00D30C85"/>
    <w:rsid w:val="00D3108D"/>
    <w:rsid w:val="00D313D2"/>
    <w:rsid w:val="00D3163F"/>
    <w:rsid w:val="00D32176"/>
    <w:rsid w:val="00D321E7"/>
    <w:rsid w:val="00D32336"/>
    <w:rsid w:val="00D323BE"/>
    <w:rsid w:val="00D3242F"/>
    <w:rsid w:val="00D3257E"/>
    <w:rsid w:val="00D325F9"/>
    <w:rsid w:val="00D32610"/>
    <w:rsid w:val="00D32693"/>
    <w:rsid w:val="00D3293A"/>
    <w:rsid w:val="00D32B97"/>
    <w:rsid w:val="00D32D7E"/>
    <w:rsid w:val="00D32E99"/>
    <w:rsid w:val="00D3330D"/>
    <w:rsid w:val="00D33321"/>
    <w:rsid w:val="00D3353D"/>
    <w:rsid w:val="00D338D7"/>
    <w:rsid w:val="00D33EEF"/>
    <w:rsid w:val="00D3406D"/>
    <w:rsid w:val="00D34385"/>
    <w:rsid w:val="00D343AB"/>
    <w:rsid w:val="00D34793"/>
    <w:rsid w:val="00D348B8"/>
    <w:rsid w:val="00D349B0"/>
    <w:rsid w:val="00D34A3A"/>
    <w:rsid w:val="00D34A8E"/>
    <w:rsid w:val="00D34B49"/>
    <w:rsid w:val="00D34D55"/>
    <w:rsid w:val="00D34D6B"/>
    <w:rsid w:val="00D34DC5"/>
    <w:rsid w:val="00D3530B"/>
    <w:rsid w:val="00D353F1"/>
    <w:rsid w:val="00D35527"/>
    <w:rsid w:val="00D35564"/>
    <w:rsid w:val="00D355F0"/>
    <w:rsid w:val="00D35632"/>
    <w:rsid w:val="00D3565E"/>
    <w:rsid w:val="00D3599B"/>
    <w:rsid w:val="00D35C80"/>
    <w:rsid w:val="00D35D45"/>
    <w:rsid w:val="00D35DBA"/>
    <w:rsid w:val="00D36548"/>
    <w:rsid w:val="00D367C1"/>
    <w:rsid w:val="00D36827"/>
    <w:rsid w:val="00D3699E"/>
    <w:rsid w:val="00D36A7E"/>
    <w:rsid w:val="00D36AE7"/>
    <w:rsid w:val="00D36F23"/>
    <w:rsid w:val="00D37274"/>
    <w:rsid w:val="00D3732B"/>
    <w:rsid w:val="00D37446"/>
    <w:rsid w:val="00D3752B"/>
    <w:rsid w:val="00D37602"/>
    <w:rsid w:val="00D37663"/>
    <w:rsid w:val="00D376B4"/>
    <w:rsid w:val="00D376B5"/>
    <w:rsid w:val="00D37EC4"/>
    <w:rsid w:val="00D40050"/>
    <w:rsid w:val="00D401DA"/>
    <w:rsid w:val="00D4051E"/>
    <w:rsid w:val="00D405E4"/>
    <w:rsid w:val="00D4089E"/>
    <w:rsid w:val="00D40AC8"/>
    <w:rsid w:val="00D40C27"/>
    <w:rsid w:val="00D40CC7"/>
    <w:rsid w:val="00D40F0B"/>
    <w:rsid w:val="00D40FE2"/>
    <w:rsid w:val="00D410B0"/>
    <w:rsid w:val="00D412CB"/>
    <w:rsid w:val="00D4139B"/>
    <w:rsid w:val="00D4142A"/>
    <w:rsid w:val="00D416E2"/>
    <w:rsid w:val="00D417F8"/>
    <w:rsid w:val="00D418B1"/>
    <w:rsid w:val="00D41A5D"/>
    <w:rsid w:val="00D41A94"/>
    <w:rsid w:val="00D41D4A"/>
    <w:rsid w:val="00D423D4"/>
    <w:rsid w:val="00D424DE"/>
    <w:rsid w:val="00D42A9C"/>
    <w:rsid w:val="00D42B3C"/>
    <w:rsid w:val="00D42C79"/>
    <w:rsid w:val="00D42DF2"/>
    <w:rsid w:val="00D4312F"/>
    <w:rsid w:val="00D43698"/>
    <w:rsid w:val="00D43774"/>
    <w:rsid w:val="00D43849"/>
    <w:rsid w:val="00D44797"/>
    <w:rsid w:val="00D44B87"/>
    <w:rsid w:val="00D4500F"/>
    <w:rsid w:val="00D45401"/>
    <w:rsid w:val="00D45406"/>
    <w:rsid w:val="00D45571"/>
    <w:rsid w:val="00D458DF"/>
    <w:rsid w:val="00D45A18"/>
    <w:rsid w:val="00D45BE7"/>
    <w:rsid w:val="00D45D5B"/>
    <w:rsid w:val="00D45F1D"/>
    <w:rsid w:val="00D45FE3"/>
    <w:rsid w:val="00D461C8"/>
    <w:rsid w:val="00D462D9"/>
    <w:rsid w:val="00D46377"/>
    <w:rsid w:val="00D464B4"/>
    <w:rsid w:val="00D46679"/>
    <w:rsid w:val="00D466B0"/>
    <w:rsid w:val="00D467A7"/>
    <w:rsid w:val="00D46972"/>
    <w:rsid w:val="00D46B4B"/>
    <w:rsid w:val="00D46C9A"/>
    <w:rsid w:val="00D4716B"/>
    <w:rsid w:val="00D47214"/>
    <w:rsid w:val="00D473F1"/>
    <w:rsid w:val="00D47639"/>
    <w:rsid w:val="00D47656"/>
    <w:rsid w:val="00D477AF"/>
    <w:rsid w:val="00D479E9"/>
    <w:rsid w:val="00D47D46"/>
    <w:rsid w:val="00D47E01"/>
    <w:rsid w:val="00D500D3"/>
    <w:rsid w:val="00D50415"/>
    <w:rsid w:val="00D505D5"/>
    <w:rsid w:val="00D5073A"/>
    <w:rsid w:val="00D50946"/>
    <w:rsid w:val="00D50CA7"/>
    <w:rsid w:val="00D50CAC"/>
    <w:rsid w:val="00D50EBA"/>
    <w:rsid w:val="00D51053"/>
    <w:rsid w:val="00D512F9"/>
    <w:rsid w:val="00D51509"/>
    <w:rsid w:val="00D51613"/>
    <w:rsid w:val="00D516A9"/>
    <w:rsid w:val="00D517A3"/>
    <w:rsid w:val="00D5194E"/>
    <w:rsid w:val="00D51BB3"/>
    <w:rsid w:val="00D51D4A"/>
    <w:rsid w:val="00D51EC2"/>
    <w:rsid w:val="00D52708"/>
    <w:rsid w:val="00D5288E"/>
    <w:rsid w:val="00D52B33"/>
    <w:rsid w:val="00D52D83"/>
    <w:rsid w:val="00D53164"/>
    <w:rsid w:val="00D531C1"/>
    <w:rsid w:val="00D53245"/>
    <w:rsid w:val="00D5342E"/>
    <w:rsid w:val="00D536DF"/>
    <w:rsid w:val="00D536F7"/>
    <w:rsid w:val="00D53FD5"/>
    <w:rsid w:val="00D54313"/>
    <w:rsid w:val="00D5433C"/>
    <w:rsid w:val="00D546B9"/>
    <w:rsid w:val="00D54757"/>
    <w:rsid w:val="00D54A11"/>
    <w:rsid w:val="00D54B60"/>
    <w:rsid w:val="00D54BFE"/>
    <w:rsid w:val="00D54C86"/>
    <w:rsid w:val="00D550B5"/>
    <w:rsid w:val="00D550C9"/>
    <w:rsid w:val="00D55124"/>
    <w:rsid w:val="00D5515F"/>
    <w:rsid w:val="00D55257"/>
    <w:rsid w:val="00D552F5"/>
    <w:rsid w:val="00D555AB"/>
    <w:rsid w:val="00D559FE"/>
    <w:rsid w:val="00D55C8E"/>
    <w:rsid w:val="00D55CD7"/>
    <w:rsid w:val="00D55CE9"/>
    <w:rsid w:val="00D56106"/>
    <w:rsid w:val="00D56219"/>
    <w:rsid w:val="00D5655E"/>
    <w:rsid w:val="00D568A6"/>
    <w:rsid w:val="00D56945"/>
    <w:rsid w:val="00D56C94"/>
    <w:rsid w:val="00D56EF7"/>
    <w:rsid w:val="00D570EB"/>
    <w:rsid w:val="00D5713A"/>
    <w:rsid w:val="00D57181"/>
    <w:rsid w:val="00D5731F"/>
    <w:rsid w:val="00D57381"/>
    <w:rsid w:val="00D574A6"/>
    <w:rsid w:val="00D579F5"/>
    <w:rsid w:val="00D57A53"/>
    <w:rsid w:val="00D57B93"/>
    <w:rsid w:val="00D57BBE"/>
    <w:rsid w:val="00D60095"/>
    <w:rsid w:val="00D6009A"/>
    <w:rsid w:val="00D602B9"/>
    <w:rsid w:val="00D602C1"/>
    <w:rsid w:val="00D60349"/>
    <w:rsid w:val="00D60810"/>
    <w:rsid w:val="00D609A7"/>
    <w:rsid w:val="00D609AD"/>
    <w:rsid w:val="00D60BF2"/>
    <w:rsid w:val="00D60EEF"/>
    <w:rsid w:val="00D60EF5"/>
    <w:rsid w:val="00D60F8A"/>
    <w:rsid w:val="00D60FA0"/>
    <w:rsid w:val="00D610CD"/>
    <w:rsid w:val="00D610EB"/>
    <w:rsid w:val="00D610EC"/>
    <w:rsid w:val="00D610ED"/>
    <w:rsid w:val="00D61188"/>
    <w:rsid w:val="00D611B6"/>
    <w:rsid w:val="00D61248"/>
    <w:rsid w:val="00D6133A"/>
    <w:rsid w:val="00D613E5"/>
    <w:rsid w:val="00D616A9"/>
    <w:rsid w:val="00D616BF"/>
    <w:rsid w:val="00D617CB"/>
    <w:rsid w:val="00D618DF"/>
    <w:rsid w:val="00D6194E"/>
    <w:rsid w:val="00D61A7B"/>
    <w:rsid w:val="00D61E05"/>
    <w:rsid w:val="00D62239"/>
    <w:rsid w:val="00D6253D"/>
    <w:rsid w:val="00D62D58"/>
    <w:rsid w:val="00D631F3"/>
    <w:rsid w:val="00D63591"/>
    <w:rsid w:val="00D63CE8"/>
    <w:rsid w:val="00D63DE8"/>
    <w:rsid w:val="00D63F62"/>
    <w:rsid w:val="00D64392"/>
    <w:rsid w:val="00D64402"/>
    <w:rsid w:val="00D6447E"/>
    <w:rsid w:val="00D64974"/>
    <w:rsid w:val="00D649CC"/>
    <w:rsid w:val="00D64AEA"/>
    <w:rsid w:val="00D64AF2"/>
    <w:rsid w:val="00D64E05"/>
    <w:rsid w:val="00D64EB3"/>
    <w:rsid w:val="00D65030"/>
    <w:rsid w:val="00D6591C"/>
    <w:rsid w:val="00D65A24"/>
    <w:rsid w:val="00D65A93"/>
    <w:rsid w:val="00D65FE0"/>
    <w:rsid w:val="00D6607D"/>
    <w:rsid w:val="00D6608E"/>
    <w:rsid w:val="00D665EA"/>
    <w:rsid w:val="00D66637"/>
    <w:rsid w:val="00D66721"/>
    <w:rsid w:val="00D667D7"/>
    <w:rsid w:val="00D66ABA"/>
    <w:rsid w:val="00D66AD6"/>
    <w:rsid w:val="00D66B77"/>
    <w:rsid w:val="00D66BDA"/>
    <w:rsid w:val="00D671E6"/>
    <w:rsid w:val="00D67382"/>
    <w:rsid w:val="00D673B5"/>
    <w:rsid w:val="00D674D3"/>
    <w:rsid w:val="00D67B51"/>
    <w:rsid w:val="00D67CE3"/>
    <w:rsid w:val="00D67D4E"/>
    <w:rsid w:val="00D67E8F"/>
    <w:rsid w:val="00D70149"/>
    <w:rsid w:val="00D70352"/>
    <w:rsid w:val="00D7076B"/>
    <w:rsid w:val="00D708E5"/>
    <w:rsid w:val="00D7090D"/>
    <w:rsid w:val="00D70D5F"/>
    <w:rsid w:val="00D70ED1"/>
    <w:rsid w:val="00D70EE5"/>
    <w:rsid w:val="00D71065"/>
    <w:rsid w:val="00D71146"/>
    <w:rsid w:val="00D7126C"/>
    <w:rsid w:val="00D7168A"/>
    <w:rsid w:val="00D71795"/>
    <w:rsid w:val="00D717A1"/>
    <w:rsid w:val="00D71B8E"/>
    <w:rsid w:val="00D71BFB"/>
    <w:rsid w:val="00D71C1B"/>
    <w:rsid w:val="00D71D6A"/>
    <w:rsid w:val="00D7261A"/>
    <w:rsid w:val="00D72662"/>
    <w:rsid w:val="00D72EF7"/>
    <w:rsid w:val="00D73029"/>
    <w:rsid w:val="00D73155"/>
    <w:rsid w:val="00D7342D"/>
    <w:rsid w:val="00D738B0"/>
    <w:rsid w:val="00D73D6B"/>
    <w:rsid w:val="00D73F73"/>
    <w:rsid w:val="00D744EB"/>
    <w:rsid w:val="00D74577"/>
    <w:rsid w:val="00D74645"/>
    <w:rsid w:val="00D74705"/>
    <w:rsid w:val="00D74B2C"/>
    <w:rsid w:val="00D74CA4"/>
    <w:rsid w:val="00D7507A"/>
    <w:rsid w:val="00D75205"/>
    <w:rsid w:val="00D75302"/>
    <w:rsid w:val="00D754F8"/>
    <w:rsid w:val="00D7554B"/>
    <w:rsid w:val="00D75583"/>
    <w:rsid w:val="00D7575B"/>
    <w:rsid w:val="00D75793"/>
    <w:rsid w:val="00D75ECF"/>
    <w:rsid w:val="00D7636C"/>
    <w:rsid w:val="00D7659C"/>
    <w:rsid w:val="00D76642"/>
    <w:rsid w:val="00D7666B"/>
    <w:rsid w:val="00D76B31"/>
    <w:rsid w:val="00D76D5E"/>
    <w:rsid w:val="00D76F50"/>
    <w:rsid w:val="00D7728D"/>
    <w:rsid w:val="00D773EB"/>
    <w:rsid w:val="00D77479"/>
    <w:rsid w:val="00D775E1"/>
    <w:rsid w:val="00D77BC2"/>
    <w:rsid w:val="00D77FCB"/>
    <w:rsid w:val="00D800FB"/>
    <w:rsid w:val="00D805B0"/>
    <w:rsid w:val="00D806D2"/>
    <w:rsid w:val="00D807CE"/>
    <w:rsid w:val="00D80BEA"/>
    <w:rsid w:val="00D80E38"/>
    <w:rsid w:val="00D80F4E"/>
    <w:rsid w:val="00D81069"/>
    <w:rsid w:val="00D8116F"/>
    <w:rsid w:val="00D81274"/>
    <w:rsid w:val="00D81347"/>
    <w:rsid w:val="00D8179B"/>
    <w:rsid w:val="00D81BA7"/>
    <w:rsid w:val="00D82120"/>
    <w:rsid w:val="00D8248E"/>
    <w:rsid w:val="00D8269C"/>
    <w:rsid w:val="00D82716"/>
    <w:rsid w:val="00D82B56"/>
    <w:rsid w:val="00D82D6C"/>
    <w:rsid w:val="00D82D7D"/>
    <w:rsid w:val="00D83139"/>
    <w:rsid w:val="00D833A7"/>
    <w:rsid w:val="00D837E9"/>
    <w:rsid w:val="00D83EE2"/>
    <w:rsid w:val="00D843DE"/>
    <w:rsid w:val="00D84771"/>
    <w:rsid w:val="00D8499A"/>
    <w:rsid w:val="00D84C18"/>
    <w:rsid w:val="00D84CF3"/>
    <w:rsid w:val="00D84F76"/>
    <w:rsid w:val="00D85132"/>
    <w:rsid w:val="00D853E2"/>
    <w:rsid w:val="00D85614"/>
    <w:rsid w:val="00D856DB"/>
    <w:rsid w:val="00D85921"/>
    <w:rsid w:val="00D859D3"/>
    <w:rsid w:val="00D85E37"/>
    <w:rsid w:val="00D862DE"/>
    <w:rsid w:val="00D86304"/>
    <w:rsid w:val="00D86472"/>
    <w:rsid w:val="00D86640"/>
    <w:rsid w:val="00D86BBE"/>
    <w:rsid w:val="00D86CEC"/>
    <w:rsid w:val="00D86E06"/>
    <w:rsid w:val="00D86EF1"/>
    <w:rsid w:val="00D86F1C"/>
    <w:rsid w:val="00D87154"/>
    <w:rsid w:val="00D8751F"/>
    <w:rsid w:val="00D8753D"/>
    <w:rsid w:val="00D8773B"/>
    <w:rsid w:val="00D87990"/>
    <w:rsid w:val="00D87AE1"/>
    <w:rsid w:val="00D87C95"/>
    <w:rsid w:val="00D87D5F"/>
    <w:rsid w:val="00D87E20"/>
    <w:rsid w:val="00D87EBD"/>
    <w:rsid w:val="00D901AC"/>
    <w:rsid w:val="00D903A3"/>
    <w:rsid w:val="00D90478"/>
    <w:rsid w:val="00D907BF"/>
    <w:rsid w:val="00D908A2"/>
    <w:rsid w:val="00D909CB"/>
    <w:rsid w:val="00D90CB6"/>
    <w:rsid w:val="00D90E50"/>
    <w:rsid w:val="00D90F7F"/>
    <w:rsid w:val="00D91030"/>
    <w:rsid w:val="00D91684"/>
    <w:rsid w:val="00D91B14"/>
    <w:rsid w:val="00D91E41"/>
    <w:rsid w:val="00D91F25"/>
    <w:rsid w:val="00D924A4"/>
    <w:rsid w:val="00D92953"/>
    <w:rsid w:val="00D929D3"/>
    <w:rsid w:val="00D92ACF"/>
    <w:rsid w:val="00D92CE4"/>
    <w:rsid w:val="00D92F62"/>
    <w:rsid w:val="00D93044"/>
    <w:rsid w:val="00D9342C"/>
    <w:rsid w:val="00D937CC"/>
    <w:rsid w:val="00D939A7"/>
    <w:rsid w:val="00D93AA1"/>
    <w:rsid w:val="00D93D2E"/>
    <w:rsid w:val="00D940A2"/>
    <w:rsid w:val="00D9483D"/>
    <w:rsid w:val="00D94898"/>
    <w:rsid w:val="00D94CC3"/>
    <w:rsid w:val="00D94F1D"/>
    <w:rsid w:val="00D94F3C"/>
    <w:rsid w:val="00D95010"/>
    <w:rsid w:val="00D9508D"/>
    <w:rsid w:val="00D952DE"/>
    <w:rsid w:val="00D9540A"/>
    <w:rsid w:val="00D9555D"/>
    <w:rsid w:val="00D9564A"/>
    <w:rsid w:val="00D959E6"/>
    <w:rsid w:val="00D95A7C"/>
    <w:rsid w:val="00D95CBC"/>
    <w:rsid w:val="00D95CD6"/>
    <w:rsid w:val="00D961B7"/>
    <w:rsid w:val="00D96441"/>
    <w:rsid w:val="00D96FBC"/>
    <w:rsid w:val="00D96FEA"/>
    <w:rsid w:val="00D973C8"/>
    <w:rsid w:val="00D9776C"/>
    <w:rsid w:val="00D97781"/>
    <w:rsid w:val="00D97BBE"/>
    <w:rsid w:val="00DA02A6"/>
    <w:rsid w:val="00DA0471"/>
    <w:rsid w:val="00DA048D"/>
    <w:rsid w:val="00DA04A5"/>
    <w:rsid w:val="00DA04DF"/>
    <w:rsid w:val="00DA0695"/>
    <w:rsid w:val="00DA0A8A"/>
    <w:rsid w:val="00DA0C1E"/>
    <w:rsid w:val="00DA0EE8"/>
    <w:rsid w:val="00DA0FB7"/>
    <w:rsid w:val="00DA1244"/>
    <w:rsid w:val="00DA14E4"/>
    <w:rsid w:val="00DA1990"/>
    <w:rsid w:val="00DA1A67"/>
    <w:rsid w:val="00DA21B7"/>
    <w:rsid w:val="00DA224B"/>
    <w:rsid w:val="00DA225A"/>
    <w:rsid w:val="00DA2643"/>
    <w:rsid w:val="00DA2995"/>
    <w:rsid w:val="00DA2B3E"/>
    <w:rsid w:val="00DA2D77"/>
    <w:rsid w:val="00DA2E59"/>
    <w:rsid w:val="00DA310D"/>
    <w:rsid w:val="00DA37C7"/>
    <w:rsid w:val="00DA3AB3"/>
    <w:rsid w:val="00DA3DC9"/>
    <w:rsid w:val="00DA3EF7"/>
    <w:rsid w:val="00DA4183"/>
    <w:rsid w:val="00DA41C3"/>
    <w:rsid w:val="00DA41D0"/>
    <w:rsid w:val="00DA43C3"/>
    <w:rsid w:val="00DA4453"/>
    <w:rsid w:val="00DA459A"/>
    <w:rsid w:val="00DA4749"/>
    <w:rsid w:val="00DA486B"/>
    <w:rsid w:val="00DA4F01"/>
    <w:rsid w:val="00DA5304"/>
    <w:rsid w:val="00DA5A5C"/>
    <w:rsid w:val="00DA5B18"/>
    <w:rsid w:val="00DA5DCD"/>
    <w:rsid w:val="00DA5F59"/>
    <w:rsid w:val="00DA5FDB"/>
    <w:rsid w:val="00DA62B6"/>
    <w:rsid w:val="00DA6957"/>
    <w:rsid w:val="00DA6D36"/>
    <w:rsid w:val="00DA6EB2"/>
    <w:rsid w:val="00DA6F00"/>
    <w:rsid w:val="00DA6F30"/>
    <w:rsid w:val="00DA6FD5"/>
    <w:rsid w:val="00DA7854"/>
    <w:rsid w:val="00DA7C58"/>
    <w:rsid w:val="00DA7D1B"/>
    <w:rsid w:val="00DB00DB"/>
    <w:rsid w:val="00DB0467"/>
    <w:rsid w:val="00DB0927"/>
    <w:rsid w:val="00DB0990"/>
    <w:rsid w:val="00DB0A9D"/>
    <w:rsid w:val="00DB0BCF"/>
    <w:rsid w:val="00DB0CD2"/>
    <w:rsid w:val="00DB0D18"/>
    <w:rsid w:val="00DB0E92"/>
    <w:rsid w:val="00DB1044"/>
    <w:rsid w:val="00DB1353"/>
    <w:rsid w:val="00DB1546"/>
    <w:rsid w:val="00DB1768"/>
    <w:rsid w:val="00DB17BA"/>
    <w:rsid w:val="00DB1D7F"/>
    <w:rsid w:val="00DB2229"/>
    <w:rsid w:val="00DB2386"/>
    <w:rsid w:val="00DB2416"/>
    <w:rsid w:val="00DB24C7"/>
    <w:rsid w:val="00DB2542"/>
    <w:rsid w:val="00DB259F"/>
    <w:rsid w:val="00DB2677"/>
    <w:rsid w:val="00DB270D"/>
    <w:rsid w:val="00DB2CE3"/>
    <w:rsid w:val="00DB2F1B"/>
    <w:rsid w:val="00DB3201"/>
    <w:rsid w:val="00DB32A4"/>
    <w:rsid w:val="00DB3425"/>
    <w:rsid w:val="00DB3513"/>
    <w:rsid w:val="00DB3547"/>
    <w:rsid w:val="00DB367F"/>
    <w:rsid w:val="00DB3A43"/>
    <w:rsid w:val="00DB3A47"/>
    <w:rsid w:val="00DB3C0C"/>
    <w:rsid w:val="00DB3D57"/>
    <w:rsid w:val="00DB3DE4"/>
    <w:rsid w:val="00DB3FE6"/>
    <w:rsid w:val="00DB4147"/>
    <w:rsid w:val="00DB41D1"/>
    <w:rsid w:val="00DB458A"/>
    <w:rsid w:val="00DB45D0"/>
    <w:rsid w:val="00DB48B2"/>
    <w:rsid w:val="00DB4940"/>
    <w:rsid w:val="00DB4C3D"/>
    <w:rsid w:val="00DB4FB2"/>
    <w:rsid w:val="00DB4FCD"/>
    <w:rsid w:val="00DB52D1"/>
    <w:rsid w:val="00DB538C"/>
    <w:rsid w:val="00DB53D3"/>
    <w:rsid w:val="00DB56FF"/>
    <w:rsid w:val="00DB5D9C"/>
    <w:rsid w:val="00DB64AC"/>
    <w:rsid w:val="00DB6913"/>
    <w:rsid w:val="00DB694E"/>
    <w:rsid w:val="00DB6A16"/>
    <w:rsid w:val="00DB6A20"/>
    <w:rsid w:val="00DB6BEB"/>
    <w:rsid w:val="00DB6E7A"/>
    <w:rsid w:val="00DB6FD6"/>
    <w:rsid w:val="00DB74AD"/>
    <w:rsid w:val="00DB7525"/>
    <w:rsid w:val="00DB7B98"/>
    <w:rsid w:val="00DB7EEF"/>
    <w:rsid w:val="00DC00C1"/>
    <w:rsid w:val="00DC017E"/>
    <w:rsid w:val="00DC037E"/>
    <w:rsid w:val="00DC0786"/>
    <w:rsid w:val="00DC079C"/>
    <w:rsid w:val="00DC0AFB"/>
    <w:rsid w:val="00DC0E6A"/>
    <w:rsid w:val="00DC0F17"/>
    <w:rsid w:val="00DC0F7E"/>
    <w:rsid w:val="00DC134C"/>
    <w:rsid w:val="00DC1726"/>
    <w:rsid w:val="00DC1A09"/>
    <w:rsid w:val="00DC28C8"/>
    <w:rsid w:val="00DC28CB"/>
    <w:rsid w:val="00DC2EC1"/>
    <w:rsid w:val="00DC312B"/>
    <w:rsid w:val="00DC34FB"/>
    <w:rsid w:val="00DC353D"/>
    <w:rsid w:val="00DC37A0"/>
    <w:rsid w:val="00DC3856"/>
    <w:rsid w:val="00DC3BC0"/>
    <w:rsid w:val="00DC3D76"/>
    <w:rsid w:val="00DC3EF8"/>
    <w:rsid w:val="00DC3FD4"/>
    <w:rsid w:val="00DC416F"/>
    <w:rsid w:val="00DC4692"/>
    <w:rsid w:val="00DC46B8"/>
    <w:rsid w:val="00DC4802"/>
    <w:rsid w:val="00DC4A5E"/>
    <w:rsid w:val="00DC4B88"/>
    <w:rsid w:val="00DC4C14"/>
    <w:rsid w:val="00DC4D83"/>
    <w:rsid w:val="00DC4DE4"/>
    <w:rsid w:val="00DC53E3"/>
    <w:rsid w:val="00DC580B"/>
    <w:rsid w:val="00DC58F0"/>
    <w:rsid w:val="00DC5A05"/>
    <w:rsid w:val="00DC5BDB"/>
    <w:rsid w:val="00DC5D43"/>
    <w:rsid w:val="00DC5D46"/>
    <w:rsid w:val="00DC5F0F"/>
    <w:rsid w:val="00DC5F26"/>
    <w:rsid w:val="00DC5F36"/>
    <w:rsid w:val="00DC60A4"/>
    <w:rsid w:val="00DC642C"/>
    <w:rsid w:val="00DC6B61"/>
    <w:rsid w:val="00DC6BBD"/>
    <w:rsid w:val="00DC6C3D"/>
    <w:rsid w:val="00DC6CC1"/>
    <w:rsid w:val="00DC729F"/>
    <w:rsid w:val="00DC7610"/>
    <w:rsid w:val="00DC76F7"/>
    <w:rsid w:val="00DC7A80"/>
    <w:rsid w:val="00DC7EBF"/>
    <w:rsid w:val="00DC7F34"/>
    <w:rsid w:val="00DC7F42"/>
    <w:rsid w:val="00DD00B9"/>
    <w:rsid w:val="00DD020F"/>
    <w:rsid w:val="00DD02E6"/>
    <w:rsid w:val="00DD0418"/>
    <w:rsid w:val="00DD0455"/>
    <w:rsid w:val="00DD04BA"/>
    <w:rsid w:val="00DD0506"/>
    <w:rsid w:val="00DD06EF"/>
    <w:rsid w:val="00DD08D8"/>
    <w:rsid w:val="00DD0CB1"/>
    <w:rsid w:val="00DD0E75"/>
    <w:rsid w:val="00DD0EFD"/>
    <w:rsid w:val="00DD12B8"/>
    <w:rsid w:val="00DD15D0"/>
    <w:rsid w:val="00DD170A"/>
    <w:rsid w:val="00DD1773"/>
    <w:rsid w:val="00DD19A7"/>
    <w:rsid w:val="00DD19AB"/>
    <w:rsid w:val="00DD19D2"/>
    <w:rsid w:val="00DD1CE8"/>
    <w:rsid w:val="00DD1DCA"/>
    <w:rsid w:val="00DD215C"/>
    <w:rsid w:val="00DD22D0"/>
    <w:rsid w:val="00DD2624"/>
    <w:rsid w:val="00DD281C"/>
    <w:rsid w:val="00DD2989"/>
    <w:rsid w:val="00DD29D7"/>
    <w:rsid w:val="00DD2C1E"/>
    <w:rsid w:val="00DD2D6C"/>
    <w:rsid w:val="00DD2EB0"/>
    <w:rsid w:val="00DD30E1"/>
    <w:rsid w:val="00DD33FF"/>
    <w:rsid w:val="00DD3469"/>
    <w:rsid w:val="00DD3934"/>
    <w:rsid w:val="00DD3A43"/>
    <w:rsid w:val="00DD43D1"/>
    <w:rsid w:val="00DD471B"/>
    <w:rsid w:val="00DD490A"/>
    <w:rsid w:val="00DD4B67"/>
    <w:rsid w:val="00DD4BBF"/>
    <w:rsid w:val="00DD4BC7"/>
    <w:rsid w:val="00DD4E3C"/>
    <w:rsid w:val="00DD52E2"/>
    <w:rsid w:val="00DD5476"/>
    <w:rsid w:val="00DD5512"/>
    <w:rsid w:val="00DD5579"/>
    <w:rsid w:val="00DD5885"/>
    <w:rsid w:val="00DD5A1B"/>
    <w:rsid w:val="00DD5DA3"/>
    <w:rsid w:val="00DD61BC"/>
    <w:rsid w:val="00DD626F"/>
    <w:rsid w:val="00DD64D6"/>
    <w:rsid w:val="00DD64EF"/>
    <w:rsid w:val="00DD6500"/>
    <w:rsid w:val="00DD67DD"/>
    <w:rsid w:val="00DD67F9"/>
    <w:rsid w:val="00DD6E1C"/>
    <w:rsid w:val="00DD6FED"/>
    <w:rsid w:val="00DD720B"/>
    <w:rsid w:val="00DD7583"/>
    <w:rsid w:val="00DD775B"/>
    <w:rsid w:val="00DD7DC9"/>
    <w:rsid w:val="00DD7DFE"/>
    <w:rsid w:val="00DE001B"/>
    <w:rsid w:val="00DE004A"/>
    <w:rsid w:val="00DE00BA"/>
    <w:rsid w:val="00DE0B63"/>
    <w:rsid w:val="00DE0EAA"/>
    <w:rsid w:val="00DE0FD4"/>
    <w:rsid w:val="00DE102D"/>
    <w:rsid w:val="00DE11F2"/>
    <w:rsid w:val="00DE1280"/>
    <w:rsid w:val="00DE180C"/>
    <w:rsid w:val="00DE1F8E"/>
    <w:rsid w:val="00DE1F9C"/>
    <w:rsid w:val="00DE1FC2"/>
    <w:rsid w:val="00DE2037"/>
    <w:rsid w:val="00DE25EE"/>
    <w:rsid w:val="00DE2662"/>
    <w:rsid w:val="00DE2A26"/>
    <w:rsid w:val="00DE2B45"/>
    <w:rsid w:val="00DE2C7F"/>
    <w:rsid w:val="00DE2D8B"/>
    <w:rsid w:val="00DE31F0"/>
    <w:rsid w:val="00DE32B2"/>
    <w:rsid w:val="00DE33F8"/>
    <w:rsid w:val="00DE348E"/>
    <w:rsid w:val="00DE3504"/>
    <w:rsid w:val="00DE364C"/>
    <w:rsid w:val="00DE3A87"/>
    <w:rsid w:val="00DE3BB1"/>
    <w:rsid w:val="00DE3D42"/>
    <w:rsid w:val="00DE4097"/>
    <w:rsid w:val="00DE4192"/>
    <w:rsid w:val="00DE44F0"/>
    <w:rsid w:val="00DE450F"/>
    <w:rsid w:val="00DE4612"/>
    <w:rsid w:val="00DE4819"/>
    <w:rsid w:val="00DE4B11"/>
    <w:rsid w:val="00DE4CBE"/>
    <w:rsid w:val="00DE4E0B"/>
    <w:rsid w:val="00DE4F7F"/>
    <w:rsid w:val="00DE55C3"/>
    <w:rsid w:val="00DE573E"/>
    <w:rsid w:val="00DE5A70"/>
    <w:rsid w:val="00DE5C61"/>
    <w:rsid w:val="00DE6310"/>
    <w:rsid w:val="00DE6660"/>
    <w:rsid w:val="00DE6E1D"/>
    <w:rsid w:val="00DE6E86"/>
    <w:rsid w:val="00DE6EAC"/>
    <w:rsid w:val="00DE6FF0"/>
    <w:rsid w:val="00DE71C3"/>
    <w:rsid w:val="00DE71FA"/>
    <w:rsid w:val="00DE7856"/>
    <w:rsid w:val="00DE7AA0"/>
    <w:rsid w:val="00DE7B21"/>
    <w:rsid w:val="00DE7BA6"/>
    <w:rsid w:val="00DE7D26"/>
    <w:rsid w:val="00DE7DB3"/>
    <w:rsid w:val="00DE7E6D"/>
    <w:rsid w:val="00DE7E8E"/>
    <w:rsid w:val="00DF01E9"/>
    <w:rsid w:val="00DF0219"/>
    <w:rsid w:val="00DF027E"/>
    <w:rsid w:val="00DF02AD"/>
    <w:rsid w:val="00DF0853"/>
    <w:rsid w:val="00DF09FA"/>
    <w:rsid w:val="00DF0A4B"/>
    <w:rsid w:val="00DF0CA7"/>
    <w:rsid w:val="00DF0D60"/>
    <w:rsid w:val="00DF0DD0"/>
    <w:rsid w:val="00DF103B"/>
    <w:rsid w:val="00DF1084"/>
    <w:rsid w:val="00DF10AB"/>
    <w:rsid w:val="00DF12BD"/>
    <w:rsid w:val="00DF162F"/>
    <w:rsid w:val="00DF1794"/>
    <w:rsid w:val="00DF1905"/>
    <w:rsid w:val="00DF198C"/>
    <w:rsid w:val="00DF199E"/>
    <w:rsid w:val="00DF1A44"/>
    <w:rsid w:val="00DF1AD7"/>
    <w:rsid w:val="00DF1C46"/>
    <w:rsid w:val="00DF1D99"/>
    <w:rsid w:val="00DF1F94"/>
    <w:rsid w:val="00DF1FAC"/>
    <w:rsid w:val="00DF2AAB"/>
    <w:rsid w:val="00DF2AFD"/>
    <w:rsid w:val="00DF2DE9"/>
    <w:rsid w:val="00DF3116"/>
    <w:rsid w:val="00DF319C"/>
    <w:rsid w:val="00DF31FE"/>
    <w:rsid w:val="00DF33EE"/>
    <w:rsid w:val="00DF3700"/>
    <w:rsid w:val="00DF3A4B"/>
    <w:rsid w:val="00DF3B55"/>
    <w:rsid w:val="00DF3BF4"/>
    <w:rsid w:val="00DF3D1C"/>
    <w:rsid w:val="00DF3F30"/>
    <w:rsid w:val="00DF4227"/>
    <w:rsid w:val="00DF4235"/>
    <w:rsid w:val="00DF423A"/>
    <w:rsid w:val="00DF4269"/>
    <w:rsid w:val="00DF458E"/>
    <w:rsid w:val="00DF4ED9"/>
    <w:rsid w:val="00DF4F18"/>
    <w:rsid w:val="00DF500B"/>
    <w:rsid w:val="00DF540A"/>
    <w:rsid w:val="00DF5868"/>
    <w:rsid w:val="00DF59A7"/>
    <w:rsid w:val="00DF5A5B"/>
    <w:rsid w:val="00DF5C78"/>
    <w:rsid w:val="00DF5D38"/>
    <w:rsid w:val="00DF61AC"/>
    <w:rsid w:val="00DF61E6"/>
    <w:rsid w:val="00DF6E3E"/>
    <w:rsid w:val="00DF724B"/>
    <w:rsid w:val="00DF72D0"/>
    <w:rsid w:val="00DF72E7"/>
    <w:rsid w:val="00DF77DA"/>
    <w:rsid w:val="00DF7A69"/>
    <w:rsid w:val="00DF7E17"/>
    <w:rsid w:val="00DF7FDF"/>
    <w:rsid w:val="00E003B0"/>
    <w:rsid w:val="00E0053E"/>
    <w:rsid w:val="00E00A03"/>
    <w:rsid w:val="00E00E77"/>
    <w:rsid w:val="00E010AE"/>
    <w:rsid w:val="00E014D8"/>
    <w:rsid w:val="00E01678"/>
    <w:rsid w:val="00E01A5C"/>
    <w:rsid w:val="00E01CC9"/>
    <w:rsid w:val="00E01DA9"/>
    <w:rsid w:val="00E01DD7"/>
    <w:rsid w:val="00E01E31"/>
    <w:rsid w:val="00E0243B"/>
    <w:rsid w:val="00E024EE"/>
    <w:rsid w:val="00E0276B"/>
    <w:rsid w:val="00E02832"/>
    <w:rsid w:val="00E02D27"/>
    <w:rsid w:val="00E02EBF"/>
    <w:rsid w:val="00E02F8F"/>
    <w:rsid w:val="00E03530"/>
    <w:rsid w:val="00E03630"/>
    <w:rsid w:val="00E036FE"/>
    <w:rsid w:val="00E03B2A"/>
    <w:rsid w:val="00E03CD9"/>
    <w:rsid w:val="00E044D8"/>
    <w:rsid w:val="00E04641"/>
    <w:rsid w:val="00E04AE7"/>
    <w:rsid w:val="00E04E95"/>
    <w:rsid w:val="00E05090"/>
    <w:rsid w:val="00E0516C"/>
    <w:rsid w:val="00E0539E"/>
    <w:rsid w:val="00E0556A"/>
    <w:rsid w:val="00E0557F"/>
    <w:rsid w:val="00E05943"/>
    <w:rsid w:val="00E05BFD"/>
    <w:rsid w:val="00E05D38"/>
    <w:rsid w:val="00E06235"/>
    <w:rsid w:val="00E06418"/>
    <w:rsid w:val="00E064A3"/>
    <w:rsid w:val="00E065AF"/>
    <w:rsid w:val="00E06D69"/>
    <w:rsid w:val="00E06FC8"/>
    <w:rsid w:val="00E0720D"/>
    <w:rsid w:val="00E0728B"/>
    <w:rsid w:val="00E073AA"/>
    <w:rsid w:val="00E073F8"/>
    <w:rsid w:val="00E07640"/>
    <w:rsid w:val="00E076AB"/>
    <w:rsid w:val="00E078EC"/>
    <w:rsid w:val="00E07BFE"/>
    <w:rsid w:val="00E108A3"/>
    <w:rsid w:val="00E10A08"/>
    <w:rsid w:val="00E10A3D"/>
    <w:rsid w:val="00E10DC9"/>
    <w:rsid w:val="00E10EF8"/>
    <w:rsid w:val="00E110BF"/>
    <w:rsid w:val="00E11242"/>
    <w:rsid w:val="00E11397"/>
    <w:rsid w:val="00E11735"/>
    <w:rsid w:val="00E117A1"/>
    <w:rsid w:val="00E11A6A"/>
    <w:rsid w:val="00E11CE4"/>
    <w:rsid w:val="00E11D16"/>
    <w:rsid w:val="00E11E5B"/>
    <w:rsid w:val="00E11F06"/>
    <w:rsid w:val="00E1249F"/>
    <w:rsid w:val="00E125E2"/>
    <w:rsid w:val="00E129D7"/>
    <w:rsid w:val="00E12CBF"/>
    <w:rsid w:val="00E12E19"/>
    <w:rsid w:val="00E130E7"/>
    <w:rsid w:val="00E1331C"/>
    <w:rsid w:val="00E1345C"/>
    <w:rsid w:val="00E13484"/>
    <w:rsid w:val="00E137D4"/>
    <w:rsid w:val="00E13C62"/>
    <w:rsid w:val="00E13C82"/>
    <w:rsid w:val="00E13DCD"/>
    <w:rsid w:val="00E13FE3"/>
    <w:rsid w:val="00E141B2"/>
    <w:rsid w:val="00E141BA"/>
    <w:rsid w:val="00E141E3"/>
    <w:rsid w:val="00E1439F"/>
    <w:rsid w:val="00E14520"/>
    <w:rsid w:val="00E14A79"/>
    <w:rsid w:val="00E14DD5"/>
    <w:rsid w:val="00E15093"/>
    <w:rsid w:val="00E1525E"/>
    <w:rsid w:val="00E15343"/>
    <w:rsid w:val="00E155BF"/>
    <w:rsid w:val="00E15AF8"/>
    <w:rsid w:val="00E15C05"/>
    <w:rsid w:val="00E15DF9"/>
    <w:rsid w:val="00E15DFB"/>
    <w:rsid w:val="00E15FDE"/>
    <w:rsid w:val="00E1615A"/>
    <w:rsid w:val="00E16538"/>
    <w:rsid w:val="00E16856"/>
    <w:rsid w:val="00E16A23"/>
    <w:rsid w:val="00E16CD9"/>
    <w:rsid w:val="00E16E26"/>
    <w:rsid w:val="00E176E8"/>
    <w:rsid w:val="00E17790"/>
    <w:rsid w:val="00E201A0"/>
    <w:rsid w:val="00E2020B"/>
    <w:rsid w:val="00E2040C"/>
    <w:rsid w:val="00E205A0"/>
    <w:rsid w:val="00E20A71"/>
    <w:rsid w:val="00E211F3"/>
    <w:rsid w:val="00E21474"/>
    <w:rsid w:val="00E21A84"/>
    <w:rsid w:val="00E21D11"/>
    <w:rsid w:val="00E21D5E"/>
    <w:rsid w:val="00E21DF9"/>
    <w:rsid w:val="00E21F6C"/>
    <w:rsid w:val="00E21FA9"/>
    <w:rsid w:val="00E22063"/>
    <w:rsid w:val="00E2221E"/>
    <w:rsid w:val="00E22585"/>
    <w:rsid w:val="00E2258E"/>
    <w:rsid w:val="00E22838"/>
    <w:rsid w:val="00E22884"/>
    <w:rsid w:val="00E22BC0"/>
    <w:rsid w:val="00E22EBC"/>
    <w:rsid w:val="00E22F06"/>
    <w:rsid w:val="00E230A2"/>
    <w:rsid w:val="00E231EA"/>
    <w:rsid w:val="00E233F6"/>
    <w:rsid w:val="00E235A3"/>
    <w:rsid w:val="00E23779"/>
    <w:rsid w:val="00E23812"/>
    <w:rsid w:val="00E2384F"/>
    <w:rsid w:val="00E23902"/>
    <w:rsid w:val="00E23A1A"/>
    <w:rsid w:val="00E23BB6"/>
    <w:rsid w:val="00E23CAB"/>
    <w:rsid w:val="00E23F84"/>
    <w:rsid w:val="00E24277"/>
    <w:rsid w:val="00E2427D"/>
    <w:rsid w:val="00E244C2"/>
    <w:rsid w:val="00E245E3"/>
    <w:rsid w:val="00E246EC"/>
    <w:rsid w:val="00E24704"/>
    <w:rsid w:val="00E24767"/>
    <w:rsid w:val="00E2479E"/>
    <w:rsid w:val="00E2499F"/>
    <w:rsid w:val="00E249E1"/>
    <w:rsid w:val="00E24F0F"/>
    <w:rsid w:val="00E24FF0"/>
    <w:rsid w:val="00E25177"/>
    <w:rsid w:val="00E255EE"/>
    <w:rsid w:val="00E256EE"/>
    <w:rsid w:val="00E257E6"/>
    <w:rsid w:val="00E25A02"/>
    <w:rsid w:val="00E25CA3"/>
    <w:rsid w:val="00E25CAB"/>
    <w:rsid w:val="00E26054"/>
    <w:rsid w:val="00E26091"/>
    <w:rsid w:val="00E261E0"/>
    <w:rsid w:val="00E26468"/>
    <w:rsid w:val="00E264D0"/>
    <w:rsid w:val="00E2674E"/>
    <w:rsid w:val="00E26AB4"/>
    <w:rsid w:val="00E26D47"/>
    <w:rsid w:val="00E2793A"/>
    <w:rsid w:val="00E27D16"/>
    <w:rsid w:val="00E27FA6"/>
    <w:rsid w:val="00E3016A"/>
    <w:rsid w:val="00E301C1"/>
    <w:rsid w:val="00E30221"/>
    <w:rsid w:val="00E30227"/>
    <w:rsid w:val="00E302A4"/>
    <w:rsid w:val="00E304DE"/>
    <w:rsid w:val="00E304E9"/>
    <w:rsid w:val="00E30730"/>
    <w:rsid w:val="00E308BB"/>
    <w:rsid w:val="00E30BC0"/>
    <w:rsid w:val="00E30C00"/>
    <w:rsid w:val="00E30CB3"/>
    <w:rsid w:val="00E30F96"/>
    <w:rsid w:val="00E3110D"/>
    <w:rsid w:val="00E311F3"/>
    <w:rsid w:val="00E316D8"/>
    <w:rsid w:val="00E31772"/>
    <w:rsid w:val="00E318DD"/>
    <w:rsid w:val="00E31ADF"/>
    <w:rsid w:val="00E31B58"/>
    <w:rsid w:val="00E31D85"/>
    <w:rsid w:val="00E31DEC"/>
    <w:rsid w:val="00E32004"/>
    <w:rsid w:val="00E32163"/>
    <w:rsid w:val="00E322DE"/>
    <w:rsid w:val="00E322E3"/>
    <w:rsid w:val="00E325FA"/>
    <w:rsid w:val="00E3262B"/>
    <w:rsid w:val="00E32C76"/>
    <w:rsid w:val="00E32D37"/>
    <w:rsid w:val="00E3305A"/>
    <w:rsid w:val="00E333D9"/>
    <w:rsid w:val="00E3368E"/>
    <w:rsid w:val="00E33993"/>
    <w:rsid w:val="00E339A5"/>
    <w:rsid w:val="00E33C29"/>
    <w:rsid w:val="00E33C75"/>
    <w:rsid w:val="00E33D5C"/>
    <w:rsid w:val="00E33E6A"/>
    <w:rsid w:val="00E33E85"/>
    <w:rsid w:val="00E34159"/>
    <w:rsid w:val="00E342C7"/>
    <w:rsid w:val="00E34380"/>
    <w:rsid w:val="00E344BC"/>
    <w:rsid w:val="00E34781"/>
    <w:rsid w:val="00E347D6"/>
    <w:rsid w:val="00E347D9"/>
    <w:rsid w:val="00E348DA"/>
    <w:rsid w:val="00E349BD"/>
    <w:rsid w:val="00E351F9"/>
    <w:rsid w:val="00E35434"/>
    <w:rsid w:val="00E35589"/>
    <w:rsid w:val="00E358F5"/>
    <w:rsid w:val="00E35903"/>
    <w:rsid w:val="00E35A0B"/>
    <w:rsid w:val="00E35DE5"/>
    <w:rsid w:val="00E36152"/>
    <w:rsid w:val="00E3622B"/>
    <w:rsid w:val="00E3684A"/>
    <w:rsid w:val="00E3696D"/>
    <w:rsid w:val="00E36A33"/>
    <w:rsid w:val="00E36BDD"/>
    <w:rsid w:val="00E36E43"/>
    <w:rsid w:val="00E3726C"/>
    <w:rsid w:val="00E37418"/>
    <w:rsid w:val="00E374CA"/>
    <w:rsid w:val="00E375C0"/>
    <w:rsid w:val="00E3788D"/>
    <w:rsid w:val="00E37C70"/>
    <w:rsid w:val="00E37E9E"/>
    <w:rsid w:val="00E40054"/>
    <w:rsid w:val="00E40398"/>
    <w:rsid w:val="00E40504"/>
    <w:rsid w:val="00E406B4"/>
    <w:rsid w:val="00E40910"/>
    <w:rsid w:val="00E409F9"/>
    <w:rsid w:val="00E40A73"/>
    <w:rsid w:val="00E40CAC"/>
    <w:rsid w:val="00E40EDF"/>
    <w:rsid w:val="00E411FB"/>
    <w:rsid w:val="00E41562"/>
    <w:rsid w:val="00E419B6"/>
    <w:rsid w:val="00E41BA4"/>
    <w:rsid w:val="00E41DDB"/>
    <w:rsid w:val="00E42682"/>
    <w:rsid w:val="00E42691"/>
    <w:rsid w:val="00E427A9"/>
    <w:rsid w:val="00E427AA"/>
    <w:rsid w:val="00E42993"/>
    <w:rsid w:val="00E429CF"/>
    <w:rsid w:val="00E42BD9"/>
    <w:rsid w:val="00E42D40"/>
    <w:rsid w:val="00E42ECA"/>
    <w:rsid w:val="00E43038"/>
    <w:rsid w:val="00E430E2"/>
    <w:rsid w:val="00E43A9C"/>
    <w:rsid w:val="00E43C66"/>
    <w:rsid w:val="00E43DE6"/>
    <w:rsid w:val="00E4418C"/>
    <w:rsid w:val="00E4436C"/>
    <w:rsid w:val="00E44CD6"/>
    <w:rsid w:val="00E44D07"/>
    <w:rsid w:val="00E45488"/>
    <w:rsid w:val="00E455D0"/>
    <w:rsid w:val="00E459BD"/>
    <w:rsid w:val="00E459E3"/>
    <w:rsid w:val="00E45CED"/>
    <w:rsid w:val="00E45D0A"/>
    <w:rsid w:val="00E45DC9"/>
    <w:rsid w:val="00E45FB4"/>
    <w:rsid w:val="00E45FF6"/>
    <w:rsid w:val="00E46016"/>
    <w:rsid w:val="00E460DB"/>
    <w:rsid w:val="00E46129"/>
    <w:rsid w:val="00E46344"/>
    <w:rsid w:val="00E46379"/>
    <w:rsid w:val="00E46680"/>
    <w:rsid w:val="00E46865"/>
    <w:rsid w:val="00E468DF"/>
    <w:rsid w:val="00E46915"/>
    <w:rsid w:val="00E46DFA"/>
    <w:rsid w:val="00E46EA9"/>
    <w:rsid w:val="00E46F81"/>
    <w:rsid w:val="00E46FD1"/>
    <w:rsid w:val="00E4763C"/>
    <w:rsid w:val="00E479A8"/>
    <w:rsid w:val="00E479B1"/>
    <w:rsid w:val="00E47BAA"/>
    <w:rsid w:val="00E502F1"/>
    <w:rsid w:val="00E50311"/>
    <w:rsid w:val="00E5033C"/>
    <w:rsid w:val="00E504B3"/>
    <w:rsid w:val="00E5052B"/>
    <w:rsid w:val="00E50DE0"/>
    <w:rsid w:val="00E5101E"/>
    <w:rsid w:val="00E51385"/>
    <w:rsid w:val="00E51387"/>
    <w:rsid w:val="00E5191E"/>
    <w:rsid w:val="00E51C4F"/>
    <w:rsid w:val="00E51F9F"/>
    <w:rsid w:val="00E52548"/>
    <w:rsid w:val="00E52770"/>
    <w:rsid w:val="00E52802"/>
    <w:rsid w:val="00E52881"/>
    <w:rsid w:val="00E5289D"/>
    <w:rsid w:val="00E528C5"/>
    <w:rsid w:val="00E52A96"/>
    <w:rsid w:val="00E52B43"/>
    <w:rsid w:val="00E52EA6"/>
    <w:rsid w:val="00E53274"/>
    <w:rsid w:val="00E532C8"/>
    <w:rsid w:val="00E5337C"/>
    <w:rsid w:val="00E5345F"/>
    <w:rsid w:val="00E534B8"/>
    <w:rsid w:val="00E535F2"/>
    <w:rsid w:val="00E53F28"/>
    <w:rsid w:val="00E543A1"/>
    <w:rsid w:val="00E544AE"/>
    <w:rsid w:val="00E547EB"/>
    <w:rsid w:val="00E54851"/>
    <w:rsid w:val="00E548AC"/>
    <w:rsid w:val="00E548AD"/>
    <w:rsid w:val="00E54CC1"/>
    <w:rsid w:val="00E54D54"/>
    <w:rsid w:val="00E54DF8"/>
    <w:rsid w:val="00E54E69"/>
    <w:rsid w:val="00E54ED8"/>
    <w:rsid w:val="00E550EB"/>
    <w:rsid w:val="00E552DA"/>
    <w:rsid w:val="00E552E6"/>
    <w:rsid w:val="00E55471"/>
    <w:rsid w:val="00E55485"/>
    <w:rsid w:val="00E554EB"/>
    <w:rsid w:val="00E55986"/>
    <w:rsid w:val="00E55996"/>
    <w:rsid w:val="00E55BB6"/>
    <w:rsid w:val="00E5606C"/>
    <w:rsid w:val="00E560E0"/>
    <w:rsid w:val="00E568B3"/>
    <w:rsid w:val="00E5692B"/>
    <w:rsid w:val="00E56BB9"/>
    <w:rsid w:val="00E56D28"/>
    <w:rsid w:val="00E5728E"/>
    <w:rsid w:val="00E575D4"/>
    <w:rsid w:val="00E576D2"/>
    <w:rsid w:val="00E576DA"/>
    <w:rsid w:val="00E57764"/>
    <w:rsid w:val="00E57805"/>
    <w:rsid w:val="00E57935"/>
    <w:rsid w:val="00E57A61"/>
    <w:rsid w:val="00E57F51"/>
    <w:rsid w:val="00E6049C"/>
    <w:rsid w:val="00E604DD"/>
    <w:rsid w:val="00E60656"/>
    <w:rsid w:val="00E60731"/>
    <w:rsid w:val="00E609A2"/>
    <w:rsid w:val="00E60C05"/>
    <w:rsid w:val="00E60D4C"/>
    <w:rsid w:val="00E60EA7"/>
    <w:rsid w:val="00E60EE5"/>
    <w:rsid w:val="00E612BE"/>
    <w:rsid w:val="00E61550"/>
    <w:rsid w:val="00E61C0D"/>
    <w:rsid w:val="00E61D97"/>
    <w:rsid w:val="00E61EA2"/>
    <w:rsid w:val="00E62964"/>
    <w:rsid w:val="00E629FB"/>
    <w:rsid w:val="00E62A15"/>
    <w:rsid w:val="00E62AE0"/>
    <w:rsid w:val="00E62FE4"/>
    <w:rsid w:val="00E6304F"/>
    <w:rsid w:val="00E630AA"/>
    <w:rsid w:val="00E6340C"/>
    <w:rsid w:val="00E63749"/>
    <w:rsid w:val="00E6399B"/>
    <w:rsid w:val="00E63C92"/>
    <w:rsid w:val="00E63E34"/>
    <w:rsid w:val="00E643C9"/>
    <w:rsid w:val="00E64497"/>
    <w:rsid w:val="00E645F2"/>
    <w:rsid w:val="00E6482B"/>
    <w:rsid w:val="00E64D68"/>
    <w:rsid w:val="00E64EAC"/>
    <w:rsid w:val="00E64F5D"/>
    <w:rsid w:val="00E6513A"/>
    <w:rsid w:val="00E6530F"/>
    <w:rsid w:val="00E65456"/>
    <w:rsid w:val="00E6576D"/>
    <w:rsid w:val="00E6583B"/>
    <w:rsid w:val="00E6585C"/>
    <w:rsid w:val="00E658B2"/>
    <w:rsid w:val="00E65E75"/>
    <w:rsid w:val="00E66211"/>
    <w:rsid w:val="00E66523"/>
    <w:rsid w:val="00E6653C"/>
    <w:rsid w:val="00E66569"/>
    <w:rsid w:val="00E66595"/>
    <w:rsid w:val="00E66728"/>
    <w:rsid w:val="00E669F7"/>
    <w:rsid w:val="00E66AC0"/>
    <w:rsid w:val="00E66E00"/>
    <w:rsid w:val="00E66EDF"/>
    <w:rsid w:val="00E670AE"/>
    <w:rsid w:val="00E67658"/>
    <w:rsid w:val="00E67660"/>
    <w:rsid w:val="00E676FC"/>
    <w:rsid w:val="00E676FD"/>
    <w:rsid w:val="00E6771A"/>
    <w:rsid w:val="00E67F22"/>
    <w:rsid w:val="00E70102"/>
    <w:rsid w:val="00E70318"/>
    <w:rsid w:val="00E70382"/>
    <w:rsid w:val="00E70399"/>
    <w:rsid w:val="00E70457"/>
    <w:rsid w:val="00E708AE"/>
    <w:rsid w:val="00E70A39"/>
    <w:rsid w:val="00E70A8E"/>
    <w:rsid w:val="00E70C6E"/>
    <w:rsid w:val="00E70D14"/>
    <w:rsid w:val="00E70E8E"/>
    <w:rsid w:val="00E70FEC"/>
    <w:rsid w:val="00E71094"/>
    <w:rsid w:val="00E710C2"/>
    <w:rsid w:val="00E7111D"/>
    <w:rsid w:val="00E71145"/>
    <w:rsid w:val="00E712A1"/>
    <w:rsid w:val="00E715FB"/>
    <w:rsid w:val="00E71A39"/>
    <w:rsid w:val="00E71ABA"/>
    <w:rsid w:val="00E71FE6"/>
    <w:rsid w:val="00E722AA"/>
    <w:rsid w:val="00E72366"/>
    <w:rsid w:val="00E72632"/>
    <w:rsid w:val="00E7277F"/>
    <w:rsid w:val="00E727A0"/>
    <w:rsid w:val="00E72856"/>
    <w:rsid w:val="00E72ED1"/>
    <w:rsid w:val="00E73093"/>
    <w:rsid w:val="00E73499"/>
    <w:rsid w:val="00E734EC"/>
    <w:rsid w:val="00E735BC"/>
    <w:rsid w:val="00E735D7"/>
    <w:rsid w:val="00E7389F"/>
    <w:rsid w:val="00E7399F"/>
    <w:rsid w:val="00E739E1"/>
    <w:rsid w:val="00E73BCF"/>
    <w:rsid w:val="00E73C5A"/>
    <w:rsid w:val="00E74211"/>
    <w:rsid w:val="00E74571"/>
    <w:rsid w:val="00E74BE3"/>
    <w:rsid w:val="00E74C2A"/>
    <w:rsid w:val="00E74D16"/>
    <w:rsid w:val="00E74DFD"/>
    <w:rsid w:val="00E74ECB"/>
    <w:rsid w:val="00E751EA"/>
    <w:rsid w:val="00E7525E"/>
    <w:rsid w:val="00E752BC"/>
    <w:rsid w:val="00E757B4"/>
    <w:rsid w:val="00E7592B"/>
    <w:rsid w:val="00E75D0D"/>
    <w:rsid w:val="00E763A8"/>
    <w:rsid w:val="00E76436"/>
    <w:rsid w:val="00E764A5"/>
    <w:rsid w:val="00E7668C"/>
    <w:rsid w:val="00E769C4"/>
    <w:rsid w:val="00E76CE1"/>
    <w:rsid w:val="00E76F17"/>
    <w:rsid w:val="00E77038"/>
    <w:rsid w:val="00E77409"/>
    <w:rsid w:val="00E774D2"/>
    <w:rsid w:val="00E77679"/>
    <w:rsid w:val="00E77767"/>
    <w:rsid w:val="00E77C15"/>
    <w:rsid w:val="00E77C4C"/>
    <w:rsid w:val="00E77DCD"/>
    <w:rsid w:val="00E803FA"/>
    <w:rsid w:val="00E80830"/>
    <w:rsid w:val="00E80E1C"/>
    <w:rsid w:val="00E80E35"/>
    <w:rsid w:val="00E81082"/>
    <w:rsid w:val="00E810DD"/>
    <w:rsid w:val="00E81261"/>
    <w:rsid w:val="00E8149F"/>
    <w:rsid w:val="00E818AB"/>
    <w:rsid w:val="00E81980"/>
    <w:rsid w:val="00E819B6"/>
    <w:rsid w:val="00E81ED7"/>
    <w:rsid w:val="00E81F00"/>
    <w:rsid w:val="00E82144"/>
    <w:rsid w:val="00E82CFA"/>
    <w:rsid w:val="00E82CFB"/>
    <w:rsid w:val="00E832D8"/>
    <w:rsid w:val="00E832E6"/>
    <w:rsid w:val="00E8351D"/>
    <w:rsid w:val="00E83BCD"/>
    <w:rsid w:val="00E83C57"/>
    <w:rsid w:val="00E83D19"/>
    <w:rsid w:val="00E83D41"/>
    <w:rsid w:val="00E843B2"/>
    <w:rsid w:val="00E84AD6"/>
    <w:rsid w:val="00E84F0D"/>
    <w:rsid w:val="00E85072"/>
    <w:rsid w:val="00E85359"/>
    <w:rsid w:val="00E8567D"/>
    <w:rsid w:val="00E85BEB"/>
    <w:rsid w:val="00E85C5C"/>
    <w:rsid w:val="00E85D9C"/>
    <w:rsid w:val="00E861BE"/>
    <w:rsid w:val="00E86641"/>
    <w:rsid w:val="00E86E2F"/>
    <w:rsid w:val="00E870AE"/>
    <w:rsid w:val="00E87405"/>
    <w:rsid w:val="00E87424"/>
    <w:rsid w:val="00E87815"/>
    <w:rsid w:val="00E87BDB"/>
    <w:rsid w:val="00E901B5"/>
    <w:rsid w:val="00E9061D"/>
    <w:rsid w:val="00E907C1"/>
    <w:rsid w:val="00E908A9"/>
    <w:rsid w:val="00E90A24"/>
    <w:rsid w:val="00E90BAB"/>
    <w:rsid w:val="00E90C06"/>
    <w:rsid w:val="00E90E80"/>
    <w:rsid w:val="00E910A1"/>
    <w:rsid w:val="00E911FC"/>
    <w:rsid w:val="00E914AD"/>
    <w:rsid w:val="00E915C0"/>
    <w:rsid w:val="00E915C6"/>
    <w:rsid w:val="00E9166A"/>
    <w:rsid w:val="00E917C5"/>
    <w:rsid w:val="00E918F9"/>
    <w:rsid w:val="00E91938"/>
    <w:rsid w:val="00E91C1F"/>
    <w:rsid w:val="00E91CBE"/>
    <w:rsid w:val="00E91CDE"/>
    <w:rsid w:val="00E91D86"/>
    <w:rsid w:val="00E92065"/>
    <w:rsid w:val="00E920B0"/>
    <w:rsid w:val="00E92500"/>
    <w:rsid w:val="00E92761"/>
    <w:rsid w:val="00E927A4"/>
    <w:rsid w:val="00E928F9"/>
    <w:rsid w:val="00E92A93"/>
    <w:rsid w:val="00E92C02"/>
    <w:rsid w:val="00E92E87"/>
    <w:rsid w:val="00E934D8"/>
    <w:rsid w:val="00E935B4"/>
    <w:rsid w:val="00E93706"/>
    <w:rsid w:val="00E93AD6"/>
    <w:rsid w:val="00E93C0D"/>
    <w:rsid w:val="00E93D53"/>
    <w:rsid w:val="00E9404F"/>
    <w:rsid w:val="00E9415A"/>
    <w:rsid w:val="00E9419E"/>
    <w:rsid w:val="00E947B0"/>
    <w:rsid w:val="00E94C47"/>
    <w:rsid w:val="00E94D60"/>
    <w:rsid w:val="00E94FD0"/>
    <w:rsid w:val="00E95028"/>
    <w:rsid w:val="00E9523F"/>
    <w:rsid w:val="00E952D4"/>
    <w:rsid w:val="00E95579"/>
    <w:rsid w:val="00E958AF"/>
    <w:rsid w:val="00E95C65"/>
    <w:rsid w:val="00E95D04"/>
    <w:rsid w:val="00E95E15"/>
    <w:rsid w:val="00E95FAF"/>
    <w:rsid w:val="00E963E0"/>
    <w:rsid w:val="00E964AA"/>
    <w:rsid w:val="00E964F8"/>
    <w:rsid w:val="00E96501"/>
    <w:rsid w:val="00E96757"/>
    <w:rsid w:val="00E968F2"/>
    <w:rsid w:val="00E96AC3"/>
    <w:rsid w:val="00E96B67"/>
    <w:rsid w:val="00E96B6C"/>
    <w:rsid w:val="00E96DCF"/>
    <w:rsid w:val="00E96E83"/>
    <w:rsid w:val="00E97146"/>
    <w:rsid w:val="00E97281"/>
    <w:rsid w:val="00E975CE"/>
    <w:rsid w:val="00E978D8"/>
    <w:rsid w:val="00E97B70"/>
    <w:rsid w:val="00E97D86"/>
    <w:rsid w:val="00E97DA2"/>
    <w:rsid w:val="00E97F76"/>
    <w:rsid w:val="00E97FF1"/>
    <w:rsid w:val="00EA003B"/>
    <w:rsid w:val="00EA00F8"/>
    <w:rsid w:val="00EA03F7"/>
    <w:rsid w:val="00EA047E"/>
    <w:rsid w:val="00EA0779"/>
    <w:rsid w:val="00EA07C9"/>
    <w:rsid w:val="00EA0E1A"/>
    <w:rsid w:val="00EA0F3B"/>
    <w:rsid w:val="00EA18C2"/>
    <w:rsid w:val="00EA1954"/>
    <w:rsid w:val="00EA1F5C"/>
    <w:rsid w:val="00EA25ED"/>
    <w:rsid w:val="00EA2747"/>
    <w:rsid w:val="00EA29C9"/>
    <w:rsid w:val="00EA2A85"/>
    <w:rsid w:val="00EA2B44"/>
    <w:rsid w:val="00EA2C3E"/>
    <w:rsid w:val="00EA2F4E"/>
    <w:rsid w:val="00EA2FA3"/>
    <w:rsid w:val="00EA30C2"/>
    <w:rsid w:val="00EA36A5"/>
    <w:rsid w:val="00EA37EA"/>
    <w:rsid w:val="00EA3AC1"/>
    <w:rsid w:val="00EA3C09"/>
    <w:rsid w:val="00EA3C99"/>
    <w:rsid w:val="00EA3F42"/>
    <w:rsid w:val="00EA412E"/>
    <w:rsid w:val="00EA4195"/>
    <w:rsid w:val="00EA41A1"/>
    <w:rsid w:val="00EA41D4"/>
    <w:rsid w:val="00EA4250"/>
    <w:rsid w:val="00EA4519"/>
    <w:rsid w:val="00EA4846"/>
    <w:rsid w:val="00EA489E"/>
    <w:rsid w:val="00EA4940"/>
    <w:rsid w:val="00EA496D"/>
    <w:rsid w:val="00EA4BD7"/>
    <w:rsid w:val="00EA4C15"/>
    <w:rsid w:val="00EA4E1E"/>
    <w:rsid w:val="00EA4E7E"/>
    <w:rsid w:val="00EA4F82"/>
    <w:rsid w:val="00EA515B"/>
    <w:rsid w:val="00EA51AB"/>
    <w:rsid w:val="00EA52F5"/>
    <w:rsid w:val="00EA535A"/>
    <w:rsid w:val="00EA587B"/>
    <w:rsid w:val="00EA5A33"/>
    <w:rsid w:val="00EA5AE2"/>
    <w:rsid w:val="00EA5F3E"/>
    <w:rsid w:val="00EA62CF"/>
    <w:rsid w:val="00EA638D"/>
    <w:rsid w:val="00EA6446"/>
    <w:rsid w:val="00EA666C"/>
    <w:rsid w:val="00EA682F"/>
    <w:rsid w:val="00EA6933"/>
    <w:rsid w:val="00EA6A17"/>
    <w:rsid w:val="00EA6B18"/>
    <w:rsid w:val="00EA6F88"/>
    <w:rsid w:val="00EA6FC3"/>
    <w:rsid w:val="00EA75AB"/>
    <w:rsid w:val="00EA75B0"/>
    <w:rsid w:val="00EA7732"/>
    <w:rsid w:val="00EA78DE"/>
    <w:rsid w:val="00EA7B3B"/>
    <w:rsid w:val="00EA7C88"/>
    <w:rsid w:val="00EA7E15"/>
    <w:rsid w:val="00EB00AA"/>
    <w:rsid w:val="00EB03BA"/>
    <w:rsid w:val="00EB0951"/>
    <w:rsid w:val="00EB09D7"/>
    <w:rsid w:val="00EB0AAE"/>
    <w:rsid w:val="00EB0B4D"/>
    <w:rsid w:val="00EB0F88"/>
    <w:rsid w:val="00EB1349"/>
    <w:rsid w:val="00EB13D1"/>
    <w:rsid w:val="00EB14D3"/>
    <w:rsid w:val="00EB1750"/>
    <w:rsid w:val="00EB1ABB"/>
    <w:rsid w:val="00EB1F4C"/>
    <w:rsid w:val="00EB22E2"/>
    <w:rsid w:val="00EB2439"/>
    <w:rsid w:val="00EB247D"/>
    <w:rsid w:val="00EB249E"/>
    <w:rsid w:val="00EB2BE7"/>
    <w:rsid w:val="00EB2EEA"/>
    <w:rsid w:val="00EB3416"/>
    <w:rsid w:val="00EB3442"/>
    <w:rsid w:val="00EB3469"/>
    <w:rsid w:val="00EB34AD"/>
    <w:rsid w:val="00EB35B8"/>
    <w:rsid w:val="00EB38AA"/>
    <w:rsid w:val="00EB3A8F"/>
    <w:rsid w:val="00EB4119"/>
    <w:rsid w:val="00EB4437"/>
    <w:rsid w:val="00EB454A"/>
    <w:rsid w:val="00EB489C"/>
    <w:rsid w:val="00EB492B"/>
    <w:rsid w:val="00EB4D4B"/>
    <w:rsid w:val="00EB4DEA"/>
    <w:rsid w:val="00EB533C"/>
    <w:rsid w:val="00EB553B"/>
    <w:rsid w:val="00EB562B"/>
    <w:rsid w:val="00EB5655"/>
    <w:rsid w:val="00EB59BA"/>
    <w:rsid w:val="00EB602F"/>
    <w:rsid w:val="00EB664A"/>
    <w:rsid w:val="00EB6685"/>
    <w:rsid w:val="00EB696B"/>
    <w:rsid w:val="00EB6EA5"/>
    <w:rsid w:val="00EB702E"/>
    <w:rsid w:val="00EB70D5"/>
    <w:rsid w:val="00EB7B7A"/>
    <w:rsid w:val="00EB7C21"/>
    <w:rsid w:val="00EB7C6F"/>
    <w:rsid w:val="00EB7CE8"/>
    <w:rsid w:val="00EC02A4"/>
    <w:rsid w:val="00EC031C"/>
    <w:rsid w:val="00EC039D"/>
    <w:rsid w:val="00EC03FD"/>
    <w:rsid w:val="00EC0881"/>
    <w:rsid w:val="00EC091E"/>
    <w:rsid w:val="00EC09CC"/>
    <w:rsid w:val="00EC09E0"/>
    <w:rsid w:val="00EC09FE"/>
    <w:rsid w:val="00EC0AEB"/>
    <w:rsid w:val="00EC0C87"/>
    <w:rsid w:val="00EC0CC0"/>
    <w:rsid w:val="00EC1017"/>
    <w:rsid w:val="00EC14A4"/>
    <w:rsid w:val="00EC1825"/>
    <w:rsid w:val="00EC1BB2"/>
    <w:rsid w:val="00EC2061"/>
    <w:rsid w:val="00EC22B7"/>
    <w:rsid w:val="00EC23BE"/>
    <w:rsid w:val="00EC245E"/>
    <w:rsid w:val="00EC256A"/>
    <w:rsid w:val="00EC2B60"/>
    <w:rsid w:val="00EC2C8B"/>
    <w:rsid w:val="00EC2D53"/>
    <w:rsid w:val="00EC2D6D"/>
    <w:rsid w:val="00EC2DB6"/>
    <w:rsid w:val="00EC2F7B"/>
    <w:rsid w:val="00EC2F80"/>
    <w:rsid w:val="00EC3151"/>
    <w:rsid w:val="00EC31A2"/>
    <w:rsid w:val="00EC3293"/>
    <w:rsid w:val="00EC3475"/>
    <w:rsid w:val="00EC34DC"/>
    <w:rsid w:val="00EC36AE"/>
    <w:rsid w:val="00EC36C5"/>
    <w:rsid w:val="00EC39FD"/>
    <w:rsid w:val="00EC3B8D"/>
    <w:rsid w:val="00EC4307"/>
    <w:rsid w:val="00EC4579"/>
    <w:rsid w:val="00EC4774"/>
    <w:rsid w:val="00EC486A"/>
    <w:rsid w:val="00EC4932"/>
    <w:rsid w:val="00EC4987"/>
    <w:rsid w:val="00EC4A97"/>
    <w:rsid w:val="00EC4C9F"/>
    <w:rsid w:val="00EC4D46"/>
    <w:rsid w:val="00EC4EE7"/>
    <w:rsid w:val="00EC4EFF"/>
    <w:rsid w:val="00EC4F78"/>
    <w:rsid w:val="00EC5037"/>
    <w:rsid w:val="00EC5272"/>
    <w:rsid w:val="00EC5500"/>
    <w:rsid w:val="00EC55AF"/>
    <w:rsid w:val="00EC569B"/>
    <w:rsid w:val="00EC5A20"/>
    <w:rsid w:val="00EC5A66"/>
    <w:rsid w:val="00EC5BB3"/>
    <w:rsid w:val="00EC5C25"/>
    <w:rsid w:val="00EC5D77"/>
    <w:rsid w:val="00EC62CE"/>
    <w:rsid w:val="00EC64DA"/>
    <w:rsid w:val="00EC6898"/>
    <w:rsid w:val="00EC6A9B"/>
    <w:rsid w:val="00EC6D02"/>
    <w:rsid w:val="00EC6DC5"/>
    <w:rsid w:val="00EC6DF2"/>
    <w:rsid w:val="00EC6EC3"/>
    <w:rsid w:val="00EC7262"/>
    <w:rsid w:val="00EC74F8"/>
    <w:rsid w:val="00EC7535"/>
    <w:rsid w:val="00EC7591"/>
    <w:rsid w:val="00EC7668"/>
    <w:rsid w:val="00EC76B5"/>
    <w:rsid w:val="00EC7A00"/>
    <w:rsid w:val="00EC7AC7"/>
    <w:rsid w:val="00EC7B3D"/>
    <w:rsid w:val="00EC7B91"/>
    <w:rsid w:val="00EC7DB8"/>
    <w:rsid w:val="00EC7E00"/>
    <w:rsid w:val="00ED0085"/>
    <w:rsid w:val="00ED06F9"/>
    <w:rsid w:val="00ED0BCF"/>
    <w:rsid w:val="00ED0E70"/>
    <w:rsid w:val="00ED0FBB"/>
    <w:rsid w:val="00ED12FB"/>
    <w:rsid w:val="00ED147A"/>
    <w:rsid w:val="00ED1840"/>
    <w:rsid w:val="00ED1BF6"/>
    <w:rsid w:val="00ED1FA5"/>
    <w:rsid w:val="00ED1FDA"/>
    <w:rsid w:val="00ED2494"/>
    <w:rsid w:val="00ED2543"/>
    <w:rsid w:val="00ED2644"/>
    <w:rsid w:val="00ED26A9"/>
    <w:rsid w:val="00ED278F"/>
    <w:rsid w:val="00ED27D5"/>
    <w:rsid w:val="00ED280C"/>
    <w:rsid w:val="00ED28C7"/>
    <w:rsid w:val="00ED2943"/>
    <w:rsid w:val="00ED2C6F"/>
    <w:rsid w:val="00ED2DD7"/>
    <w:rsid w:val="00ED3214"/>
    <w:rsid w:val="00ED35A1"/>
    <w:rsid w:val="00ED361F"/>
    <w:rsid w:val="00ED382E"/>
    <w:rsid w:val="00ED3B4E"/>
    <w:rsid w:val="00ED3BF9"/>
    <w:rsid w:val="00ED3F10"/>
    <w:rsid w:val="00ED3FA8"/>
    <w:rsid w:val="00ED456D"/>
    <w:rsid w:val="00ED49E9"/>
    <w:rsid w:val="00ED4B3C"/>
    <w:rsid w:val="00ED4B55"/>
    <w:rsid w:val="00ED4DBB"/>
    <w:rsid w:val="00ED50CC"/>
    <w:rsid w:val="00ED5307"/>
    <w:rsid w:val="00ED55A1"/>
    <w:rsid w:val="00ED5669"/>
    <w:rsid w:val="00ED59CE"/>
    <w:rsid w:val="00ED5B05"/>
    <w:rsid w:val="00ED5BEB"/>
    <w:rsid w:val="00ED5D0D"/>
    <w:rsid w:val="00ED5ED5"/>
    <w:rsid w:val="00ED6421"/>
    <w:rsid w:val="00ED6726"/>
    <w:rsid w:val="00ED6DBD"/>
    <w:rsid w:val="00ED7194"/>
    <w:rsid w:val="00ED75FB"/>
    <w:rsid w:val="00ED7638"/>
    <w:rsid w:val="00ED7738"/>
    <w:rsid w:val="00ED78F8"/>
    <w:rsid w:val="00ED7A07"/>
    <w:rsid w:val="00ED7B06"/>
    <w:rsid w:val="00ED7BE0"/>
    <w:rsid w:val="00ED7D84"/>
    <w:rsid w:val="00ED7ED8"/>
    <w:rsid w:val="00ED7F04"/>
    <w:rsid w:val="00EE0214"/>
    <w:rsid w:val="00EE02A6"/>
    <w:rsid w:val="00EE02B3"/>
    <w:rsid w:val="00EE0362"/>
    <w:rsid w:val="00EE03AF"/>
    <w:rsid w:val="00EE06B7"/>
    <w:rsid w:val="00EE09C6"/>
    <w:rsid w:val="00EE0B34"/>
    <w:rsid w:val="00EE0C66"/>
    <w:rsid w:val="00EE106F"/>
    <w:rsid w:val="00EE10CC"/>
    <w:rsid w:val="00EE1168"/>
    <w:rsid w:val="00EE11CE"/>
    <w:rsid w:val="00EE133D"/>
    <w:rsid w:val="00EE15DA"/>
    <w:rsid w:val="00EE163C"/>
    <w:rsid w:val="00EE1AB2"/>
    <w:rsid w:val="00EE1E5E"/>
    <w:rsid w:val="00EE23D2"/>
    <w:rsid w:val="00EE2733"/>
    <w:rsid w:val="00EE28C0"/>
    <w:rsid w:val="00EE2990"/>
    <w:rsid w:val="00EE2F15"/>
    <w:rsid w:val="00EE30FD"/>
    <w:rsid w:val="00EE31B6"/>
    <w:rsid w:val="00EE362C"/>
    <w:rsid w:val="00EE385C"/>
    <w:rsid w:val="00EE39D9"/>
    <w:rsid w:val="00EE3A0B"/>
    <w:rsid w:val="00EE3A17"/>
    <w:rsid w:val="00EE4243"/>
    <w:rsid w:val="00EE42EA"/>
    <w:rsid w:val="00EE48BE"/>
    <w:rsid w:val="00EE4AAA"/>
    <w:rsid w:val="00EE4B0F"/>
    <w:rsid w:val="00EE4DB4"/>
    <w:rsid w:val="00EE4E04"/>
    <w:rsid w:val="00EE5EC0"/>
    <w:rsid w:val="00EE636C"/>
    <w:rsid w:val="00EE6601"/>
    <w:rsid w:val="00EE672E"/>
    <w:rsid w:val="00EE686C"/>
    <w:rsid w:val="00EE6D92"/>
    <w:rsid w:val="00EE71B2"/>
    <w:rsid w:val="00EE77DF"/>
    <w:rsid w:val="00EE780C"/>
    <w:rsid w:val="00EE7AD4"/>
    <w:rsid w:val="00EE7D50"/>
    <w:rsid w:val="00EE7E96"/>
    <w:rsid w:val="00EE7EFF"/>
    <w:rsid w:val="00EE7F23"/>
    <w:rsid w:val="00EE7FBC"/>
    <w:rsid w:val="00EF00F2"/>
    <w:rsid w:val="00EF0528"/>
    <w:rsid w:val="00EF071F"/>
    <w:rsid w:val="00EF078F"/>
    <w:rsid w:val="00EF07C8"/>
    <w:rsid w:val="00EF07F3"/>
    <w:rsid w:val="00EF0B15"/>
    <w:rsid w:val="00EF0D1B"/>
    <w:rsid w:val="00EF0F2B"/>
    <w:rsid w:val="00EF11CD"/>
    <w:rsid w:val="00EF1AE6"/>
    <w:rsid w:val="00EF1E1E"/>
    <w:rsid w:val="00EF1E42"/>
    <w:rsid w:val="00EF1ED5"/>
    <w:rsid w:val="00EF218B"/>
    <w:rsid w:val="00EF2549"/>
    <w:rsid w:val="00EF2AC8"/>
    <w:rsid w:val="00EF2DF6"/>
    <w:rsid w:val="00EF3074"/>
    <w:rsid w:val="00EF314A"/>
    <w:rsid w:val="00EF3807"/>
    <w:rsid w:val="00EF3893"/>
    <w:rsid w:val="00EF3C3B"/>
    <w:rsid w:val="00EF3CE2"/>
    <w:rsid w:val="00EF3FBD"/>
    <w:rsid w:val="00EF4227"/>
    <w:rsid w:val="00EF4243"/>
    <w:rsid w:val="00EF433F"/>
    <w:rsid w:val="00EF43A8"/>
    <w:rsid w:val="00EF4B06"/>
    <w:rsid w:val="00EF4B07"/>
    <w:rsid w:val="00EF58EE"/>
    <w:rsid w:val="00EF5A9D"/>
    <w:rsid w:val="00EF5EFB"/>
    <w:rsid w:val="00EF608A"/>
    <w:rsid w:val="00EF6141"/>
    <w:rsid w:val="00EF6366"/>
    <w:rsid w:val="00EF636C"/>
    <w:rsid w:val="00EF6516"/>
    <w:rsid w:val="00EF6519"/>
    <w:rsid w:val="00EF6A87"/>
    <w:rsid w:val="00EF7042"/>
    <w:rsid w:val="00EF7172"/>
    <w:rsid w:val="00EF727E"/>
    <w:rsid w:val="00EF729D"/>
    <w:rsid w:val="00EF72A7"/>
    <w:rsid w:val="00EF7401"/>
    <w:rsid w:val="00EF78F2"/>
    <w:rsid w:val="00EF7954"/>
    <w:rsid w:val="00EF798C"/>
    <w:rsid w:val="00EF79BD"/>
    <w:rsid w:val="00EF7C7E"/>
    <w:rsid w:val="00EF7CC0"/>
    <w:rsid w:val="00EF7DA8"/>
    <w:rsid w:val="00F00157"/>
    <w:rsid w:val="00F002A2"/>
    <w:rsid w:val="00F0069A"/>
    <w:rsid w:val="00F008CE"/>
    <w:rsid w:val="00F00D95"/>
    <w:rsid w:val="00F01127"/>
    <w:rsid w:val="00F011E5"/>
    <w:rsid w:val="00F01336"/>
    <w:rsid w:val="00F014D4"/>
    <w:rsid w:val="00F0172E"/>
    <w:rsid w:val="00F01A0D"/>
    <w:rsid w:val="00F01A2B"/>
    <w:rsid w:val="00F01AB8"/>
    <w:rsid w:val="00F01DCE"/>
    <w:rsid w:val="00F01DD1"/>
    <w:rsid w:val="00F01E4A"/>
    <w:rsid w:val="00F01F4E"/>
    <w:rsid w:val="00F01FED"/>
    <w:rsid w:val="00F021D2"/>
    <w:rsid w:val="00F02216"/>
    <w:rsid w:val="00F02F3F"/>
    <w:rsid w:val="00F03179"/>
    <w:rsid w:val="00F03227"/>
    <w:rsid w:val="00F03316"/>
    <w:rsid w:val="00F0349D"/>
    <w:rsid w:val="00F034EE"/>
    <w:rsid w:val="00F038BF"/>
    <w:rsid w:val="00F03909"/>
    <w:rsid w:val="00F03B21"/>
    <w:rsid w:val="00F03B9A"/>
    <w:rsid w:val="00F03CF7"/>
    <w:rsid w:val="00F03DBD"/>
    <w:rsid w:val="00F03F19"/>
    <w:rsid w:val="00F0413D"/>
    <w:rsid w:val="00F0476C"/>
    <w:rsid w:val="00F048E2"/>
    <w:rsid w:val="00F048E4"/>
    <w:rsid w:val="00F04A4D"/>
    <w:rsid w:val="00F04A51"/>
    <w:rsid w:val="00F04F7A"/>
    <w:rsid w:val="00F058F2"/>
    <w:rsid w:val="00F05AA8"/>
    <w:rsid w:val="00F05ABE"/>
    <w:rsid w:val="00F05C9B"/>
    <w:rsid w:val="00F05E5B"/>
    <w:rsid w:val="00F05EE6"/>
    <w:rsid w:val="00F05F5F"/>
    <w:rsid w:val="00F06306"/>
    <w:rsid w:val="00F064C9"/>
    <w:rsid w:val="00F06A6D"/>
    <w:rsid w:val="00F06EBE"/>
    <w:rsid w:val="00F07065"/>
    <w:rsid w:val="00F070B6"/>
    <w:rsid w:val="00F0716E"/>
    <w:rsid w:val="00F07386"/>
    <w:rsid w:val="00F073EB"/>
    <w:rsid w:val="00F07811"/>
    <w:rsid w:val="00F07BB5"/>
    <w:rsid w:val="00F07C70"/>
    <w:rsid w:val="00F07E99"/>
    <w:rsid w:val="00F10563"/>
    <w:rsid w:val="00F105DF"/>
    <w:rsid w:val="00F10980"/>
    <w:rsid w:val="00F109C5"/>
    <w:rsid w:val="00F10B3B"/>
    <w:rsid w:val="00F10D4A"/>
    <w:rsid w:val="00F10D9B"/>
    <w:rsid w:val="00F10F89"/>
    <w:rsid w:val="00F10FAD"/>
    <w:rsid w:val="00F1103C"/>
    <w:rsid w:val="00F11A62"/>
    <w:rsid w:val="00F11B9C"/>
    <w:rsid w:val="00F11B9F"/>
    <w:rsid w:val="00F11CD7"/>
    <w:rsid w:val="00F11E47"/>
    <w:rsid w:val="00F120A6"/>
    <w:rsid w:val="00F1233B"/>
    <w:rsid w:val="00F12715"/>
    <w:rsid w:val="00F12858"/>
    <w:rsid w:val="00F12B7A"/>
    <w:rsid w:val="00F13043"/>
    <w:rsid w:val="00F13238"/>
    <w:rsid w:val="00F13325"/>
    <w:rsid w:val="00F13426"/>
    <w:rsid w:val="00F1361E"/>
    <w:rsid w:val="00F1374A"/>
    <w:rsid w:val="00F138AB"/>
    <w:rsid w:val="00F139CF"/>
    <w:rsid w:val="00F13AD3"/>
    <w:rsid w:val="00F13E14"/>
    <w:rsid w:val="00F147EE"/>
    <w:rsid w:val="00F148EA"/>
    <w:rsid w:val="00F14B29"/>
    <w:rsid w:val="00F14C06"/>
    <w:rsid w:val="00F14C49"/>
    <w:rsid w:val="00F14FD5"/>
    <w:rsid w:val="00F15442"/>
    <w:rsid w:val="00F155FE"/>
    <w:rsid w:val="00F1567B"/>
    <w:rsid w:val="00F15FF2"/>
    <w:rsid w:val="00F16130"/>
    <w:rsid w:val="00F162B1"/>
    <w:rsid w:val="00F16328"/>
    <w:rsid w:val="00F168EB"/>
    <w:rsid w:val="00F16A39"/>
    <w:rsid w:val="00F16A43"/>
    <w:rsid w:val="00F17673"/>
    <w:rsid w:val="00F177A1"/>
    <w:rsid w:val="00F17A03"/>
    <w:rsid w:val="00F17CBB"/>
    <w:rsid w:val="00F2000A"/>
    <w:rsid w:val="00F20471"/>
    <w:rsid w:val="00F205DC"/>
    <w:rsid w:val="00F2065E"/>
    <w:rsid w:val="00F2088F"/>
    <w:rsid w:val="00F2094C"/>
    <w:rsid w:val="00F20A5A"/>
    <w:rsid w:val="00F20A5E"/>
    <w:rsid w:val="00F20FC7"/>
    <w:rsid w:val="00F20FD2"/>
    <w:rsid w:val="00F2116E"/>
    <w:rsid w:val="00F2133A"/>
    <w:rsid w:val="00F21962"/>
    <w:rsid w:val="00F21AFE"/>
    <w:rsid w:val="00F21F37"/>
    <w:rsid w:val="00F2212E"/>
    <w:rsid w:val="00F223D7"/>
    <w:rsid w:val="00F224B0"/>
    <w:rsid w:val="00F2250B"/>
    <w:rsid w:val="00F227C6"/>
    <w:rsid w:val="00F2284B"/>
    <w:rsid w:val="00F22A09"/>
    <w:rsid w:val="00F22CBD"/>
    <w:rsid w:val="00F22D00"/>
    <w:rsid w:val="00F22D4E"/>
    <w:rsid w:val="00F22EB5"/>
    <w:rsid w:val="00F22FCD"/>
    <w:rsid w:val="00F230C0"/>
    <w:rsid w:val="00F2323C"/>
    <w:rsid w:val="00F236FA"/>
    <w:rsid w:val="00F23715"/>
    <w:rsid w:val="00F239AC"/>
    <w:rsid w:val="00F23A67"/>
    <w:rsid w:val="00F23A6A"/>
    <w:rsid w:val="00F23B1A"/>
    <w:rsid w:val="00F23DD2"/>
    <w:rsid w:val="00F24284"/>
    <w:rsid w:val="00F24589"/>
    <w:rsid w:val="00F247FA"/>
    <w:rsid w:val="00F248FB"/>
    <w:rsid w:val="00F24A9C"/>
    <w:rsid w:val="00F24CBD"/>
    <w:rsid w:val="00F24D5D"/>
    <w:rsid w:val="00F24DFF"/>
    <w:rsid w:val="00F24E2F"/>
    <w:rsid w:val="00F250A4"/>
    <w:rsid w:val="00F2548D"/>
    <w:rsid w:val="00F2564F"/>
    <w:rsid w:val="00F25953"/>
    <w:rsid w:val="00F25A65"/>
    <w:rsid w:val="00F25B6E"/>
    <w:rsid w:val="00F25CB8"/>
    <w:rsid w:val="00F261E7"/>
    <w:rsid w:val="00F26271"/>
    <w:rsid w:val="00F262ED"/>
    <w:rsid w:val="00F26551"/>
    <w:rsid w:val="00F2655B"/>
    <w:rsid w:val="00F26569"/>
    <w:rsid w:val="00F26603"/>
    <w:rsid w:val="00F26684"/>
    <w:rsid w:val="00F268D7"/>
    <w:rsid w:val="00F26A89"/>
    <w:rsid w:val="00F26BE5"/>
    <w:rsid w:val="00F26CBA"/>
    <w:rsid w:val="00F26D92"/>
    <w:rsid w:val="00F2707F"/>
    <w:rsid w:val="00F2718C"/>
    <w:rsid w:val="00F27236"/>
    <w:rsid w:val="00F273E2"/>
    <w:rsid w:val="00F27561"/>
    <w:rsid w:val="00F276EE"/>
    <w:rsid w:val="00F27BEC"/>
    <w:rsid w:val="00F27D78"/>
    <w:rsid w:val="00F27DB2"/>
    <w:rsid w:val="00F27DD3"/>
    <w:rsid w:val="00F27FF1"/>
    <w:rsid w:val="00F30371"/>
    <w:rsid w:val="00F30454"/>
    <w:rsid w:val="00F30689"/>
    <w:rsid w:val="00F31003"/>
    <w:rsid w:val="00F3115B"/>
    <w:rsid w:val="00F312C8"/>
    <w:rsid w:val="00F312FA"/>
    <w:rsid w:val="00F3150B"/>
    <w:rsid w:val="00F315B7"/>
    <w:rsid w:val="00F31641"/>
    <w:rsid w:val="00F31775"/>
    <w:rsid w:val="00F31A36"/>
    <w:rsid w:val="00F31B98"/>
    <w:rsid w:val="00F32035"/>
    <w:rsid w:val="00F3210B"/>
    <w:rsid w:val="00F321E4"/>
    <w:rsid w:val="00F321E8"/>
    <w:rsid w:val="00F32555"/>
    <w:rsid w:val="00F32861"/>
    <w:rsid w:val="00F328D0"/>
    <w:rsid w:val="00F32963"/>
    <w:rsid w:val="00F329CC"/>
    <w:rsid w:val="00F32EFA"/>
    <w:rsid w:val="00F33174"/>
    <w:rsid w:val="00F33324"/>
    <w:rsid w:val="00F3340A"/>
    <w:rsid w:val="00F3357D"/>
    <w:rsid w:val="00F33663"/>
    <w:rsid w:val="00F33725"/>
    <w:rsid w:val="00F33784"/>
    <w:rsid w:val="00F33CA0"/>
    <w:rsid w:val="00F33CED"/>
    <w:rsid w:val="00F33EBE"/>
    <w:rsid w:val="00F343A3"/>
    <w:rsid w:val="00F34572"/>
    <w:rsid w:val="00F3468B"/>
    <w:rsid w:val="00F34996"/>
    <w:rsid w:val="00F34FA9"/>
    <w:rsid w:val="00F351C7"/>
    <w:rsid w:val="00F35771"/>
    <w:rsid w:val="00F359D8"/>
    <w:rsid w:val="00F35A90"/>
    <w:rsid w:val="00F35AA5"/>
    <w:rsid w:val="00F35B9A"/>
    <w:rsid w:val="00F35DA2"/>
    <w:rsid w:val="00F35E6E"/>
    <w:rsid w:val="00F35F7A"/>
    <w:rsid w:val="00F35FD9"/>
    <w:rsid w:val="00F360C8"/>
    <w:rsid w:val="00F363E5"/>
    <w:rsid w:val="00F36571"/>
    <w:rsid w:val="00F36D26"/>
    <w:rsid w:val="00F36E81"/>
    <w:rsid w:val="00F372D6"/>
    <w:rsid w:val="00F37A71"/>
    <w:rsid w:val="00F37B80"/>
    <w:rsid w:val="00F37E05"/>
    <w:rsid w:val="00F37EA9"/>
    <w:rsid w:val="00F37F24"/>
    <w:rsid w:val="00F37F4C"/>
    <w:rsid w:val="00F37F68"/>
    <w:rsid w:val="00F40072"/>
    <w:rsid w:val="00F401E1"/>
    <w:rsid w:val="00F4035E"/>
    <w:rsid w:val="00F40401"/>
    <w:rsid w:val="00F405E4"/>
    <w:rsid w:val="00F406B3"/>
    <w:rsid w:val="00F40819"/>
    <w:rsid w:val="00F4088E"/>
    <w:rsid w:val="00F409A5"/>
    <w:rsid w:val="00F40A45"/>
    <w:rsid w:val="00F40C41"/>
    <w:rsid w:val="00F40C8F"/>
    <w:rsid w:val="00F4142B"/>
    <w:rsid w:val="00F4166E"/>
    <w:rsid w:val="00F4181E"/>
    <w:rsid w:val="00F41911"/>
    <w:rsid w:val="00F41AAC"/>
    <w:rsid w:val="00F4201E"/>
    <w:rsid w:val="00F420A6"/>
    <w:rsid w:val="00F420BB"/>
    <w:rsid w:val="00F421A3"/>
    <w:rsid w:val="00F4237A"/>
    <w:rsid w:val="00F42524"/>
    <w:rsid w:val="00F425F3"/>
    <w:rsid w:val="00F4264C"/>
    <w:rsid w:val="00F42844"/>
    <w:rsid w:val="00F428F4"/>
    <w:rsid w:val="00F43236"/>
    <w:rsid w:val="00F438E3"/>
    <w:rsid w:val="00F43927"/>
    <w:rsid w:val="00F4394B"/>
    <w:rsid w:val="00F43B13"/>
    <w:rsid w:val="00F43B97"/>
    <w:rsid w:val="00F43BE1"/>
    <w:rsid w:val="00F43D33"/>
    <w:rsid w:val="00F43EFD"/>
    <w:rsid w:val="00F43F0A"/>
    <w:rsid w:val="00F44296"/>
    <w:rsid w:val="00F447B4"/>
    <w:rsid w:val="00F449C1"/>
    <w:rsid w:val="00F44A3A"/>
    <w:rsid w:val="00F44A6E"/>
    <w:rsid w:val="00F44CB3"/>
    <w:rsid w:val="00F44DFE"/>
    <w:rsid w:val="00F4511B"/>
    <w:rsid w:val="00F45359"/>
    <w:rsid w:val="00F4541E"/>
    <w:rsid w:val="00F45524"/>
    <w:rsid w:val="00F455A0"/>
    <w:rsid w:val="00F45B8F"/>
    <w:rsid w:val="00F45C4C"/>
    <w:rsid w:val="00F4604E"/>
    <w:rsid w:val="00F463AB"/>
    <w:rsid w:val="00F4642E"/>
    <w:rsid w:val="00F46820"/>
    <w:rsid w:val="00F46A6D"/>
    <w:rsid w:val="00F46BDB"/>
    <w:rsid w:val="00F46E90"/>
    <w:rsid w:val="00F47010"/>
    <w:rsid w:val="00F470C6"/>
    <w:rsid w:val="00F47110"/>
    <w:rsid w:val="00F47119"/>
    <w:rsid w:val="00F4733C"/>
    <w:rsid w:val="00F47589"/>
    <w:rsid w:val="00F47693"/>
    <w:rsid w:val="00F478D2"/>
    <w:rsid w:val="00F47CAF"/>
    <w:rsid w:val="00F47FE5"/>
    <w:rsid w:val="00F50037"/>
    <w:rsid w:val="00F5003D"/>
    <w:rsid w:val="00F50093"/>
    <w:rsid w:val="00F50136"/>
    <w:rsid w:val="00F5027F"/>
    <w:rsid w:val="00F5067E"/>
    <w:rsid w:val="00F506B7"/>
    <w:rsid w:val="00F50886"/>
    <w:rsid w:val="00F50AFE"/>
    <w:rsid w:val="00F51327"/>
    <w:rsid w:val="00F51572"/>
    <w:rsid w:val="00F515F0"/>
    <w:rsid w:val="00F51701"/>
    <w:rsid w:val="00F5175C"/>
    <w:rsid w:val="00F517A8"/>
    <w:rsid w:val="00F51821"/>
    <w:rsid w:val="00F51BF7"/>
    <w:rsid w:val="00F51C37"/>
    <w:rsid w:val="00F51E85"/>
    <w:rsid w:val="00F51F49"/>
    <w:rsid w:val="00F52151"/>
    <w:rsid w:val="00F52285"/>
    <w:rsid w:val="00F522A5"/>
    <w:rsid w:val="00F52498"/>
    <w:rsid w:val="00F52590"/>
    <w:rsid w:val="00F525C2"/>
    <w:rsid w:val="00F52C0E"/>
    <w:rsid w:val="00F53093"/>
    <w:rsid w:val="00F53371"/>
    <w:rsid w:val="00F534AA"/>
    <w:rsid w:val="00F53552"/>
    <w:rsid w:val="00F536D1"/>
    <w:rsid w:val="00F53B50"/>
    <w:rsid w:val="00F53DFF"/>
    <w:rsid w:val="00F540CB"/>
    <w:rsid w:val="00F5419D"/>
    <w:rsid w:val="00F541B9"/>
    <w:rsid w:val="00F5446A"/>
    <w:rsid w:val="00F54525"/>
    <w:rsid w:val="00F546C2"/>
    <w:rsid w:val="00F54979"/>
    <w:rsid w:val="00F54C7C"/>
    <w:rsid w:val="00F54E3A"/>
    <w:rsid w:val="00F55381"/>
    <w:rsid w:val="00F553EF"/>
    <w:rsid w:val="00F55483"/>
    <w:rsid w:val="00F559F9"/>
    <w:rsid w:val="00F55A8E"/>
    <w:rsid w:val="00F55C67"/>
    <w:rsid w:val="00F55E3B"/>
    <w:rsid w:val="00F55F50"/>
    <w:rsid w:val="00F55FEC"/>
    <w:rsid w:val="00F5605C"/>
    <w:rsid w:val="00F56091"/>
    <w:rsid w:val="00F56329"/>
    <w:rsid w:val="00F564C4"/>
    <w:rsid w:val="00F566E1"/>
    <w:rsid w:val="00F56813"/>
    <w:rsid w:val="00F56860"/>
    <w:rsid w:val="00F568C8"/>
    <w:rsid w:val="00F5693B"/>
    <w:rsid w:val="00F56A8B"/>
    <w:rsid w:val="00F56D5D"/>
    <w:rsid w:val="00F572DA"/>
    <w:rsid w:val="00F57347"/>
    <w:rsid w:val="00F57641"/>
    <w:rsid w:val="00F5767E"/>
    <w:rsid w:val="00F5784E"/>
    <w:rsid w:val="00F578B2"/>
    <w:rsid w:val="00F57C7B"/>
    <w:rsid w:val="00F57CD6"/>
    <w:rsid w:val="00F57ED5"/>
    <w:rsid w:val="00F57F19"/>
    <w:rsid w:val="00F57F88"/>
    <w:rsid w:val="00F60063"/>
    <w:rsid w:val="00F6016C"/>
    <w:rsid w:val="00F60175"/>
    <w:rsid w:val="00F6017B"/>
    <w:rsid w:val="00F60246"/>
    <w:rsid w:val="00F60303"/>
    <w:rsid w:val="00F603F0"/>
    <w:rsid w:val="00F60407"/>
    <w:rsid w:val="00F60532"/>
    <w:rsid w:val="00F60636"/>
    <w:rsid w:val="00F60735"/>
    <w:rsid w:val="00F608E4"/>
    <w:rsid w:val="00F60A32"/>
    <w:rsid w:val="00F60D8E"/>
    <w:rsid w:val="00F60E08"/>
    <w:rsid w:val="00F60F62"/>
    <w:rsid w:val="00F615E8"/>
    <w:rsid w:val="00F61795"/>
    <w:rsid w:val="00F617F3"/>
    <w:rsid w:val="00F61910"/>
    <w:rsid w:val="00F61997"/>
    <w:rsid w:val="00F61AC0"/>
    <w:rsid w:val="00F61DAB"/>
    <w:rsid w:val="00F61E16"/>
    <w:rsid w:val="00F61F77"/>
    <w:rsid w:val="00F6206E"/>
    <w:rsid w:val="00F6218A"/>
    <w:rsid w:val="00F62337"/>
    <w:rsid w:val="00F62441"/>
    <w:rsid w:val="00F62589"/>
    <w:rsid w:val="00F627DB"/>
    <w:rsid w:val="00F62D1D"/>
    <w:rsid w:val="00F62DFB"/>
    <w:rsid w:val="00F63121"/>
    <w:rsid w:val="00F6320A"/>
    <w:rsid w:val="00F632AB"/>
    <w:rsid w:val="00F63A13"/>
    <w:rsid w:val="00F63A57"/>
    <w:rsid w:val="00F63B9D"/>
    <w:rsid w:val="00F63D07"/>
    <w:rsid w:val="00F63E17"/>
    <w:rsid w:val="00F63E4E"/>
    <w:rsid w:val="00F63FEF"/>
    <w:rsid w:val="00F64008"/>
    <w:rsid w:val="00F64181"/>
    <w:rsid w:val="00F641D5"/>
    <w:rsid w:val="00F641EC"/>
    <w:rsid w:val="00F65052"/>
    <w:rsid w:val="00F652C7"/>
    <w:rsid w:val="00F65584"/>
    <w:rsid w:val="00F659BD"/>
    <w:rsid w:val="00F65B83"/>
    <w:rsid w:val="00F6623A"/>
    <w:rsid w:val="00F6637B"/>
    <w:rsid w:val="00F66405"/>
    <w:rsid w:val="00F6663F"/>
    <w:rsid w:val="00F66667"/>
    <w:rsid w:val="00F666C5"/>
    <w:rsid w:val="00F66789"/>
    <w:rsid w:val="00F66CF3"/>
    <w:rsid w:val="00F67273"/>
    <w:rsid w:val="00F67556"/>
    <w:rsid w:val="00F6760C"/>
    <w:rsid w:val="00F6781C"/>
    <w:rsid w:val="00F67BDF"/>
    <w:rsid w:val="00F701B6"/>
    <w:rsid w:val="00F701C2"/>
    <w:rsid w:val="00F709F5"/>
    <w:rsid w:val="00F70E8C"/>
    <w:rsid w:val="00F70F08"/>
    <w:rsid w:val="00F70F1F"/>
    <w:rsid w:val="00F71147"/>
    <w:rsid w:val="00F713F9"/>
    <w:rsid w:val="00F7160C"/>
    <w:rsid w:val="00F7168F"/>
    <w:rsid w:val="00F7189D"/>
    <w:rsid w:val="00F71907"/>
    <w:rsid w:val="00F71BF8"/>
    <w:rsid w:val="00F71CF6"/>
    <w:rsid w:val="00F720AD"/>
    <w:rsid w:val="00F72468"/>
    <w:rsid w:val="00F72590"/>
    <w:rsid w:val="00F725CF"/>
    <w:rsid w:val="00F72687"/>
    <w:rsid w:val="00F7293D"/>
    <w:rsid w:val="00F73052"/>
    <w:rsid w:val="00F73228"/>
    <w:rsid w:val="00F738F6"/>
    <w:rsid w:val="00F73F5D"/>
    <w:rsid w:val="00F742D5"/>
    <w:rsid w:val="00F7430A"/>
    <w:rsid w:val="00F74367"/>
    <w:rsid w:val="00F74650"/>
    <w:rsid w:val="00F74BF5"/>
    <w:rsid w:val="00F74C42"/>
    <w:rsid w:val="00F7521C"/>
    <w:rsid w:val="00F752E5"/>
    <w:rsid w:val="00F7537B"/>
    <w:rsid w:val="00F7540A"/>
    <w:rsid w:val="00F756EF"/>
    <w:rsid w:val="00F75A16"/>
    <w:rsid w:val="00F75B3B"/>
    <w:rsid w:val="00F75C36"/>
    <w:rsid w:val="00F75CDC"/>
    <w:rsid w:val="00F75F65"/>
    <w:rsid w:val="00F760C3"/>
    <w:rsid w:val="00F760C4"/>
    <w:rsid w:val="00F760D8"/>
    <w:rsid w:val="00F760E0"/>
    <w:rsid w:val="00F7618D"/>
    <w:rsid w:val="00F763F6"/>
    <w:rsid w:val="00F76625"/>
    <w:rsid w:val="00F76A15"/>
    <w:rsid w:val="00F76B2F"/>
    <w:rsid w:val="00F76B7A"/>
    <w:rsid w:val="00F76CB8"/>
    <w:rsid w:val="00F76D00"/>
    <w:rsid w:val="00F76EF1"/>
    <w:rsid w:val="00F76F99"/>
    <w:rsid w:val="00F7716F"/>
    <w:rsid w:val="00F77208"/>
    <w:rsid w:val="00F77559"/>
    <w:rsid w:val="00F77857"/>
    <w:rsid w:val="00F77B1D"/>
    <w:rsid w:val="00F77EC3"/>
    <w:rsid w:val="00F77EFB"/>
    <w:rsid w:val="00F803D8"/>
    <w:rsid w:val="00F80C97"/>
    <w:rsid w:val="00F80DC6"/>
    <w:rsid w:val="00F80FFA"/>
    <w:rsid w:val="00F8108D"/>
    <w:rsid w:val="00F8122D"/>
    <w:rsid w:val="00F81374"/>
    <w:rsid w:val="00F813E0"/>
    <w:rsid w:val="00F8140C"/>
    <w:rsid w:val="00F81638"/>
    <w:rsid w:val="00F81718"/>
    <w:rsid w:val="00F817D2"/>
    <w:rsid w:val="00F81B53"/>
    <w:rsid w:val="00F81D8C"/>
    <w:rsid w:val="00F81DA7"/>
    <w:rsid w:val="00F820C0"/>
    <w:rsid w:val="00F820E8"/>
    <w:rsid w:val="00F820EF"/>
    <w:rsid w:val="00F8238C"/>
    <w:rsid w:val="00F824BC"/>
    <w:rsid w:val="00F824F2"/>
    <w:rsid w:val="00F825BF"/>
    <w:rsid w:val="00F8265F"/>
    <w:rsid w:val="00F8290B"/>
    <w:rsid w:val="00F82F4D"/>
    <w:rsid w:val="00F83279"/>
    <w:rsid w:val="00F834D5"/>
    <w:rsid w:val="00F83C17"/>
    <w:rsid w:val="00F83C1C"/>
    <w:rsid w:val="00F83F2D"/>
    <w:rsid w:val="00F84099"/>
    <w:rsid w:val="00F841F4"/>
    <w:rsid w:val="00F842E0"/>
    <w:rsid w:val="00F843AF"/>
    <w:rsid w:val="00F8440A"/>
    <w:rsid w:val="00F8444F"/>
    <w:rsid w:val="00F84DE3"/>
    <w:rsid w:val="00F84E06"/>
    <w:rsid w:val="00F84F6E"/>
    <w:rsid w:val="00F850E9"/>
    <w:rsid w:val="00F85204"/>
    <w:rsid w:val="00F8531E"/>
    <w:rsid w:val="00F8539C"/>
    <w:rsid w:val="00F854F4"/>
    <w:rsid w:val="00F8586E"/>
    <w:rsid w:val="00F858F2"/>
    <w:rsid w:val="00F859F9"/>
    <w:rsid w:val="00F85CC3"/>
    <w:rsid w:val="00F85ECC"/>
    <w:rsid w:val="00F860DB"/>
    <w:rsid w:val="00F8638B"/>
    <w:rsid w:val="00F86499"/>
    <w:rsid w:val="00F86A1F"/>
    <w:rsid w:val="00F86B5C"/>
    <w:rsid w:val="00F86BFE"/>
    <w:rsid w:val="00F86D11"/>
    <w:rsid w:val="00F870E0"/>
    <w:rsid w:val="00F8729C"/>
    <w:rsid w:val="00F8743F"/>
    <w:rsid w:val="00F875C7"/>
    <w:rsid w:val="00F8764E"/>
    <w:rsid w:val="00F8765B"/>
    <w:rsid w:val="00F87ADB"/>
    <w:rsid w:val="00F87CD0"/>
    <w:rsid w:val="00F87CF3"/>
    <w:rsid w:val="00F87E07"/>
    <w:rsid w:val="00F87E43"/>
    <w:rsid w:val="00F900D8"/>
    <w:rsid w:val="00F9049B"/>
    <w:rsid w:val="00F90709"/>
    <w:rsid w:val="00F911FD"/>
    <w:rsid w:val="00F9158D"/>
    <w:rsid w:val="00F91659"/>
    <w:rsid w:val="00F91B38"/>
    <w:rsid w:val="00F91DEF"/>
    <w:rsid w:val="00F91EF6"/>
    <w:rsid w:val="00F9200F"/>
    <w:rsid w:val="00F9215A"/>
    <w:rsid w:val="00F9251F"/>
    <w:rsid w:val="00F9261B"/>
    <w:rsid w:val="00F92A0D"/>
    <w:rsid w:val="00F92BAC"/>
    <w:rsid w:val="00F92D81"/>
    <w:rsid w:val="00F92D8C"/>
    <w:rsid w:val="00F92EFB"/>
    <w:rsid w:val="00F9324A"/>
    <w:rsid w:val="00F933A5"/>
    <w:rsid w:val="00F9357D"/>
    <w:rsid w:val="00F938E2"/>
    <w:rsid w:val="00F93A17"/>
    <w:rsid w:val="00F93BB6"/>
    <w:rsid w:val="00F93D47"/>
    <w:rsid w:val="00F93D52"/>
    <w:rsid w:val="00F9423A"/>
    <w:rsid w:val="00F942D8"/>
    <w:rsid w:val="00F9436D"/>
    <w:rsid w:val="00F943B0"/>
    <w:rsid w:val="00F949CF"/>
    <w:rsid w:val="00F94BED"/>
    <w:rsid w:val="00F94CF9"/>
    <w:rsid w:val="00F94CFC"/>
    <w:rsid w:val="00F94D21"/>
    <w:rsid w:val="00F94D80"/>
    <w:rsid w:val="00F94DEF"/>
    <w:rsid w:val="00F95109"/>
    <w:rsid w:val="00F95154"/>
    <w:rsid w:val="00F958FA"/>
    <w:rsid w:val="00F95928"/>
    <w:rsid w:val="00F95C11"/>
    <w:rsid w:val="00F95F46"/>
    <w:rsid w:val="00F96105"/>
    <w:rsid w:val="00F9611C"/>
    <w:rsid w:val="00F96261"/>
    <w:rsid w:val="00F96593"/>
    <w:rsid w:val="00F967B6"/>
    <w:rsid w:val="00F9685B"/>
    <w:rsid w:val="00F96A2A"/>
    <w:rsid w:val="00F96BB5"/>
    <w:rsid w:val="00F96BC0"/>
    <w:rsid w:val="00F96F97"/>
    <w:rsid w:val="00F97209"/>
    <w:rsid w:val="00F973DB"/>
    <w:rsid w:val="00F97672"/>
    <w:rsid w:val="00F9771E"/>
    <w:rsid w:val="00F97723"/>
    <w:rsid w:val="00F97920"/>
    <w:rsid w:val="00F97AA8"/>
    <w:rsid w:val="00F97B23"/>
    <w:rsid w:val="00F97BA2"/>
    <w:rsid w:val="00F97D5B"/>
    <w:rsid w:val="00F97D67"/>
    <w:rsid w:val="00F97E10"/>
    <w:rsid w:val="00F97E98"/>
    <w:rsid w:val="00FA0084"/>
    <w:rsid w:val="00FA01A4"/>
    <w:rsid w:val="00FA0259"/>
    <w:rsid w:val="00FA02DE"/>
    <w:rsid w:val="00FA05A7"/>
    <w:rsid w:val="00FA0D51"/>
    <w:rsid w:val="00FA100E"/>
    <w:rsid w:val="00FA1190"/>
    <w:rsid w:val="00FA11F4"/>
    <w:rsid w:val="00FA1312"/>
    <w:rsid w:val="00FA1313"/>
    <w:rsid w:val="00FA17EF"/>
    <w:rsid w:val="00FA1814"/>
    <w:rsid w:val="00FA1944"/>
    <w:rsid w:val="00FA1A1B"/>
    <w:rsid w:val="00FA1F2F"/>
    <w:rsid w:val="00FA1FD1"/>
    <w:rsid w:val="00FA2169"/>
    <w:rsid w:val="00FA2202"/>
    <w:rsid w:val="00FA240B"/>
    <w:rsid w:val="00FA24D5"/>
    <w:rsid w:val="00FA2877"/>
    <w:rsid w:val="00FA3048"/>
    <w:rsid w:val="00FA312C"/>
    <w:rsid w:val="00FA3233"/>
    <w:rsid w:val="00FA3320"/>
    <w:rsid w:val="00FA348C"/>
    <w:rsid w:val="00FA3549"/>
    <w:rsid w:val="00FA372B"/>
    <w:rsid w:val="00FA38AA"/>
    <w:rsid w:val="00FA3A05"/>
    <w:rsid w:val="00FA3AD3"/>
    <w:rsid w:val="00FA3C14"/>
    <w:rsid w:val="00FA3C28"/>
    <w:rsid w:val="00FA3D7F"/>
    <w:rsid w:val="00FA3F7D"/>
    <w:rsid w:val="00FA42FA"/>
    <w:rsid w:val="00FA4348"/>
    <w:rsid w:val="00FA44AC"/>
    <w:rsid w:val="00FA4640"/>
    <w:rsid w:val="00FA4E0D"/>
    <w:rsid w:val="00FA5157"/>
    <w:rsid w:val="00FA5496"/>
    <w:rsid w:val="00FA560B"/>
    <w:rsid w:val="00FA56D4"/>
    <w:rsid w:val="00FA5AAF"/>
    <w:rsid w:val="00FA5C3E"/>
    <w:rsid w:val="00FA6315"/>
    <w:rsid w:val="00FA6547"/>
    <w:rsid w:val="00FA66D5"/>
    <w:rsid w:val="00FA69CC"/>
    <w:rsid w:val="00FA6B27"/>
    <w:rsid w:val="00FA6CE1"/>
    <w:rsid w:val="00FA6D28"/>
    <w:rsid w:val="00FA6EE1"/>
    <w:rsid w:val="00FA6FFA"/>
    <w:rsid w:val="00FA704A"/>
    <w:rsid w:val="00FA73F1"/>
    <w:rsid w:val="00FA75D7"/>
    <w:rsid w:val="00FA76EF"/>
    <w:rsid w:val="00FA7956"/>
    <w:rsid w:val="00FB0128"/>
    <w:rsid w:val="00FB0476"/>
    <w:rsid w:val="00FB0547"/>
    <w:rsid w:val="00FB0631"/>
    <w:rsid w:val="00FB0784"/>
    <w:rsid w:val="00FB07FD"/>
    <w:rsid w:val="00FB0B1E"/>
    <w:rsid w:val="00FB0DBD"/>
    <w:rsid w:val="00FB0E4B"/>
    <w:rsid w:val="00FB11AE"/>
    <w:rsid w:val="00FB133A"/>
    <w:rsid w:val="00FB16F8"/>
    <w:rsid w:val="00FB178E"/>
    <w:rsid w:val="00FB1E8A"/>
    <w:rsid w:val="00FB20F4"/>
    <w:rsid w:val="00FB211D"/>
    <w:rsid w:val="00FB26E0"/>
    <w:rsid w:val="00FB278E"/>
    <w:rsid w:val="00FB29E4"/>
    <w:rsid w:val="00FB2A1E"/>
    <w:rsid w:val="00FB2A34"/>
    <w:rsid w:val="00FB2B92"/>
    <w:rsid w:val="00FB34CA"/>
    <w:rsid w:val="00FB359E"/>
    <w:rsid w:val="00FB35F0"/>
    <w:rsid w:val="00FB37FD"/>
    <w:rsid w:val="00FB39DD"/>
    <w:rsid w:val="00FB3B3C"/>
    <w:rsid w:val="00FB3C77"/>
    <w:rsid w:val="00FB3E94"/>
    <w:rsid w:val="00FB443B"/>
    <w:rsid w:val="00FB4EA2"/>
    <w:rsid w:val="00FB5343"/>
    <w:rsid w:val="00FB5496"/>
    <w:rsid w:val="00FB567C"/>
    <w:rsid w:val="00FB582F"/>
    <w:rsid w:val="00FB5A27"/>
    <w:rsid w:val="00FB5D2C"/>
    <w:rsid w:val="00FB5E44"/>
    <w:rsid w:val="00FB5EC2"/>
    <w:rsid w:val="00FB6124"/>
    <w:rsid w:val="00FB6137"/>
    <w:rsid w:val="00FB631A"/>
    <w:rsid w:val="00FB668C"/>
    <w:rsid w:val="00FB6735"/>
    <w:rsid w:val="00FB675E"/>
    <w:rsid w:val="00FB690C"/>
    <w:rsid w:val="00FB696F"/>
    <w:rsid w:val="00FB6B8B"/>
    <w:rsid w:val="00FB6B90"/>
    <w:rsid w:val="00FB6BD8"/>
    <w:rsid w:val="00FB736E"/>
    <w:rsid w:val="00FB73BA"/>
    <w:rsid w:val="00FB7403"/>
    <w:rsid w:val="00FB756D"/>
    <w:rsid w:val="00FB79C7"/>
    <w:rsid w:val="00FB7D10"/>
    <w:rsid w:val="00FB7D17"/>
    <w:rsid w:val="00FB7E1B"/>
    <w:rsid w:val="00FB7EE5"/>
    <w:rsid w:val="00FC00D2"/>
    <w:rsid w:val="00FC0125"/>
    <w:rsid w:val="00FC05B7"/>
    <w:rsid w:val="00FC0609"/>
    <w:rsid w:val="00FC06F6"/>
    <w:rsid w:val="00FC098C"/>
    <w:rsid w:val="00FC0B69"/>
    <w:rsid w:val="00FC0BBC"/>
    <w:rsid w:val="00FC0CAB"/>
    <w:rsid w:val="00FC11C0"/>
    <w:rsid w:val="00FC12C6"/>
    <w:rsid w:val="00FC1381"/>
    <w:rsid w:val="00FC1391"/>
    <w:rsid w:val="00FC1A69"/>
    <w:rsid w:val="00FC1A92"/>
    <w:rsid w:val="00FC1BB9"/>
    <w:rsid w:val="00FC1D7F"/>
    <w:rsid w:val="00FC1F5C"/>
    <w:rsid w:val="00FC2034"/>
    <w:rsid w:val="00FC221F"/>
    <w:rsid w:val="00FC2270"/>
    <w:rsid w:val="00FC2561"/>
    <w:rsid w:val="00FC29DF"/>
    <w:rsid w:val="00FC2DC1"/>
    <w:rsid w:val="00FC30D8"/>
    <w:rsid w:val="00FC33C6"/>
    <w:rsid w:val="00FC3A36"/>
    <w:rsid w:val="00FC3A4D"/>
    <w:rsid w:val="00FC3CFD"/>
    <w:rsid w:val="00FC3F51"/>
    <w:rsid w:val="00FC3FE1"/>
    <w:rsid w:val="00FC4AEC"/>
    <w:rsid w:val="00FC4EB3"/>
    <w:rsid w:val="00FC54F0"/>
    <w:rsid w:val="00FC56B3"/>
    <w:rsid w:val="00FC59C1"/>
    <w:rsid w:val="00FC59F6"/>
    <w:rsid w:val="00FC5E1B"/>
    <w:rsid w:val="00FC5FDE"/>
    <w:rsid w:val="00FC60C4"/>
    <w:rsid w:val="00FC61BD"/>
    <w:rsid w:val="00FC6431"/>
    <w:rsid w:val="00FC666F"/>
    <w:rsid w:val="00FC6768"/>
    <w:rsid w:val="00FC686B"/>
    <w:rsid w:val="00FC68D6"/>
    <w:rsid w:val="00FC6DC5"/>
    <w:rsid w:val="00FC700D"/>
    <w:rsid w:val="00FC7072"/>
    <w:rsid w:val="00FC7326"/>
    <w:rsid w:val="00FC7391"/>
    <w:rsid w:val="00FC7533"/>
    <w:rsid w:val="00FC76D1"/>
    <w:rsid w:val="00FC7769"/>
    <w:rsid w:val="00FC7C3B"/>
    <w:rsid w:val="00FC7D99"/>
    <w:rsid w:val="00FC7E39"/>
    <w:rsid w:val="00FD03E3"/>
    <w:rsid w:val="00FD0FBC"/>
    <w:rsid w:val="00FD0FFC"/>
    <w:rsid w:val="00FD13A5"/>
    <w:rsid w:val="00FD1416"/>
    <w:rsid w:val="00FD15D6"/>
    <w:rsid w:val="00FD186C"/>
    <w:rsid w:val="00FD1879"/>
    <w:rsid w:val="00FD18A9"/>
    <w:rsid w:val="00FD1952"/>
    <w:rsid w:val="00FD1AFF"/>
    <w:rsid w:val="00FD1BAF"/>
    <w:rsid w:val="00FD1BFA"/>
    <w:rsid w:val="00FD1D5A"/>
    <w:rsid w:val="00FD1E1B"/>
    <w:rsid w:val="00FD1F61"/>
    <w:rsid w:val="00FD244C"/>
    <w:rsid w:val="00FD269E"/>
    <w:rsid w:val="00FD2875"/>
    <w:rsid w:val="00FD289D"/>
    <w:rsid w:val="00FD292F"/>
    <w:rsid w:val="00FD2949"/>
    <w:rsid w:val="00FD2AC3"/>
    <w:rsid w:val="00FD2AF1"/>
    <w:rsid w:val="00FD2BCB"/>
    <w:rsid w:val="00FD2CE9"/>
    <w:rsid w:val="00FD2D67"/>
    <w:rsid w:val="00FD2DA1"/>
    <w:rsid w:val="00FD3553"/>
    <w:rsid w:val="00FD3824"/>
    <w:rsid w:val="00FD3BCC"/>
    <w:rsid w:val="00FD3C67"/>
    <w:rsid w:val="00FD3DC5"/>
    <w:rsid w:val="00FD4204"/>
    <w:rsid w:val="00FD4484"/>
    <w:rsid w:val="00FD4861"/>
    <w:rsid w:val="00FD4869"/>
    <w:rsid w:val="00FD4BE7"/>
    <w:rsid w:val="00FD4D02"/>
    <w:rsid w:val="00FD4D49"/>
    <w:rsid w:val="00FD52ED"/>
    <w:rsid w:val="00FD537E"/>
    <w:rsid w:val="00FD55CD"/>
    <w:rsid w:val="00FD56AD"/>
    <w:rsid w:val="00FD5708"/>
    <w:rsid w:val="00FD582D"/>
    <w:rsid w:val="00FD59B4"/>
    <w:rsid w:val="00FD5A8B"/>
    <w:rsid w:val="00FD5C7C"/>
    <w:rsid w:val="00FD5CF0"/>
    <w:rsid w:val="00FD5D61"/>
    <w:rsid w:val="00FD5D78"/>
    <w:rsid w:val="00FD5FBA"/>
    <w:rsid w:val="00FD624C"/>
    <w:rsid w:val="00FD637D"/>
    <w:rsid w:val="00FD6910"/>
    <w:rsid w:val="00FD6C3E"/>
    <w:rsid w:val="00FD6DFB"/>
    <w:rsid w:val="00FD6E0E"/>
    <w:rsid w:val="00FD72B7"/>
    <w:rsid w:val="00FD73A7"/>
    <w:rsid w:val="00FD759F"/>
    <w:rsid w:val="00FD79FD"/>
    <w:rsid w:val="00FD7A60"/>
    <w:rsid w:val="00FD7B10"/>
    <w:rsid w:val="00FD7B2A"/>
    <w:rsid w:val="00FD7CDD"/>
    <w:rsid w:val="00FD7D0C"/>
    <w:rsid w:val="00FD7EA3"/>
    <w:rsid w:val="00FE0257"/>
    <w:rsid w:val="00FE0449"/>
    <w:rsid w:val="00FE05EA"/>
    <w:rsid w:val="00FE092E"/>
    <w:rsid w:val="00FE098E"/>
    <w:rsid w:val="00FE09A0"/>
    <w:rsid w:val="00FE0DF8"/>
    <w:rsid w:val="00FE0DF9"/>
    <w:rsid w:val="00FE0FFD"/>
    <w:rsid w:val="00FE13F3"/>
    <w:rsid w:val="00FE146A"/>
    <w:rsid w:val="00FE15E8"/>
    <w:rsid w:val="00FE181E"/>
    <w:rsid w:val="00FE18CA"/>
    <w:rsid w:val="00FE1A28"/>
    <w:rsid w:val="00FE1ADE"/>
    <w:rsid w:val="00FE1DA8"/>
    <w:rsid w:val="00FE1F02"/>
    <w:rsid w:val="00FE2158"/>
    <w:rsid w:val="00FE25FF"/>
    <w:rsid w:val="00FE28D2"/>
    <w:rsid w:val="00FE2C29"/>
    <w:rsid w:val="00FE2EF2"/>
    <w:rsid w:val="00FE2F0E"/>
    <w:rsid w:val="00FE3016"/>
    <w:rsid w:val="00FE32E1"/>
    <w:rsid w:val="00FE33CB"/>
    <w:rsid w:val="00FE3725"/>
    <w:rsid w:val="00FE3DFE"/>
    <w:rsid w:val="00FE3F30"/>
    <w:rsid w:val="00FE4848"/>
    <w:rsid w:val="00FE484A"/>
    <w:rsid w:val="00FE48A4"/>
    <w:rsid w:val="00FE4CF0"/>
    <w:rsid w:val="00FE4E89"/>
    <w:rsid w:val="00FE4EAD"/>
    <w:rsid w:val="00FE509A"/>
    <w:rsid w:val="00FE5555"/>
    <w:rsid w:val="00FE5572"/>
    <w:rsid w:val="00FE5EA1"/>
    <w:rsid w:val="00FE5FB9"/>
    <w:rsid w:val="00FE615D"/>
    <w:rsid w:val="00FE6371"/>
    <w:rsid w:val="00FE63E0"/>
    <w:rsid w:val="00FE675E"/>
    <w:rsid w:val="00FE67C4"/>
    <w:rsid w:val="00FE6818"/>
    <w:rsid w:val="00FE69ED"/>
    <w:rsid w:val="00FE7510"/>
    <w:rsid w:val="00FE783D"/>
    <w:rsid w:val="00FE785E"/>
    <w:rsid w:val="00FE793B"/>
    <w:rsid w:val="00FE7A2F"/>
    <w:rsid w:val="00FE7B3E"/>
    <w:rsid w:val="00FE7BA6"/>
    <w:rsid w:val="00FE7C96"/>
    <w:rsid w:val="00FE7DBB"/>
    <w:rsid w:val="00FF0022"/>
    <w:rsid w:val="00FF0208"/>
    <w:rsid w:val="00FF0507"/>
    <w:rsid w:val="00FF061C"/>
    <w:rsid w:val="00FF087B"/>
    <w:rsid w:val="00FF088E"/>
    <w:rsid w:val="00FF08CD"/>
    <w:rsid w:val="00FF0986"/>
    <w:rsid w:val="00FF09EA"/>
    <w:rsid w:val="00FF0B6F"/>
    <w:rsid w:val="00FF0C6A"/>
    <w:rsid w:val="00FF0C99"/>
    <w:rsid w:val="00FF0E66"/>
    <w:rsid w:val="00FF12EF"/>
    <w:rsid w:val="00FF133E"/>
    <w:rsid w:val="00FF1AAD"/>
    <w:rsid w:val="00FF1B99"/>
    <w:rsid w:val="00FF1FFA"/>
    <w:rsid w:val="00FF20F1"/>
    <w:rsid w:val="00FF231B"/>
    <w:rsid w:val="00FF243C"/>
    <w:rsid w:val="00FF2565"/>
    <w:rsid w:val="00FF263B"/>
    <w:rsid w:val="00FF2BA6"/>
    <w:rsid w:val="00FF2C57"/>
    <w:rsid w:val="00FF310F"/>
    <w:rsid w:val="00FF3241"/>
    <w:rsid w:val="00FF361A"/>
    <w:rsid w:val="00FF3CE2"/>
    <w:rsid w:val="00FF3DC4"/>
    <w:rsid w:val="00FF428A"/>
    <w:rsid w:val="00FF464F"/>
    <w:rsid w:val="00FF473F"/>
    <w:rsid w:val="00FF485D"/>
    <w:rsid w:val="00FF48EC"/>
    <w:rsid w:val="00FF4B45"/>
    <w:rsid w:val="00FF4E28"/>
    <w:rsid w:val="00FF4FC9"/>
    <w:rsid w:val="00FF5433"/>
    <w:rsid w:val="00FF54CB"/>
    <w:rsid w:val="00FF5782"/>
    <w:rsid w:val="00FF5788"/>
    <w:rsid w:val="00FF5C71"/>
    <w:rsid w:val="00FF5CB4"/>
    <w:rsid w:val="00FF5D53"/>
    <w:rsid w:val="00FF5DFB"/>
    <w:rsid w:val="00FF5E76"/>
    <w:rsid w:val="00FF5FC5"/>
    <w:rsid w:val="00FF60CD"/>
    <w:rsid w:val="00FF6273"/>
    <w:rsid w:val="00FF65D0"/>
    <w:rsid w:val="00FF67BA"/>
    <w:rsid w:val="00FF6A17"/>
    <w:rsid w:val="00FF6C2B"/>
    <w:rsid w:val="00FF6E08"/>
    <w:rsid w:val="00FF726F"/>
    <w:rsid w:val="00FF730F"/>
    <w:rsid w:val="00FF73CD"/>
    <w:rsid w:val="00FF75A9"/>
    <w:rsid w:val="00FF7BFA"/>
    <w:rsid w:val="00FF7C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31B902"/>
  <w15:chartTrackingRefBased/>
  <w15:docId w15:val="{A73078F9-F2FF-2D49-A1D9-9DD24F34A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43B"/>
    <w:pPr>
      <w:spacing w:after="0" w:line="240" w:lineRule="auto"/>
      <w:jc w:val="both"/>
    </w:pPr>
    <w:rPr>
      <w:rFonts w:ascii="Times New Roman" w:hAnsi="Times New Roman"/>
      <w:sz w:val="28"/>
    </w:rPr>
  </w:style>
  <w:style w:type="paragraph" w:styleId="Ttulo1">
    <w:name w:val="heading 1"/>
    <w:basedOn w:val="Normal"/>
    <w:next w:val="Normal"/>
    <w:link w:val="Ttulo1Car"/>
    <w:uiPriority w:val="9"/>
    <w:qFormat/>
    <w:rsid w:val="000105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105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105F9"/>
    <w:pPr>
      <w:keepNext/>
      <w:keepLines/>
      <w:spacing w:before="160" w:after="80"/>
      <w:outlineLvl w:val="2"/>
    </w:pPr>
    <w:rPr>
      <w:rFonts w:eastAsiaTheme="majorEastAsia" w:cstheme="majorBidi"/>
      <w:color w:val="0F4761" w:themeColor="accent1" w:themeShade="BF"/>
      <w:szCs w:val="28"/>
    </w:rPr>
  </w:style>
  <w:style w:type="paragraph" w:styleId="Ttulo4">
    <w:name w:val="heading 4"/>
    <w:basedOn w:val="Normal"/>
    <w:next w:val="Normal"/>
    <w:link w:val="Ttulo4Car"/>
    <w:uiPriority w:val="9"/>
    <w:unhideWhenUsed/>
    <w:qFormat/>
    <w:rsid w:val="000105F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105F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1D081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1D081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1D081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1D081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105F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105F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105F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0105F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105F9"/>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0105F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105F9"/>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0105F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0105F9"/>
    <w:rPr>
      <w:rFonts w:eastAsiaTheme="majorEastAsia" w:cstheme="majorBidi"/>
      <w:color w:val="272727" w:themeColor="text1" w:themeTint="D8"/>
    </w:rPr>
  </w:style>
  <w:style w:type="paragraph" w:styleId="Ttulo">
    <w:name w:val="Title"/>
    <w:basedOn w:val="Normal"/>
    <w:next w:val="Normal"/>
    <w:link w:val="TtuloCar"/>
    <w:uiPriority w:val="10"/>
    <w:qFormat/>
    <w:rsid w:val="001D081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105F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D081B"/>
    <w:pPr>
      <w:numPr>
        <w:ilvl w:val="1"/>
      </w:numPr>
    </w:pPr>
    <w:rPr>
      <w:rFonts w:eastAsiaTheme="majorEastAsia" w:cstheme="majorBidi"/>
      <w:color w:val="595959" w:themeColor="text1" w:themeTint="A6"/>
      <w:spacing w:val="15"/>
      <w:szCs w:val="28"/>
    </w:rPr>
  </w:style>
  <w:style w:type="character" w:customStyle="1" w:styleId="SubttuloCar">
    <w:name w:val="Subtítulo Car"/>
    <w:basedOn w:val="Fuentedeprrafopredeter"/>
    <w:link w:val="Subttulo"/>
    <w:uiPriority w:val="11"/>
    <w:rsid w:val="000105F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D081B"/>
    <w:pPr>
      <w:spacing w:before="160"/>
      <w:jc w:val="center"/>
    </w:pPr>
    <w:rPr>
      <w:i/>
      <w:iCs/>
      <w:color w:val="404040" w:themeColor="text1" w:themeTint="BF"/>
    </w:rPr>
  </w:style>
  <w:style w:type="character" w:customStyle="1" w:styleId="CitaCar">
    <w:name w:val="Cita Car"/>
    <w:basedOn w:val="Fuentedeprrafopredeter"/>
    <w:link w:val="Cita"/>
    <w:uiPriority w:val="29"/>
    <w:rsid w:val="000105F9"/>
    <w:rPr>
      <w:i/>
      <w:iCs/>
      <w:color w:val="404040" w:themeColor="text1" w:themeTint="BF"/>
    </w:rPr>
  </w:style>
  <w:style w:type="paragraph" w:styleId="Prrafodelista">
    <w:name w:val="List Paragraph"/>
    <w:aliases w:val="Colorful List - Accent 11,Ha,List Paragraph1,lp1,Footnote,List Paragraph2,Párrafo,Numbered Paragraph,Bullets,titulo 3,BOLADEF,BOLA,Párrafo de lista21,Guión,Titulo 8,HOJA,Chulito,Párrafo de lista3,MIBEX B,TITULO1REQ,Párrafo de lista31"/>
    <w:basedOn w:val="Normal"/>
    <w:link w:val="PrrafodelistaCar"/>
    <w:uiPriority w:val="34"/>
    <w:qFormat/>
    <w:rsid w:val="000105F9"/>
    <w:pPr>
      <w:ind w:left="720"/>
      <w:contextualSpacing/>
    </w:pPr>
  </w:style>
  <w:style w:type="character" w:styleId="nfasisintenso">
    <w:name w:val="Intense Emphasis"/>
    <w:basedOn w:val="Fuentedeprrafopredeter"/>
    <w:uiPriority w:val="21"/>
    <w:qFormat/>
    <w:rsid w:val="000105F9"/>
    <w:rPr>
      <w:i/>
      <w:iCs/>
      <w:color w:val="0F4761" w:themeColor="accent1" w:themeShade="BF"/>
    </w:rPr>
  </w:style>
  <w:style w:type="paragraph" w:styleId="Citadestacada">
    <w:name w:val="Intense Quote"/>
    <w:basedOn w:val="Normal"/>
    <w:next w:val="Normal"/>
    <w:link w:val="CitadestacadaCar"/>
    <w:uiPriority w:val="30"/>
    <w:qFormat/>
    <w:rsid w:val="000105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105F9"/>
    <w:rPr>
      <w:i/>
      <w:iCs/>
      <w:color w:val="0F4761" w:themeColor="accent1" w:themeShade="BF"/>
    </w:rPr>
  </w:style>
  <w:style w:type="character" w:styleId="Referenciaintensa">
    <w:name w:val="Intense Reference"/>
    <w:basedOn w:val="Fuentedeprrafopredeter"/>
    <w:uiPriority w:val="32"/>
    <w:qFormat/>
    <w:rsid w:val="000105F9"/>
    <w:rPr>
      <w:b/>
      <w:bCs/>
      <w:smallCaps/>
      <w:color w:val="0F4761" w:themeColor="accent1" w:themeShade="BF"/>
      <w:spacing w:val="5"/>
    </w:rPr>
  </w:style>
  <w:style w:type="paragraph" w:styleId="Encabezado">
    <w:name w:val="header"/>
    <w:basedOn w:val="Normal"/>
    <w:link w:val="EncabezadoCar"/>
    <w:uiPriority w:val="99"/>
    <w:unhideWhenUsed/>
    <w:rsid w:val="001D081B"/>
    <w:pPr>
      <w:tabs>
        <w:tab w:val="center" w:pos="4252"/>
        <w:tab w:val="right" w:pos="8504"/>
      </w:tabs>
    </w:pPr>
    <w:rPr>
      <w:rFonts w:eastAsiaTheme="minorEastAsia"/>
      <w:kern w:val="0"/>
      <w14:ligatures w14:val="none"/>
    </w:rPr>
  </w:style>
  <w:style w:type="character" w:customStyle="1" w:styleId="EncabezadoCar">
    <w:name w:val="Encabezado Car"/>
    <w:basedOn w:val="Fuentedeprrafopredeter"/>
    <w:link w:val="Encabezado"/>
    <w:uiPriority w:val="99"/>
    <w:rsid w:val="00D07886"/>
    <w:rPr>
      <w:rFonts w:eastAsiaTheme="minorEastAsia"/>
      <w:kern w:val="0"/>
      <w14:ligatures w14:val="none"/>
    </w:rPr>
  </w:style>
  <w:style w:type="paragraph" w:styleId="Piedepgina">
    <w:name w:val="footer"/>
    <w:basedOn w:val="Normal"/>
    <w:link w:val="PiedepginaCar"/>
    <w:uiPriority w:val="99"/>
    <w:unhideWhenUsed/>
    <w:rsid w:val="001D081B"/>
    <w:pPr>
      <w:tabs>
        <w:tab w:val="center" w:pos="4252"/>
        <w:tab w:val="right" w:pos="8504"/>
      </w:tabs>
    </w:pPr>
    <w:rPr>
      <w:rFonts w:eastAsiaTheme="minorEastAsia"/>
      <w:kern w:val="0"/>
      <w14:ligatures w14:val="none"/>
    </w:rPr>
  </w:style>
  <w:style w:type="character" w:customStyle="1" w:styleId="PiedepginaCar">
    <w:name w:val="Pie de página Car"/>
    <w:basedOn w:val="Fuentedeprrafopredeter"/>
    <w:link w:val="Piedepgina"/>
    <w:uiPriority w:val="99"/>
    <w:rsid w:val="00D07886"/>
    <w:rPr>
      <w:rFonts w:eastAsiaTheme="minorEastAsia"/>
      <w:kern w:val="0"/>
      <w14:ligatures w14:val="none"/>
    </w:rPr>
  </w:style>
  <w:style w:type="paragraph" w:styleId="Sinespaciado">
    <w:name w:val="No Spacing"/>
    <w:aliases w:val="CAPITULO I"/>
    <w:link w:val="SinespaciadoCar"/>
    <w:uiPriority w:val="1"/>
    <w:qFormat/>
    <w:rsid w:val="001D081B"/>
    <w:pPr>
      <w:spacing w:after="0" w:line="240" w:lineRule="auto"/>
    </w:pPr>
    <w:rPr>
      <w:kern w:val="0"/>
      <w14:ligatures w14:val="none"/>
    </w:rPr>
  </w:style>
  <w:style w:type="paragraph" w:styleId="Textoindependiente">
    <w:name w:val="Body Text"/>
    <w:basedOn w:val="Normal"/>
    <w:link w:val="TextoindependienteCar"/>
    <w:uiPriority w:val="99"/>
    <w:qFormat/>
    <w:rsid w:val="001D081B"/>
    <w:pPr>
      <w:autoSpaceDE w:val="0"/>
      <w:autoSpaceDN w:val="0"/>
      <w:adjustRightInd w:val="0"/>
    </w:pPr>
    <w:rPr>
      <w:rFonts w:eastAsiaTheme="minorEastAsia" w:cs="Times New Roman"/>
      <w:kern w:val="0"/>
      <w:szCs w:val="28"/>
      <w:lang w:val="es-ES_tradnl"/>
      <w14:ligatures w14:val="none"/>
    </w:rPr>
  </w:style>
  <w:style w:type="character" w:customStyle="1" w:styleId="TextoindependienteCar">
    <w:name w:val="Texto independiente Car"/>
    <w:basedOn w:val="Fuentedeprrafopredeter"/>
    <w:link w:val="Textoindependiente"/>
    <w:uiPriority w:val="99"/>
    <w:rsid w:val="00D07886"/>
    <w:rPr>
      <w:rFonts w:ascii="Times New Roman" w:eastAsiaTheme="minorEastAsia" w:hAnsi="Times New Roman" w:cs="Times New Roman"/>
      <w:kern w:val="0"/>
      <w:sz w:val="28"/>
      <w:szCs w:val="28"/>
      <w:lang w:val="es-ES_tradnl"/>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notentext,ft"/>
    <w:basedOn w:val="Normal"/>
    <w:link w:val="TextonotapieCar"/>
    <w:uiPriority w:val="99"/>
    <w:unhideWhenUsed/>
    <w:qFormat/>
    <w:rsid w:val="001D081B"/>
    <w:rPr>
      <w:rFonts w:eastAsia="Times New Roman" w:cs="Times New Roman"/>
      <w:kern w:val="0"/>
      <w:sz w:val="20"/>
      <w:szCs w:val="20"/>
      <w:lang w:eastAsia="pt-BR"/>
      <w14:ligatures w14:val="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D07886"/>
    <w:rPr>
      <w:rFonts w:ascii="Times New Roman" w:eastAsia="Times New Roman" w:hAnsi="Times New Roman" w:cs="Times New Roman"/>
      <w:kern w:val="0"/>
      <w:sz w:val="20"/>
      <w:szCs w:val="20"/>
      <w:lang w:eastAsia="pt-BR"/>
      <w14:ligatures w14:val="none"/>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nhideWhenUsed/>
    <w:qFormat/>
    <w:rsid w:val="00D07886"/>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qFormat/>
    <w:rsid w:val="001D081B"/>
    <w:rPr>
      <w:vertAlign w:val="superscript"/>
    </w:rPr>
  </w:style>
  <w:style w:type="character" w:customStyle="1" w:styleId="PrrafodelistaCar">
    <w:name w:val="Párrafo de lista Car"/>
    <w:aliases w:val="Colorful List - Accent 11 Car,Ha Car,List Paragraph1 Car,lp1 Car,Footnote Car,List Paragraph2 Car,Párrafo Car,Numbered Paragraph Car,Bullets Car,titulo 3 Car,BOLADEF Car,BOLA Car,Párrafo de lista21 Car,Guión Car,Titulo 8 Car"/>
    <w:link w:val="Prrafodelista"/>
    <w:uiPriority w:val="34"/>
    <w:qFormat/>
    <w:locked/>
    <w:rsid w:val="00D07886"/>
  </w:style>
  <w:style w:type="character" w:customStyle="1" w:styleId="apple-converted-space">
    <w:name w:val="apple-converted-space"/>
    <w:rsid w:val="00D07886"/>
  </w:style>
  <w:style w:type="table" w:styleId="Tablaconcuadrcula">
    <w:name w:val="Table Grid"/>
    <w:basedOn w:val="Tablanormal"/>
    <w:uiPriority w:val="39"/>
    <w:rsid w:val="00D0788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D081B"/>
    <w:rPr>
      <w:rFonts w:ascii="Segoe UI" w:eastAsia="Times New Roman" w:hAnsi="Segoe UI" w:cs="Segoe UI"/>
      <w:kern w:val="0"/>
      <w:sz w:val="18"/>
      <w:szCs w:val="18"/>
      <w:lang w:eastAsia="es-MX"/>
      <w14:ligatures w14:val="none"/>
    </w:rPr>
  </w:style>
  <w:style w:type="character" w:customStyle="1" w:styleId="TextodegloboCar">
    <w:name w:val="Texto de globo Car"/>
    <w:basedOn w:val="Fuentedeprrafopredeter"/>
    <w:link w:val="Textodeglobo"/>
    <w:uiPriority w:val="99"/>
    <w:semiHidden/>
    <w:rsid w:val="00D07886"/>
    <w:rPr>
      <w:rFonts w:ascii="Segoe UI" w:eastAsia="Times New Roman" w:hAnsi="Segoe UI" w:cs="Segoe UI"/>
      <w:kern w:val="0"/>
      <w:sz w:val="18"/>
      <w:szCs w:val="18"/>
      <w:lang w:eastAsia="es-MX"/>
      <w14:ligatures w14:val="none"/>
    </w:rPr>
  </w:style>
  <w:style w:type="character" w:styleId="Textodelmarcadordeposicin">
    <w:name w:val="Placeholder Text"/>
    <w:basedOn w:val="Fuentedeprrafopredeter"/>
    <w:uiPriority w:val="99"/>
    <w:semiHidden/>
    <w:rsid w:val="00D07886"/>
    <w:rPr>
      <w:color w:val="808080"/>
    </w:rPr>
  </w:style>
  <w:style w:type="paragraph" w:styleId="NormalWeb">
    <w:name w:val="Normal (Web)"/>
    <w:basedOn w:val="Normal"/>
    <w:uiPriority w:val="99"/>
    <w:unhideWhenUsed/>
    <w:rsid w:val="001D081B"/>
    <w:rPr>
      <w:rFonts w:eastAsia="Times New Roman" w:cs="Times New Roman"/>
      <w:kern w:val="0"/>
      <w:lang w:eastAsia="es-MX"/>
      <w14:ligatures w14:val="none"/>
    </w:rPr>
  </w:style>
  <w:style w:type="paragraph" w:styleId="Textonotaalfinal">
    <w:name w:val="endnote text"/>
    <w:basedOn w:val="Normal"/>
    <w:link w:val="TextonotaalfinalCar"/>
    <w:uiPriority w:val="99"/>
    <w:semiHidden/>
    <w:unhideWhenUsed/>
    <w:rsid w:val="001D081B"/>
    <w:rPr>
      <w:rFonts w:eastAsia="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uiPriority w:val="99"/>
    <w:semiHidden/>
    <w:rsid w:val="00D07886"/>
    <w:rPr>
      <w:rFonts w:ascii="Times New Roman" w:eastAsia="Times New Roman" w:hAnsi="Times New Roman" w:cs="Times New Roman"/>
      <w:kern w:val="0"/>
      <w:sz w:val="20"/>
      <w:szCs w:val="20"/>
      <w:lang w:eastAsia="es-MX"/>
      <w14:ligatures w14:val="none"/>
    </w:rPr>
  </w:style>
  <w:style w:type="character" w:styleId="Refdenotaalfinal">
    <w:name w:val="endnote reference"/>
    <w:basedOn w:val="Fuentedeprrafopredeter"/>
    <w:uiPriority w:val="99"/>
    <w:semiHidden/>
    <w:unhideWhenUsed/>
    <w:rsid w:val="00D07886"/>
    <w:rPr>
      <w:vertAlign w:val="superscript"/>
    </w:rPr>
  </w:style>
  <w:style w:type="character" w:styleId="Refdecomentario">
    <w:name w:val="annotation reference"/>
    <w:basedOn w:val="Fuentedeprrafopredeter"/>
    <w:uiPriority w:val="99"/>
    <w:semiHidden/>
    <w:unhideWhenUsed/>
    <w:rsid w:val="00D07886"/>
    <w:rPr>
      <w:sz w:val="16"/>
      <w:szCs w:val="16"/>
    </w:rPr>
  </w:style>
  <w:style w:type="paragraph" w:styleId="Textocomentario">
    <w:name w:val="annotation text"/>
    <w:basedOn w:val="Normal"/>
    <w:link w:val="TextocomentarioCar"/>
    <w:uiPriority w:val="99"/>
    <w:unhideWhenUsed/>
    <w:rsid w:val="001D081B"/>
    <w:rPr>
      <w:rFonts w:eastAsia="Times New Roman" w:cs="Times New Roman"/>
      <w:kern w:val="0"/>
      <w:sz w:val="20"/>
      <w:szCs w:val="20"/>
      <w:lang w:eastAsia="es-MX"/>
      <w14:ligatures w14:val="none"/>
    </w:rPr>
  </w:style>
  <w:style w:type="character" w:customStyle="1" w:styleId="TextocomentarioCar">
    <w:name w:val="Texto comentario Car"/>
    <w:basedOn w:val="Fuentedeprrafopredeter"/>
    <w:link w:val="Textocomentario"/>
    <w:uiPriority w:val="99"/>
    <w:rsid w:val="00D07886"/>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D07886"/>
    <w:rPr>
      <w:b/>
      <w:bCs/>
    </w:rPr>
  </w:style>
  <w:style w:type="character" w:customStyle="1" w:styleId="AsuntodelcomentarioCar">
    <w:name w:val="Asunto del comentario Car"/>
    <w:basedOn w:val="TextocomentarioCar"/>
    <w:link w:val="Asuntodelcomentario"/>
    <w:uiPriority w:val="99"/>
    <w:semiHidden/>
    <w:rsid w:val="00D07886"/>
    <w:rPr>
      <w:rFonts w:ascii="Times New Roman" w:eastAsia="Times New Roman" w:hAnsi="Times New Roman" w:cs="Times New Roman"/>
      <w:b/>
      <w:bCs/>
      <w:kern w:val="0"/>
      <w:sz w:val="20"/>
      <w:szCs w:val="20"/>
      <w:lang w:eastAsia="es-MX"/>
      <w14:ligatures w14:val="none"/>
    </w:rPr>
  </w:style>
  <w:style w:type="character" w:styleId="Hipervnculo">
    <w:name w:val="Hyperlink"/>
    <w:basedOn w:val="Fuentedeprrafopredeter"/>
    <w:uiPriority w:val="99"/>
    <w:unhideWhenUsed/>
    <w:rsid w:val="00D07886"/>
    <w:rPr>
      <w:color w:val="467886" w:themeColor="hyperlink"/>
      <w:u w:val="single"/>
    </w:rPr>
  </w:style>
  <w:style w:type="character" w:customStyle="1" w:styleId="Mencinsinresolver1">
    <w:name w:val="Mención sin resolver1"/>
    <w:basedOn w:val="Fuentedeprrafopredeter"/>
    <w:uiPriority w:val="99"/>
    <w:semiHidden/>
    <w:unhideWhenUsed/>
    <w:rsid w:val="00D07886"/>
    <w:rPr>
      <w:color w:val="605E5C"/>
      <w:shd w:val="clear" w:color="auto" w:fill="E1DFDD"/>
    </w:rPr>
  </w:style>
  <w:style w:type="character" w:styleId="nfasis">
    <w:name w:val="Emphasis"/>
    <w:basedOn w:val="Fuentedeprrafopredeter"/>
    <w:uiPriority w:val="20"/>
    <w:qFormat/>
    <w:rsid w:val="00D07886"/>
    <w:rPr>
      <w:i/>
      <w:iCs/>
    </w:rPr>
  </w:style>
  <w:style w:type="paragraph" w:styleId="Revisin">
    <w:name w:val="Revision"/>
    <w:hidden/>
    <w:uiPriority w:val="99"/>
    <w:semiHidden/>
    <w:rsid w:val="001D081B"/>
    <w:pPr>
      <w:spacing w:after="0" w:line="240" w:lineRule="auto"/>
    </w:pPr>
    <w:rPr>
      <w:rFonts w:ascii="Times New Roman" w:eastAsia="Times New Roman" w:hAnsi="Times New Roman" w:cs="Times New Roman"/>
      <w:kern w:val="0"/>
      <w:lang w:eastAsia="es-MX"/>
      <w14:ligatures w14:val="none"/>
    </w:rPr>
  </w:style>
  <w:style w:type="paragraph" w:customStyle="1" w:styleId="bodytext21">
    <w:name w:val="bodytext21"/>
    <w:basedOn w:val="Normal"/>
    <w:rsid w:val="001D081B"/>
    <w:pPr>
      <w:spacing w:before="100" w:beforeAutospacing="1" w:after="100" w:afterAutospacing="1"/>
    </w:pPr>
    <w:rPr>
      <w:rFonts w:eastAsia="Times New Roman" w:cs="Times New Roman"/>
      <w:kern w:val="0"/>
      <w:lang w:eastAsia="es-CO"/>
      <w14:ligatures w14:val="none"/>
    </w:rPr>
  </w:style>
  <w:style w:type="character" w:customStyle="1" w:styleId="UnresolvedMention">
    <w:name w:val="Unresolved Mention"/>
    <w:basedOn w:val="Fuentedeprrafopredeter"/>
    <w:uiPriority w:val="99"/>
    <w:semiHidden/>
    <w:unhideWhenUsed/>
    <w:rsid w:val="00D07886"/>
    <w:rPr>
      <w:color w:val="605E5C"/>
      <w:shd w:val="clear" w:color="auto" w:fill="E1DFDD"/>
    </w:rPr>
  </w:style>
  <w:style w:type="paragraph" w:customStyle="1" w:styleId="Default">
    <w:name w:val="Default"/>
    <w:rsid w:val="001D081B"/>
    <w:pPr>
      <w:autoSpaceDE w:val="0"/>
      <w:autoSpaceDN w:val="0"/>
      <w:adjustRightInd w:val="0"/>
      <w:spacing w:after="0" w:line="240" w:lineRule="auto"/>
    </w:pPr>
    <w:rPr>
      <w:rFonts w:ascii="Bookman Old Style" w:hAnsi="Bookman Old Style" w:cs="Bookman Old Style"/>
      <w:color w:val="000000"/>
      <w:kern w:val="0"/>
      <w:lang w:val="en-US"/>
      <w14:ligatures w14:val="none"/>
    </w:rPr>
  </w:style>
  <w:style w:type="character" w:customStyle="1" w:styleId="vcitation">
    <w:name w:val="vcitation"/>
    <w:basedOn w:val="Fuentedeprrafopredeter"/>
    <w:rsid w:val="00D07886"/>
  </w:style>
  <w:style w:type="character" w:customStyle="1" w:styleId="SinespaciadoCar">
    <w:name w:val="Sin espaciado Car"/>
    <w:aliases w:val="CAPITULO I Car"/>
    <w:link w:val="Sinespaciado"/>
    <w:uiPriority w:val="1"/>
    <w:locked/>
    <w:rsid w:val="00D07886"/>
    <w:rPr>
      <w:kern w:val="0"/>
      <w14:ligatures w14:val="none"/>
    </w:rPr>
  </w:style>
  <w:style w:type="paragraph" w:customStyle="1" w:styleId="Refdenotaalpie2">
    <w:name w:val="Ref. de nota al pie2"/>
    <w:aliases w:val="Pie de pagina"/>
    <w:basedOn w:val="Normal"/>
    <w:qFormat/>
    <w:rsid w:val="00FB16F8"/>
    <w:pPr>
      <w:spacing w:line="240" w:lineRule="exact"/>
    </w:pPr>
    <w:rPr>
      <w:kern w:val="0"/>
      <w:sz w:val="22"/>
      <w:szCs w:val="22"/>
      <w:vertAlign w:val="superscript"/>
      <w14:ligatures w14:val="none"/>
    </w:rPr>
  </w:style>
  <w:style w:type="character" w:styleId="Hipervnculovisitado">
    <w:name w:val="FollowedHyperlink"/>
    <w:basedOn w:val="Fuentedeprrafopredeter"/>
    <w:uiPriority w:val="99"/>
    <w:semiHidden/>
    <w:unhideWhenUsed/>
    <w:rsid w:val="009847C8"/>
    <w:rPr>
      <w:color w:val="96607D" w:themeColor="followedHyperlink"/>
      <w:u w:val="single"/>
    </w:rPr>
  </w:style>
  <w:style w:type="character" w:styleId="Textoennegrita">
    <w:name w:val="Strong"/>
    <w:basedOn w:val="Fuentedeprrafopredeter"/>
    <w:uiPriority w:val="22"/>
    <w:qFormat/>
    <w:rsid w:val="004F792B"/>
    <w:rPr>
      <w:b/>
      <w:bCs/>
    </w:rPr>
  </w:style>
  <w:style w:type="paragraph" w:styleId="TtuloTDC">
    <w:name w:val="TOC Heading"/>
    <w:basedOn w:val="Ttulo1"/>
    <w:next w:val="Normal"/>
    <w:uiPriority w:val="39"/>
    <w:unhideWhenUsed/>
    <w:qFormat/>
    <w:rsid w:val="008A0E19"/>
    <w:pPr>
      <w:spacing w:before="480" w:after="0" w:line="276" w:lineRule="auto"/>
      <w:outlineLvl w:val="9"/>
    </w:pPr>
    <w:rPr>
      <w:b/>
      <w:bCs/>
      <w:kern w:val="0"/>
      <w:sz w:val="28"/>
      <w:szCs w:val="28"/>
      <w:lang w:val="en-US"/>
      <w14:ligatures w14:val="none"/>
    </w:rPr>
  </w:style>
  <w:style w:type="paragraph" w:styleId="TDC1">
    <w:name w:val="toc 1"/>
    <w:basedOn w:val="Normal"/>
    <w:next w:val="Normal"/>
    <w:autoRedefine/>
    <w:uiPriority w:val="39"/>
    <w:unhideWhenUsed/>
    <w:rsid w:val="000D2DB0"/>
    <w:pPr>
      <w:spacing w:before="240" w:after="120"/>
      <w:jc w:val="left"/>
    </w:pPr>
    <w:rPr>
      <w:rFonts w:asciiTheme="minorHAnsi" w:hAnsiTheme="minorHAnsi"/>
      <w:b/>
      <w:bCs/>
      <w:sz w:val="20"/>
      <w:szCs w:val="20"/>
    </w:rPr>
  </w:style>
  <w:style w:type="paragraph" w:styleId="TDC2">
    <w:name w:val="toc 2"/>
    <w:basedOn w:val="Normal"/>
    <w:next w:val="Normal"/>
    <w:autoRedefine/>
    <w:uiPriority w:val="39"/>
    <w:unhideWhenUsed/>
    <w:rsid w:val="008A0E19"/>
    <w:pPr>
      <w:spacing w:before="120"/>
      <w:ind w:left="280"/>
      <w:jc w:val="left"/>
    </w:pPr>
    <w:rPr>
      <w:rFonts w:asciiTheme="minorHAnsi" w:hAnsiTheme="minorHAnsi"/>
      <w:i/>
      <w:iCs/>
      <w:sz w:val="20"/>
      <w:szCs w:val="20"/>
    </w:rPr>
  </w:style>
  <w:style w:type="paragraph" w:styleId="TDC3">
    <w:name w:val="toc 3"/>
    <w:basedOn w:val="Normal"/>
    <w:next w:val="Normal"/>
    <w:autoRedefine/>
    <w:uiPriority w:val="39"/>
    <w:unhideWhenUsed/>
    <w:rsid w:val="008A0E19"/>
    <w:pPr>
      <w:ind w:left="560"/>
      <w:jc w:val="left"/>
    </w:pPr>
    <w:rPr>
      <w:rFonts w:asciiTheme="minorHAnsi" w:hAnsiTheme="minorHAnsi"/>
      <w:sz w:val="20"/>
      <w:szCs w:val="20"/>
    </w:rPr>
  </w:style>
  <w:style w:type="paragraph" w:styleId="TDC4">
    <w:name w:val="toc 4"/>
    <w:basedOn w:val="Normal"/>
    <w:next w:val="Normal"/>
    <w:autoRedefine/>
    <w:uiPriority w:val="39"/>
    <w:unhideWhenUsed/>
    <w:rsid w:val="008A0E19"/>
    <w:pPr>
      <w:ind w:left="840"/>
      <w:jc w:val="left"/>
    </w:pPr>
    <w:rPr>
      <w:rFonts w:asciiTheme="minorHAnsi" w:hAnsiTheme="minorHAnsi"/>
      <w:sz w:val="20"/>
      <w:szCs w:val="20"/>
    </w:rPr>
  </w:style>
  <w:style w:type="paragraph" w:styleId="TDC5">
    <w:name w:val="toc 5"/>
    <w:basedOn w:val="Normal"/>
    <w:next w:val="Normal"/>
    <w:autoRedefine/>
    <w:uiPriority w:val="39"/>
    <w:unhideWhenUsed/>
    <w:rsid w:val="008A0E19"/>
    <w:pPr>
      <w:ind w:left="1120"/>
      <w:jc w:val="left"/>
    </w:pPr>
    <w:rPr>
      <w:rFonts w:asciiTheme="minorHAnsi" w:hAnsiTheme="minorHAnsi"/>
      <w:sz w:val="20"/>
      <w:szCs w:val="20"/>
    </w:rPr>
  </w:style>
  <w:style w:type="paragraph" w:styleId="TDC6">
    <w:name w:val="toc 6"/>
    <w:basedOn w:val="Normal"/>
    <w:next w:val="Normal"/>
    <w:autoRedefine/>
    <w:uiPriority w:val="39"/>
    <w:unhideWhenUsed/>
    <w:rsid w:val="008A0E19"/>
    <w:pPr>
      <w:ind w:left="1400"/>
      <w:jc w:val="left"/>
    </w:pPr>
    <w:rPr>
      <w:rFonts w:asciiTheme="minorHAnsi" w:hAnsiTheme="minorHAnsi"/>
      <w:sz w:val="20"/>
      <w:szCs w:val="20"/>
    </w:rPr>
  </w:style>
  <w:style w:type="paragraph" w:styleId="TDC7">
    <w:name w:val="toc 7"/>
    <w:basedOn w:val="Normal"/>
    <w:next w:val="Normal"/>
    <w:autoRedefine/>
    <w:uiPriority w:val="39"/>
    <w:unhideWhenUsed/>
    <w:rsid w:val="008A0E19"/>
    <w:pPr>
      <w:ind w:left="1680"/>
      <w:jc w:val="left"/>
    </w:pPr>
    <w:rPr>
      <w:rFonts w:asciiTheme="minorHAnsi" w:hAnsiTheme="minorHAnsi"/>
      <w:sz w:val="20"/>
      <w:szCs w:val="20"/>
    </w:rPr>
  </w:style>
  <w:style w:type="paragraph" w:styleId="TDC8">
    <w:name w:val="toc 8"/>
    <w:basedOn w:val="Normal"/>
    <w:next w:val="Normal"/>
    <w:autoRedefine/>
    <w:uiPriority w:val="39"/>
    <w:unhideWhenUsed/>
    <w:rsid w:val="008A0E19"/>
    <w:pPr>
      <w:ind w:left="1960"/>
      <w:jc w:val="left"/>
    </w:pPr>
    <w:rPr>
      <w:rFonts w:asciiTheme="minorHAnsi" w:hAnsiTheme="minorHAnsi"/>
      <w:sz w:val="20"/>
      <w:szCs w:val="20"/>
    </w:rPr>
  </w:style>
  <w:style w:type="paragraph" w:styleId="TDC9">
    <w:name w:val="toc 9"/>
    <w:basedOn w:val="Normal"/>
    <w:next w:val="Normal"/>
    <w:autoRedefine/>
    <w:uiPriority w:val="39"/>
    <w:unhideWhenUsed/>
    <w:rsid w:val="008A0E19"/>
    <w:pPr>
      <w:ind w:left="2240"/>
      <w:jc w:val="left"/>
    </w:pPr>
    <w:rPr>
      <w:rFonts w:asciiTheme="minorHAnsi" w:hAnsiTheme="minorHAnsi"/>
      <w:sz w:val="20"/>
      <w:szCs w:val="20"/>
    </w:rPr>
  </w:style>
  <w:style w:type="paragraph" w:styleId="Textoindependiente2">
    <w:name w:val="Body Text 2"/>
    <w:basedOn w:val="Normal"/>
    <w:link w:val="Textoindependiente2Car"/>
    <w:uiPriority w:val="99"/>
    <w:unhideWhenUsed/>
    <w:rsid w:val="000F7245"/>
    <w:pPr>
      <w:spacing w:after="120" w:line="480" w:lineRule="auto"/>
    </w:pPr>
  </w:style>
  <w:style w:type="character" w:customStyle="1" w:styleId="Textoindependiente2Car">
    <w:name w:val="Texto independiente 2 Car"/>
    <w:basedOn w:val="Fuentedeprrafopredeter"/>
    <w:link w:val="Textoindependiente2"/>
    <w:uiPriority w:val="99"/>
    <w:rsid w:val="000F7245"/>
  </w:style>
  <w:style w:type="paragraph" w:customStyle="1" w:styleId="paragraph">
    <w:name w:val="paragraph"/>
    <w:basedOn w:val="Normal"/>
    <w:rsid w:val="00B216D1"/>
    <w:pPr>
      <w:spacing w:before="100" w:beforeAutospacing="1" w:after="100" w:afterAutospacing="1"/>
      <w:jc w:val="left"/>
    </w:pPr>
    <w:rPr>
      <w:rFonts w:eastAsia="Times New Roman" w:cs="Times New Roman"/>
      <w:kern w:val="0"/>
      <w:sz w:val="24"/>
      <w:lang w:eastAsia="es-MX"/>
      <w14:ligatures w14:val="none"/>
    </w:rPr>
  </w:style>
  <w:style w:type="character" w:customStyle="1" w:styleId="normaltextrun">
    <w:name w:val="normaltextrun"/>
    <w:basedOn w:val="Fuentedeprrafopredeter"/>
    <w:rsid w:val="00B216D1"/>
  </w:style>
  <w:style w:type="character" w:customStyle="1" w:styleId="findhit">
    <w:name w:val="findhit"/>
    <w:basedOn w:val="Fuentedeprrafopredeter"/>
    <w:rsid w:val="00B216D1"/>
  </w:style>
  <w:style w:type="character" w:customStyle="1" w:styleId="superscript">
    <w:name w:val="superscript"/>
    <w:basedOn w:val="Fuentedeprrafopredeter"/>
    <w:rsid w:val="00B216D1"/>
  </w:style>
  <w:style w:type="character" w:customStyle="1" w:styleId="eop">
    <w:name w:val="eop"/>
    <w:basedOn w:val="Fuentedeprrafopredeter"/>
    <w:rsid w:val="00B216D1"/>
  </w:style>
  <w:style w:type="character" w:customStyle="1" w:styleId="TextonotapieCar1">
    <w:name w:val="Texto nota pie Car1"/>
    <w:aliases w:val="Ref. de nota al pie1 Car1,Texto de nota al pie Car1,referencia nota al pie Car1,Footnotes refss Car,Appel note de bas de page Car,Fago Fußnotenzeichen Car,Footnote number Car,BVI fnr Car,f Car,4_G Car,16 Point Car,F Car,FC Car"/>
    <w:basedOn w:val="Fuentedeprrafopredeter"/>
    <w:uiPriority w:val="99"/>
    <w:qFormat/>
    <w:rsid w:val="00FC666F"/>
    <w:rPr>
      <w:rFonts w:ascii="Times New Roman" w:hAnsi="Times New Roman"/>
      <w:sz w:val="20"/>
      <w:szCs w:val="20"/>
    </w:rPr>
  </w:style>
  <w:style w:type="character" w:customStyle="1" w:styleId="iaj">
    <w:name w:val="i_aj"/>
    <w:basedOn w:val="Fuentedeprrafopredeter"/>
    <w:rsid w:val="00FC666F"/>
  </w:style>
  <w:style w:type="table" w:customStyle="1" w:styleId="Tablaconcuadrcula1">
    <w:name w:val="Tabla con cuadrícula1"/>
    <w:basedOn w:val="Tablanormal"/>
    <w:uiPriority w:val="39"/>
    <w:rsid w:val="00FC666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uiPriority w:val="99"/>
    <w:rsid w:val="00FC666F"/>
    <w:rPr>
      <w:rFonts w:eastAsia="Times New Roman"/>
      <w:lang w:val="es-CO" w:eastAsia="es-CO"/>
    </w:rPr>
  </w:style>
  <w:style w:type="character" w:customStyle="1" w:styleId="Ref">
    <w:name w:val="Ref"/>
    <w:aliases w:val="de nota al pie"/>
    <w:rsid w:val="00FC666F"/>
    <w:rPr>
      <w:vertAlign w:val="superscript"/>
    </w:rPr>
  </w:style>
  <w:style w:type="character" w:customStyle="1" w:styleId="iaj0">
    <w:name w:val="iaj"/>
    <w:basedOn w:val="Fuentedeprrafopredeter"/>
    <w:rsid w:val="00FC666F"/>
  </w:style>
  <w:style w:type="paragraph" w:customStyle="1" w:styleId="Sinespaciado1">
    <w:name w:val="Sin espaciado1"/>
    <w:link w:val="NoSpacingChar"/>
    <w:qFormat/>
    <w:rsid w:val="00FC666F"/>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FC666F"/>
    <w:rPr>
      <w:rFonts w:ascii="Times New Roman" w:eastAsia="Times New Roman" w:hAnsi="Times New Roman" w:cs="Times New Roman"/>
      <w:kern w:val="0"/>
      <w:lang w:eastAsia="es-ES"/>
      <w14:ligatures w14:val="none"/>
    </w:rPr>
  </w:style>
  <w:style w:type="character" w:customStyle="1" w:styleId="FontStyle21">
    <w:name w:val="Font Style21"/>
    <w:uiPriority w:val="99"/>
    <w:rsid w:val="00FC666F"/>
    <w:rPr>
      <w:rFonts w:ascii="Times New Roman" w:hAnsi="Times New Roman" w:cs="Times New Roman"/>
      <w:sz w:val="26"/>
      <w:szCs w:val="26"/>
    </w:rPr>
  </w:style>
  <w:style w:type="paragraph" w:customStyle="1" w:styleId="Style4">
    <w:name w:val="Style4"/>
    <w:basedOn w:val="Normal"/>
    <w:uiPriority w:val="99"/>
    <w:rsid w:val="00FC666F"/>
    <w:pPr>
      <w:widowControl w:val="0"/>
      <w:autoSpaceDE w:val="0"/>
      <w:autoSpaceDN w:val="0"/>
      <w:adjustRightInd w:val="0"/>
      <w:spacing w:line="360" w:lineRule="exact"/>
    </w:pPr>
    <w:rPr>
      <w:rFonts w:eastAsia="MS Mincho" w:cs="Times New Roman"/>
      <w:kern w:val="0"/>
      <w:sz w:val="24"/>
      <w:u w:color="000000"/>
      <w:lang w:val="es-ES" w:eastAsia="es-ES"/>
      <w14:ligatures w14:val="none"/>
    </w:rPr>
  </w:style>
  <w:style w:type="paragraph" w:customStyle="1" w:styleId="Normal1">
    <w:name w:val="Normal1"/>
    <w:rsid w:val="00FC666F"/>
    <w:pPr>
      <w:spacing w:line="259" w:lineRule="auto"/>
    </w:pPr>
    <w:rPr>
      <w:rFonts w:ascii="Calibri" w:eastAsia="Times New Roman" w:hAnsi="Calibri" w:cs="Calibri"/>
      <w:color w:val="000000"/>
      <w:kern w:val="0"/>
      <w:sz w:val="22"/>
      <w:szCs w:val="22"/>
      <w:lang w:val="es-ES" w:eastAsia="es-ES"/>
      <w14:ligatures w14:val="none"/>
    </w:rPr>
  </w:style>
  <w:style w:type="table" w:customStyle="1" w:styleId="Tablaconcuadrcula4">
    <w:name w:val="Tabla con cuadrícula4"/>
    <w:basedOn w:val="Tablanormal"/>
    <w:next w:val="Tablaconcuadrcula"/>
    <w:uiPriority w:val="59"/>
    <w:rsid w:val="00FC666F"/>
    <w:pPr>
      <w:spacing w:after="0" w:line="240" w:lineRule="auto"/>
    </w:pPr>
    <w:rPr>
      <w:rFonts w:ascii="Calibri" w:eastAsia="Times New Roman" w:hAnsi="Calibri"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media2-nfasis41">
    <w:name w:val="Lista media 2 - Énfasis 41"/>
    <w:basedOn w:val="Normal"/>
    <w:uiPriority w:val="34"/>
    <w:qFormat/>
    <w:rsid w:val="00FC666F"/>
    <w:pPr>
      <w:shd w:val="clear" w:color="auto" w:fill="FFFFFF"/>
      <w:ind w:left="720"/>
      <w:contextualSpacing/>
      <w:textAlignment w:val="baseline"/>
    </w:pPr>
    <w:rPr>
      <w:rFonts w:eastAsia="Times New Roman" w:cs="Times New Roman"/>
      <w:color w:val="000000" w:themeColor="text1"/>
      <w:kern w:val="0"/>
      <w:szCs w:val="28"/>
      <w:lang w:val="pt-BR" w:eastAsia="pt-BR"/>
      <w14:ligatures w14:val="none"/>
    </w:rPr>
  </w:style>
  <w:style w:type="table" w:customStyle="1" w:styleId="Tablaconcuadrcula2">
    <w:name w:val="Tabla con cuadrícula2"/>
    <w:basedOn w:val="Tablanormal"/>
    <w:next w:val="Tablaconcuadrcula"/>
    <w:uiPriority w:val="39"/>
    <w:rsid w:val="00FC666F"/>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FC666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FC66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FC666F"/>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8"/>
      <w:szCs w:val="28"/>
      <w:u w:color="000000"/>
      <w:bdr w:val="nil"/>
      <w:lang w:eastAsia="es-CO"/>
      <w14:ligatures w14:val="none"/>
    </w:rPr>
  </w:style>
  <w:style w:type="paragraph" w:styleId="Lista">
    <w:name w:val="List"/>
    <w:basedOn w:val="Normal"/>
    <w:unhideWhenUsed/>
    <w:rsid w:val="00FC666F"/>
    <w:pPr>
      <w:spacing w:after="200" w:line="276" w:lineRule="auto"/>
      <w:ind w:left="283" w:hanging="283"/>
      <w:contextualSpacing/>
    </w:pPr>
    <w:rPr>
      <w:rFonts w:eastAsia="Times New Roman" w:cs="Times New Roman"/>
      <w:kern w:val="0"/>
      <w14:ligatures w14:val="none"/>
    </w:rPr>
  </w:style>
  <w:style w:type="paragraph" w:customStyle="1" w:styleId="Sombreadomedio1-nfasis11">
    <w:name w:val="Sombreado medio 1 - Énfasis 11"/>
    <w:uiPriority w:val="1"/>
    <w:qFormat/>
    <w:rsid w:val="00FC666F"/>
    <w:pPr>
      <w:spacing w:after="0" w:line="240" w:lineRule="auto"/>
    </w:pPr>
    <w:rPr>
      <w:rFonts w:ascii="Calibri" w:eastAsia="Times New Roman" w:hAnsi="Calibri" w:cs="Calibri"/>
      <w:color w:val="000000"/>
      <w:kern w:val="0"/>
      <w:sz w:val="22"/>
      <w:szCs w:val="22"/>
      <w:lang w:val="es-ES_tradnl" w:eastAsia="es-ES"/>
      <w14:ligatures w14:val="none"/>
    </w:rPr>
  </w:style>
  <w:style w:type="table" w:customStyle="1" w:styleId="Tablaconcuadrcula5">
    <w:name w:val="Tabla con cuadrícula5"/>
    <w:basedOn w:val="Tablanormal"/>
    <w:next w:val="Tablaconcuadrcula"/>
    <w:uiPriority w:val="39"/>
    <w:rsid w:val="00FC666F"/>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C666F"/>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FC666F"/>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basedOn w:val="Fuentedeprrafopredeter"/>
    <w:rsid w:val="00FC666F"/>
  </w:style>
  <w:style w:type="table" w:customStyle="1" w:styleId="Tablaconcuadrcula54">
    <w:name w:val="Tabla con cuadrícula54"/>
    <w:basedOn w:val="Tablanormal"/>
    <w:next w:val="Tablaconcuadrcula"/>
    <w:uiPriority w:val="39"/>
    <w:rsid w:val="00FC666F"/>
    <w:pPr>
      <w:spacing w:after="0" w:line="240" w:lineRule="auto"/>
    </w:pPr>
    <w:rPr>
      <w:rFonts w:ascii="Times New Roman" w:eastAsia="Calibri"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C666F"/>
    <w:pPr>
      <w:spacing w:after="0" w:line="240" w:lineRule="auto"/>
    </w:pPr>
    <w:rPr>
      <w:rFonts w:ascii="Times New Roman" w:eastAsia="Calibri"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0">
    <w:name w:val="Normal 1"/>
    <w:basedOn w:val="Lista"/>
    <w:link w:val="Normal1Car"/>
    <w:qFormat/>
    <w:rsid w:val="00FC666F"/>
    <w:pPr>
      <w:tabs>
        <w:tab w:val="left" w:pos="0"/>
        <w:tab w:val="left" w:pos="567"/>
      </w:tabs>
      <w:spacing w:after="0" w:line="240" w:lineRule="auto"/>
      <w:ind w:left="0" w:firstLine="0"/>
    </w:pPr>
    <w:rPr>
      <w:rFonts w:eastAsia="Calibri"/>
      <w:szCs w:val="28"/>
      <w:lang w:val="es-ES_tradnl"/>
    </w:rPr>
  </w:style>
  <w:style w:type="character" w:customStyle="1" w:styleId="Normal1Car">
    <w:name w:val="Normal 1 Car"/>
    <w:basedOn w:val="Fuentedeprrafopredeter"/>
    <w:link w:val="Normal10"/>
    <w:rsid w:val="00FC666F"/>
    <w:rPr>
      <w:rFonts w:ascii="Times New Roman" w:eastAsia="Calibri" w:hAnsi="Times New Roman" w:cs="Times New Roman"/>
      <w:kern w:val="0"/>
      <w:sz w:val="28"/>
      <w:szCs w:val="28"/>
      <w:lang w:val="es-ES_tradnl"/>
      <w14:ligatures w14:val="none"/>
    </w:rPr>
  </w:style>
  <w:style w:type="paragraph" w:customStyle="1" w:styleId="Ttulo11">
    <w:name w:val="Título 11"/>
    <w:basedOn w:val="Normal"/>
    <w:uiPriority w:val="99"/>
    <w:rsid w:val="00FC666F"/>
    <w:pPr>
      <w:numPr>
        <w:numId w:val="13"/>
      </w:numPr>
      <w:jc w:val="left"/>
    </w:pPr>
    <w:rPr>
      <w:rFonts w:eastAsia="Times New Roman" w:cs="Times New Roman"/>
      <w:kern w:val="0"/>
      <w:sz w:val="24"/>
      <w:lang w:val="es-ES" w:eastAsia="es-ES"/>
      <w14:ligatures w14:val="none"/>
    </w:rPr>
  </w:style>
  <w:style w:type="paragraph" w:customStyle="1" w:styleId="Ttulo21">
    <w:name w:val="Título 21"/>
    <w:basedOn w:val="Normal"/>
    <w:uiPriority w:val="99"/>
    <w:rsid w:val="00FC666F"/>
    <w:pPr>
      <w:numPr>
        <w:ilvl w:val="1"/>
        <w:numId w:val="13"/>
      </w:numPr>
      <w:jc w:val="left"/>
    </w:pPr>
    <w:rPr>
      <w:rFonts w:eastAsia="Times New Roman" w:cs="Times New Roman"/>
      <w:kern w:val="0"/>
      <w:sz w:val="24"/>
      <w:lang w:val="es-ES" w:eastAsia="es-ES"/>
      <w14:ligatures w14:val="none"/>
    </w:rPr>
  </w:style>
  <w:style w:type="paragraph" w:customStyle="1" w:styleId="Ttulo31">
    <w:name w:val="Título 31"/>
    <w:basedOn w:val="Normal"/>
    <w:uiPriority w:val="99"/>
    <w:rsid w:val="00FC666F"/>
    <w:pPr>
      <w:numPr>
        <w:ilvl w:val="2"/>
        <w:numId w:val="13"/>
      </w:numPr>
      <w:jc w:val="left"/>
    </w:pPr>
    <w:rPr>
      <w:rFonts w:eastAsia="Times New Roman" w:cs="Times New Roman"/>
      <w:kern w:val="0"/>
      <w:sz w:val="24"/>
      <w:lang w:val="es-ES" w:eastAsia="es-ES"/>
      <w14:ligatures w14:val="none"/>
    </w:rPr>
  </w:style>
  <w:style w:type="paragraph" w:customStyle="1" w:styleId="Ttulo41">
    <w:name w:val="Título 41"/>
    <w:basedOn w:val="Normal"/>
    <w:uiPriority w:val="99"/>
    <w:rsid w:val="00FC666F"/>
    <w:pPr>
      <w:numPr>
        <w:ilvl w:val="3"/>
        <w:numId w:val="13"/>
      </w:numPr>
      <w:jc w:val="left"/>
    </w:pPr>
    <w:rPr>
      <w:rFonts w:eastAsia="Times New Roman" w:cs="Times New Roman"/>
      <w:kern w:val="0"/>
      <w:sz w:val="24"/>
      <w:lang w:val="es-ES" w:eastAsia="es-ES"/>
      <w14:ligatures w14:val="none"/>
    </w:rPr>
  </w:style>
  <w:style w:type="paragraph" w:customStyle="1" w:styleId="Ttulo51">
    <w:name w:val="Título 51"/>
    <w:basedOn w:val="Normal"/>
    <w:uiPriority w:val="99"/>
    <w:rsid w:val="00FC666F"/>
    <w:pPr>
      <w:numPr>
        <w:ilvl w:val="4"/>
        <w:numId w:val="13"/>
      </w:numPr>
      <w:jc w:val="left"/>
    </w:pPr>
    <w:rPr>
      <w:rFonts w:eastAsia="Times New Roman" w:cs="Times New Roman"/>
      <w:kern w:val="0"/>
      <w:sz w:val="24"/>
      <w:lang w:val="es-ES" w:eastAsia="es-ES"/>
      <w14:ligatures w14:val="none"/>
    </w:rPr>
  </w:style>
  <w:style w:type="paragraph" w:customStyle="1" w:styleId="Ttulo61">
    <w:name w:val="Título 61"/>
    <w:basedOn w:val="Normal"/>
    <w:uiPriority w:val="99"/>
    <w:rsid w:val="00FC666F"/>
    <w:pPr>
      <w:numPr>
        <w:ilvl w:val="5"/>
        <w:numId w:val="13"/>
      </w:numPr>
      <w:jc w:val="left"/>
    </w:pPr>
    <w:rPr>
      <w:rFonts w:eastAsia="Times New Roman" w:cs="Times New Roman"/>
      <w:kern w:val="0"/>
      <w:sz w:val="24"/>
      <w:lang w:val="es-ES" w:eastAsia="es-ES"/>
      <w14:ligatures w14:val="none"/>
    </w:rPr>
  </w:style>
  <w:style w:type="paragraph" w:customStyle="1" w:styleId="Ttulo71">
    <w:name w:val="Título 71"/>
    <w:basedOn w:val="Normal"/>
    <w:uiPriority w:val="99"/>
    <w:rsid w:val="00FC666F"/>
    <w:pPr>
      <w:numPr>
        <w:ilvl w:val="6"/>
        <w:numId w:val="13"/>
      </w:numPr>
      <w:jc w:val="left"/>
    </w:pPr>
    <w:rPr>
      <w:rFonts w:eastAsia="Times New Roman" w:cs="Times New Roman"/>
      <w:kern w:val="0"/>
      <w:sz w:val="24"/>
      <w:lang w:val="es-ES" w:eastAsia="es-ES"/>
      <w14:ligatures w14:val="none"/>
    </w:rPr>
  </w:style>
  <w:style w:type="paragraph" w:customStyle="1" w:styleId="Ttulo81">
    <w:name w:val="Título 81"/>
    <w:basedOn w:val="Normal"/>
    <w:uiPriority w:val="99"/>
    <w:rsid w:val="00FC666F"/>
    <w:pPr>
      <w:numPr>
        <w:ilvl w:val="7"/>
        <w:numId w:val="13"/>
      </w:numPr>
      <w:jc w:val="left"/>
    </w:pPr>
    <w:rPr>
      <w:rFonts w:eastAsia="Times New Roman" w:cs="Times New Roman"/>
      <w:kern w:val="0"/>
      <w:sz w:val="24"/>
      <w:lang w:val="es-ES" w:eastAsia="es-ES"/>
      <w14:ligatures w14:val="none"/>
    </w:rPr>
  </w:style>
  <w:style w:type="paragraph" w:customStyle="1" w:styleId="Ttulo91">
    <w:name w:val="Título 91"/>
    <w:basedOn w:val="Normal"/>
    <w:uiPriority w:val="99"/>
    <w:rsid w:val="00FC666F"/>
    <w:pPr>
      <w:numPr>
        <w:ilvl w:val="8"/>
        <w:numId w:val="13"/>
      </w:numPr>
      <w:jc w:val="left"/>
    </w:pPr>
    <w:rPr>
      <w:rFonts w:eastAsia="Times New Roman" w:cs="Times New Roman"/>
      <w:kern w:val="0"/>
      <w:sz w:val="24"/>
      <w:lang w:val="es-ES" w:eastAsia="es-ES"/>
      <w14:ligatures w14:val="none"/>
    </w:rPr>
  </w:style>
  <w:style w:type="paragraph" w:customStyle="1" w:styleId="Estilo">
    <w:name w:val="Estilo"/>
    <w:basedOn w:val="Normal"/>
    <w:rsid w:val="00FC666F"/>
    <w:pPr>
      <w:spacing w:after="160" w:line="240" w:lineRule="exact"/>
      <w:jc w:val="left"/>
    </w:pPr>
    <w:rPr>
      <w:rFonts w:eastAsia="Times New Roman" w:cs="Times New Roman"/>
      <w:noProof/>
      <w:color w:val="000000"/>
      <w:kern w:val="0"/>
      <w:sz w:val="20"/>
      <w:szCs w:val="20"/>
      <w:lang w:eastAsia="es-ES"/>
      <w14:ligatures w14:val="none"/>
    </w:rPr>
  </w:style>
  <w:style w:type="paragraph" w:customStyle="1" w:styleId="Corte">
    <w:name w:val="Corte"/>
    <w:basedOn w:val="Textonotapie"/>
    <w:link w:val="CorteCar"/>
    <w:qFormat/>
    <w:rsid w:val="00410A51"/>
    <w:pPr>
      <w:autoSpaceDE w:val="0"/>
      <w:autoSpaceDN w:val="0"/>
    </w:pPr>
    <w:rPr>
      <w:rFonts w:eastAsiaTheme="minorHAnsi" w:cstheme="minorBidi"/>
      <w:kern w:val="2"/>
      <w:lang w:eastAsia="es-ES"/>
      <w14:ligatures w14:val="standardContextual"/>
    </w:rPr>
  </w:style>
  <w:style w:type="character" w:customStyle="1" w:styleId="CorteCar">
    <w:name w:val="Corte Car"/>
    <w:basedOn w:val="Fuentedeprrafopredeter"/>
    <w:link w:val="Corte"/>
    <w:rsid w:val="00410A51"/>
    <w:rPr>
      <w:rFonts w:ascii="Times New Roman" w:hAnsi="Times New Roman"/>
      <w:sz w:val="20"/>
      <w:szCs w:val="20"/>
      <w:lang w:eastAsia="es-ES"/>
    </w:rPr>
  </w:style>
  <w:style w:type="numbering" w:customStyle="1" w:styleId="Listaactual1">
    <w:name w:val="Lista actual1"/>
    <w:uiPriority w:val="99"/>
    <w:rsid w:val="00C454A1"/>
    <w:pPr>
      <w:numPr>
        <w:numId w:val="50"/>
      </w:numPr>
    </w:pPr>
  </w:style>
  <w:style w:type="numbering" w:customStyle="1" w:styleId="Listaactual2">
    <w:name w:val="Lista actual2"/>
    <w:uiPriority w:val="99"/>
    <w:rsid w:val="00C454A1"/>
    <w:pPr>
      <w:numPr>
        <w:numId w:val="51"/>
      </w:numPr>
    </w:pPr>
  </w:style>
  <w:style w:type="numbering" w:customStyle="1" w:styleId="Listaactual3">
    <w:name w:val="Lista actual3"/>
    <w:uiPriority w:val="99"/>
    <w:rsid w:val="00C454A1"/>
    <w:pPr>
      <w:numPr>
        <w:numId w:val="65"/>
      </w:numPr>
    </w:pPr>
  </w:style>
  <w:style w:type="numbering" w:customStyle="1" w:styleId="Listaactual4">
    <w:name w:val="Lista actual4"/>
    <w:uiPriority w:val="99"/>
    <w:rsid w:val="00C454A1"/>
    <w:pPr>
      <w:numPr>
        <w:numId w:val="54"/>
      </w:numPr>
    </w:pPr>
  </w:style>
  <w:style w:type="numbering" w:customStyle="1" w:styleId="Listaactual5">
    <w:name w:val="Lista actual5"/>
    <w:uiPriority w:val="99"/>
    <w:rsid w:val="00C454A1"/>
    <w:pPr>
      <w:numPr>
        <w:numId w:val="55"/>
      </w:numPr>
    </w:pPr>
  </w:style>
  <w:style w:type="paragraph" w:customStyle="1" w:styleId="p1">
    <w:name w:val="p1"/>
    <w:basedOn w:val="Normal"/>
    <w:rsid w:val="00C454A1"/>
    <w:pPr>
      <w:jc w:val="left"/>
    </w:pPr>
    <w:rPr>
      <w:rFonts w:ascii="Arial Narrow" w:eastAsia="Times New Roman" w:hAnsi="Arial Narrow" w:cs="Times New Roman"/>
      <w:color w:val="000000"/>
      <w:kern w:val="0"/>
      <w:sz w:val="17"/>
      <w:szCs w:val="17"/>
      <w:lang w:eastAsia="es-MX"/>
      <w14:ligatures w14:val="none"/>
    </w:rPr>
  </w:style>
  <w:style w:type="table" w:customStyle="1" w:styleId="Tablaconcuadrcula9">
    <w:name w:val="Tabla con cuadrícula9"/>
    <w:basedOn w:val="Tablanormal"/>
    <w:next w:val="Tablaconcuadrcula"/>
    <w:uiPriority w:val="39"/>
    <w:rsid w:val="001F300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5064">
      <w:bodyDiv w:val="1"/>
      <w:marLeft w:val="0"/>
      <w:marRight w:val="0"/>
      <w:marTop w:val="0"/>
      <w:marBottom w:val="0"/>
      <w:divBdr>
        <w:top w:val="none" w:sz="0" w:space="0" w:color="auto"/>
        <w:left w:val="none" w:sz="0" w:space="0" w:color="auto"/>
        <w:bottom w:val="none" w:sz="0" w:space="0" w:color="auto"/>
        <w:right w:val="none" w:sz="0" w:space="0" w:color="auto"/>
      </w:divBdr>
    </w:div>
    <w:div w:id="109668645">
      <w:bodyDiv w:val="1"/>
      <w:marLeft w:val="0"/>
      <w:marRight w:val="0"/>
      <w:marTop w:val="0"/>
      <w:marBottom w:val="0"/>
      <w:divBdr>
        <w:top w:val="none" w:sz="0" w:space="0" w:color="auto"/>
        <w:left w:val="none" w:sz="0" w:space="0" w:color="auto"/>
        <w:bottom w:val="none" w:sz="0" w:space="0" w:color="auto"/>
        <w:right w:val="none" w:sz="0" w:space="0" w:color="auto"/>
      </w:divBdr>
    </w:div>
    <w:div w:id="146897894">
      <w:bodyDiv w:val="1"/>
      <w:marLeft w:val="0"/>
      <w:marRight w:val="0"/>
      <w:marTop w:val="0"/>
      <w:marBottom w:val="0"/>
      <w:divBdr>
        <w:top w:val="none" w:sz="0" w:space="0" w:color="auto"/>
        <w:left w:val="none" w:sz="0" w:space="0" w:color="auto"/>
        <w:bottom w:val="none" w:sz="0" w:space="0" w:color="auto"/>
        <w:right w:val="none" w:sz="0" w:space="0" w:color="auto"/>
      </w:divBdr>
    </w:div>
    <w:div w:id="153910436">
      <w:bodyDiv w:val="1"/>
      <w:marLeft w:val="0"/>
      <w:marRight w:val="0"/>
      <w:marTop w:val="0"/>
      <w:marBottom w:val="0"/>
      <w:divBdr>
        <w:top w:val="none" w:sz="0" w:space="0" w:color="auto"/>
        <w:left w:val="none" w:sz="0" w:space="0" w:color="auto"/>
        <w:bottom w:val="none" w:sz="0" w:space="0" w:color="auto"/>
        <w:right w:val="none" w:sz="0" w:space="0" w:color="auto"/>
      </w:divBdr>
    </w:div>
    <w:div w:id="207113786">
      <w:bodyDiv w:val="1"/>
      <w:marLeft w:val="0"/>
      <w:marRight w:val="0"/>
      <w:marTop w:val="0"/>
      <w:marBottom w:val="0"/>
      <w:divBdr>
        <w:top w:val="none" w:sz="0" w:space="0" w:color="auto"/>
        <w:left w:val="none" w:sz="0" w:space="0" w:color="auto"/>
        <w:bottom w:val="none" w:sz="0" w:space="0" w:color="auto"/>
        <w:right w:val="none" w:sz="0" w:space="0" w:color="auto"/>
      </w:divBdr>
    </w:div>
    <w:div w:id="235013653">
      <w:bodyDiv w:val="1"/>
      <w:marLeft w:val="0"/>
      <w:marRight w:val="0"/>
      <w:marTop w:val="0"/>
      <w:marBottom w:val="0"/>
      <w:divBdr>
        <w:top w:val="none" w:sz="0" w:space="0" w:color="auto"/>
        <w:left w:val="none" w:sz="0" w:space="0" w:color="auto"/>
        <w:bottom w:val="none" w:sz="0" w:space="0" w:color="auto"/>
        <w:right w:val="none" w:sz="0" w:space="0" w:color="auto"/>
      </w:divBdr>
    </w:div>
    <w:div w:id="282418916">
      <w:bodyDiv w:val="1"/>
      <w:marLeft w:val="0"/>
      <w:marRight w:val="0"/>
      <w:marTop w:val="0"/>
      <w:marBottom w:val="0"/>
      <w:divBdr>
        <w:top w:val="none" w:sz="0" w:space="0" w:color="auto"/>
        <w:left w:val="none" w:sz="0" w:space="0" w:color="auto"/>
        <w:bottom w:val="none" w:sz="0" w:space="0" w:color="auto"/>
        <w:right w:val="none" w:sz="0" w:space="0" w:color="auto"/>
      </w:divBdr>
    </w:div>
    <w:div w:id="453257563">
      <w:bodyDiv w:val="1"/>
      <w:marLeft w:val="0"/>
      <w:marRight w:val="0"/>
      <w:marTop w:val="0"/>
      <w:marBottom w:val="0"/>
      <w:divBdr>
        <w:top w:val="none" w:sz="0" w:space="0" w:color="auto"/>
        <w:left w:val="none" w:sz="0" w:space="0" w:color="auto"/>
        <w:bottom w:val="none" w:sz="0" w:space="0" w:color="auto"/>
        <w:right w:val="none" w:sz="0" w:space="0" w:color="auto"/>
      </w:divBdr>
    </w:div>
    <w:div w:id="507984243">
      <w:bodyDiv w:val="1"/>
      <w:marLeft w:val="0"/>
      <w:marRight w:val="0"/>
      <w:marTop w:val="0"/>
      <w:marBottom w:val="0"/>
      <w:divBdr>
        <w:top w:val="none" w:sz="0" w:space="0" w:color="auto"/>
        <w:left w:val="none" w:sz="0" w:space="0" w:color="auto"/>
        <w:bottom w:val="none" w:sz="0" w:space="0" w:color="auto"/>
        <w:right w:val="none" w:sz="0" w:space="0" w:color="auto"/>
      </w:divBdr>
      <w:divsChild>
        <w:div w:id="1157647419">
          <w:marLeft w:val="0"/>
          <w:marRight w:val="0"/>
          <w:marTop w:val="0"/>
          <w:marBottom w:val="0"/>
          <w:divBdr>
            <w:top w:val="none" w:sz="0" w:space="0" w:color="auto"/>
            <w:left w:val="none" w:sz="0" w:space="0" w:color="auto"/>
            <w:bottom w:val="none" w:sz="0" w:space="0" w:color="auto"/>
            <w:right w:val="none" w:sz="0" w:space="0" w:color="auto"/>
          </w:divBdr>
        </w:div>
        <w:div w:id="479003725">
          <w:marLeft w:val="0"/>
          <w:marRight w:val="0"/>
          <w:marTop w:val="0"/>
          <w:marBottom w:val="150"/>
          <w:divBdr>
            <w:top w:val="none" w:sz="0" w:space="0" w:color="auto"/>
            <w:left w:val="none" w:sz="0" w:space="0" w:color="auto"/>
            <w:bottom w:val="none" w:sz="0" w:space="0" w:color="auto"/>
            <w:right w:val="none" w:sz="0" w:space="0" w:color="auto"/>
          </w:divBdr>
        </w:div>
        <w:div w:id="2031681623">
          <w:marLeft w:val="0"/>
          <w:marRight w:val="0"/>
          <w:marTop w:val="0"/>
          <w:marBottom w:val="150"/>
          <w:divBdr>
            <w:top w:val="none" w:sz="0" w:space="0" w:color="auto"/>
            <w:left w:val="none" w:sz="0" w:space="0" w:color="auto"/>
            <w:bottom w:val="none" w:sz="0" w:space="0" w:color="auto"/>
            <w:right w:val="none" w:sz="0" w:space="0" w:color="auto"/>
          </w:divBdr>
        </w:div>
      </w:divsChild>
    </w:div>
    <w:div w:id="649528004">
      <w:bodyDiv w:val="1"/>
      <w:marLeft w:val="0"/>
      <w:marRight w:val="0"/>
      <w:marTop w:val="0"/>
      <w:marBottom w:val="0"/>
      <w:divBdr>
        <w:top w:val="none" w:sz="0" w:space="0" w:color="auto"/>
        <w:left w:val="none" w:sz="0" w:space="0" w:color="auto"/>
        <w:bottom w:val="none" w:sz="0" w:space="0" w:color="auto"/>
        <w:right w:val="none" w:sz="0" w:space="0" w:color="auto"/>
      </w:divBdr>
    </w:div>
    <w:div w:id="721097736">
      <w:bodyDiv w:val="1"/>
      <w:marLeft w:val="0"/>
      <w:marRight w:val="0"/>
      <w:marTop w:val="0"/>
      <w:marBottom w:val="0"/>
      <w:divBdr>
        <w:top w:val="none" w:sz="0" w:space="0" w:color="auto"/>
        <w:left w:val="none" w:sz="0" w:space="0" w:color="auto"/>
        <w:bottom w:val="none" w:sz="0" w:space="0" w:color="auto"/>
        <w:right w:val="none" w:sz="0" w:space="0" w:color="auto"/>
      </w:divBdr>
    </w:div>
    <w:div w:id="836727489">
      <w:bodyDiv w:val="1"/>
      <w:marLeft w:val="0"/>
      <w:marRight w:val="0"/>
      <w:marTop w:val="0"/>
      <w:marBottom w:val="0"/>
      <w:divBdr>
        <w:top w:val="none" w:sz="0" w:space="0" w:color="auto"/>
        <w:left w:val="none" w:sz="0" w:space="0" w:color="auto"/>
        <w:bottom w:val="none" w:sz="0" w:space="0" w:color="auto"/>
        <w:right w:val="none" w:sz="0" w:space="0" w:color="auto"/>
      </w:divBdr>
    </w:div>
    <w:div w:id="890771737">
      <w:bodyDiv w:val="1"/>
      <w:marLeft w:val="0"/>
      <w:marRight w:val="0"/>
      <w:marTop w:val="0"/>
      <w:marBottom w:val="0"/>
      <w:divBdr>
        <w:top w:val="none" w:sz="0" w:space="0" w:color="auto"/>
        <w:left w:val="none" w:sz="0" w:space="0" w:color="auto"/>
        <w:bottom w:val="none" w:sz="0" w:space="0" w:color="auto"/>
        <w:right w:val="none" w:sz="0" w:space="0" w:color="auto"/>
      </w:divBdr>
    </w:div>
    <w:div w:id="905187864">
      <w:bodyDiv w:val="1"/>
      <w:marLeft w:val="0"/>
      <w:marRight w:val="0"/>
      <w:marTop w:val="0"/>
      <w:marBottom w:val="0"/>
      <w:divBdr>
        <w:top w:val="none" w:sz="0" w:space="0" w:color="auto"/>
        <w:left w:val="none" w:sz="0" w:space="0" w:color="auto"/>
        <w:bottom w:val="none" w:sz="0" w:space="0" w:color="auto"/>
        <w:right w:val="none" w:sz="0" w:space="0" w:color="auto"/>
      </w:divBdr>
    </w:div>
    <w:div w:id="907691793">
      <w:bodyDiv w:val="1"/>
      <w:marLeft w:val="0"/>
      <w:marRight w:val="0"/>
      <w:marTop w:val="0"/>
      <w:marBottom w:val="0"/>
      <w:divBdr>
        <w:top w:val="none" w:sz="0" w:space="0" w:color="auto"/>
        <w:left w:val="none" w:sz="0" w:space="0" w:color="auto"/>
        <w:bottom w:val="none" w:sz="0" w:space="0" w:color="auto"/>
        <w:right w:val="none" w:sz="0" w:space="0" w:color="auto"/>
      </w:divBdr>
    </w:div>
    <w:div w:id="1019618967">
      <w:bodyDiv w:val="1"/>
      <w:marLeft w:val="0"/>
      <w:marRight w:val="0"/>
      <w:marTop w:val="0"/>
      <w:marBottom w:val="0"/>
      <w:divBdr>
        <w:top w:val="none" w:sz="0" w:space="0" w:color="auto"/>
        <w:left w:val="none" w:sz="0" w:space="0" w:color="auto"/>
        <w:bottom w:val="none" w:sz="0" w:space="0" w:color="auto"/>
        <w:right w:val="none" w:sz="0" w:space="0" w:color="auto"/>
      </w:divBdr>
    </w:div>
    <w:div w:id="1031566280">
      <w:bodyDiv w:val="1"/>
      <w:marLeft w:val="0"/>
      <w:marRight w:val="0"/>
      <w:marTop w:val="0"/>
      <w:marBottom w:val="0"/>
      <w:divBdr>
        <w:top w:val="none" w:sz="0" w:space="0" w:color="auto"/>
        <w:left w:val="none" w:sz="0" w:space="0" w:color="auto"/>
        <w:bottom w:val="none" w:sz="0" w:space="0" w:color="auto"/>
        <w:right w:val="none" w:sz="0" w:space="0" w:color="auto"/>
      </w:divBdr>
    </w:div>
    <w:div w:id="1063674266">
      <w:bodyDiv w:val="1"/>
      <w:marLeft w:val="0"/>
      <w:marRight w:val="0"/>
      <w:marTop w:val="0"/>
      <w:marBottom w:val="0"/>
      <w:divBdr>
        <w:top w:val="none" w:sz="0" w:space="0" w:color="auto"/>
        <w:left w:val="none" w:sz="0" w:space="0" w:color="auto"/>
        <w:bottom w:val="none" w:sz="0" w:space="0" w:color="auto"/>
        <w:right w:val="none" w:sz="0" w:space="0" w:color="auto"/>
      </w:divBdr>
    </w:div>
    <w:div w:id="1288971050">
      <w:bodyDiv w:val="1"/>
      <w:marLeft w:val="0"/>
      <w:marRight w:val="0"/>
      <w:marTop w:val="0"/>
      <w:marBottom w:val="0"/>
      <w:divBdr>
        <w:top w:val="none" w:sz="0" w:space="0" w:color="auto"/>
        <w:left w:val="none" w:sz="0" w:space="0" w:color="auto"/>
        <w:bottom w:val="none" w:sz="0" w:space="0" w:color="auto"/>
        <w:right w:val="none" w:sz="0" w:space="0" w:color="auto"/>
      </w:divBdr>
    </w:div>
    <w:div w:id="1341275817">
      <w:bodyDiv w:val="1"/>
      <w:marLeft w:val="0"/>
      <w:marRight w:val="0"/>
      <w:marTop w:val="0"/>
      <w:marBottom w:val="0"/>
      <w:divBdr>
        <w:top w:val="none" w:sz="0" w:space="0" w:color="auto"/>
        <w:left w:val="none" w:sz="0" w:space="0" w:color="auto"/>
        <w:bottom w:val="none" w:sz="0" w:space="0" w:color="auto"/>
        <w:right w:val="none" w:sz="0" w:space="0" w:color="auto"/>
      </w:divBdr>
    </w:div>
    <w:div w:id="1368796364">
      <w:bodyDiv w:val="1"/>
      <w:marLeft w:val="0"/>
      <w:marRight w:val="0"/>
      <w:marTop w:val="0"/>
      <w:marBottom w:val="0"/>
      <w:divBdr>
        <w:top w:val="none" w:sz="0" w:space="0" w:color="auto"/>
        <w:left w:val="none" w:sz="0" w:space="0" w:color="auto"/>
        <w:bottom w:val="none" w:sz="0" w:space="0" w:color="auto"/>
        <w:right w:val="none" w:sz="0" w:space="0" w:color="auto"/>
      </w:divBdr>
      <w:divsChild>
        <w:div w:id="883831625">
          <w:marLeft w:val="0"/>
          <w:marRight w:val="0"/>
          <w:marTop w:val="0"/>
          <w:marBottom w:val="0"/>
          <w:divBdr>
            <w:top w:val="none" w:sz="0" w:space="0" w:color="auto"/>
            <w:left w:val="none" w:sz="0" w:space="0" w:color="auto"/>
            <w:bottom w:val="none" w:sz="0" w:space="0" w:color="auto"/>
            <w:right w:val="none" w:sz="0" w:space="0" w:color="auto"/>
          </w:divBdr>
        </w:div>
        <w:div w:id="1903708447">
          <w:marLeft w:val="0"/>
          <w:marRight w:val="0"/>
          <w:marTop w:val="0"/>
          <w:marBottom w:val="150"/>
          <w:divBdr>
            <w:top w:val="none" w:sz="0" w:space="0" w:color="auto"/>
            <w:left w:val="none" w:sz="0" w:space="0" w:color="auto"/>
            <w:bottom w:val="none" w:sz="0" w:space="0" w:color="auto"/>
            <w:right w:val="none" w:sz="0" w:space="0" w:color="auto"/>
          </w:divBdr>
        </w:div>
        <w:div w:id="908421078">
          <w:marLeft w:val="0"/>
          <w:marRight w:val="0"/>
          <w:marTop w:val="0"/>
          <w:marBottom w:val="0"/>
          <w:divBdr>
            <w:top w:val="none" w:sz="0" w:space="0" w:color="auto"/>
            <w:left w:val="none" w:sz="0" w:space="0" w:color="auto"/>
            <w:bottom w:val="none" w:sz="0" w:space="0" w:color="auto"/>
            <w:right w:val="none" w:sz="0" w:space="0" w:color="auto"/>
          </w:divBdr>
          <w:divsChild>
            <w:div w:id="1529757905">
              <w:marLeft w:val="0"/>
              <w:marRight w:val="0"/>
              <w:marTop w:val="0"/>
              <w:marBottom w:val="0"/>
              <w:divBdr>
                <w:top w:val="none" w:sz="0" w:space="0" w:color="auto"/>
                <w:left w:val="none" w:sz="0" w:space="0" w:color="auto"/>
                <w:bottom w:val="none" w:sz="0" w:space="0" w:color="auto"/>
                <w:right w:val="none" w:sz="0" w:space="0" w:color="auto"/>
              </w:divBdr>
            </w:div>
          </w:divsChild>
        </w:div>
        <w:div w:id="275333664">
          <w:marLeft w:val="0"/>
          <w:marRight w:val="0"/>
          <w:marTop w:val="0"/>
          <w:marBottom w:val="0"/>
          <w:divBdr>
            <w:top w:val="none" w:sz="0" w:space="0" w:color="auto"/>
            <w:left w:val="none" w:sz="0" w:space="0" w:color="auto"/>
            <w:bottom w:val="none" w:sz="0" w:space="0" w:color="auto"/>
            <w:right w:val="none" w:sz="0" w:space="0" w:color="auto"/>
          </w:divBdr>
          <w:divsChild>
            <w:div w:id="310210715">
              <w:marLeft w:val="0"/>
              <w:marRight w:val="0"/>
              <w:marTop w:val="0"/>
              <w:marBottom w:val="0"/>
              <w:divBdr>
                <w:top w:val="none" w:sz="0" w:space="0" w:color="auto"/>
                <w:left w:val="none" w:sz="0" w:space="0" w:color="auto"/>
                <w:bottom w:val="none" w:sz="0" w:space="0" w:color="auto"/>
                <w:right w:val="none" w:sz="0" w:space="0" w:color="auto"/>
              </w:divBdr>
            </w:div>
          </w:divsChild>
        </w:div>
        <w:div w:id="1500123883">
          <w:marLeft w:val="0"/>
          <w:marRight w:val="0"/>
          <w:marTop w:val="0"/>
          <w:marBottom w:val="0"/>
          <w:divBdr>
            <w:top w:val="none" w:sz="0" w:space="0" w:color="auto"/>
            <w:left w:val="none" w:sz="0" w:space="0" w:color="auto"/>
            <w:bottom w:val="none" w:sz="0" w:space="0" w:color="auto"/>
            <w:right w:val="none" w:sz="0" w:space="0" w:color="auto"/>
          </w:divBdr>
        </w:div>
      </w:divsChild>
    </w:div>
    <w:div w:id="1429230828">
      <w:bodyDiv w:val="1"/>
      <w:marLeft w:val="0"/>
      <w:marRight w:val="0"/>
      <w:marTop w:val="0"/>
      <w:marBottom w:val="0"/>
      <w:divBdr>
        <w:top w:val="none" w:sz="0" w:space="0" w:color="auto"/>
        <w:left w:val="none" w:sz="0" w:space="0" w:color="auto"/>
        <w:bottom w:val="none" w:sz="0" w:space="0" w:color="auto"/>
        <w:right w:val="none" w:sz="0" w:space="0" w:color="auto"/>
      </w:divBdr>
      <w:divsChild>
        <w:div w:id="306593570">
          <w:marLeft w:val="0"/>
          <w:marRight w:val="0"/>
          <w:marTop w:val="0"/>
          <w:marBottom w:val="0"/>
          <w:divBdr>
            <w:top w:val="none" w:sz="0" w:space="0" w:color="auto"/>
            <w:left w:val="none" w:sz="0" w:space="0" w:color="auto"/>
            <w:bottom w:val="none" w:sz="0" w:space="0" w:color="auto"/>
            <w:right w:val="none" w:sz="0" w:space="0" w:color="auto"/>
          </w:divBdr>
        </w:div>
        <w:div w:id="691154147">
          <w:marLeft w:val="0"/>
          <w:marRight w:val="0"/>
          <w:marTop w:val="0"/>
          <w:marBottom w:val="150"/>
          <w:divBdr>
            <w:top w:val="none" w:sz="0" w:space="0" w:color="auto"/>
            <w:left w:val="none" w:sz="0" w:space="0" w:color="auto"/>
            <w:bottom w:val="none" w:sz="0" w:space="0" w:color="auto"/>
            <w:right w:val="none" w:sz="0" w:space="0" w:color="auto"/>
          </w:divBdr>
        </w:div>
        <w:div w:id="139617826">
          <w:marLeft w:val="0"/>
          <w:marRight w:val="0"/>
          <w:marTop w:val="0"/>
          <w:marBottom w:val="150"/>
          <w:divBdr>
            <w:top w:val="none" w:sz="0" w:space="0" w:color="auto"/>
            <w:left w:val="none" w:sz="0" w:space="0" w:color="auto"/>
            <w:bottom w:val="none" w:sz="0" w:space="0" w:color="auto"/>
            <w:right w:val="none" w:sz="0" w:space="0" w:color="auto"/>
          </w:divBdr>
        </w:div>
      </w:divsChild>
    </w:div>
    <w:div w:id="1442382402">
      <w:bodyDiv w:val="1"/>
      <w:marLeft w:val="0"/>
      <w:marRight w:val="0"/>
      <w:marTop w:val="0"/>
      <w:marBottom w:val="0"/>
      <w:divBdr>
        <w:top w:val="none" w:sz="0" w:space="0" w:color="auto"/>
        <w:left w:val="none" w:sz="0" w:space="0" w:color="auto"/>
        <w:bottom w:val="none" w:sz="0" w:space="0" w:color="auto"/>
        <w:right w:val="none" w:sz="0" w:space="0" w:color="auto"/>
      </w:divBdr>
    </w:div>
    <w:div w:id="1449006343">
      <w:bodyDiv w:val="1"/>
      <w:marLeft w:val="0"/>
      <w:marRight w:val="0"/>
      <w:marTop w:val="0"/>
      <w:marBottom w:val="0"/>
      <w:divBdr>
        <w:top w:val="none" w:sz="0" w:space="0" w:color="auto"/>
        <w:left w:val="none" w:sz="0" w:space="0" w:color="auto"/>
        <w:bottom w:val="none" w:sz="0" w:space="0" w:color="auto"/>
        <w:right w:val="none" w:sz="0" w:space="0" w:color="auto"/>
      </w:divBdr>
    </w:div>
    <w:div w:id="1611013854">
      <w:bodyDiv w:val="1"/>
      <w:marLeft w:val="0"/>
      <w:marRight w:val="0"/>
      <w:marTop w:val="0"/>
      <w:marBottom w:val="0"/>
      <w:divBdr>
        <w:top w:val="none" w:sz="0" w:space="0" w:color="auto"/>
        <w:left w:val="none" w:sz="0" w:space="0" w:color="auto"/>
        <w:bottom w:val="none" w:sz="0" w:space="0" w:color="auto"/>
        <w:right w:val="none" w:sz="0" w:space="0" w:color="auto"/>
      </w:divBdr>
    </w:div>
    <w:div w:id="1655059757">
      <w:bodyDiv w:val="1"/>
      <w:marLeft w:val="0"/>
      <w:marRight w:val="0"/>
      <w:marTop w:val="0"/>
      <w:marBottom w:val="0"/>
      <w:divBdr>
        <w:top w:val="none" w:sz="0" w:space="0" w:color="auto"/>
        <w:left w:val="none" w:sz="0" w:space="0" w:color="auto"/>
        <w:bottom w:val="none" w:sz="0" w:space="0" w:color="auto"/>
        <w:right w:val="none" w:sz="0" w:space="0" w:color="auto"/>
      </w:divBdr>
    </w:div>
    <w:div w:id="1664047432">
      <w:bodyDiv w:val="1"/>
      <w:marLeft w:val="0"/>
      <w:marRight w:val="0"/>
      <w:marTop w:val="0"/>
      <w:marBottom w:val="0"/>
      <w:divBdr>
        <w:top w:val="none" w:sz="0" w:space="0" w:color="auto"/>
        <w:left w:val="none" w:sz="0" w:space="0" w:color="auto"/>
        <w:bottom w:val="none" w:sz="0" w:space="0" w:color="auto"/>
        <w:right w:val="none" w:sz="0" w:space="0" w:color="auto"/>
      </w:divBdr>
    </w:div>
    <w:div w:id="1819686978">
      <w:bodyDiv w:val="1"/>
      <w:marLeft w:val="0"/>
      <w:marRight w:val="0"/>
      <w:marTop w:val="0"/>
      <w:marBottom w:val="0"/>
      <w:divBdr>
        <w:top w:val="none" w:sz="0" w:space="0" w:color="auto"/>
        <w:left w:val="none" w:sz="0" w:space="0" w:color="auto"/>
        <w:bottom w:val="none" w:sz="0" w:space="0" w:color="auto"/>
        <w:right w:val="none" w:sz="0" w:space="0" w:color="auto"/>
      </w:divBdr>
    </w:div>
    <w:div w:id="1832871191">
      <w:bodyDiv w:val="1"/>
      <w:marLeft w:val="0"/>
      <w:marRight w:val="0"/>
      <w:marTop w:val="0"/>
      <w:marBottom w:val="0"/>
      <w:divBdr>
        <w:top w:val="none" w:sz="0" w:space="0" w:color="auto"/>
        <w:left w:val="none" w:sz="0" w:space="0" w:color="auto"/>
        <w:bottom w:val="none" w:sz="0" w:space="0" w:color="auto"/>
        <w:right w:val="none" w:sz="0" w:space="0" w:color="auto"/>
      </w:divBdr>
    </w:div>
    <w:div w:id="1844785487">
      <w:bodyDiv w:val="1"/>
      <w:marLeft w:val="0"/>
      <w:marRight w:val="0"/>
      <w:marTop w:val="0"/>
      <w:marBottom w:val="0"/>
      <w:divBdr>
        <w:top w:val="none" w:sz="0" w:space="0" w:color="auto"/>
        <w:left w:val="none" w:sz="0" w:space="0" w:color="auto"/>
        <w:bottom w:val="none" w:sz="0" w:space="0" w:color="auto"/>
        <w:right w:val="none" w:sz="0" w:space="0" w:color="auto"/>
      </w:divBdr>
    </w:div>
    <w:div w:id="190902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alertasstg.blob.core.windows.net/alertas/021-24.pdf"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2.png"/><Relationship Id="rId28" Type="http://schemas.openxmlformats.org/officeDocument/2006/relationships/image" Target="media/image16.png"/><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le.rae.es/gravedad" TargetMode="External"/><Relationship Id="rId13" Type="http://schemas.openxmlformats.org/officeDocument/2006/relationships/hyperlink" Target="https://www.corteconstitucional.gov.co/secretaria/archivo.php?id=98846" TargetMode="External"/><Relationship Id="rId3" Type="http://schemas.openxmlformats.org/officeDocument/2006/relationships/hyperlink" Target="http://www.secretariasenado.gov.co/senado/basedoc/constitucion_politica_1991_pr007.html" TargetMode="External"/><Relationship Id="rId7" Type="http://schemas.openxmlformats.org/officeDocument/2006/relationships/hyperlink" Target="https://datospaz.unidadvictimas.gov.co/boletines/" TargetMode="External"/><Relationship Id="rId12" Type="http://schemas.openxmlformats.org/officeDocument/2006/relationships/hyperlink" Target="https://www.corteconstitucional.gov.co/secretaria/archivo.php?id=98582" TargetMode="External"/><Relationship Id="rId17" Type="http://schemas.openxmlformats.org/officeDocument/2006/relationships/hyperlink" Target="https://alertasstg.blob.core.windows.net/alertas/021-24.pdf" TargetMode="External"/><Relationship Id="rId2" Type="http://schemas.openxmlformats.org/officeDocument/2006/relationships/hyperlink" Target="http://www.secretariasenado.gov.co/senado/basedoc/constitucion_politica_1991_pr007.html" TargetMode="External"/><Relationship Id="rId16" Type="http://schemas.openxmlformats.org/officeDocument/2006/relationships/hyperlink" Target="https://www.corteconstitucional.gov.co/secretaria/archivo.php?id=98944" TargetMode="External"/><Relationship Id="rId1" Type="http://schemas.openxmlformats.org/officeDocument/2006/relationships/hyperlink" Target="http://www.secretariasenado.gov.co/senado/basedoc/constitucion_politica_1991_pr007.html" TargetMode="External"/><Relationship Id="rId6" Type="http://schemas.openxmlformats.org/officeDocument/2006/relationships/hyperlink" Target="https://www.defensoria.gov.co/-/boletines-mensuales-defensoria-del-pueblo-movilidad-forzada-en-colombia" TargetMode="External"/><Relationship Id="rId11" Type="http://schemas.openxmlformats.org/officeDocument/2006/relationships/hyperlink" Target="https://www.corteconstitucional.gov.co/secretaria/archivo.php?id=98580" TargetMode="External"/><Relationship Id="rId5" Type="http://schemas.openxmlformats.org/officeDocument/2006/relationships/hyperlink" Target="https://insightcrime.org/es/noticias/renovada-guerra-centro-cocaina-colombia/" TargetMode="External"/><Relationship Id="rId15" Type="http://schemas.openxmlformats.org/officeDocument/2006/relationships/hyperlink" Target="https://www.corteconstitucional.gov.co/secretaria/archivo.php?id=98944" TargetMode="External"/><Relationship Id="rId10" Type="http://schemas.openxmlformats.org/officeDocument/2006/relationships/hyperlink" Target="https://centrodememoriahistorica.gov.co/micrositios/catatumbo/violencia.html" TargetMode="External"/><Relationship Id="rId4" Type="http://schemas.openxmlformats.org/officeDocument/2006/relationships/hyperlink" Target="https://www.centrodememoriahistorica.gov.co/micrositios/recorridos-por-paisajes-de-la-violencia/bajo-catatumbo.html" TargetMode="External"/><Relationship Id="rId9" Type="http://schemas.openxmlformats.org/officeDocument/2006/relationships/hyperlink" Target="https://web.comisiondelaverdad.co/especiales/catatumbo/actualidad-region.html" TargetMode="External"/><Relationship Id="rId14" Type="http://schemas.openxmlformats.org/officeDocument/2006/relationships/hyperlink" Target="https://www.corteconstitucional.gov.co/secretaria/archivo.php?id=9894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juan\Library\CloudStorage\Dropbox\Work\Corte%20Constitucional\Salas%20de%20Seguimiento\T-025%20de%202004\Crisis%20Catatumbo\Cifras\Desplazamientos%20masivos\Gra&#769;ficas%20-%20Desplazamiento%20Masivo%20-%20Catatumbo%20-%20Datos%20Marzo%20202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ohannacortes\Dropbox\Corte\Conmocio&#769;n%202025\Gra&#769;ficas%20-%20Desplazamiento%20Masivo%20-%20Catatumbo%20-%20Datos%20Marzo%20202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rgbClr val="C00000"/>
              </a:solidFill>
              <a:round/>
            </a:ln>
            <a:effectLst/>
          </c:spPr>
          <c:marker>
            <c:symbol val="none"/>
          </c:marker>
          <c:dLbls>
            <c:delete val="1"/>
          </c:dLbls>
          <c:cat>
            <c:strRef>
              <c:f>Históirico!$C$2:$P$2</c:f>
              <c:strCache>
                <c:ptCount val="14"/>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pt idx="13">
                  <c:v>2025*</c:v>
                </c:pt>
              </c:strCache>
            </c:strRef>
          </c:cat>
          <c:val>
            <c:numRef>
              <c:f>Históirico!$C$211:$P$211</c:f>
              <c:numCache>
                <c:formatCode>0</c:formatCode>
                <c:ptCount val="14"/>
                <c:pt idx="0">
                  <c:v>1759</c:v>
                </c:pt>
                <c:pt idx="1">
                  <c:v>497</c:v>
                </c:pt>
                <c:pt idx="2">
                  <c:v>1210</c:v>
                </c:pt>
                <c:pt idx="3">
                  <c:v>5360</c:v>
                </c:pt>
                <c:pt idx="4">
                  <c:v>1928</c:v>
                </c:pt>
                <c:pt idx="5">
                  <c:v>2387</c:v>
                </c:pt>
                <c:pt idx="6">
                  <c:v>12714</c:v>
                </c:pt>
                <c:pt idx="7">
                  <c:v>2106</c:v>
                </c:pt>
                <c:pt idx="8">
                  <c:v>954</c:v>
                </c:pt>
                <c:pt idx="9">
                  <c:v>473</c:v>
                </c:pt>
                <c:pt idx="10">
                  <c:v>3084</c:v>
                </c:pt>
                <c:pt idx="11">
                  <c:v>1491</c:v>
                </c:pt>
                <c:pt idx="12">
                  <c:v>481</c:v>
                </c:pt>
                <c:pt idx="13">
                  <c:v>61615</c:v>
                </c:pt>
              </c:numCache>
            </c:numRef>
          </c:val>
          <c:smooth val="0"/>
          <c:extLst>
            <c:ext xmlns:c16="http://schemas.microsoft.com/office/drawing/2014/chart" uri="{C3380CC4-5D6E-409C-BE32-E72D297353CC}">
              <c16:uniqueId val="{00000000-7154-B245-80C5-D41D9303D312}"/>
            </c:ext>
          </c:extLst>
        </c:ser>
        <c:dLbls>
          <c:dLblPos val="t"/>
          <c:showLegendKey val="0"/>
          <c:showVal val="1"/>
          <c:showCatName val="0"/>
          <c:showSerName val="0"/>
          <c:showPercent val="0"/>
          <c:showBubbleSize val="0"/>
        </c:dLbls>
        <c:smooth val="0"/>
        <c:axId val="1310363647"/>
        <c:axId val="1653441567"/>
      </c:lineChart>
      <c:catAx>
        <c:axId val="1310363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53441567"/>
        <c:crosses val="autoZero"/>
        <c:auto val="1"/>
        <c:lblAlgn val="ctr"/>
        <c:lblOffset val="100"/>
        <c:noMultiLvlLbl val="0"/>
      </c:catAx>
      <c:valAx>
        <c:axId val="165344156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1036364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'Número de víctimas'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Confinamientos!$B$3</c:f>
              <c:strCache>
                <c:ptCount val="1"/>
                <c:pt idx="0">
                  <c:v>Número de víctimas</c:v>
                </c:pt>
              </c:strCache>
            </c:strRef>
          </c:tx>
          <c:spPr>
            <a:solidFill>
              <a:schemeClr val="accent1"/>
            </a:solidFill>
            <a:ln>
              <a:noFill/>
            </a:ln>
            <a:effectLst/>
          </c:spPr>
          <c:invertIfNegative val="0"/>
          <c:cat>
            <c:strRef>
              <c:f>Confinamientos!$A$4:$A$14</c:f>
              <c:strCache>
                <c:ptCount val="11"/>
                <c:pt idx="0">
                  <c:v>24.01.25</c:v>
                </c:pt>
                <c:pt idx="1">
                  <c:v>27.01.25</c:v>
                </c:pt>
                <c:pt idx="2">
                  <c:v>31.01.25</c:v>
                </c:pt>
                <c:pt idx="3">
                  <c:v>02.02.25</c:v>
                </c:pt>
                <c:pt idx="4">
                  <c:v>16.02.25</c:v>
                </c:pt>
                <c:pt idx="5">
                  <c:v>18.02.25</c:v>
                </c:pt>
                <c:pt idx="6">
                  <c:v>19.02.25</c:v>
                </c:pt>
                <c:pt idx="7">
                  <c:v>22.02.25</c:v>
                </c:pt>
                <c:pt idx="8">
                  <c:v>06.03.25</c:v>
                </c:pt>
                <c:pt idx="9">
                  <c:v>27.03.25</c:v>
                </c:pt>
                <c:pt idx="10">
                  <c:v>30.03.25</c:v>
                </c:pt>
              </c:strCache>
            </c:strRef>
          </c:cat>
          <c:val>
            <c:numRef>
              <c:f>Confinamientos!$B$4:$B$14</c:f>
              <c:numCache>
                <c:formatCode>#,##0</c:formatCode>
                <c:ptCount val="11"/>
                <c:pt idx="0">
                  <c:v>23757</c:v>
                </c:pt>
                <c:pt idx="1">
                  <c:v>28549</c:v>
                </c:pt>
                <c:pt idx="2">
                  <c:v>31358</c:v>
                </c:pt>
                <c:pt idx="3">
                  <c:v>31358</c:v>
                </c:pt>
                <c:pt idx="4">
                  <c:v>21211</c:v>
                </c:pt>
                <c:pt idx="5">
                  <c:v>21193</c:v>
                </c:pt>
                <c:pt idx="6">
                  <c:v>21193</c:v>
                </c:pt>
                <c:pt idx="7">
                  <c:v>23860</c:v>
                </c:pt>
                <c:pt idx="8">
                  <c:v>23838</c:v>
                </c:pt>
                <c:pt idx="9">
                  <c:v>16651</c:v>
                </c:pt>
                <c:pt idx="10">
                  <c:v>16615</c:v>
                </c:pt>
              </c:numCache>
            </c:numRef>
          </c:val>
          <c:extLst>
            <c:ext xmlns:c16="http://schemas.microsoft.com/office/drawing/2014/chart" uri="{C3380CC4-5D6E-409C-BE32-E72D297353CC}">
              <c16:uniqueId val="{00000000-3BCA-244C-81DB-A404420A1E1D}"/>
            </c:ext>
          </c:extLst>
        </c:ser>
        <c:dLbls>
          <c:showLegendKey val="0"/>
          <c:showVal val="0"/>
          <c:showCatName val="0"/>
          <c:showSerName val="0"/>
          <c:showPercent val="0"/>
          <c:showBubbleSize val="0"/>
        </c:dLbls>
        <c:gapWidth val="33"/>
        <c:overlap val="-30"/>
        <c:axId val="452444975"/>
        <c:axId val="457316911"/>
      </c:barChart>
      <c:catAx>
        <c:axId val="4524449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Fecha del Boletìn PMU</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316911"/>
        <c:crosses val="autoZero"/>
        <c:auto val="1"/>
        <c:lblAlgn val="ctr"/>
        <c:lblOffset val="100"/>
        <c:noMultiLvlLbl val="0"/>
      </c:catAx>
      <c:valAx>
        <c:axId val="457316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Número de víctimas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444975"/>
        <c:crosses val="autoZero"/>
        <c:crossBetween val="between"/>
        <c:dispUnits>
          <c:builtInUnit val="thousands"/>
          <c:dispUnitsLbl>
            <c:layout>
              <c:manualLayout>
                <c:xMode val="edge"/>
                <c:yMode val="edge"/>
                <c:x val="8.5162963247188347E-2"/>
                <c:y val="0.21517813567593949"/>
              </c:manualLayout>
            </c:layout>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Miles</a:t>
                  </a:r>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949444-D34B-8445-9C70-F08610EB0056}">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98294-3C90-42FA-AD30-389D46510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380</Pages>
  <Words>135122</Words>
  <Characters>770201</Characters>
  <Application>Microsoft Office Word</Application>
  <DocSecurity>0</DocSecurity>
  <Lines>6418</Lines>
  <Paragraphs>1807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Sebastián Rubiano</dc:creator>
  <cp:keywords/>
  <dc:description/>
  <cp:lastModifiedBy>USUARIO</cp:lastModifiedBy>
  <cp:revision>4</cp:revision>
  <cp:lastPrinted>2025-04-21T13:39:00Z</cp:lastPrinted>
  <dcterms:created xsi:type="dcterms:W3CDTF">2026-05-27T17:49:00Z</dcterms:created>
  <dcterms:modified xsi:type="dcterms:W3CDTF">2026-05-27T19:44:00Z</dcterms:modified>
</cp:coreProperties>
</file>